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3737C">
      <w:pPr>
        <w:autoSpaceDE w:val="0"/>
        <w:autoSpaceDN w:val="0"/>
        <w:spacing w:line="500" w:lineRule="atLeast"/>
        <w:jc w:val="center"/>
        <w:textAlignment w:val="bottom"/>
        <w:rPr>
          <w:rFonts w:hint="eastAsia" w:ascii="宋体" w:hAnsi="宋体" w:eastAsia="宋体" w:cs="宋体"/>
          <w:bCs/>
          <w:spacing w:val="227"/>
          <w:sz w:val="72"/>
          <w:szCs w:val="72"/>
        </w:rPr>
      </w:pPr>
    </w:p>
    <w:p w14:paraId="1A5CD700">
      <w:pPr>
        <w:autoSpaceDE w:val="0"/>
        <w:autoSpaceDN w:val="0"/>
        <w:spacing w:line="500" w:lineRule="atLeast"/>
        <w:jc w:val="center"/>
        <w:textAlignment w:val="bottom"/>
        <w:rPr>
          <w:rFonts w:hint="eastAsia" w:ascii="宋体" w:hAnsi="宋体" w:eastAsia="宋体" w:cs="宋体"/>
          <w:bCs/>
          <w:spacing w:val="227"/>
          <w:sz w:val="72"/>
          <w:szCs w:val="72"/>
        </w:rPr>
      </w:pPr>
      <w:r>
        <w:rPr>
          <w:rFonts w:hint="eastAsia" w:ascii="宋体" w:hAnsi="宋体" w:eastAsia="宋体" w:cs="宋体"/>
          <w:bCs/>
          <w:spacing w:val="227"/>
          <w:sz w:val="72"/>
          <w:szCs w:val="72"/>
        </w:rPr>
        <w:t>温州市国有企业</w:t>
      </w:r>
    </w:p>
    <w:p w14:paraId="1D3EC9F6">
      <w:pPr>
        <w:spacing w:line="400" w:lineRule="atLeast"/>
        <w:jc w:val="center"/>
        <w:rPr>
          <w:rFonts w:hint="eastAsia" w:ascii="宋体" w:hAnsi="宋体" w:eastAsia="宋体" w:cs="宋体"/>
          <w:b/>
          <w:sz w:val="52"/>
        </w:rPr>
      </w:pPr>
    </w:p>
    <w:p w14:paraId="4D72B433">
      <w:pPr>
        <w:spacing w:line="400" w:lineRule="atLeast"/>
        <w:jc w:val="center"/>
        <w:rPr>
          <w:rFonts w:hint="eastAsia" w:ascii="宋体" w:hAnsi="宋体" w:eastAsia="宋体" w:cs="宋体"/>
          <w:b/>
          <w:sz w:val="52"/>
        </w:rPr>
      </w:pPr>
    </w:p>
    <w:p w14:paraId="07306E8A">
      <w:pPr>
        <w:autoSpaceDE w:val="0"/>
        <w:autoSpaceDN w:val="0"/>
        <w:spacing w:line="500" w:lineRule="atLeast"/>
        <w:jc w:val="center"/>
        <w:textAlignment w:val="bottom"/>
        <w:rPr>
          <w:rFonts w:hint="eastAsia" w:ascii="宋体" w:hAnsi="宋体" w:eastAsia="宋体" w:cs="宋体"/>
          <w:b/>
          <w:sz w:val="72"/>
          <w:szCs w:val="72"/>
        </w:rPr>
      </w:pPr>
      <w:r>
        <w:rPr>
          <w:rFonts w:hint="eastAsia" w:ascii="宋体" w:hAnsi="宋体" w:eastAsia="宋体" w:cs="宋体"/>
          <w:b/>
          <w:sz w:val="72"/>
          <w:szCs w:val="72"/>
        </w:rPr>
        <w:t>采  购  文  件</w:t>
      </w:r>
    </w:p>
    <w:p w14:paraId="4E7B04CD">
      <w:pPr>
        <w:spacing w:line="400" w:lineRule="exact"/>
        <w:jc w:val="center"/>
        <w:rPr>
          <w:rFonts w:hint="eastAsia" w:ascii="宋体" w:hAnsi="宋体" w:eastAsia="宋体" w:cs="宋体"/>
          <w:b/>
          <w:sz w:val="32"/>
        </w:rPr>
      </w:pPr>
    </w:p>
    <w:p w14:paraId="020D4594">
      <w:pPr>
        <w:spacing w:line="400" w:lineRule="exact"/>
        <w:jc w:val="center"/>
        <w:rPr>
          <w:rFonts w:hint="eastAsia" w:ascii="宋体" w:hAnsi="宋体" w:eastAsia="宋体" w:cs="宋体"/>
          <w:b/>
          <w:sz w:val="32"/>
          <w:highlight w:val="none"/>
        </w:rPr>
      </w:pPr>
    </w:p>
    <w:tbl>
      <w:tblPr>
        <w:tblStyle w:val="33"/>
        <w:tblW w:w="0" w:type="auto"/>
        <w:jc w:val="center"/>
        <w:tblLayout w:type="fixed"/>
        <w:tblCellMar>
          <w:top w:w="0" w:type="dxa"/>
          <w:left w:w="108" w:type="dxa"/>
          <w:bottom w:w="0" w:type="dxa"/>
          <w:right w:w="108" w:type="dxa"/>
        </w:tblCellMar>
      </w:tblPr>
      <w:tblGrid>
        <w:gridCol w:w="1782"/>
        <w:gridCol w:w="370"/>
        <w:gridCol w:w="3930"/>
      </w:tblGrid>
      <w:tr w14:paraId="41AB3E89">
        <w:tblPrEx>
          <w:tblCellMar>
            <w:top w:w="0" w:type="dxa"/>
            <w:left w:w="108" w:type="dxa"/>
            <w:bottom w:w="0" w:type="dxa"/>
            <w:right w:w="108" w:type="dxa"/>
          </w:tblCellMar>
        </w:tblPrEx>
        <w:trPr>
          <w:trHeight w:val="659" w:hRule="atLeast"/>
          <w:jc w:val="center"/>
        </w:trPr>
        <w:tc>
          <w:tcPr>
            <w:tcW w:w="1782" w:type="dxa"/>
            <w:noWrap w:val="0"/>
            <w:vAlign w:val="center"/>
          </w:tcPr>
          <w:p w14:paraId="68AEC38C">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30"/>
                <w:szCs w:val="30"/>
                <w:highlight w:val="none"/>
              </w:rPr>
            </w:pPr>
            <w:r>
              <w:rPr>
                <w:rFonts w:hint="eastAsia" w:ascii="宋体" w:hAnsi="宋体" w:eastAsia="宋体" w:cs="宋体"/>
                <w:spacing w:val="40"/>
                <w:sz w:val="30"/>
                <w:szCs w:val="30"/>
                <w:highlight w:val="none"/>
              </w:rPr>
              <w:t>采购编号</w:t>
            </w:r>
          </w:p>
        </w:tc>
        <w:tc>
          <w:tcPr>
            <w:tcW w:w="370" w:type="dxa"/>
            <w:noWrap w:val="0"/>
            <w:vAlign w:val="center"/>
          </w:tcPr>
          <w:p w14:paraId="74DCDB22">
            <w:pPr>
              <w:keepNext w:val="0"/>
              <w:keepLines w:val="0"/>
              <w:suppressLineNumbers w:val="0"/>
              <w:adjustRightInd w:val="0"/>
              <w:snapToGrid w:val="0"/>
              <w:spacing w:before="0" w:beforeAutospacing="0" w:after="0" w:afterAutospacing="0" w:line="440" w:lineRule="exact"/>
              <w:ind w:left="0" w:right="0"/>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3930" w:type="dxa"/>
            <w:noWrap w:val="0"/>
            <w:vAlign w:val="center"/>
          </w:tcPr>
          <w:p w14:paraId="190CB8CD">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spacing w:val="-20"/>
                <w:sz w:val="30"/>
                <w:szCs w:val="30"/>
                <w:highlight w:val="none"/>
                <w:lang w:eastAsia="zh-CN"/>
              </w:rPr>
            </w:pPr>
            <w:r>
              <w:rPr>
                <w:rFonts w:hint="eastAsia" w:ascii="宋体" w:hAnsi="宋体" w:eastAsia="宋体" w:cs="宋体"/>
                <w:sz w:val="30"/>
                <w:szCs w:val="30"/>
                <w:highlight w:val="none"/>
                <w:lang w:eastAsia="zh-CN"/>
              </w:rPr>
              <w:t>WGSS-GYJT-X-2024005</w:t>
            </w:r>
          </w:p>
        </w:tc>
      </w:tr>
      <w:tr w14:paraId="41FBB1CB">
        <w:tblPrEx>
          <w:tblCellMar>
            <w:top w:w="0" w:type="dxa"/>
            <w:left w:w="108" w:type="dxa"/>
            <w:bottom w:w="0" w:type="dxa"/>
            <w:right w:w="108" w:type="dxa"/>
          </w:tblCellMar>
        </w:tblPrEx>
        <w:trPr>
          <w:trHeight w:val="614" w:hRule="atLeast"/>
          <w:jc w:val="center"/>
        </w:trPr>
        <w:tc>
          <w:tcPr>
            <w:tcW w:w="1782" w:type="dxa"/>
            <w:noWrap w:val="0"/>
            <w:vAlign w:val="center"/>
          </w:tcPr>
          <w:p w14:paraId="0DDA4943">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30"/>
                <w:szCs w:val="30"/>
              </w:rPr>
            </w:pPr>
            <w:r>
              <w:rPr>
                <w:rFonts w:hint="eastAsia" w:ascii="宋体" w:hAnsi="宋体" w:eastAsia="宋体" w:cs="宋体"/>
                <w:spacing w:val="40"/>
                <w:sz w:val="30"/>
                <w:szCs w:val="30"/>
              </w:rPr>
              <w:t>项目名称</w:t>
            </w:r>
          </w:p>
        </w:tc>
        <w:tc>
          <w:tcPr>
            <w:tcW w:w="370" w:type="dxa"/>
            <w:noWrap w:val="0"/>
            <w:vAlign w:val="center"/>
          </w:tcPr>
          <w:p w14:paraId="0928BBEA">
            <w:pPr>
              <w:keepNext w:val="0"/>
              <w:keepLines w:val="0"/>
              <w:suppressLineNumbers w:val="0"/>
              <w:adjustRightInd w:val="0"/>
              <w:snapToGrid w:val="0"/>
              <w:spacing w:before="0" w:beforeAutospacing="0" w:after="0" w:afterAutospacing="0" w:line="440" w:lineRule="exact"/>
              <w:ind w:left="0" w:right="0"/>
              <w:jc w:val="distribute"/>
              <w:rPr>
                <w:rFonts w:hint="eastAsia" w:ascii="宋体" w:hAnsi="宋体" w:eastAsia="宋体" w:cs="宋体"/>
                <w:sz w:val="30"/>
                <w:szCs w:val="30"/>
              </w:rPr>
            </w:pPr>
            <w:r>
              <w:rPr>
                <w:rFonts w:hint="eastAsia" w:ascii="宋体" w:hAnsi="宋体" w:eastAsia="宋体" w:cs="宋体"/>
                <w:sz w:val="30"/>
                <w:szCs w:val="30"/>
              </w:rPr>
              <w:t>：</w:t>
            </w:r>
          </w:p>
        </w:tc>
        <w:tc>
          <w:tcPr>
            <w:tcW w:w="3930" w:type="dxa"/>
            <w:noWrap w:val="0"/>
            <w:vAlign w:val="center"/>
          </w:tcPr>
          <w:p w14:paraId="6493308D">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sz w:val="30"/>
                <w:szCs w:val="30"/>
                <w:lang w:eastAsia="zh-CN"/>
              </w:rPr>
            </w:pPr>
            <w:r>
              <w:rPr>
                <w:rFonts w:hint="eastAsia" w:ascii="宋体" w:hAnsi="宋体" w:eastAsia="宋体" w:cs="宋体"/>
                <w:sz w:val="30"/>
                <w:szCs w:val="30"/>
                <w:lang w:eastAsia="zh-CN"/>
              </w:rPr>
              <w:t>燃气客户服务外包供应商库</w:t>
            </w:r>
          </w:p>
        </w:tc>
      </w:tr>
      <w:tr w14:paraId="78D14155">
        <w:tblPrEx>
          <w:tblCellMar>
            <w:top w:w="0" w:type="dxa"/>
            <w:left w:w="108" w:type="dxa"/>
            <w:bottom w:w="0" w:type="dxa"/>
            <w:right w:w="108" w:type="dxa"/>
          </w:tblCellMar>
        </w:tblPrEx>
        <w:trPr>
          <w:trHeight w:val="614" w:hRule="atLeast"/>
          <w:jc w:val="center"/>
        </w:trPr>
        <w:tc>
          <w:tcPr>
            <w:tcW w:w="1782" w:type="dxa"/>
            <w:noWrap w:val="0"/>
            <w:vAlign w:val="center"/>
          </w:tcPr>
          <w:p w14:paraId="0F643289">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30"/>
                <w:szCs w:val="30"/>
              </w:rPr>
            </w:pPr>
            <w:r>
              <w:rPr>
                <w:rFonts w:hint="eastAsia" w:ascii="宋体" w:hAnsi="宋体" w:eastAsia="宋体" w:cs="宋体"/>
                <w:spacing w:val="40"/>
                <w:sz w:val="30"/>
                <w:szCs w:val="30"/>
              </w:rPr>
              <w:t>采购人式</w:t>
            </w:r>
          </w:p>
        </w:tc>
        <w:tc>
          <w:tcPr>
            <w:tcW w:w="370" w:type="dxa"/>
            <w:noWrap w:val="0"/>
            <w:vAlign w:val="center"/>
          </w:tcPr>
          <w:p w14:paraId="68D541C8">
            <w:pPr>
              <w:keepNext w:val="0"/>
              <w:keepLines w:val="0"/>
              <w:suppressLineNumbers w:val="0"/>
              <w:adjustRightInd w:val="0"/>
              <w:snapToGrid w:val="0"/>
              <w:spacing w:before="0" w:beforeAutospacing="0" w:after="0" w:afterAutospacing="0" w:line="440" w:lineRule="exact"/>
              <w:ind w:left="0" w:right="0"/>
              <w:jc w:val="distribute"/>
              <w:rPr>
                <w:rFonts w:hint="eastAsia" w:ascii="宋体" w:hAnsi="宋体" w:eastAsia="宋体" w:cs="宋体"/>
                <w:sz w:val="30"/>
                <w:szCs w:val="30"/>
              </w:rPr>
            </w:pPr>
            <w:r>
              <w:rPr>
                <w:rFonts w:hint="eastAsia" w:ascii="宋体" w:hAnsi="宋体" w:eastAsia="宋体" w:cs="宋体"/>
                <w:sz w:val="30"/>
                <w:szCs w:val="30"/>
              </w:rPr>
              <w:t>：</w:t>
            </w:r>
          </w:p>
        </w:tc>
        <w:tc>
          <w:tcPr>
            <w:tcW w:w="3930" w:type="dxa"/>
            <w:noWrap w:val="0"/>
            <w:vAlign w:val="center"/>
          </w:tcPr>
          <w:p w14:paraId="3DCD22ED">
            <w:pPr>
              <w:keepNext w:val="0"/>
              <w:keepLines w:val="0"/>
              <w:suppressLineNumbers w:val="0"/>
              <w:adjustRightInd w:val="0"/>
              <w:snapToGrid w:val="0"/>
              <w:spacing w:before="0" w:beforeAutospacing="0" w:after="0" w:afterAutospacing="0" w:line="440" w:lineRule="exact"/>
              <w:ind w:left="0" w:right="0"/>
              <w:rPr>
                <w:rFonts w:hint="eastAsia" w:ascii="宋体" w:hAnsi="宋体" w:eastAsia="宋体" w:cs="宋体"/>
                <w:sz w:val="30"/>
                <w:szCs w:val="30"/>
              </w:rPr>
            </w:pPr>
            <w:r>
              <w:rPr>
                <w:rFonts w:hint="eastAsia" w:ascii="宋体" w:hAnsi="宋体" w:eastAsia="宋体" w:cs="宋体"/>
                <w:sz w:val="30"/>
                <w:szCs w:val="30"/>
              </w:rPr>
              <w:t>公开招标</w:t>
            </w:r>
          </w:p>
        </w:tc>
      </w:tr>
    </w:tbl>
    <w:p w14:paraId="4FEF5889">
      <w:pPr>
        <w:jc w:val="center"/>
        <w:rPr>
          <w:rFonts w:hint="eastAsia" w:ascii="宋体" w:hAnsi="宋体" w:eastAsia="宋体" w:cs="宋体"/>
          <w:b/>
          <w:sz w:val="24"/>
        </w:rPr>
      </w:pPr>
    </w:p>
    <w:p w14:paraId="487D3323">
      <w:pPr>
        <w:jc w:val="center"/>
        <w:rPr>
          <w:rFonts w:hint="eastAsia" w:ascii="宋体" w:hAnsi="宋体" w:eastAsia="宋体" w:cs="宋体"/>
          <w:b/>
          <w:sz w:val="24"/>
        </w:rPr>
      </w:pPr>
    </w:p>
    <w:p w14:paraId="5ACDE552">
      <w:pPr>
        <w:jc w:val="center"/>
        <w:rPr>
          <w:rFonts w:hint="eastAsia" w:ascii="宋体" w:hAnsi="宋体" w:cs="宋体"/>
          <w:b/>
          <w:sz w:val="24"/>
        </w:rPr>
      </w:pPr>
    </w:p>
    <w:p w14:paraId="04FC9CA2">
      <w:pPr>
        <w:jc w:val="center"/>
        <w:rPr>
          <w:rFonts w:hint="eastAsia" w:ascii="宋体" w:hAnsi="宋体" w:eastAsia="宋体" w:cs="宋体"/>
          <w:b/>
          <w:sz w:val="24"/>
        </w:rPr>
      </w:pPr>
    </w:p>
    <w:p w14:paraId="6C75F58B">
      <w:pPr>
        <w:jc w:val="center"/>
        <w:rPr>
          <w:rFonts w:hint="eastAsia" w:ascii="宋体" w:hAnsi="宋体" w:eastAsia="宋体" w:cs="宋体"/>
          <w:b/>
          <w:sz w:val="24"/>
        </w:rPr>
      </w:pPr>
    </w:p>
    <w:p w14:paraId="6C3A6790">
      <w:pPr>
        <w:jc w:val="center"/>
        <w:rPr>
          <w:rFonts w:hint="eastAsia" w:ascii="宋体" w:hAnsi="宋体" w:eastAsia="宋体" w:cs="宋体"/>
          <w:b/>
          <w:sz w:val="24"/>
        </w:rPr>
      </w:pPr>
    </w:p>
    <w:p w14:paraId="1E9D7A2E">
      <w:pPr>
        <w:jc w:val="center"/>
        <w:rPr>
          <w:rFonts w:hint="eastAsia" w:ascii="宋体" w:hAnsi="宋体" w:eastAsia="宋体" w:cs="宋体"/>
          <w:b/>
          <w:sz w:val="24"/>
        </w:rPr>
      </w:pPr>
    </w:p>
    <w:p w14:paraId="63993223">
      <w:pPr>
        <w:jc w:val="center"/>
        <w:rPr>
          <w:rFonts w:hint="eastAsia" w:ascii="宋体" w:hAnsi="宋体" w:eastAsia="宋体" w:cs="宋体"/>
          <w:b/>
          <w:sz w:val="24"/>
        </w:rPr>
      </w:pPr>
    </w:p>
    <w:p w14:paraId="5333EBE1">
      <w:pPr>
        <w:jc w:val="center"/>
        <w:rPr>
          <w:rFonts w:hint="eastAsia" w:ascii="宋体" w:hAnsi="宋体" w:eastAsia="宋体" w:cs="宋体"/>
          <w:b/>
          <w:sz w:val="24"/>
        </w:rPr>
      </w:pPr>
    </w:p>
    <w:p w14:paraId="525872C7">
      <w:pPr>
        <w:jc w:val="center"/>
        <w:rPr>
          <w:rFonts w:hint="eastAsia" w:ascii="宋体" w:hAnsi="宋体" w:eastAsia="宋体" w:cs="宋体"/>
          <w:b/>
          <w:sz w:val="24"/>
        </w:rPr>
      </w:pPr>
    </w:p>
    <w:p w14:paraId="1903D555">
      <w:pPr>
        <w:jc w:val="center"/>
        <w:rPr>
          <w:rFonts w:hint="eastAsia" w:ascii="宋体" w:hAnsi="宋体" w:eastAsia="宋体" w:cs="宋体"/>
          <w:b/>
          <w:sz w:val="24"/>
        </w:rPr>
      </w:pPr>
    </w:p>
    <w:tbl>
      <w:tblPr>
        <w:tblStyle w:val="33"/>
        <w:tblW w:w="0" w:type="auto"/>
        <w:jc w:val="center"/>
        <w:tblLayout w:type="fixed"/>
        <w:tblCellMar>
          <w:top w:w="0" w:type="dxa"/>
          <w:left w:w="108" w:type="dxa"/>
          <w:bottom w:w="0" w:type="dxa"/>
          <w:right w:w="108" w:type="dxa"/>
        </w:tblCellMar>
      </w:tblPr>
      <w:tblGrid>
        <w:gridCol w:w="2199"/>
        <w:gridCol w:w="240"/>
        <w:gridCol w:w="3553"/>
      </w:tblGrid>
      <w:tr w14:paraId="2E212D3E">
        <w:tblPrEx>
          <w:tblCellMar>
            <w:top w:w="0" w:type="dxa"/>
            <w:left w:w="108" w:type="dxa"/>
            <w:bottom w:w="0" w:type="dxa"/>
            <w:right w:w="108" w:type="dxa"/>
          </w:tblCellMar>
        </w:tblPrEx>
        <w:trPr>
          <w:trHeight w:val="614" w:hRule="atLeast"/>
          <w:jc w:val="center"/>
        </w:trPr>
        <w:tc>
          <w:tcPr>
            <w:tcW w:w="2199" w:type="dxa"/>
            <w:noWrap w:val="0"/>
            <w:vAlign w:val="center"/>
          </w:tcPr>
          <w:p w14:paraId="0785CD88">
            <w:pPr>
              <w:keepNext w:val="0"/>
              <w:keepLines w:val="0"/>
              <w:suppressLineNumbers w:val="0"/>
              <w:adjustRightInd w:val="0"/>
              <w:snapToGrid w:val="0"/>
              <w:spacing w:before="0" w:beforeAutospacing="0" w:after="0" w:afterAutospacing="0" w:line="440" w:lineRule="exact"/>
              <w:ind w:left="0" w:right="0"/>
              <w:jc w:val="distribute"/>
              <w:rPr>
                <w:rFonts w:hint="eastAsia" w:ascii="宋体" w:hAnsi="宋体" w:eastAsia="宋体" w:cs="宋体"/>
                <w:sz w:val="30"/>
                <w:szCs w:val="30"/>
              </w:rPr>
            </w:pPr>
            <w:r>
              <w:rPr>
                <w:rFonts w:hint="eastAsia" w:ascii="宋体" w:hAnsi="宋体" w:eastAsia="宋体" w:cs="宋体"/>
                <w:sz w:val="30"/>
                <w:szCs w:val="30"/>
              </w:rPr>
              <w:t>采购人</w:t>
            </w:r>
          </w:p>
        </w:tc>
        <w:tc>
          <w:tcPr>
            <w:tcW w:w="240" w:type="dxa"/>
            <w:tcBorders>
              <w:left w:val="nil"/>
            </w:tcBorders>
            <w:noWrap w:val="0"/>
            <w:vAlign w:val="center"/>
          </w:tcPr>
          <w:p w14:paraId="4C2F0BA2">
            <w:pPr>
              <w:keepNext w:val="0"/>
              <w:keepLines w:val="0"/>
              <w:suppressLineNumbers w:val="0"/>
              <w:adjustRightInd w:val="0"/>
              <w:snapToGrid w:val="0"/>
              <w:spacing w:before="0" w:beforeAutospacing="0" w:after="0" w:afterAutospacing="0" w:line="440" w:lineRule="exact"/>
              <w:ind w:left="0" w:right="0"/>
              <w:jc w:val="distribute"/>
              <w:rPr>
                <w:rFonts w:hint="eastAsia" w:ascii="宋体" w:hAnsi="宋体" w:eastAsia="宋体" w:cs="宋体"/>
                <w:sz w:val="30"/>
                <w:szCs w:val="30"/>
              </w:rPr>
            </w:pPr>
            <w:r>
              <w:rPr>
                <w:rFonts w:hint="eastAsia" w:ascii="宋体" w:hAnsi="宋体" w:eastAsia="宋体" w:cs="宋体"/>
                <w:sz w:val="30"/>
                <w:szCs w:val="30"/>
              </w:rPr>
              <w:t>：</w:t>
            </w:r>
          </w:p>
        </w:tc>
        <w:tc>
          <w:tcPr>
            <w:tcW w:w="3553" w:type="dxa"/>
            <w:noWrap w:val="0"/>
            <w:vAlign w:val="center"/>
          </w:tcPr>
          <w:p w14:paraId="5B21C570">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温州市燃气集团有限公司</w:t>
            </w:r>
          </w:p>
        </w:tc>
      </w:tr>
      <w:tr w14:paraId="45A22E79">
        <w:tblPrEx>
          <w:tblCellMar>
            <w:top w:w="0" w:type="dxa"/>
            <w:left w:w="108" w:type="dxa"/>
            <w:bottom w:w="0" w:type="dxa"/>
            <w:right w:w="108" w:type="dxa"/>
          </w:tblCellMar>
        </w:tblPrEx>
        <w:trPr>
          <w:trHeight w:val="614" w:hRule="atLeast"/>
          <w:jc w:val="center"/>
        </w:trPr>
        <w:tc>
          <w:tcPr>
            <w:tcW w:w="2199" w:type="dxa"/>
            <w:noWrap w:val="0"/>
            <w:vAlign w:val="center"/>
          </w:tcPr>
          <w:p w14:paraId="769701F7">
            <w:pPr>
              <w:keepNext w:val="0"/>
              <w:keepLines w:val="0"/>
              <w:suppressLineNumbers w:val="0"/>
              <w:adjustRightInd w:val="0"/>
              <w:snapToGrid w:val="0"/>
              <w:spacing w:before="0" w:beforeAutospacing="0" w:after="0" w:afterAutospacing="0" w:line="440" w:lineRule="exact"/>
              <w:ind w:left="0" w:right="0"/>
              <w:jc w:val="distribute"/>
              <w:rPr>
                <w:rFonts w:hint="eastAsia" w:ascii="宋体" w:hAnsi="宋体" w:eastAsia="宋体" w:cs="宋体"/>
                <w:sz w:val="30"/>
                <w:szCs w:val="30"/>
              </w:rPr>
            </w:pPr>
            <w:r>
              <w:rPr>
                <w:rFonts w:hint="eastAsia" w:ascii="宋体" w:hAnsi="宋体" w:eastAsia="宋体" w:cs="宋体"/>
                <w:sz w:val="30"/>
                <w:szCs w:val="30"/>
              </w:rPr>
              <w:t>采购代理机构</w:t>
            </w:r>
          </w:p>
        </w:tc>
        <w:tc>
          <w:tcPr>
            <w:tcW w:w="240" w:type="dxa"/>
            <w:tcBorders>
              <w:left w:val="nil"/>
            </w:tcBorders>
            <w:noWrap w:val="0"/>
            <w:vAlign w:val="center"/>
          </w:tcPr>
          <w:p w14:paraId="79986A77">
            <w:pPr>
              <w:keepNext w:val="0"/>
              <w:keepLines w:val="0"/>
              <w:suppressLineNumbers w:val="0"/>
              <w:adjustRightInd w:val="0"/>
              <w:snapToGrid w:val="0"/>
              <w:spacing w:before="0" w:beforeAutospacing="0" w:after="0" w:afterAutospacing="0" w:line="440" w:lineRule="exact"/>
              <w:ind w:left="0" w:right="0"/>
              <w:jc w:val="distribute"/>
              <w:rPr>
                <w:rFonts w:hint="eastAsia" w:ascii="宋体" w:hAnsi="宋体" w:eastAsia="宋体" w:cs="宋体"/>
                <w:sz w:val="30"/>
                <w:szCs w:val="30"/>
              </w:rPr>
            </w:pPr>
            <w:r>
              <w:rPr>
                <w:rFonts w:hint="eastAsia" w:ascii="宋体" w:hAnsi="宋体" w:eastAsia="宋体" w:cs="宋体"/>
                <w:sz w:val="30"/>
                <w:szCs w:val="30"/>
              </w:rPr>
              <w:t>：</w:t>
            </w:r>
          </w:p>
        </w:tc>
        <w:tc>
          <w:tcPr>
            <w:tcW w:w="3553" w:type="dxa"/>
            <w:noWrap w:val="0"/>
            <w:vAlign w:val="center"/>
          </w:tcPr>
          <w:p w14:paraId="102BBA6F">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sz w:val="30"/>
                <w:szCs w:val="30"/>
              </w:rPr>
            </w:pPr>
            <w:r>
              <w:rPr>
                <w:rFonts w:hint="eastAsia" w:ascii="宋体" w:hAnsi="宋体" w:eastAsia="宋体" w:cs="宋体"/>
                <w:sz w:val="30"/>
                <w:szCs w:val="30"/>
              </w:rPr>
              <w:t>浙江国际招投标有限公司</w:t>
            </w:r>
          </w:p>
        </w:tc>
      </w:tr>
    </w:tbl>
    <w:p w14:paraId="2E8E6395">
      <w:pPr>
        <w:spacing w:before="120" w:beforeLines="50" w:line="360" w:lineRule="auto"/>
        <w:jc w:val="center"/>
        <w:rPr>
          <w:rFonts w:hint="eastAsia" w:ascii="宋体" w:hAnsi="宋体" w:eastAsia="宋体" w:cs="宋体"/>
          <w:spacing w:val="40"/>
          <w:sz w:val="30"/>
          <w:szCs w:val="30"/>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四</w:t>
      </w:r>
      <w:r>
        <w:rPr>
          <w:rFonts w:hint="eastAsia" w:ascii="宋体" w:hAnsi="宋体" w:eastAsia="宋体" w:cs="宋体"/>
          <w:spacing w:val="40"/>
          <w:sz w:val="30"/>
          <w:szCs w:val="30"/>
          <w:highlight w:val="none"/>
        </w:rPr>
        <w:t>年</w:t>
      </w:r>
      <w:r>
        <w:rPr>
          <w:rFonts w:hint="eastAsia" w:ascii="宋体" w:hAnsi="宋体" w:cs="宋体"/>
          <w:spacing w:val="40"/>
          <w:sz w:val="30"/>
          <w:szCs w:val="30"/>
          <w:highlight w:val="none"/>
          <w:lang w:val="en-US" w:eastAsia="zh-CN"/>
        </w:rPr>
        <w:t>八</w:t>
      </w:r>
      <w:r>
        <w:rPr>
          <w:rFonts w:hint="eastAsia" w:ascii="宋体" w:hAnsi="宋体" w:eastAsia="宋体" w:cs="宋体"/>
          <w:spacing w:val="40"/>
          <w:sz w:val="30"/>
          <w:szCs w:val="30"/>
          <w:highlight w:val="none"/>
        </w:rPr>
        <w:t>月</w:t>
      </w:r>
    </w:p>
    <w:p w14:paraId="7D6AFD22">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7CEFCB0C">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00782C89">
      <w:pPr>
        <w:pStyle w:val="23"/>
        <w:rPr>
          <w:rFonts w:hint="eastAsia" w:ascii="宋体" w:hAnsi="宋体" w:eastAsia="宋体" w:cs="宋体"/>
          <w:szCs w:val="21"/>
        </w:rPr>
      </w:pPr>
      <w:r>
        <w:rPr>
          <w:rFonts w:hint="eastAsia" w:ascii="宋体" w:hAnsi="宋体" w:eastAsia="宋体" w:cs="宋体"/>
          <w:sz w:val="33"/>
        </w:rPr>
        <w:fldChar w:fldCharType="begin"/>
      </w:r>
      <w:r>
        <w:rPr>
          <w:rStyle w:val="43"/>
          <w:rFonts w:hint="eastAsia" w:ascii="宋体" w:hAnsi="宋体" w:eastAsia="宋体" w:cs="宋体"/>
          <w:color w:val="auto"/>
          <w:sz w:val="33"/>
        </w:rPr>
        <w:instrText xml:space="preserve"> TOC \o "1-3" \h \z \u </w:instrText>
      </w:r>
      <w:r>
        <w:rPr>
          <w:rFonts w:hint="eastAsia" w:ascii="宋体" w:hAnsi="宋体" w:eastAsia="宋体" w:cs="宋体"/>
          <w:sz w:val="33"/>
        </w:rPr>
        <w:fldChar w:fldCharType="separate"/>
      </w:r>
    </w:p>
    <w:p w14:paraId="2C34C3C7">
      <w:pPr>
        <w:pStyle w:val="23"/>
        <w:rPr>
          <w:rFonts w:hint="eastAsia" w:ascii="宋体" w:hAnsi="宋体" w:eastAsia="宋体" w:cs="宋体"/>
          <w:szCs w:val="21"/>
        </w:rPr>
      </w:pPr>
      <w:r>
        <w:rPr>
          <w:rFonts w:hint="eastAsia" w:ascii="宋体" w:hAnsi="宋体" w:eastAsia="宋体" w:cs="宋体"/>
          <w:szCs w:val="21"/>
        </w:rPr>
        <w:t>温州市公用集团所属</w:t>
      </w:r>
      <w:r>
        <w:rPr>
          <w:rFonts w:hint="eastAsia" w:ascii="宋体" w:hAnsi="宋体" w:eastAsia="宋体" w:cs="宋体"/>
          <w:szCs w:val="21"/>
          <w:lang w:eastAsia="zh-CN"/>
        </w:rPr>
        <w:t>温州市燃气集团有限公司</w:t>
      </w:r>
      <w:r>
        <w:rPr>
          <w:rFonts w:hint="eastAsia" w:ascii="宋体" w:hAnsi="宋体" w:eastAsia="宋体" w:cs="宋体"/>
          <w:szCs w:val="21"/>
        </w:rPr>
        <w:t>关于</w:t>
      </w:r>
      <w:r>
        <w:rPr>
          <w:rFonts w:hint="eastAsia" w:ascii="宋体" w:hAnsi="宋体" w:eastAsia="宋体" w:cs="宋体"/>
          <w:szCs w:val="21"/>
        </w:rPr>
        <w:fldChar w:fldCharType="begin"/>
      </w:r>
      <w:r>
        <w:rPr>
          <w:rFonts w:hint="eastAsia" w:ascii="宋体" w:hAnsi="宋体" w:eastAsia="宋体" w:cs="宋体"/>
          <w:szCs w:val="21"/>
        </w:rPr>
        <w:instrText xml:space="preserve"> HYPERLINK \l "_Toc491780521" </w:instrText>
      </w:r>
      <w:r>
        <w:rPr>
          <w:rFonts w:hint="eastAsia" w:ascii="宋体" w:hAnsi="宋体" w:eastAsia="宋体" w:cs="宋体"/>
          <w:szCs w:val="21"/>
        </w:rPr>
        <w:fldChar w:fldCharType="separate"/>
      </w:r>
      <w:r>
        <w:rPr>
          <w:rStyle w:val="43"/>
          <w:rFonts w:hint="eastAsia" w:ascii="宋体" w:hAnsi="宋体" w:eastAsia="宋体" w:cs="宋体"/>
          <w:color w:val="auto"/>
          <w:szCs w:val="21"/>
          <w:lang w:eastAsia="zh-CN"/>
        </w:rPr>
        <w:t>燃气客户服务外包供应商库</w:t>
      </w:r>
      <w:r>
        <w:rPr>
          <w:rStyle w:val="43"/>
          <w:rFonts w:hint="eastAsia" w:ascii="宋体" w:hAnsi="宋体" w:eastAsia="宋体" w:cs="宋体"/>
          <w:color w:val="auto"/>
          <w:szCs w:val="21"/>
        </w:rPr>
        <w:t>项目</w:t>
      </w:r>
      <w:r>
        <w:rPr>
          <w:rStyle w:val="43"/>
          <w:rFonts w:hint="eastAsia" w:ascii="宋体" w:hAnsi="宋体" w:eastAsia="宋体" w:cs="宋体"/>
          <w:color w:val="auto"/>
          <w:szCs w:val="21"/>
          <w:lang w:eastAsia="zh-CN"/>
        </w:rPr>
        <w:t>温州市燃气集团有限公司</w:t>
      </w:r>
      <w:r>
        <w:rPr>
          <w:rStyle w:val="43"/>
          <w:rFonts w:hint="eastAsia" w:ascii="宋体" w:hAnsi="宋体" w:eastAsia="宋体" w:cs="宋体"/>
          <w:color w:val="auto"/>
          <w:szCs w:val="21"/>
        </w:rPr>
        <w:t>的采购公告</w:t>
      </w:r>
      <w:r>
        <w:rPr>
          <w:rFonts w:hint="eastAsia" w:ascii="宋体" w:hAnsi="宋体" w:eastAsia="宋体" w:cs="宋体"/>
          <w:szCs w:val="21"/>
        </w:rPr>
        <w:tab/>
      </w:r>
      <w:r>
        <w:rPr>
          <w:rFonts w:hint="eastAsia" w:ascii="宋体" w:hAnsi="宋体" w:eastAsia="宋体" w:cs="宋体"/>
          <w:szCs w:val="21"/>
        </w:rPr>
        <w:t>3</w:t>
      </w:r>
      <w:r>
        <w:rPr>
          <w:rFonts w:hint="eastAsia" w:ascii="宋体" w:hAnsi="宋体" w:eastAsia="宋体" w:cs="宋体"/>
          <w:szCs w:val="21"/>
        </w:rPr>
        <w:fldChar w:fldCharType="end"/>
      </w:r>
    </w:p>
    <w:p w14:paraId="642236D8">
      <w:pPr>
        <w:pStyle w:val="23"/>
        <w:rPr>
          <w:rFonts w:hint="eastAsia" w:ascii="宋体" w:hAnsi="宋体" w:eastAsia="宋体" w:cs="宋体"/>
          <w:szCs w:val="22"/>
          <w:lang w:eastAsia="zh-CN"/>
        </w:rPr>
      </w:pPr>
      <w:r>
        <w:rPr>
          <w:rFonts w:hint="eastAsia" w:ascii="宋体" w:hAnsi="宋体" w:eastAsia="宋体" w:cs="宋体"/>
        </w:rPr>
        <w:t>温州市公用集团所属</w:t>
      </w:r>
      <w:r>
        <w:rPr>
          <w:rFonts w:hint="eastAsia" w:ascii="宋体" w:hAnsi="宋体" w:eastAsia="宋体" w:cs="宋体"/>
          <w:lang w:eastAsia="zh-CN"/>
        </w:rPr>
        <w:t>温州市燃气集团有限公司</w:t>
      </w:r>
      <w:r>
        <w:rPr>
          <w:rFonts w:hint="eastAsia" w:ascii="宋体" w:hAnsi="宋体" w:eastAsia="宋体" w:cs="宋体"/>
        </w:rPr>
        <w:t>关于</w:t>
      </w:r>
      <w:r>
        <w:rPr>
          <w:rFonts w:hint="eastAsia" w:ascii="宋体" w:hAnsi="宋体" w:eastAsia="宋体" w:cs="宋体"/>
        </w:rPr>
        <w:fldChar w:fldCharType="begin"/>
      </w:r>
      <w:r>
        <w:rPr>
          <w:rFonts w:hint="eastAsia" w:ascii="宋体" w:hAnsi="宋体" w:eastAsia="宋体" w:cs="宋体"/>
        </w:rPr>
        <w:instrText xml:space="preserve"> HYPERLINK \l "_Toc491780522" </w:instrText>
      </w:r>
      <w:r>
        <w:rPr>
          <w:rFonts w:hint="eastAsia" w:ascii="宋体" w:hAnsi="宋体" w:eastAsia="宋体" w:cs="宋体"/>
        </w:rPr>
        <w:fldChar w:fldCharType="separate"/>
      </w:r>
      <w:r>
        <w:rPr>
          <w:rFonts w:hint="eastAsia" w:ascii="宋体" w:hAnsi="宋体" w:eastAsia="宋体" w:cs="宋体"/>
          <w:lang w:eastAsia="zh-CN"/>
        </w:rPr>
        <w:t>燃气客户服务外包供应商库</w:t>
      </w:r>
      <w:r>
        <w:rPr>
          <w:rFonts w:hint="eastAsia" w:ascii="宋体" w:hAnsi="宋体" w:eastAsia="宋体" w:cs="宋体"/>
        </w:rPr>
        <w:t>项目</w:t>
      </w:r>
      <w:r>
        <w:rPr>
          <w:rFonts w:hint="eastAsia" w:ascii="宋体" w:hAnsi="宋体" w:eastAsia="宋体" w:cs="宋体"/>
          <w:lang w:eastAsia="zh-CN"/>
        </w:rPr>
        <w:t>温州市燃气集团有限公司</w:t>
      </w:r>
      <w:r>
        <w:rPr>
          <w:rStyle w:val="43"/>
          <w:rFonts w:hint="eastAsia" w:ascii="宋体" w:hAnsi="宋体" w:eastAsia="宋体" w:cs="宋体"/>
          <w:color w:val="auto"/>
        </w:rPr>
        <w:t>征求意见公示</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5</w:t>
      </w:r>
    </w:p>
    <w:p w14:paraId="78C90351">
      <w:pPr>
        <w:pStyle w:val="23"/>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"_Toc491780523" </w:instrText>
      </w:r>
      <w:r>
        <w:rPr>
          <w:rFonts w:hint="eastAsia" w:ascii="宋体" w:hAnsi="宋体" w:eastAsia="宋体" w:cs="宋体"/>
        </w:rPr>
        <w:fldChar w:fldCharType="separate"/>
      </w:r>
      <w:r>
        <w:rPr>
          <w:rStyle w:val="43"/>
          <w:rFonts w:hint="eastAsia" w:ascii="宋体" w:hAnsi="宋体" w:eastAsia="宋体" w:cs="宋体"/>
          <w:color w:val="auto"/>
        </w:rPr>
        <w:t>第一部分 投标供应商须知及投标供应商须知前附表</w:t>
      </w:r>
      <w:r>
        <w:rPr>
          <w:rFonts w:hint="eastAsia" w:ascii="宋体" w:hAnsi="宋体" w:eastAsia="宋体" w:cs="宋体"/>
        </w:rPr>
        <w:tab/>
      </w:r>
      <w:r>
        <w:rPr>
          <w:rFonts w:hint="eastAsia" w:ascii="宋体" w:hAnsi="宋体" w:eastAsia="宋体" w:cs="宋体"/>
        </w:rPr>
        <w:t>6</w:t>
      </w:r>
      <w:r>
        <w:rPr>
          <w:rFonts w:hint="eastAsia" w:ascii="宋体" w:hAnsi="宋体" w:eastAsia="宋体" w:cs="宋体"/>
        </w:rPr>
        <w:fldChar w:fldCharType="end"/>
      </w:r>
    </w:p>
    <w:p w14:paraId="757045C1">
      <w:pPr>
        <w:pStyle w:val="23"/>
        <w:rPr>
          <w:rFonts w:hint="eastAsia" w:ascii="宋体" w:hAnsi="宋体" w:eastAsia="宋体" w:cs="宋体"/>
          <w:szCs w:val="22"/>
          <w:lang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"_Toc491780524" </w:instrText>
      </w:r>
      <w:r>
        <w:rPr>
          <w:rFonts w:hint="eastAsia" w:ascii="宋体" w:hAnsi="宋体" w:eastAsia="宋体" w:cs="宋体"/>
        </w:rPr>
        <w:fldChar w:fldCharType="separate"/>
      </w:r>
      <w:r>
        <w:rPr>
          <w:rStyle w:val="43"/>
          <w:rFonts w:hint="eastAsia" w:ascii="宋体" w:hAnsi="宋体" w:eastAsia="宋体" w:cs="宋体"/>
          <w:color w:val="auto"/>
        </w:rPr>
        <w:t>第二部分 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_Toc491780524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14:paraId="54711CBB">
      <w:pPr>
        <w:pStyle w:val="23"/>
        <w:rPr>
          <w:rFonts w:hint="default" w:ascii="宋体" w:hAnsi="宋体" w:eastAsia="宋体" w:cs="宋体"/>
          <w:szCs w:val="22"/>
          <w:lang w:val="en-US"/>
        </w:rPr>
      </w:pPr>
      <w:r>
        <w:rPr>
          <w:rFonts w:hint="eastAsia" w:ascii="宋体" w:hAnsi="宋体" w:eastAsia="宋体" w:cs="宋体"/>
        </w:rPr>
        <w:fldChar w:fldCharType="begin"/>
      </w:r>
      <w:r>
        <w:rPr>
          <w:rFonts w:hint="eastAsia" w:ascii="宋体" w:hAnsi="宋体" w:eastAsia="宋体" w:cs="宋体"/>
        </w:rPr>
        <w:instrText xml:space="preserve"> HYPERLINK \l "_Toc491780525" </w:instrText>
      </w:r>
      <w:r>
        <w:rPr>
          <w:rFonts w:hint="eastAsia" w:ascii="宋体" w:hAnsi="宋体" w:eastAsia="宋体" w:cs="宋体"/>
        </w:rPr>
        <w:fldChar w:fldCharType="separate"/>
      </w:r>
      <w:r>
        <w:rPr>
          <w:rStyle w:val="43"/>
          <w:rFonts w:hint="eastAsia" w:ascii="宋体" w:hAnsi="宋体" w:eastAsia="宋体" w:cs="宋体"/>
          <w:color w:val="auto"/>
        </w:rPr>
        <w:t>第三部分 投标文件的编制格式</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36</w:t>
      </w:r>
    </w:p>
    <w:p w14:paraId="342D42F3">
      <w:pPr>
        <w:pStyle w:val="23"/>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"_Toc491780526" </w:instrText>
      </w:r>
      <w:r>
        <w:rPr>
          <w:rFonts w:hint="eastAsia" w:ascii="宋体" w:hAnsi="宋体" w:eastAsia="宋体" w:cs="宋体"/>
        </w:rPr>
        <w:fldChar w:fldCharType="separate"/>
      </w:r>
      <w:r>
        <w:rPr>
          <w:rStyle w:val="43"/>
          <w:rFonts w:hint="eastAsia" w:ascii="宋体" w:hAnsi="宋体" w:eastAsia="宋体" w:cs="宋体"/>
          <w:color w:val="auto"/>
        </w:rPr>
        <w:t>第四部分 采购内</w:t>
      </w:r>
      <w:bookmarkStart w:id="0" w:name="_Hlt491780538"/>
      <w:r>
        <w:rPr>
          <w:rStyle w:val="43"/>
          <w:rFonts w:hint="eastAsia" w:ascii="宋体" w:hAnsi="宋体" w:eastAsia="宋体" w:cs="宋体"/>
          <w:color w:val="auto"/>
        </w:rPr>
        <w:t>容</w:t>
      </w:r>
      <w:bookmarkEnd w:id="0"/>
      <w:r>
        <w:rPr>
          <w:rStyle w:val="43"/>
          <w:rFonts w:hint="eastAsia" w:ascii="宋体" w:hAnsi="宋体" w:eastAsia="宋体" w:cs="宋体"/>
          <w:color w:val="auto"/>
        </w:rPr>
        <w:t>及要求</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50</w:t>
      </w:r>
    </w:p>
    <w:p w14:paraId="64F4169D">
      <w:pPr>
        <w:pStyle w:val="23"/>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"_Toc491780527" </w:instrText>
      </w:r>
      <w:r>
        <w:rPr>
          <w:rFonts w:hint="eastAsia" w:ascii="宋体" w:hAnsi="宋体" w:eastAsia="宋体" w:cs="宋体"/>
        </w:rPr>
        <w:fldChar w:fldCharType="separate"/>
      </w:r>
      <w:r>
        <w:rPr>
          <w:rFonts w:hint="eastAsia" w:ascii="宋体" w:hAnsi="宋体" w:eastAsia="宋体" w:cs="宋体"/>
        </w:rPr>
        <w:t>第五部分 评标原则及方法</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53</w:t>
      </w:r>
    </w:p>
    <w:p w14:paraId="11015B26">
      <w:pPr>
        <w:pStyle w:val="23"/>
        <w:spacing w:line="360" w:lineRule="auto"/>
        <w:rPr>
          <w:rFonts w:hint="eastAsia" w:ascii="宋体" w:hAnsi="宋体" w:eastAsia="宋体" w:cs="宋体"/>
          <w:b/>
          <w:bCs/>
          <w:sz w:val="28"/>
          <w:szCs w:val="30"/>
        </w:rPr>
      </w:pPr>
      <w:r>
        <w:rPr>
          <w:rFonts w:hint="eastAsia" w:ascii="宋体" w:hAnsi="宋体" w:eastAsia="宋体" w:cs="宋体"/>
          <w:sz w:val="33"/>
        </w:rPr>
        <w:fldChar w:fldCharType="end"/>
      </w:r>
      <w:r>
        <w:rPr>
          <w:rFonts w:hint="eastAsia" w:ascii="宋体" w:hAnsi="宋体" w:eastAsia="宋体" w:cs="宋体"/>
          <w:b/>
          <w:bCs/>
          <w:sz w:val="28"/>
          <w:szCs w:val="30"/>
        </w:rPr>
        <w:t>注：本采购文件中加“▲”同时加下划线的条款，为采购文件的实质性要求和条件，着重提醒各投标供应商注意（不响应加“▲”同时加下划线条款的作无效标处理），并认真查看采购文件中的每一个条款及要求，因误读采购文件而造成的后果，采购人概不负责。</w:t>
      </w:r>
    </w:p>
    <w:p w14:paraId="1B3A983A">
      <w:pPr>
        <w:pStyle w:val="3"/>
        <w:rPr>
          <w:rFonts w:hint="eastAsia" w:ascii="宋体" w:hAnsi="宋体" w:eastAsia="宋体" w:cs="宋体"/>
        </w:rPr>
      </w:pPr>
      <w:bookmarkStart w:id="1" w:name="_Toc491780521"/>
      <w:r>
        <w:rPr>
          <w:rFonts w:hint="eastAsia" w:ascii="宋体" w:hAnsi="宋体" w:eastAsia="宋体" w:cs="宋体"/>
          <w:sz w:val="24"/>
        </w:rPr>
        <w:br w:type="page"/>
      </w:r>
      <w:bookmarkEnd w:id="1"/>
      <w:bookmarkStart w:id="2" w:name="_Hlk10719563"/>
      <w:bookmarkStart w:id="3" w:name="_Hlk10921265"/>
      <w:r>
        <w:rPr>
          <w:rFonts w:hint="eastAsia" w:ascii="宋体" w:hAnsi="宋体" w:eastAsia="宋体" w:cs="宋体"/>
          <w:b/>
          <w:bCs/>
          <w:sz w:val="24"/>
        </w:rPr>
        <w:t>温州市公用集团所属</w:t>
      </w:r>
      <w:r>
        <w:rPr>
          <w:rFonts w:hint="eastAsia" w:ascii="宋体" w:hAnsi="宋体" w:eastAsia="宋体" w:cs="宋体"/>
          <w:b/>
          <w:bCs/>
          <w:sz w:val="24"/>
          <w:lang w:eastAsia="zh-CN"/>
        </w:rPr>
        <w:t>温州市燃气集团有限公司</w:t>
      </w:r>
      <w:r>
        <w:rPr>
          <w:rFonts w:hint="eastAsia" w:ascii="宋体" w:hAnsi="宋体" w:eastAsia="宋体" w:cs="宋体"/>
          <w:b/>
          <w:bCs/>
          <w:sz w:val="24"/>
        </w:rPr>
        <w:t>关于</w:t>
      </w:r>
      <w:r>
        <w:rPr>
          <w:rFonts w:hint="eastAsia" w:ascii="宋体" w:hAnsi="宋体" w:eastAsia="宋体" w:cs="宋体"/>
          <w:b/>
          <w:bCs/>
          <w:sz w:val="24"/>
          <w:lang w:eastAsia="zh-CN"/>
        </w:rPr>
        <w:t>燃气客户服务外包供应商库</w:t>
      </w:r>
      <w:r>
        <w:rPr>
          <w:rFonts w:hint="eastAsia" w:ascii="宋体" w:hAnsi="宋体" w:eastAsia="宋体" w:cs="宋体"/>
          <w:b/>
          <w:bCs/>
          <w:sz w:val="24"/>
        </w:rPr>
        <w:t>项目的</w:t>
      </w:r>
      <w:bookmarkStart w:id="4" w:name="_Hlk12290751"/>
      <w:r>
        <w:rPr>
          <w:rFonts w:hint="eastAsia" w:ascii="宋体" w:hAnsi="宋体" w:eastAsia="宋体" w:cs="宋体"/>
          <w:b/>
          <w:bCs/>
          <w:sz w:val="24"/>
        </w:rPr>
        <w:t>采购</w:t>
      </w:r>
      <w:bookmarkEnd w:id="4"/>
      <w:r>
        <w:rPr>
          <w:rFonts w:hint="eastAsia" w:ascii="宋体" w:hAnsi="宋体" w:eastAsia="宋体" w:cs="宋体"/>
          <w:b/>
          <w:bCs/>
          <w:sz w:val="24"/>
        </w:rPr>
        <w:t>公告</w:t>
      </w:r>
    </w:p>
    <w:p w14:paraId="0DF8BFBA">
      <w:pPr>
        <w:widowControl/>
        <w:spacing w:before="60" w:after="60"/>
        <w:ind w:right="60" w:firstLine="420" w:firstLineChars="200"/>
        <w:jc w:val="left"/>
        <w:rPr>
          <w:rFonts w:hint="eastAsia" w:ascii="宋体" w:hAnsi="宋体" w:eastAsia="宋体" w:cs="宋体"/>
        </w:rPr>
      </w:pPr>
      <w:r>
        <w:rPr>
          <w:rFonts w:hint="eastAsia" w:ascii="宋体" w:hAnsi="宋体" w:eastAsia="宋体" w:cs="宋体"/>
        </w:rPr>
        <w:t>根据《温州市市属国有企业采购管理办法（试行）》等</w:t>
      </w:r>
      <w:r>
        <w:rPr>
          <w:rFonts w:hint="eastAsia" w:ascii="宋体" w:hAnsi="宋体" w:eastAsia="宋体" w:cs="宋体"/>
          <w:kern w:val="0"/>
          <w:szCs w:val="21"/>
        </w:rPr>
        <w:t>有关法律、法规的规定</w:t>
      </w:r>
      <w:r>
        <w:rPr>
          <w:rFonts w:hint="eastAsia" w:ascii="宋体" w:hAnsi="宋体" w:eastAsia="宋体" w:cs="宋体"/>
        </w:rPr>
        <w:t>，浙江国际招投标有限公司受</w:t>
      </w:r>
      <w:r>
        <w:rPr>
          <w:rFonts w:hint="eastAsia" w:ascii="宋体" w:hAnsi="宋体" w:eastAsia="宋体" w:cs="宋体"/>
          <w:lang w:eastAsia="zh-CN"/>
        </w:rPr>
        <w:t>温州市燃气集团有限公司</w:t>
      </w:r>
      <w:r>
        <w:rPr>
          <w:rFonts w:hint="eastAsia" w:ascii="宋体" w:hAnsi="宋体" w:eastAsia="宋体" w:cs="宋体"/>
        </w:rPr>
        <w:t>的委托，就</w:t>
      </w:r>
      <w:r>
        <w:rPr>
          <w:rFonts w:hint="eastAsia" w:ascii="宋体" w:hAnsi="宋体" w:eastAsia="宋体" w:cs="宋体"/>
          <w:lang w:eastAsia="zh-CN"/>
        </w:rPr>
        <w:t>燃气客户服务外包供应商库</w:t>
      </w:r>
      <w:r>
        <w:rPr>
          <w:rFonts w:hint="eastAsia" w:ascii="宋体" w:hAnsi="宋体" w:eastAsia="宋体" w:cs="宋体"/>
        </w:rPr>
        <w:t>项目以公开招标方式进行国有企业采购，欢迎国内合格的供应商前来投标。</w:t>
      </w:r>
    </w:p>
    <w:p w14:paraId="11FD0DDE">
      <w:pPr>
        <w:widowControl/>
        <w:numPr>
          <w:ilvl w:val="0"/>
          <w:numId w:val="2"/>
        </w:numPr>
        <w:spacing w:before="60" w:after="60"/>
        <w:ind w:right="60"/>
        <w:jc w:val="left"/>
        <w:outlineLvl w:val="0"/>
        <w:rPr>
          <w:rFonts w:hint="eastAsia" w:ascii="宋体" w:hAnsi="宋体" w:eastAsia="宋体" w:cs="宋体"/>
          <w:b/>
          <w:kern w:val="0"/>
          <w:szCs w:val="21"/>
        </w:rPr>
      </w:pPr>
      <w:r>
        <w:rPr>
          <w:rFonts w:hint="eastAsia" w:ascii="宋体" w:hAnsi="宋体" w:eastAsia="宋体" w:cs="宋体"/>
          <w:b/>
          <w:kern w:val="0"/>
          <w:szCs w:val="21"/>
        </w:rPr>
        <w:t>项目编号：</w:t>
      </w:r>
      <w:r>
        <w:rPr>
          <w:rFonts w:hint="eastAsia" w:ascii="宋体" w:hAnsi="宋体" w:eastAsia="宋体" w:cs="宋体"/>
          <w:bCs/>
          <w:kern w:val="0"/>
          <w:szCs w:val="21"/>
          <w:lang w:eastAsia="zh-CN"/>
        </w:rPr>
        <w:t>WGSS-GYJT-X-2024005</w:t>
      </w:r>
    </w:p>
    <w:p w14:paraId="29017291">
      <w:pPr>
        <w:widowControl/>
        <w:numPr>
          <w:ilvl w:val="0"/>
          <w:numId w:val="2"/>
        </w:numPr>
        <w:spacing w:before="60" w:after="60"/>
        <w:ind w:right="60"/>
        <w:jc w:val="left"/>
        <w:outlineLvl w:val="0"/>
        <w:rPr>
          <w:rFonts w:hint="eastAsia" w:ascii="宋体" w:hAnsi="宋体" w:eastAsia="宋体" w:cs="宋体"/>
          <w:b/>
          <w:kern w:val="0"/>
          <w:szCs w:val="21"/>
        </w:rPr>
      </w:pPr>
      <w:r>
        <w:rPr>
          <w:rFonts w:hint="eastAsia" w:ascii="宋体" w:hAnsi="宋体" w:eastAsia="宋体" w:cs="宋体"/>
          <w:b/>
          <w:kern w:val="0"/>
          <w:szCs w:val="21"/>
        </w:rPr>
        <w:t>项目名称：</w:t>
      </w:r>
      <w:r>
        <w:rPr>
          <w:rFonts w:hint="eastAsia" w:ascii="宋体" w:hAnsi="宋体" w:eastAsia="宋体" w:cs="宋体"/>
          <w:bCs/>
          <w:kern w:val="0"/>
          <w:szCs w:val="21"/>
          <w:lang w:eastAsia="zh-CN"/>
        </w:rPr>
        <w:t>燃气客户服务外包供应商库</w:t>
      </w:r>
    </w:p>
    <w:p w14:paraId="255A8865">
      <w:pPr>
        <w:widowControl/>
        <w:numPr>
          <w:ilvl w:val="0"/>
          <w:numId w:val="2"/>
        </w:numPr>
        <w:spacing w:before="60" w:after="60"/>
        <w:ind w:right="60"/>
        <w:jc w:val="left"/>
        <w:outlineLvl w:val="0"/>
        <w:rPr>
          <w:rFonts w:hint="eastAsia" w:ascii="宋体" w:hAnsi="宋体" w:eastAsia="宋体" w:cs="宋体"/>
          <w:b w:val="0"/>
          <w:bCs/>
        </w:rPr>
      </w:pPr>
      <w:r>
        <w:rPr>
          <w:rFonts w:hint="eastAsia" w:ascii="宋体" w:hAnsi="宋体" w:eastAsia="宋体" w:cs="宋体"/>
          <w:b/>
          <w:kern w:val="0"/>
          <w:szCs w:val="21"/>
        </w:rPr>
        <w:t>项目性质：</w:t>
      </w:r>
      <w:r>
        <w:rPr>
          <w:rFonts w:hint="eastAsia" w:ascii="宋体" w:hAnsi="宋体" w:eastAsia="宋体" w:cs="宋体"/>
          <w:b w:val="0"/>
          <w:bCs/>
          <w:kern w:val="0"/>
          <w:szCs w:val="21"/>
        </w:rPr>
        <w:t>国企采购（非政府采购项目）</w:t>
      </w:r>
    </w:p>
    <w:p w14:paraId="0FF761D3">
      <w:pPr>
        <w:widowControl/>
        <w:numPr>
          <w:ilvl w:val="0"/>
          <w:numId w:val="2"/>
        </w:numPr>
        <w:spacing w:before="60" w:after="60"/>
        <w:ind w:right="60"/>
        <w:jc w:val="left"/>
        <w:outlineLvl w:val="0"/>
        <w:rPr>
          <w:rFonts w:hint="eastAsia" w:ascii="宋体" w:hAnsi="宋体" w:eastAsia="宋体" w:cs="宋体"/>
          <w:b/>
          <w:kern w:val="0"/>
          <w:szCs w:val="21"/>
        </w:rPr>
      </w:pPr>
      <w:r>
        <w:rPr>
          <w:rFonts w:hint="eastAsia" w:ascii="宋体" w:hAnsi="宋体" w:eastAsia="宋体" w:cs="宋体"/>
          <w:b/>
          <w:kern w:val="0"/>
          <w:szCs w:val="21"/>
        </w:rPr>
        <w:t>采购内容（标项内容、用途、数量、简要技术要求等）：</w:t>
      </w:r>
    </w:p>
    <w:tbl>
      <w:tblPr>
        <w:tblStyle w:val="33"/>
        <w:tblW w:w="9078" w:type="dxa"/>
        <w:jc w:val="center"/>
        <w:tblLayout w:type="fixed"/>
        <w:tblCellMar>
          <w:top w:w="0" w:type="dxa"/>
          <w:left w:w="108" w:type="dxa"/>
          <w:bottom w:w="0" w:type="dxa"/>
          <w:right w:w="108" w:type="dxa"/>
        </w:tblCellMar>
      </w:tblPr>
      <w:tblGrid>
        <w:gridCol w:w="1247"/>
        <w:gridCol w:w="1488"/>
        <w:gridCol w:w="6343"/>
      </w:tblGrid>
      <w:tr w14:paraId="038C8823">
        <w:tblPrEx>
          <w:tblCellMar>
            <w:top w:w="0" w:type="dxa"/>
            <w:left w:w="108" w:type="dxa"/>
            <w:bottom w:w="0" w:type="dxa"/>
            <w:right w:w="108" w:type="dxa"/>
          </w:tblCellMar>
        </w:tblPrEx>
        <w:trPr>
          <w:trHeight w:val="23"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43D7075E">
            <w:pPr>
              <w:keepNext w:val="0"/>
              <w:keepLines w:val="0"/>
              <w:widowControl/>
              <w:suppressLineNumbers w:val="0"/>
              <w:spacing w:before="60" w:beforeAutospacing="0" w:after="60" w:afterAutospacing="0" w:line="240" w:lineRule="exact"/>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标项编号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06BD0048">
            <w:pPr>
              <w:keepNext w:val="0"/>
              <w:keepLines w:val="0"/>
              <w:widowControl/>
              <w:suppressLineNumbers w:val="0"/>
              <w:spacing w:before="60" w:beforeAutospacing="0" w:after="60" w:afterAutospacing="0" w:line="240" w:lineRule="exact"/>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标项名称</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6604C7C4">
            <w:pPr>
              <w:keepNext w:val="0"/>
              <w:keepLines w:val="0"/>
              <w:widowControl/>
              <w:suppressLineNumbers w:val="0"/>
              <w:spacing w:before="60" w:beforeAutospacing="0" w:after="60" w:afterAutospacing="0" w:line="240" w:lineRule="exact"/>
              <w:ind w:left="60" w:right="60"/>
              <w:jc w:val="center"/>
              <w:rPr>
                <w:rFonts w:hint="eastAsia" w:ascii="宋体" w:hAnsi="宋体" w:eastAsia="宋体" w:cs="宋体"/>
                <w:b/>
                <w:kern w:val="0"/>
                <w:sz w:val="18"/>
                <w:szCs w:val="18"/>
              </w:rPr>
            </w:pPr>
            <w:r>
              <w:rPr>
                <w:rFonts w:hint="eastAsia" w:ascii="宋体" w:hAnsi="宋体" w:eastAsia="宋体" w:cs="宋体"/>
                <w:b/>
                <w:kern w:val="0"/>
                <w:sz w:val="18"/>
                <w:szCs w:val="18"/>
              </w:rPr>
              <w:t>简要技术要求、用途</w:t>
            </w:r>
          </w:p>
        </w:tc>
      </w:tr>
      <w:tr w14:paraId="1AA5EEBB">
        <w:tblPrEx>
          <w:tblCellMar>
            <w:top w:w="0" w:type="dxa"/>
            <w:left w:w="108" w:type="dxa"/>
            <w:bottom w:w="0" w:type="dxa"/>
            <w:right w:w="108" w:type="dxa"/>
          </w:tblCellMar>
        </w:tblPrEx>
        <w:trPr>
          <w:trHeight w:val="23" w:hRule="atLeast"/>
          <w:jc w:val="center"/>
        </w:trPr>
        <w:tc>
          <w:tcPr>
            <w:tcW w:w="1247" w:type="dxa"/>
            <w:tcBorders>
              <w:top w:val="single" w:color="000000" w:sz="4" w:space="0"/>
              <w:left w:val="single" w:color="000000" w:sz="4" w:space="0"/>
              <w:bottom w:val="single" w:color="000000" w:sz="4" w:space="0"/>
              <w:right w:val="single" w:color="000000" w:sz="4" w:space="0"/>
            </w:tcBorders>
            <w:noWrap w:val="0"/>
            <w:vAlign w:val="center"/>
          </w:tcPr>
          <w:p w14:paraId="38655DB3">
            <w:pPr>
              <w:keepNext w:val="0"/>
              <w:keepLines w:val="0"/>
              <w:widowControl/>
              <w:suppressLineNumbers w:val="0"/>
              <w:spacing w:before="60" w:beforeAutospacing="0" w:after="60" w:afterAutospacing="0" w:line="240" w:lineRule="exact"/>
              <w:ind w:left="0" w:right="0"/>
              <w:jc w:val="center"/>
              <w:rPr>
                <w:rFonts w:hint="eastAsia" w:ascii="宋体" w:hAnsi="宋体" w:eastAsia="宋体" w:cs="宋体"/>
                <w:bCs/>
                <w:kern w:val="0"/>
                <w:sz w:val="18"/>
                <w:szCs w:val="18"/>
              </w:rPr>
            </w:pPr>
            <w:r>
              <w:rPr>
                <w:rFonts w:hint="eastAsia" w:ascii="宋体" w:hAnsi="宋体" w:eastAsia="宋体" w:cs="宋体"/>
                <w:bCs/>
                <w:kern w:val="0"/>
                <w:sz w:val="18"/>
                <w:szCs w:val="18"/>
                <w:lang w:eastAsia="zh-CN"/>
              </w:rPr>
              <w:t>WGSS-GYJT-X-2024005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7606438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bCs/>
                <w:kern w:val="0"/>
                <w:sz w:val="18"/>
                <w:szCs w:val="18"/>
                <w:lang w:eastAsia="zh-CN"/>
              </w:rPr>
            </w:pPr>
            <w:r>
              <w:rPr>
                <w:rFonts w:hint="eastAsia" w:ascii="宋体" w:hAnsi="宋体" w:eastAsia="宋体" w:cs="宋体"/>
                <w:kern w:val="0"/>
                <w:sz w:val="18"/>
                <w:szCs w:val="18"/>
                <w:lang w:eastAsia="zh-CN"/>
              </w:rPr>
              <w:t>燃气客户服务外包供应商库</w:t>
            </w:r>
          </w:p>
        </w:tc>
        <w:tc>
          <w:tcPr>
            <w:tcW w:w="6343" w:type="dxa"/>
            <w:tcBorders>
              <w:top w:val="single" w:color="000000" w:sz="4" w:space="0"/>
              <w:left w:val="single" w:color="000000" w:sz="4" w:space="0"/>
              <w:bottom w:val="single" w:color="000000" w:sz="4" w:space="0"/>
              <w:right w:val="single" w:color="000000" w:sz="4" w:space="0"/>
            </w:tcBorders>
            <w:noWrap w:val="0"/>
            <w:vAlign w:val="center"/>
          </w:tcPr>
          <w:p w14:paraId="543DC880">
            <w:pPr>
              <w:pStyle w:val="11"/>
              <w:keepNext w:val="0"/>
              <w:keepLines w:val="0"/>
              <w:suppressLineNumbers w:val="0"/>
              <w:spacing w:before="0" w:beforeAutospacing="0" w:after="0" w:afterAutospacing="0"/>
              <w:ind w:left="0" w:right="0"/>
              <w:rPr>
                <w:rFonts w:hint="eastAsia" w:ascii="宋体" w:hAnsi="宋体" w:eastAsia="宋体" w:cs="宋体"/>
                <w:bCs/>
                <w:kern w:val="0"/>
                <w:sz w:val="18"/>
                <w:szCs w:val="18"/>
              </w:rPr>
            </w:pPr>
            <w:r>
              <w:rPr>
                <w:rFonts w:hint="eastAsia" w:ascii="宋体" w:hAnsi="宋体" w:eastAsia="宋体" w:cs="宋体"/>
                <w:kern w:val="0"/>
                <w:sz w:val="18"/>
                <w:szCs w:val="18"/>
                <w:lang w:eastAsia="zh-CN"/>
              </w:rPr>
              <w:t>燃气客户服务外包供应商库</w:t>
            </w:r>
            <w:r>
              <w:rPr>
                <w:rFonts w:hint="eastAsia" w:ascii="宋体" w:hAnsi="宋体" w:eastAsia="宋体" w:cs="宋体"/>
                <w:kern w:val="0"/>
                <w:sz w:val="18"/>
                <w:szCs w:val="18"/>
              </w:rPr>
              <w:t>采购，</w:t>
            </w:r>
            <w:r>
              <w:rPr>
                <w:rFonts w:hint="eastAsia" w:ascii="宋体" w:hAnsi="宋体" w:eastAsia="宋体" w:cs="宋体"/>
                <w:kern w:val="0"/>
                <w:sz w:val="18"/>
                <w:szCs w:val="18"/>
                <w:lang w:val="en-US" w:eastAsia="zh-CN"/>
              </w:rPr>
              <w:t>在</w:t>
            </w:r>
            <w:r>
              <w:rPr>
                <w:rFonts w:hint="eastAsia" w:ascii="宋体" w:hAnsi="宋体" w:eastAsia="宋体" w:cs="宋体"/>
                <w:kern w:val="0"/>
                <w:sz w:val="18"/>
                <w:szCs w:val="18"/>
                <w:lang w:eastAsia="zh-CN"/>
              </w:rPr>
              <w:t>温州市燃气集团有限公司特许经营许可的经营范围内</w:t>
            </w:r>
            <w:r>
              <w:rPr>
                <w:rFonts w:hint="eastAsia" w:ascii="宋体" w:hAnsi="宋体" w:eastAsia="宋体" w:cs="宋体"/>
                <w:kern w:val="0"/>
                <w:sz w:val="18"/>
                <w:szCs w:val="18"/>
                <w:lang w:val="en-US" w:eastAsia="zh-CN"/>
              </w:rPr>
              <w:t>为采购人提供</w:t>
            </w:r>
            <w:r>
              <w:rPr>
                <w:rFonts w:hint="eastAsia" w:ascii="宋体" w:hAnsi="宋体" w:eastAsia="宋体" w:cs="宋体"/>
                <w:kern w:val="0"/>
                <w:sz w:val="18"/>
                <w:szCs w:val="18"/>
                <w:lang w:eastAsia="zh-CN"/>
              </w:rPr>
              <w:t>抄表、安检、</w:t>
            </w:r>
            <w:r>
              <w:rPr>
                <w:rFonts w:hint="eastAsia" w:ascii="宋体" w:hAnsi="宋体" w:eastAsia="宋体" w:cs="宋体"/>
                <w:kern w:val="0"/>
                <w:sz w:val="18"/>
                <w:szCs w:val="18"/>
                <w:lang w:val="en-US" w:eastAsia="zh-CN"/>
              </w:rPr>
              <w:t>通气</w:t>
            </w:r>
            <w:r>
              <w:rPr>
                <w:rFonts w:hint="eastAsia" w:ascii="宋体" w:hAnsi="宋体" w:eastAsia="宋体" w:cs="宋体"/>
                <w:kern w:val="0"/>
                <w:sz w:val="18"/>
                <w:szCs w:val="18"/>
                <w:lang w:eastAsia="zh-CN"/>
              </w:rPr>
              <w:t>等业务服务，</w:t>
            </w:r>
            <w:r>
              <w:rPr>
                <w:rFonts w:hint="eastAsia" w:ascii="宋体" w:hAnsi="宋体" w:eastAsia="宋体" w:cs="宋体"/>
                <w:kern w:val="0"/>
                <w:sz w:val="18"/>
                <w:szCs w:val="18"/>
              </w:rPr>
              <w:t>采购</w:t>
            </w:r>
            <w:r>
              <w:rPr>
                <w:rFonts w:hint="eastAsia" w:ascii="宋体" w:hAnsi="宋体" w:eastAsia="宋体" w:cs="宋体"/>
                <w:kern w:val="0"/>
                <w:sz w:val="18"/>
                <w:szCs w:val="18"/>
                <w:lang w:val="en-US" w:eastAsia="zh-CN"/>
              </w:rPr>
              <w:t>预算为首年</w:t>
            </w:r>
            <w:r>
              <w:rPr>
                <w:rFonts w:hint="eastAsia" w:ascii="宋体" w:hAnsi="宋体" w:eastAsia="宋体" w:cs="宋体"/>
                <w:kern w:val="0"/>
                <w:sz w:val="18"/>
                <w:szCs w:val="18"/>
                <w:u w:val="single"/>
                <w:lang w:val="en-US" w:eastAsia="zh-CN"/>
              </w:rPr>
              <w:t>1024</w:t>
            </w:r>
            <w:r>
              <w:rPr>
                <w:rFonts w:hint="eastAsia" w:ascii="宋体" w:hAnsi="宋体" w:eastAsia="宋体" w:cs="宋体"/>
                <w:kern w:val="0"/>
                <w:sz w:val="18"/>
                <w:szCs w:val="18"/>
              </w:rPr>
              <w:t>万元</w:t>
            </w:r>
            <w:r>
              <w:rPr>
                <w:rFonts w:hint="eastAsia" w:ascii="宋体" w:hAnsi="宋体" w:eastAsia="宋体" w:cs="宋体"/>
                <w:kern w:val="0"/>
                <w:sz w:val="18"/>
                <w:szCs w:val="18"/>
                <w:lang w:val="en-US" w:eastAsia="zh-CN"/>
              </w:rPr>
              <w:t>/年</w:t>
            </w:r>
            <w:r>
              <w:rPr>
                <w:rFonts w:hint="eastAsia" w:ascii="宋体" w:hAnsi="宋体" w:eastAsia="宋体" w:cs="宋体"/>
                <w:kern w:val="0"/>
                <w:sz w:val="18"/>
                <w:szCs w:val="18"/>
              </w:rPr>
              <w:t>，服务期为1年，并采用1+1+1年模式，具体</w:t>
            </w:r>
            <w:r>
              <w:rPr>
                <w:rFonts w:hint="eastAsia" w:ascii="宋体" w:hAnsi="宋体" w:eastAsia="宋体" w:cs="宋体"/>
                <w:kern w:val="0"/>
                <w:sz w:val="18"/>
                <w:szCs w:val="18"/>
                <w:lang w:val="en-US" w:eastAsia="zh-CN"/>
              </w:rPr>
              <w:t>采购</w:t>
            </w:r>
            <w:r>
              <w:rPr>
                <w:rFonts w:hint="eastAsia" w:ascii="宋体" w:hAnsi="宋体" w:eastAsia="宋体" w:cs="宋体"/>
                <w:kern w:val="0"/>
                <w:sz w:val="18"/>
                <w:szCs w:val="18"/>
              </w:rPr>
              <w:t>内容</w:t>
            </w:r>
            <w:r>
              <w:rPr>
                <w:rFonts w:hint="eastAsia" w:ascii="宋体" w:hAnsi="宋体" w:eastAsia="宋体" w:cs="宋体"/>
                <w:kern w:val="0"/>
                <w:sz w:val="18"/>
                <w:szCs w:val="18"/>
                <w:lang w:val="en-US" w:eastAsia="zh-CN"/>
              </w:rPr>
              <w:t>及</w:t>
            </w:r>
            <w:r>
              <w:rPr>
                <w:rFonts w:hint="eastAsia" w:ascii="宋体" w:hAnsi="宋体" w:eastAsia="宋体" w:cs="宋体"/>
                <w:kern w:val="0"/>
                <w:sz w:val="18"/>
                <w:szCs w:val="18"/>
              </w:rPr>
              <w:t>要求详见采购文件</w:t>
            </w:r>
            <w:r>
              <w:rPr>
                <w:rFonts w:hint="eastAsia" w:ascii="宋体" w:hAnsi="宋体" w:eastAsia="宋体" w:cs="宋体"/>
                <w:kern w:val="0"/>
                <w:sz w:val="18"/>
                <w:szCs w:val="18"/>
                <w:lang w:val="en-US" w:eastAsia="zh-CN"/>
              </w:rPr>
              <w:t>相关部分</w:t>
            </w:r>
            <w:r>
              <w:rPr>
                <w:rFonts w:hint="eastAsia" w:ascii="宋体" w:hAnsi="宋体" w:eastAsia="宋体" w:cs="宋体"/>
                <w:kern w:val="0"/>
                <w:sz w:val="18"/>
                <w:szCs w:val="18"/>
              </w:rPr>
              <w:t>。</w:t>
            </w:r>
          </w:p>
        </w:tc>
      </w:tr>
    </w:tbl>
    <w:p w14:paraId="193E91DF">
      <w:pPr>
        <w:widowControl/>
        <w:numPr>
          <w:ilvl w:val="0"/>
          <w:numId w:val="2"/>
        </w:numPr>
        <w:spacing w:before="60" w:after="60"/>
        <w:ind w:right="60"/>
        <w:jc w:val="left"/>
        <w:outlineLvl w:val="0"/>
        <w:rPr>
          <w:rFonts w:hint="eastAsia" w:ascii="宋体" w:hAnsi="宋体" w:eastAsia="宋体" w:cs="宋体"/>
          <w:b/>
          <w:kern w:val="0"/>
          <w:szCs w:val="21"/>
        </w:rPr>
      </w:pPr>
      <w:r>
        <w:rPr>
          <w:rFonts w:hint="eastAsia" w:ascii="宋体" w:hAnsi="宋体" w:eastAsia="宋体" w:cs="宋体"/>
          <w:b/>
          <w:kern w:val="0"/>
          <w:szCs w:val="21"/>
        </w:rPr>
        <w:t>投标供应商资格要求：</w:t>
      </w:r>
    </w:p>
    <w:p w14:paraId="1B21D625">
      <w:pPr>
        <w:widowControl/>
        <w:ind w:firstLine="420" w:firstLineChars="200"/>
        <w:jc w:val="left"/>
        <w:rPr>
          <w:rFonts w:hint="eastAsia" w:ascii="宋体" w:hAnsi="宋体" w:eastAsia="宋体" w:cs="宋体"/>
          <w:kern w:val="0"/>
          <w:szCs w:val="21"/>
        </w:rPr>
      </w:pPr>
      <w:bookmarkStart w:id="5" w:name="_Hlk13729147"/>
      <w:r>
        <w:rPr>
          <w:rFonts w:hint="eastAsia" w:ascii="宋体" w:hAnsi="宋体" w:eastAsia="宋体" w:cs="宋体"/>
          <w:kern w:val="0"/>
          <w:szCs w:val="21"/>
        </w:rPr>
        <w:t>1、具有独立法人资格，符合《温州市市属国有企业采购管理办法（试行）》第十五条对投标供应商参加温州市国有企业采购活动应当具备的条件要求；</w:t>
      </w:r>
    </w:p>
    <w:p w14:paraId="3FD7DF3C">
      <w:pPr>
        <w:widowControl/>
        <w:ind w:firstLine="420" w:firstLineChars="200"/>
        <w:jc w:val="left"/>
        <w:rPr>
          <w:rFonts w:hint="eastAsia" w:ascii="宋体" w:hAnsi="宋体" w:eastAsia="宋体" w:cs="宋体"/>
          <w:kern w:val="0"/>
          <w:szCs w:val="21"/>
        </w:rPr>
      </w:pPr>
      <w:r>
        <w:rPr>
          <w:rFonts w:hint="eastAsia" w:ascii="宋体" w:hAnsi="宋体" w:eastAsia="宋体" w:cs="宋体"/>
          <w:szCs w:val="21"/>
          <w:lang w:val="en-US" w:eastAsia="zh-CN"/>
        </w:rPr>
        <w:t>2</w:t>
      </w:r>
      <w:r>
        <w:rPr>
          <w:rFonts w:hint="eastAsia" w:ascii="宋体" w:hAnsi="宋体" w:eastAsia="宋体" w:cs="宋体"/>
          <w:szCs w:val="21"/>
        </w:rPr>
        <w:t>、至本项目投标截止前未被列入“信用中国”网站(www.creditchina.gov.cn)“记录失信被执行人或重大税收违法案件当事人名单”记录名单</w:t>
      </w:r>
      <w:r>
        <w:rPr>
          <w:rFonts w:hint="eastAsia" w:ascii="宋体" w:hAnsi="宋体" w:eastAsia="宋体" w:cs="宋体"/>
          <w:kern w:val="0"/>
          <w:szCs w:val="21"/>
        </w:rPr>
        <w:t>；</w:t>
      </w:r>
    </w:p>
    <w:p w14:paraId="734D3299">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、单位负责人为同一人或者存在直接控股、管理关系的不同单位，不得参加同一采购项目投标</w:t>
      </w:r>
      <w:r>
        <w:rPr>
          <w:rFonts w:hint="eastAsia" w:ascii="宋体" w:hAnsi="宋体" w:eastAsia="宋体" w:cs="宋体"/>
          <w:szCs w:val="21"/>
        </w:rPr>
        <w:t>，</w:t>
      </w:r>
      <w:r>
        <w:rPr>
          <w:rFonts w:hint="eastAsia" w:ascii="宋体" w:hAnsi="宋体" w:eastAsia="宋体" w:cs="宋体"/>
          <w:kern w:val="0"/>
          <w:szCs w:val="21"/>
        </w:rPr>
        <w:t>违反该款规定的，相关投标均无效；</w:t>
      </w:r>
    </w:p>
    <w:p w14:paraId="0C36348C">
      <w:pPr>
        <w:widowControl/>
        <w:ind w:firstLine="420" w:firstLineChars="200"/>
        <w:jc w:val="left"/>
        <w:rPr>
          <w:rFonts w:hint="eastAsia" w:ascii="宋体" w:hAnsi="宋体" w:eastAsia="宋体" w:cs="宋体"/>
          <w:kern w:val="0"/>
          <w:szCs w:val="21"/>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rPr>
        <w:t>本项目不接受联合体投标。</w:t>
      </w:r>
      <w:bookmarkEnd w:id="5"/>
    </w:p>
    <w:p w14:paraId="65E3FC59">
      <w:pPr>
        <w:widowControl/>
        <w:numPr>
          <w:ilvl w:val="0"/>
          <w:numId w:val="2"/>
        </w:numPr>
        <w:spacing w:before="60" w:after="60"/>
        <w:ind w:right="60"/>
        <w:jc w:val="left"/>
        <w:outlineLvl w:val="0"/>
        <w:rPr>
          <w:rFonts w:hint="eastAsia" w:ascii="宋体" w:hAnsi="宋体" w:eastAsia="宋体" w:cs="宋体"/>
          <w:b/>
          <w:kern w:val="0"/>
          <w:szCs w:val="21"/>
        </w:rPr>
      </w:pPr>
      <w:bookmarkStart w:id="6" w:name="_Hlk3381632"/>
      <w:bookmarkStart w:id="7" w:name="_Hlk516555339"/>
      <w:r>
        <w:rPr>
          <w:rFonts w:hint="eastAsia" w:ascii="宋体" w:hAnsi="宋体" w:eastAsia="宋体" w:cs="宋体"/>
          <w:b/>
          <w:kern w:val="0"/>
          <w:szCs w:val="21"/>
        </w:rPr>
        <w:t>发售采购文件时间及地点：</w:t>
      </w:r>
    </w:p>
    <w:p w14:paraId="5CCA6CD5">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w:t>
      </w:r>
      <w:r>
        <w:rPr>
          <w:rFonts w:hint="eastAsia" w:ascii="宋体" w:hAnsi="宋体" w:eastAsia="宋体" w:cs="宋体"/>
          <w:kern w:val="0"/>
          <w:szCs w:val="21"/>
        </w:rPr>
        <w:t>报名时间及采购文件发售时间：公告发布之日起至投标截止时间止（上午08：30-11：30，下午14：30-17：00，节假日除外，未购买采购文件的潜在投标供应商拒绝参加投标）。</w:t>
      </w:r>
    </w:p>
    <w:p w14:paraId="134AD8D5">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eastAsia="zh-CN"/>
        </w:rPr>
        <w:t>、</w:t>
      </w:r>
      <w:r>
        <w:rPr>
          <w:rFonts w:hint="eastAsia" w:ascii="宋体" w:hAnsi="宋体" w:eastAsia="宋体" w:cs="宋体"/>
          <w:kern w:val="0"/>
          <w:szCs w:val="21"/>
        </w:rPr>
        <w:t>购领采购文件地点：</w:t>
      </w:r>
    </w:p>
    <w:p w14:paraId="7771C560">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（1）乐采云平台（https://www.lecaiyun.com）；</w:t>
      </w:r>
    </w:p>
    <w:p w14:paraId="1FFACD1D">
      <w:pPr>
        <w:keepNext w:val="0"/>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（2）供应商网上报名操作指南：“乐采云-注册-供应商注册”（https://middle-lcy.lecaiyun.com/luban/registry/promotion?utm=luban.luban-PC-55609.387-pc-self-banner-new-front.d2001.886f5af0534611efa282f378895b071f）。</w:t>
      </w:r>
    </w:p>
    <w:p w14:paraId="2F701368">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eastAsia="zh-CN"/>
        </w:rPr>
        <w:t>、</w:t>
      </w:r>
      <w:r>
        <w:rPr>
          <w:rFonts w:hint="eastAsia" w:ascii="宋体" w:hAnsi="宋体" w:eastAsia="宋体" w:cs="宋体"/>
          <w:kern w:val="0"/>
          <w:szCs w:val="21"/>
        </w:rPr>
        <w:t>采购文件获取方式：潜在供应商登陆乐采云平台，在线申请获取采购文件（进入“项目采购”应用，在获取采购文件菜单中选择项目，申请获取采购文件。仅需浏览采购文件的供应商可点击“游客，浏览采购文件”直接下载采购文件浏览）。</w:t>
      </w:r>
    </w:p>
    <w:p w14:paraId="5AB4A64C">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eastAsia="zh-CN"/>
        </w:rPr>
        <w:t>、</w:t>
      </w:r>
      <w:r>
        <w:rPr>
          <w:rFonts w:hint="eastAsia" w:ascii="宋体" w:hAnsi="宋体" w:eastAsia="宋体" w:cs="宋体"/>
          <w:kern w:val="0"/>
          <w:szCs w:val="21"/>
        </w:rPr>
        <w:t>投标供应商获取采购文件时须提交的文件资料：无。</w:t>
      </w:r>
    </w:p>
    <w:p w14:paraId="0D83E978">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kern w:val="0"/>
          <w:szCs w:val="21"/>
          <w:lang w:eastAsia="zh-CN"/>
        </w:rPr>
        <w:t>、</w:t>
      </w:r>
      <w:r>
        <w:rPr>
          <w:rFonts w:hint="eastAsia" w:ascii="宋体" w:hAnsi="宋体" w:eastAsia="宋体" w:cs="宋体"/>
          <w:kern w:val="0"/>
          <w:szCs w:val="21"/>
        </w:rPr>
        <w:t>提示：采购公告附件内的采购文件（或采购需求）仅供阅览使用，供应商只有在“乐采云平台”完成获取采购文件申请并下载了采购文件后才视作依法获取采购文件（法律法规所指的供应商获取采购文件时间以供应商完成获取采购文件申请后下载采购文件的时间为准）。</w:t>
      </w:r>
    </w:p>
    <w:p w14:paraId="1C36E013">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注：请供应商按上述要求获取采购文件，如未在“乐采云”系统内完成相关流程，引起的投标无效，责任自负。</w:t>
      </w:r>
    </w:p>
    <w:p w14:paraId="54E21BA8">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、采购文件售价：人民币500元整（售后不退），购买标书及注意事项：</w:t>
      </w:r>
    </w:p>
    <w:p w14:paraId="14C64F7D">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网上报名后，请将标书购买费汇入代理公司账户（缴纳报名费后将缴费截图、可以拷贝的开票信息等资料发代理机构电子邮箱1826066763@qq.com）并马上联系采购代理公司审核，标书款汇入账户信息：</w:t>
      </w:r>
    </w:p>
    <w:p w14:paraId="5E00E924">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单位名称：浙江国际招投标有限公司</w:t>
      </w:r>
    </w:p>
    <w:p w14:paraId="77769D8D">
      <w:pPr>
        <w:keepLines w:val="0"/>
        <w:pageBreakBefore w:val="0"/>
        <w:widowControl/>
        <w:kinsoku/>
        <w:wordWrap w:val="0"/>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开户银行：工商银行杭州市武林支行</w:t>
      </w:r>
    </w:p>
    <w:p w14:paraId="1FD114A6">
      <w:pPr>
        <w:widowControl/>
        <w:wordWrap w:val="0"/>
        <w:ind w:firstLine="420" w:firstLineChars="200"/>
        <w:jc w:val="left"/>
        <w:rPr>
          <w:rFonts w:hint="eastAsia" w:ascii="宋体" w:hAnsi="宋体" w:eastAsia="宋体" w:cs="宋体"/>
          <w:szCs w:val="21"/>
        </w:rPr>
      </w:pPr>
      <w:r>
        <w:rPr>
          <w:rFonts w:hint="eastAsia" w:ascii="宋体" w:hAnsi="宋体" w:eastAsia="宋体" w:cs="宋体"/>
          <w:kern w:val="0"/>
          <w:szCs w:val="21"/>
        </w:rPr>
        <w:t>账    号：1202021209906782015</w:t>
      </w:r>
    </w:p>
    <w:p w14:paraId="398BB23A">
      <w:pPr>
        <w:widowControl/>
        <w:numPr>
          <w:ilvl w:val="0"/>
          <w:numId w:val="2"/>
        </w:numPr>
        <w:spacing w:before="60" w:after="60"/>
        <w:ind w:right="60"/>
        <w:jc w:val="left"/>
        <w:outlineLvl w:val="0"/>
        <w:rPr>
          <w:rFonts w:hint="eastAsia" w:ascii="宋体" w:hAnsi="宋体" w:eastAsia="宋体" w:cs="宋体"/>
          <w:b/>
          <w:kern w:val="0"/>
          <w:szCs w:val="21"/>
          <w:highlight w:val="none"/>
        </w:rPr>
      </w:pPr>
      <w:r>
        <w:rPr>
          <w:rFonts w:hint="eastAsia" w:ascii="宋体" w:hAnsi="宋体" w:eastAsia="宋体" w:cs="宋体"/>
          <w:b/>
          <w:kern w:val="0"/>
          <w:szCs w:val="21"/>
          <w:highlight w:val="none"/>
        </w:rPr>
        <w:t>投标文件递交截止时间、开标时间及地点：</w:t>
      </w:r>
    </w:p>
    <w:p w14:paraId="58778BAA">
      <w:pPr>
        <w:widowControl/>
        <w:spacing w:before="60" w:after="60" w:line="280" w:lineRule="exact"/>
        <w:ind w:left="60" w:right="60"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1、投标截止时间：</w:t>
      </w:r>
      <w:bookmarkStart w:id="8" w:name="B23_谈判响应文件提交截止日期"/>
      <w:bookmarkEnd w:id="8"/>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4</w:t>
      </w:r>
      <w:r>
        <w:rPr>
          <w:rFonts w:hint="eastAsia" w:ascii="宋体" w:hAnsi="宋体" w:eastAsia="宋体" w:cs="宋体"/>
          <w:bCs/>
          <w:color w:val="0000FF"/>
          <w:kern w:val="0"/>
          <w:szCs w:val="21"/>
          <w:highlight w:val="none"/>
        </w:rPr>
        <w:t>年</w:t>
      </w:r>
      <w:r>
        <w:rPr>
          <w:rFonts w:hint="eastAsia" w:ascii="宋体" w:hAnsi="宋体" w:cs="宋体"/>
          <w:bCs/>
          <w:color w:val="0000FF"/>
          <w:kern w:val="0"/>
          <w:szCs w:val="21"/>
          <w:highlight w:val="none"/>
          <w:lang w:val="en-US" w:eastAsia="zh-CN"/>
        </w:rPr>
        <w:t>9</w:t>
      </w:r>
      <w:r>
        <w:rPr>
          <w:rFonts w:hint="eastAsia" w:ascii="宋体" w:hAnsi="宋体" w:eastAsia="宋体" w:cs="宋体"/>
          <w:bCs/>
          <w:color w:val="0000FF"/>
          <w:kern w:val="0"/>
          <w:szCs w:val="21"/>
          <w:highlight w:val="none"/>
        </w:rPr>
        <w:t>月</w:t>
      </w:r>
      <w:r>
        <w:rPr>
          <w:rFonts w:hint="eastAsia" w:ascii="宋体" w:hAnsi="宋体" w:cs="宋体"/>
          <w:bCs/>
          <w:color w:val="0000FF"/>
          <w:kern w:val="0"/>
          <w:szCs w:val="21"/>
          <w:highlight w:val="none"/>
          <w:lang w:val="en-US" w:eastAsia="zh-CN"/>
        </w:rPr>
        <w:t>19</w:t>
      </w:r>
      <w:r>
        <w:rPr>
          <w:rFonts w:hint="eastAsia" w:ascii="宋体" w:hAnsi="宋体" w:eastAsia="宋体" w:cs="宋体"/>
          <w:bCs/>
          <w:color w:val="0000FF"/>
          <w:kern w:val="0"/>
          <w:szCs w:val="21"/>
          <w:highlight w:val="none"/>
        </w:rPr>
        <w:t>日9时30分</w:t>
      </w:r>
      <w:r>
        <w:rPr>
          <w:rFonts w:hint="eastAsia" w:ascii="宋体" w:hAnsi="宋体" w:eastAsia="宋体" w:cs="宋体"/>
          <w:bCs/>
          <w:kern w:val="0"/>
          <w:szCs w:val="21"/>
          <w:highlight w:val="none"/>
        </w:rPr>
        <w:t>(北京时间，下同)</w:t>
      </w:r>
    </w:p>
    <w:p w14:paraId="4C9800B6">
      <w:pPr>
        <w:widowControl/>
        <w:spacing w:before="60" w:after="60" w:line="280" w:lineRule="exact"/>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2、投标文件提交地点：温州市政务服务管理中心收标区 (温州市鹿城区会展路1268号温州市民中心A座3楼公共资源交易专区)（详见当天大厅大屏幕）</w:t>
      </w:r>
    </w:p>
    <w:p w14:paraId="027761DC">
      <w:pPr>
        <w:widowControl/>
        <w:spacing w:before="60" w:after="60" w:line="280" w:lineRule="exact"/>
        <w:ind w:left="60" w:right="60"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3、开标时间：</w:t>
      </w:r>
      <w:bookmarkStart w:id="9" w:name="B26_谈判时间日期"/>
      <w:bookmarkEnd w:id="9"/>
      <w:r>
        <w:rPr>
          <w:rFonts w:hint="eastAsia" w:ascii="宋体" w:hAnsi="宋体" w:eastAsia="宋体" w:cs="宋体"/>
          <w:bCs/>
          <w:kern w:val="0"/>
          <w:szCs w:val="21"/>
        </w:rPr>
        <w:t>同投标截止时间</w:t>
      </w:r>
    </w:p>
    <w:p w14:paraId="2FF456FE">
      <w:pPr>
        <w:widowControl/>
        <w:spacing w:before="60" w:after="60" w:line="280" w:lineRule="exact"/>
        <w:ind w:left="60" w:right="60" w:firstLine="420" w:firstLineChars="200"/>
        <w:jc w:val="left"/>
        <w:rPr>
          <w:rFonts w:hint="eastAsia" w:ascii="宋体" w:hAnsi="宋体" w:eastAsia="宋体" w:cs="宋体"/>
          <w:szCs w:val="21"/>
          <w:shd w:val="clear" w:color="auto" w:fill="FFFFFF"/>
        </w:rPr>
      </w:pPr>
      <w:r>
        <w:rPr>
          <w:rFonts w:hint="eastAsia" w:ascii="宋体" w:hAnsi="宋体" w:eastAsia="宋体" w:cs="宋体"/>
          <w:bCs/>
          <w:kern w:val="0"/>
          <w:szCs w:val="21"/>
        </w:rPr>
        <w:t>4、开标地点：温州市政务服务管理中心收标区</w:t>
      </w:r>
    </w:p>
    <w:p w14:paraId="2943F9FC">
      <w:pPr>
        <w:widowControl/>
        <w:numPr>
          <w:ilvl w:val="0"/>
          <w:numId w:val="2"/>
        </w:numPr>
        <w:spacing w:before="60" w:after="60"/>
        <w:ind w:right="60"/>
        <w:jc w:val="left"/>
        <w:outlineLvl w:val="0"/>
        <w:rPr>
          <w:rFonts w:hint="eastAsia" w:ascii="宋体" w:hAnsi="宋体" w:eastAsia="宋体" w:cs="宋体"/>
          <w:b/>
          <w:kern w:val="0"/>
          <w:szCs w:val="21"/>
        </w:rPr>
      </w:pPr>
      <w:r>
        <w:rPr>
          <w:rFonts w:hint="eastAsia" w:ascii="宋体" w:hAnsi="宋体" w:eastAsia="宋体" w:cs="宋体"/>
          <w:b/>
          <w:kern w:val="0"/>
          <w:szCs w:val="21"/>
        </w:rPr>
        <w:t>投标保证金及交付方式：</w:t>
      </w:r>
    </w:p>
    <w:p w14:paraId="03BB6205">
      <w:pPr>
        <w:widowControl/>
        <w:spacing w:before="60" w:after="60" w:line="280" w:lineRule="exact"/>
        <w:ind w:right="62" w:firstLine="420" w:firstLineChars="200"/>
        <w:jc w:val="left"/>
        <w:rPr>
          <w:rFonts w:hint="eastAsia" w:ascii="宋体" w:hAnsi="宋体" w:eastAsia="宋体" w:cs="宋体"/>
          <w:color w:val="auto"/>
          <w:kern w:val="0"/>
          <w:szCs w:val="21"/>
        </w:rPr>
      </w:pPr>
      <w:bookmarkStart w:id="10" w:name="B29_谈判保证金"/>
      <w:bookmarkEnd w:id="10"/>
      <w:r>
        <w:rPr>
          <w:rFonts w:hint="eastAsia" w:ascii="宋体" w:hAnsi="宋体" w:eastAsia="宋体" w:cs="宋体"/>
          <w:kern w:val="0"/>
          <w:szCs w:val="21"/>
        </w:rPr>
        <w:t>投标保证金：人民币</w:t>
      </w:r>
      <w:r>
        <w:rPr>
          <w:rFonts w:hint="eastAsia" w:ascii="宋体" w:hAnsi="宋体" w:eastAsia="宋体" w:cs="宋体"/>
          <w:color w:val="0000FF"/>
          <w:kern w:val="0"/>
          <w:szCs w:val="21"/>
          <w:lang w:val="en-US" w:eastAsia="zh-CN"/>
        </w:rPr>
        <w:t>10</w:t>
      </w:r>
      <w:r>
        <w:rPr>
          <w:rFonts w:hint="eastAsia" w:ascii="宋体" w:hAnsi="宋体" w:eastAsia="宋体" w:cs="宋体"/>
          <w:color w:val="0000FF"/>
          <w:kern w:val="0"/>
          <w:szCs w:val="21"/>
        </w:rPr>
        <w:t>0000</w:t>
      </w:r>
      <w:r>
        <w:rPr>
          <w:rFonts w:hint="eastAsia" w:ascii="宋体" w:hAnsi="宋体" w:eastAsia="宋体" w:cs="宋体"/>
          <w:kern w:val="0"/>
          <w:szCs w:val="21"/>
        </w:rPr>
        <w:t>元整，采用银行转账形式</w:t>
      </w:r>
      <w:r>
        <w:rPr>
          <w:rFonts w:hint="eastAsia" w:ascii="宋体" w:hAnsi="宋体" w:eastAsia="宋体" w:cs="宋体"/>
        </w:rPr>
        <w:t>，</w:t>
      </w:r>
      <w:r>
        <w:rPr>
          <w:rFonts w:hint="eastAsia" w:ascii="宋体" w:hAnsi="宋体" w:eastAsia="宋体" w:cs="宋体"/>
          <w:b/>
          <w:bCs/>
          <w:kern w:val="0"/>
          <w:szCs w:val="21"/>
          <w:u w:val="single"/>
        </w:rPr>
        <w:t>投标保证金要求从投标供应商的银行账号汇出，保证金缴纳时间以到账时间为准。</w:t>
      </w:r>
      <w:r>
        <w:rPr>
          <w:rFonts w:hint="eastAsia" w:ascii="宋体" w:hAnsi="宋体" w:eastAsia="宋体" w:cs="宋体"/>
          <w:kern w:val="0"/>
          <w:szCs w:val="21"/>
        </w:rPr>
        <w:t>保证金</w:t>
      </w:r>
      <w:r>
        <w:rPr>
          <w:rFonts w:hint="eastAsia" w:ascii="宋体" w:hAnsi="宋体" w:eastAsia="宋体" w:cs="宋体"/>
          <w:color w:val="auto"/>
          <w:kern w:val="0"/>
          <w:szCs w:val="21"/>
        </w:rPr>
        <w:t>缴纳截止时间：与投标截止时间相同。</w:t>
      </w:r>
      <w:r>
        <w:rPr>
          <w:rFonts w:hint="eastAsia" w:ascii="宋体" w:hAnsi="宋体" w:eastAsia="宋体" w:cs="宋体"/>
          <w:b/>
          <w:bCs/>
          <w:color w:val="auto"/>
          <w:kern w:val="0"/>
          <w:szCs w:val="21"/>
          <w:u w:val="single"/>
        </w:rPr>
        <w:t>保证金缴纳账户信息</w:t>
      </w:r>
      <w:r>
        <w:rPr>
          <w:rFonts w:hint="eastAsia" w:ascii="宋体" w:hAnsi="宋体" w:eastAsia="宋体" w:cs="宋体"/>
          <w:color w:val="auto"/>
          <w:kern w:val="0"/>
          <w:szCs w:val="21"/>
        </w:rPr>
        <w:t>：</w:t>
      </w:r>
    </w:p>
    <w:p w14:paraId="6855F479">
      <w:pPr>
        <w:widowControl/>
        <w:spacing w:before="60" w:after="60" w:line="280" w:lineRule="exact"/>
        <w:ind w:right="62"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单  位 名 称：浙江国际招投标有限公司</w:t>
      </w:r>
    </w:p>
    <w:p w14:paraId="394727F6">
      <w:pPr>
        <w:widowControl/>
        <w:spacing w:before="60" w:after="60" w:line="280" w:lineRule="exact"/>
        <w:ind w:right="62"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开  户 银 行：工商银行杭州市武林支行</w:t>
      </w:r>
    </w:p>
    <w:p w14:paraId="69F26006">
      <w:pPr>
        <w:widowControl/>
        <w:spacing w:before="60" w:after="60" w:line="280" w:lineRule="exact"/>
        <w:ind w:right="62"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账        号：1202021209906782015</w:t>
      </w:r>
    </w:p>
    <w:p w14:paraId="7EAF085C">
      <w:pPr>
        <w:widowControl/>
        <w:numPr>
          <w:ilvl w:val="0"/>
          <w:numId w:val="2"/>
        </w:numPr>
        <w:spacing w:before="60" w:after="60"/>
        <w:ind w:right="60"/>
        <w:jc w:val="left"/>
        <w:outlineLvl w:val="0"/>
        <w:rPr>
          <w:rFonts w:hint="eastAsia" w:ascii="宋体" w:hAnsi="宋体" w:eastAsia="宋体" w:cs="宋体"/>
          <w:b/>
          <w:bCs w:val="0"/>
          <w:kern w:val="0"/>
          <w:szCs w:val="21"/>
        </w:rPr>
      </w:pPr>
      <w:r>
        <w:rPr>
          <w:rFonts w:hint="eastAsia" w:ascii="宋体" w:hAnsi="宋体" w:eastAsia="宋体" w:cs="宋体"/>
          <w:b/>
          <w:bCs w:val="0"/>
          <w:kern w:val="0"/>
          <w:szCs w:val="21"/>
        </w:rPr>
        <w:t>其他事项：</w:t>
      </w:r>
    </w:p>
    <w:p w14:paraId="1F4D1228">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1、采购公告期限：5个工作日，从公告在温州国企采购平台上发布的次日起算；</w:t>
      </w:r>
    </w:p>
    <w:p w14:paraId="3141A2DA">
      <w:pPr>
        <w:widowControl/>
        <w:spacing w:before="60" w:after="60" w:line="280" w:lineRule="exact"/>
        <w:ind w:left="62" w:right="62" w:firstLine="420" w:firstLineChars="200"/>
        <w:jc w:val="left"/>
        <w:rPr>
          <w:rFonts w:hint="eastAsia" w:ascii="宋体" w:hAnsi="宋体" w:eastAsia="宋体" w:cs="宋体"/>
          <w:bCs/>
          <w:kern w:val="0"/>
          <w:szCs w:val="21"/>
          <w:u w:val="single"/>
        </w:rPr>
      </w:pPr>
      <w:bookmarkStart w:id="11" w:name="_Hlk3382472"/>
      <w:r>
        <w:rPr>
          <w:rFonts w:hint="eastAsia" w:ascii="宋体" w:hAnsi="宋体" w:eastAsia="宋体" w:cs="宋体"/>
          <w:bCs/>
          <w:kern w:val="0"/>
          <w:szCs w:val="21"/>
          <w:u w:val="single"/>
        </w:rPr>
        <w:t>2、投标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14:paraId="0F3D10F1">
      <w:pPr>
        <w:widowControl/>
        <w:spacing w:before="60" w:after="60" w:line="280" w:lineRule="exact"/>
        <w:ind w:left="62" w:right="62" w:firstLine="420" w:firstLineChars="200"/>
        <w:jc w:val="left"/>
        <w:rPr>
          <w:rFonts w:hint="eastAsia" w:ascii="宋体" w:hAnsi="宋体" w:eastAsia="宋体" w:cs="宋体"/>
          <w:bCs/>
          <w:kern w:val="0"/>
          <w:szCs w:val="21"/>
          <w:u w:val="single"/>
        </w:rPr>
      </w:pPr>
      <w:r>
        <w:rPr>
          <w:rFonts w:hint="eastAsia" w:ascii="宋体" w:hAnsi="宋体" w:eastAsia="宋体" w:cs="宋体"/>
          <w:bCs/>
          <w:kern w:val="0"/>
          <w:szCs w:val="21"/>
          <w:u w:val="single"/>
        </w:rPr>
        <w:t>3、质疑投标供应商对采购人、采购代理机构的答复不满意或者采购人、采购代理机构未在规定的时间内作出答复的，可以在答复期满后15个工作日内向采购人（集团）的内设监管职能部门投诉。</w:t>
      </w:r>
    </w:p>
    <w:p w14:paraId="570E7BFF">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u w:val="single"/>
        </w:rPr>
        <w:t>4、温州市公用事业发展集团有限公司负责对投标供应商反映的企业本部及所属企业在采购活动中出现的违法违规问题进行</w:t>
      </w:r>
      <w:r>
        <w:rPr>
          <w:rFonts w:hint="eastAsia" w:ascii="宋体" w:hAnsi="宋体" w:eastAsia="宋体" w:cs="宋体"/>
          <w:bCs/>
          <w:kern w:val="0"/>
          <w:szCs w:val="21"/>
          <w:u w:val="single"/>
          <w:lang w:val="en-US" w:eastAsia="zh-CN"/>
        </w:rPr>
        <w:t>答疑</w:t>
      </w:r>
      <w:r>
        <w:rPr>
          <w:rFonts w:hint="eastAsia" w:ascii="宋体" w:hAnsi="宋体" w:eastAsia="宋体" w:cs="宋体"/>
          <w:bCs/>
          <w:kern w:val="0"/>
          <w:szCs w:val="21"/>
          <w:u w:val="single"/>
        </w:rPr>
        <w:t>回复。投标供应商认为温州市公用事业发展集团有限公司</w:t>
      </w:r>
      <w:r>
        <w:rPr>
          <w:rFonts w:hint="eastAsia" w:ascii="宋体" w:hAnsi="宋体" w:eastAsia="宋体" w:cs="宋体"/>
          <w:bCs/>
          <w:kern w:val="0"/>
          <w:szCs w:val="21"/>
          <w:u w:val="single"/>
          <w:lang w:val="en-US" w:eastAsia="zh-CN"/>
        </w:rPr>
        <w:t>答疑</w:t>
      </w:r>
      <w:r>
        <w:rPr>
          <w:rFonts w:hint="eastAsia" w:ascii="宋体" w:hAnsi="宋体" w:eastAsia="宋体" w:cs="宋体"/>
          <w:bCs/>
          <w:kern w:val="0"/>
          <w:szCs w:val="21"/>
          <w:u w:val="single"/>
        </w:rPr>
        <w:t>回复处理结果不合法的，可以采购人或代理机构为对象依法向人民法院提起诉讼</w:t>
      </w:r>
      <w:r>
        <w:rPr>
          <w:rFonts w:hint="eastAsia" w:ascii="宋体" w:hAnsi="宋体" w:eastAsia="宋体" w:cs="宋体"/>
          <w:bCs/>
          <w:kern w:val="0"/>
          <w:szCs w:val="21"/>
        </w:rPr>
        <w:t>。</w:t>
      </w:r>
    </w:p>
    <w:p w14:paraId="479CA1C1">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5、采购公告附件的采购文件仅供阅览使用，未按照本公告规定的方式获取采购文件的潜在投标供应商提起的质疑，采购人及采购组织机构将不予受理、答复。</w:t>
      </w:r>
    </w:p>
    <w:p w14:paraId="050C6CB0">
      <w:pPr>
        <w:widowControl/>
        <w:spacing w:before="60" w:after="60" w:line="280" w:lineRule="exact"/>
        <w:ind w:left="62" w:right="62" w:firstLine="420" w:firstLineChars="200"/>
        <w:jc w:val="left"/>
        <w:rPr>
          <w:rFonts w:hint="eastAsia" w:ascii="宋体" w:hAnsi="宋体" w:eastAsia="宋体" w:cs="宋体"/>
          <w:bCs/>
          <w:strike/>
          <w:color w:val="0000FF"/>
          <w:kern w:val="0"/>
          <w:szCs w:val="21"/>
          <w:highlight w:val="yellow"/>
        </w:rPr>
      </w:pPr>
      <w:bookmarkStart w:id="12" w:name="B38_其他事项"/>
      <w:r>
        <w:rPr>
          <w:rFonts w:hint="eastAsia" w:ascii="宋体" w:hAnsi="宋体" w:eastAsia="宋体" w:cs="宋体"/>
          <w:bCs/>
          <w:kern w:val="0"/>
          <w:szCs w:val="21"/>
        </w:rPr>
        <w:t>6、</w:t>
      </w:r>
      <w:bookmarkEnd w:id="12"/>
      <w:r>
        <w:rPr>
          <w:rFonts w:hint="eastAsia" w:ascii="宋体" w:hAnsi="宋体" w:eastAsia="宋体" w:cs="宋体"/>
          <w:bCs/>
          <w:kern w:val="0"/>
          <w:szCs w:val="21"/>
        </w:rPr>
        <w:t>投标供应商如对采购文件有疑问应按采购文件规定的询疑截止时间前提出，逾期提出的，采购组织机构可以不予受理、答复。</w:t>
      </w:r>
      <w:bookmarkEnd w:id="11"/>
    </w:p>
    <w:p w14:paraId="2B5FD4F2">
      <w:pPr>
        <w:widowControl/>
        <w:numPr>
          <w:ilvl w:val="0"/>
          <w:numId w:val="2"/>
        </w:numPr>
        <w:spacing w:before="60" w:after="60"/>
        <w:ind w:right="60"/>
        <w:jc w:val="left"/>
        <w:outlineLvl w:val="0"/>
        <w:rPr>
          <w:rFonts w:hint="eastAsia" w:ascii="宋体" w:hAnsi="宋体" w:eastAsia="宋体" w:cs="宋体"/>
          <w:b/>
          <w:bCs w:val="0"/>
          <w:kern w:val="0"/>
          <w:szCs w:val="21"/>
        </w:rPr>
      </w:pPr>
      <w:r>
        <w:rPr>
          <w:rFonts w:hint="eastAsia" w:ascii="宋体" w:hAnsi="宋体" w:eastAsia="宋体" w:cs="宋体"/>
          <w:b/>
          <w:bCs w:val="0"/>
          <w:kern w:val="0"/>
          <w:szCs w:val="21"/>
        </w:rPr>
        <w:t>联系方式</w:t>
      </w:r>
    </w:p>
    <w:p w14:paraId="5C11F34F">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温州市燃气集团有限公司</w:t>
      </w:r>
    </w:p>
    <w:p w14:paraId="5CE2B803">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地  址：</w:t>
      </w:r>
      <w:r>
        <w:rPr>
          <w:rFonts w:hint="eastAsia" w:ascii="宋体" w:hAnsi="宋体" w:eastAsia="宋体" w:cs="宋体"/>
          <w:highlight w:val="none"/>
          <w:lang w:eastAsia="zh-CN"/>
        </w:rPr>
        <w:t>温州市鹿城区雪山路75弄28号</w:t>
      </w:r>
    </w:p>
    <w:p w14:paraId="33FF0047">
      <w:pPr>
        <w:widowControl/>
        <w:spacing w:before="60" w:after="60" w:line="280" w:lineRule="exact"/>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eastAsia="zh-CN"/>
        </w:rPr>
        <w:t>姚先生</w:t>
      </w:r>
      <w:r>
        <w:rPr>
          <w:rFonts w:hint="eastAsia" w:ascii="宋体" w:hAnsi="宋体" w:eastAsia="宋体" w:cs="宋体"/>
          <w:highlight w:val="none"/>
        </w:rPr>
        <w:t>，联系电话：</w:t>
      </w:r>
      <w:r>
        <w:rPr>
          <w:rFonts w:hint="eastAsia" w:ascii="宋体" w:hAnsi="宋体" w:eastAsia="宋体" w:cs="宋体"/>
          <w:highlight w:val="none"/>
          <w:lang w:eastAsia="zh-CN"/>
        </w:rPr>
        <w:t>0577-88911933</w:t>
      </w:r>
    </w:p>
    <w:p w14:paraId="60A086A9">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14:paraId="328735A0">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14:paraId="16453154">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14:paraId="4610E339">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14:paraId="75C9A642">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地址：温州市黎明西路342号人保财险鹿城支公司办公大楼404室</w:t>
      </w:r>
    </w:p>
    <w:p w14:paraId="5BB5DDED">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采购监督管理部门：温州市公用事业发展集团有限公司纪检监察室</w:t>
      </w:r>
    </w:p>
    <w:p w14:paraId="6DA1FFDC">
      <w:pPr>
        <w:widowControl/>
        <w:spacing w:before="60" w:after="60" w:line="280" w:lineRule="exact"/>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联系电话：0577-88100267</w:t>
      </w:r>
    </w:p>
    <w:p w14:paraId="34D504CD">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kern w:val="0"/>
          <w:szCs w:val="21"/>
          <w:lang w:eastAsia="zh-CN"/>
        </w:rPr>
        <w:t>温州市燃气集团有限公司</w:t>
      </w:r>
      <w:r>
        <w:rPr>
          <w:rFonts w:hint="eastAsia" w:ascii="宋体" w:hAnsi="宋体" w:eastAsia="宋体" w:cs="宋体"/>
          <w:bCs/>
          <w:kern w:val="0"/>
          <w:szCs w:val="21"/>
        </w:rPr>
        <w:t xml:space="preserve"> </w:t>
      </w:r>
    </w:p>
    <w:p w14:paraId="1335DE49">
      <w:pPr>
        <w:widowControl/>
        <w:spacing w:before="60" w:after="60" w:line="280" w:lineRule="exact"/>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bookmarkEnd w:id="6"/>
    <w:bookmarkEnd w:id="7"/>
    <w:p w14:paraId="35D67B41">
      <w:pPr>
        <w:widowControl/>
        <w:spacing w:before="60" w:after="60"/>
        <w:ind w:left="62" w:right="62" w:firstLine="420" w:firstLineChars="200"/>
        <w:jc w:val="right"/>
        <w:rPr>
          <w:rFonts w:hint="eastAsia" w:ascii="宋体" w:hAnsi="宋体" w:eastAsia="宋体" w:cs="宋体"/>
          <w:color w:val="0000FF"/>
          <w:kern w:val="0"/>
          <w:szCs w:val="21"/>
        </w:rPr>
      </w:pPr>
      <w:r>
        <w:rPr>
          <w:rFonts w:hint="eastAsia" w:ascii="宋体" w:hAnsi="宋体" w:eastAsia="宋体" w:cs="宋体"/>
          <w:color w:val="0000FF"/>
          <w:kern w:val="0"/>
          <w:szCs w:val="21"/>
        </w:rPr>
        <w:t>202</w:t>
      </w:r>
      <w:r>
        <w:rPr>
          <w:rFonts w:hint="eastAsia" w:ascii="宋体" w:hAnsi="宋体" w:eastAsia="宋体" w:cs="宋体"/>
          <w:color w:val="0000FF"/>
          <w:kern w:val="0"/>
          <w:szCs w:val="21"/>
          <w:lang w:val="en-US" w:eastAsia="zh-CN"/>
        </w:rPr>
        <w:t>4</w:t>
      </w:r>
      <w:r>
        <w:rPr>
          <w:rFonts w:hint="eastAsia" w:ascii="宋体" w:hAnsi="宋体" w:eastAsia="宋体" w:cs="宋体"/>
          <w:color w:val="0000FF"/>
          <w:kern w:val="0"/>
          <w:szCs w:val="21"/>
        </w:rPr>
        <w:t>年</w:t>
      </w:r>
      <w:r>
        <w:rPr>
          <w:rFonts w:hint="eastAsia" w:ascii="宋体" w:hAnsi="宋体" w:cs="宋体"/>
          <w:color w:val="0000FF"/>
          <w:kern w:val="0"/>
          <w:szCs w:val="21"/>
          <w:lang w:val="en-US" w:eastAsia="zh-CN"/>
        </w:rPr>
        <w:t>8</w:t>
      </w:r>
      <w:r>
        <w:rPr>
          <w:rFonts w:hint="eastAsia" w:ascii="宋体" w:hAnsi="宋体" w:eastAsia="宋体" w:cs="宋体"/>
          <w:color w:val="0000FF"/>
          <w:kern w:val="0"/>
          <w:szCs w:val="21"/>
        </w:rPr>
        <w:t>月</w:t>
      </w:r>
      <w:r>
        <w:rPr>
          <w:rFonts w:hint="eastAsia" w:ascii="宋体" w:hAnsi="宋体" w:cs="宋体"/>
          <w:color w:val="0000FF"/>
          <w:kern w:val="0"/>
          <w:szCs w:val="21"/>
          <w:lang w:val="en-US" w:eastAsia="zh-CN"/>
        </w:rPr>
        <w:t>29</w:t>
      </w:r>
      <w:r>
        <w:rPr>
          <w:rFonts w:hint="eastAsia" w:ascii="宋体" w:hAnsi="宋体" w:eastAsia="宋体" w:cs="宋体"/>
          <w:color w:val="0000FF"/>
          <w:kern w:val="0"/>
          <w:szCs w:val="21"/>
        </w:rPr>
        <w:t>日</w:t>
      </w:r>
    </w:p>
    <w:p w14:paraId="498D238B">
      <w:pPr>
        <w:pStyle w:val="3"/>
        <w:spacing w:before="120" w:beforeLines="50"/>
        <w:rPr>
          <w:rFonts w:hint="eastAsia" w:ascii="宋体" w:hAnsi="宋体" w:eastAsia="宋体" w:cs="宋体"/>
          <w:sz w:val="24"/>
        </w:rPr>
      </w:pPr>
      <w:bookmarkStart w:id="13" w:name="_Hlk12290785"/>
      <w:bookmarkStart w:id="14" w:name="_Toc491780522"/>
    </w:p>
    <w:p w14:paraId="3EBA0BEA">
      <w:pPr>
        <w:pStyle w:val="3"/>
        <w:spacing w:before="120" w:beforeLines="50"/>
        <w:rPr>
          <w:rFonts w:hint="eastAsia" w:ascii="宋体" w:hAnsi="宋体" w:eastAsia="宋体" w:cs="宋体"/>
          <w:sz w:val="24"/>
        </w:rPr>
      </w:pPr>
      <w:r>
        <w:rPr>
          <w:rFonts w:hint="eastAsia" w:ascii="宋体" w:hAnsi="宋体" w:eastAsia="宋体" w:cs="宋体"/>
          <w:sz w:val="24"/>
        </w:rPr>
        <w:t>温州市公用集团所属</w:t>
      </w:r>
      <w:r>
        <w:rPr>
          <w:rFonts w:hint="eastAsia" w:ascii="宋体" w:hAnsi="宋体" w:eastAsia="宋体" w:cs="宋体"/>
          <w:sz w:val="24"/>
          <w:lang w:eastAsia="zh-CN"/>
        </w:rPr>
        <w:t>温州市燃气集团有限公司</w:t>
      </w:r>
      <w:r>
        <w:rPr>
          <w:rFonts w:hint="eastAsia" w:ascii="宋体" w:hAnsi="宋体" w:eastAsia="宋体" w:cs="宋体"/>
          <w:sz w:val="24"/>
        </w:rPr>
        <w:t>关于</w:t>
      </w:r>
      <w:r>
        <w:rPr>
          <w:rFonts w:hint="eastAsia" w:ascii="宋体" w:hAnsi="宋体" w:eastAsia="宋体" w:cs="宋体"/>
          <w:sz w:val="24"/>
          <w:lang w:eastAsia="zh-CN"/>
        </w:rPr>
        <w:t>燃气客户服务外包供应商库</w:t>
      </w:r>
      <w:r>
        <w:rPr>
          <w:rFonts w:hint="eastAsia" w:ascii="宋体" w:hAnsi="宋体" w:eastAsia="宋体" w:cs="宋体"/>
          <w:sz w:val="24"/>
        </w:rPr>
        <w:t>项目征求意见公示</w:t>
      </w:r>
      <w:bookmarkEnd w:id="13"/>
      <w:bookmarkEnd w:id="14"/>
    </w:p>
    <w:p w14:paraId="7E1AC114">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浙江国际招投标有限公司受</w:t>
      </w:r>
      <w:r>
        <w:rPr>
          <w:rFonts w:hint="eastAsia" w:ascii="宋体" w:hAnsi="宋体" w:eastAsia="宋体" w:cs="宋体"/>
          <w:bCs/>
          <w:kern w:val="0"/>
          <w:szCs w:val="21"/>
          <w:lang w:eastAsia="zh-CN"/>
        </w:rPr>
        <w:t>温州市燃气集团有限公司</w:t>
      </w:r>
      <w:r>
        <w:rPr>
          <w:rFonts w:hint="eastAsia" w:ascii="宋体" w:hAnsi="宋体" w:eastAsia="宋体" w:cs="宋体"/>
          <w:bCs/>
          <w:kern w:val="0"/>
          <w:szCs w:val="21"/>
        </w:rPr>
        <w:t>的委托，就</w:t>
      </w:r>
      <w:r>
        <w:rPr>
          <w:rFonts w:hint="eastAsia" w:ascii="宋体" w:hAnsi="宋体" w:eastAsia="宋体" w:cs="宋体"/>
          <w:bCs/>
          <w:kern w:val="0"/>
          <w:szCs w:val="21"/>
          <w:lang w:eastAsia="zh-CN"/>
        </w:rPr>
        <w:t>燃气客户服务外包供应商库</w:t>
      </w:r>
      <w:r>
        <w:rPr>
          <w:rFonts w:hint="eastAsia" w:ascii="宋体" w:hAnsi="宋体" w:eastAsia="宋体" w:cs="宋体"/>
          <w:bCs/>
          <w:kern w:val="0"/>
          <w:szCs w:val="21"/>
        </w:rPr>
        <w:t>项目以公开招标方式进行国有企业采购。现将本项目采购文件公布如下（详见附件），并公开征求投标供应商及专家意见。</w:t>
      </w:r>
    </w:p>
    <w:p w14:paraId="618C4E7D">
      <w:pPr>
        <w:widowControl/>
        <w:spacing w:before="60" w:after="60"/>
        <w:ind w:right="62"/>
        <w:jc w:val="left"/>
        <w:outlineLvl w:val="0"/>
        <w:rPr>
          <w:rFonts w:hint="eastAsia" w:ascii="宋体" w:hAnsi="宋体" w:eastAsia="宋体" w:cs="宋体"/>
          <w:b/>
          <w:kern w:val="0"/>
          <w:szCs w:val="21"/>
        </w:rPr>
      </w:pPr>
      <w:r>
        <w:rPr>
          <w:rFonts w:hint="eastAsia" w:ascii="宋体" w:hAnsi="宋体" w:eastAsia="宋体" w:cs="宋体"/>
          <w:b/>
          <w:kern w:val="0"/>
          <w:szCs w:val="21"/>
        </w:rPr>
        <w:t>一、征求意见范围：</w:t>
      </w:r>
    </w:p>
    <w:p w14:paraId="5066CACF">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1、是否出现明显的倾向性意见和特定的性能指标；</w:t>
      </w:r>
    </w:p>
    <w:p w14:paraId="1EDC36D7">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2、投标供应商资格条件是否具有明显倾向性和歧视性；</w:t>
      </w:r>
    </w:p>
    <w:p w14:paraId="6505DEE1">
      <w:pPr>
        <w:widowControl/>
        <w:spacing w:before="60" w:after="60"/>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3、影响温州市国有企业采购“公开、公平、公正”原则的其他情况。 </w:t>
      </w:r>
    </w:p>
    <w:p w14:paraId="2CA5F98D">
      <w:pPr>
        <w:widowControl/>
        <w:spacing w:before="60" w:after="60"/>
        <w:ind w:right="62"/>
        <w:jc w:val="left"/>
        <w:outlineLvl w:val="0"/>
        <w:rPr>
          <w:rFonts w:hint="eastAsia" w:ascii="宋体" w:hAnsi="宋体" w:eastAsia="宋体" w:cs="宋体"/>
          <w:b/>
          <w:kern w:val="0"/>
          <w:szCs w:val="21"/>
        </w:rPr>
      </w:pPr>
      <w:r>
        <w:rPr>
          <w:rFonts w:hint="eastAsia" w:ascii="宋体" w:hAnsi="宋体" w:eastAsia="宋体" w:cs="宋体"/>
          <w:b/>
          <w:kern w:val="0"/>
          <w:szCs w:val="21"/>
        </w:rPr>
        <w:t>二、征求意见的回复：</w:t>
      </w:r>
    </w:p>
    <w:p w14:paraId="692A2BD7">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各投标供应商及专家提出修改理由和建议的，请于</w:t>
      </w: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cs="宋体"/>
          <w:bCs/>
          <w:color w:val="0000FF"/>
          <w:kern w:val="0"/>
          <w:szCs w:val="21"/>
          <w:lang w:val="en-US" w:eastAsia="zh-CN"/>
        </w:rPr>
        <w:t>9</w:t>
      </w:r>
      <w:r>
        <w:rPr>
          <w:rFonts w:hint="eastAsia" w:ascii="宋体" w:hAnsi="宋体" w:eastAsia="宋体" w:cs="宋体"/>
          <w:bCs/>
          <w:color w:val="0000FF"/>
          <w:kern w:val="0"/>
          <w:szCs w:val="21"/>
        </w:rPr>
        <w:t>月</w:t>
      </w:r>
      <w:r>
        <w:rPr>
          <w:rFonts w:hint="eastAsia" w:ascii="宋体" w:hAnsi="宋体" w:cs="宋体"/>
          <w:bCs/>
          <w:color w:val="0000FF"/>
          <w:kern w:val="0"/>
          <w:szCs w:val="21"/>
          <w:lang w:val="en-US" w:eastAsia="zh-CN"/>
        </w:rPr>
        <w:t>3</w:t>
      </w:r>
      <w:r>
        <w:rPr>
          <w:rFonts w:hint="eastAsia" w:ascii="宋体" w:hAnsi="宋体" w:eastAsia="宋体" w:cs="宋体"/>
          <w:bCs/>
          <w:color w:val="0000FF"/>
          <w:kern w:val="0"/>
          <w:szCs w:val="21"/>
        </w:rPr>
        <w:t>日1</w:t>
      </w:r>
      <w:r>
        <w:rPr>
          <w:rFonts w:hint="eastAsia" w:ascii="宋体" w:hAnsi="宋体" w:cs="宋体"/>
          <w:bCs/>
          <w:color w:val="0000FF"/>
          <w:kern w:val="0"/>
          <w:szCs w:val="21"/>
          <w:lang w:val="en-US" w:eastAsia="zh-CN"/>
        </w:rPr>
        <w:t>7</w:t>
      </w:r>
      <w:r>
        <w:rPr>
          <w:rFonts w:hint="eastAsia" w:ascii="宋体" w:hAnsi="宋体" w:eastAsia="宋体" w:cs="宋体"/>
          <w:bCs/>
          <w:color w:val="0000FF"/>
          <w:kern w:val="0"/>
          <w:szCs w:val="21"/>
        </w:rPr>
        <w:t>时00分</w:t>
      </w:r>
      <w:r>
        <w:rPr>
          <w:rFonts w:hint="eastAsia" w:ascii="宋体" w:hAnsi="宋体" w:eastAsia="宋体" w:cs="宋体"/>
          <w:bCs/>
          <w:kern w:val="0"/>
          <w:szCs w:val="21"/>
        </w:rPr>
        <w:t>前将书面材料签字（盖公章）并密封后送至温州市黎明西路342号人保财险鹿城支公司办公大楼401室采购代理公司，或先将扫描件及电子版发送至邮箱1826066763@qq.com，并同时将该原件书面寄至浙江国际招投标有限公司。</w:t>
      </w:r>
    </w:p>
    <w:p w14:paraId="270041FD">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联系人：冯先生，联系电话：13857723185。</w:t>
      </w:r>
    </w:p>
    <w:p w14:paraId="72B5021B">
      <w:pPr>
        <w:widowControl/>
        <w:spacing w:before="60" w:after="60" w:line="280" w:lineRule="exact"/>
        <w:ind w:left="62" w:right="62" w:firstLine="420" w:firstLineChars="200"/>
        <w:jc w:val="left"/>
        <w:rPr>
          <w:rFonts w:hint="eastAsia" w:ascii="宋体" w:hAnsi="宋体" w:eastAsia="宋体" w:cs="宋体"/>
          <w:bCs/>
          <w:kern w:val="0"/>
          <w:szCs w:val="21"/>
        </w:rPr>
      </w:pPr>
      <w:r>
        <w:rPr>
          <w:rFonts w:hint="eastAsia" w:ascii="宋体" w:hAnsi="宋体" w:eastAsia="宋体" w:cs="宋体"/>
          <w:bCs/>
          <w:kern w:val="0"/>
          <w:szCs w:val="21"/>
        </w:rPr>
        <w:t>对逾期送达的意见、建议书恕不接受。</w:t>
      </w:r>
    </w:p>
    <w:p w14:paraId="66C734F3">
      <w:pPr>
        <w:widowControl/>
        <w:spacing w:before="60" w:after="60"/>
        <w:ind w:right="62"/>
        <w:jc w:val="left"/>
        <w:outlineLvl w:val="0"/>
        <w:rPr>
          <w:rFonts w:hint="eastAsia" w:ascii="宋体" w:hAnsi="宋体" w:eastAsia="宋体" w:cs="宋体"/>
          <w:b/>
          <w:kern w:val="0"/>
          <w:szCs w:val="21"/>
        </w:rPr>
      </w:pPr>
      <w:r>
        <w:rPr>
          <w:rFonts w:hint="eastAsia" w:ascii="宋体" w:hAnsi="宋体" w:eastAsia="宋体" w:cs="宋体"/>
          <w:b/>
          <w:kern w:val="0"/>
          <w:szCs w:val="21"/>
        </w:rPr>
        <w:t>三、附本项目采购文件</w:t>
      </w:r>
    </w:p>
    <w:p w14:paraId="54A449CA">
      <w:pPr>
        <w:widowControl/>
        <w:spacing w:before="60" w:after="60"/>
        <w:ind w:left="62" w:right="62" w:firstLine="420" w:firstLineChars="200"/>
        <w:jc w:val="right"/>
        <w:rPr>
          <w:rFonts w:hint="eastAsia" w:ascii="宋体" w:hAnsi="宋体" w:eastAsia="宋体" w:cs="宋体"/>
          <w:bCs/>
          <w:kern w:val="0"/>
          <w:szCs w:val="21"/>
          <w:lang w:eastAsia="zh-CN"/>
        </w:rPr>
      </w:pPr>
      <w:r>
        <w:rPr>
          <w:rFonts w:hint="eastAsia" w:ascii="宋体" w:hAnsi="宋体" w:eastAsia="宋体" w:cs="宋体"/>
          <w:bCs/>
          <w:kern w:val="0"/>
          <w:szCs w:val="21"/>
          <w:lang w:eastAsia="zh-CN"/>
        </w:rPr>
        <w:t>温州市燃气集团有限公司</w:t>
      </w:r>
    </w:p>
    <w:p w14:paraId="7DEC2332">
      <w:pPr>
        <w:widowControl/>
        <w:spacing w:before="60" w:after="60"/>
        <w:ind w:left="62" w:right="62" w:firstLine="420" w:firstLineChars="200"/>
        <w:jc w:val="right"/>
        <w:rPr>
          <w:rFonts w:hint="eastAsia" w:ascii="宋体" w:hAnsi="宋体" w:eastAsia="宋体" w:cs="宋体"/>
          <w:bCs/>
          <w:kern w:val="0"/>
          <w:szCs w:val="21"/>
        </w:rPr>
      </w:pPr>
      <w:r>
        <w:rPr>
          <w:rFonts w:hint="eastAsia" w:ascii="宋体" w:hAnsi="宋体" w:eastAsia="宋体" w:cs="宋体"/>
          <w:bCs/>
          <w:kern w:val="0"/>
          <w:szCs w:val="21"/>
        </w:rPr>
        <w:t>浙江国际招投标有限公司</w:t>
      </w:r>
    </w:p>
    <w:p w14:paraId="28079788">
      <w:pPr>
        <w:widowControl/>
        <w:spacing w:before="60" w:after="60"/>
        <w:ind w:left="62" w:right="62" w:firstLine="420" w:firstLineChars="200"/>
        <w:jc w:val="right"/>
        <w:rPr>
          <w:rFonts w:hint="eastAsia" w:ascii="宋体" w:hAnsi="宋体" w:eastAsia="宋体" w:cs="宋体"/>
          <w:bCs/>
          <w:kern w:val="0"/>
          <w:szCs w:val="21"/>
        </w:rPr>
      </w:pPr>
      <w:r>
        <w:rPr>
          <w:rFonts w:hint="eastAsia" w:ascii="宋体" w:hAnsi="宋体" w:eastAsia="宋体" w:cs="宋体"/>
          <w:bCs/>
          <w:color w:val="0000FF"/>
          <w:kern w:val="0"/>
          <w:szCs w:val="21"/>
        </w:rPr>
        <w:t>202</w:t>
      </w:r>
      <w:r>
        <w:rPr>
          <w:rFonts w:hint="eastAsia" w:ascii="宋体" w:hAnsi="宋体" w:eastAsia="宋体" w:cs="宋体"/>
          <w:bCs/>
          <w:color w:val="0000FF"/>
          <w:kern w:val="0"/>
          <w:szCs w:val="21"/>
          <w:lang w:val="en-US" w:eastAsia="zh-CN"/>
        </w:rPr>
        <w:t>4</w:t>
      </w:r>
      <w:r>
        <w:rPr>
          <w:rFonts w:hint="eastAsia" w:ascii="宋体" w:hAnsi="宋体" w:eastAsia="宋体" w:cs="宋体"/>
          <w:bCs/>
          <w:color w:val="0000FF"/>
          <w:kern w:val="0"/>
          <w:szCs w:val="21"/>
        </w:rPr>
        <w:t>年</w:t>
      </w:r>
      <w:r>
        <w:rPr>
          <w:rFonts w:hint="eastAsia" w:ascii="宋体" w:hAnsi="宋体" w:cs="宋体"/>
          <w:bCs/>
          <w:color w:val="0000FF"/>
          <w:kern w:val="0"/>
          <w:szCs w:val="21"/>
          <w:lang w:val="en-US" w:eastAsia="zh-CN"/>
        </w:rPr>
        <w:t>8</w:t>
      </w:r>
      <w:r>
        <w:rPr>
          <w:rFonts w:hint="eastAsia" w:ascii="宋体" w:hAnsi="宋体" w:eastAsia="宋体" w:cs="宋体"/>
          <w:bCs/>
          <w:color w:val="0000FF"/>
          <w:kern w:val="0"/>
          <w:szCs w:val="21"/>
        </w:rPr>
        <w:t>月</w:t>
      </w:r>
      <w:r>
        <w:rPr>
          <w:rFonts w:hint="eastAsia" w:ascii="宋体" w:hAnsi="宋体" w:cs="宋体"/>
          <w:bCs/>
          <w:color w:val="0000FF"/>
          <w:kern w:val="0"/>
          <w:szCs w:val="21"/>
          <w:lang w:val="en-US" w:eastAsia="zh-CN"/>
        </w:rPr>
        <w:t>29</w:t>
      </w:r>
      <w:r>
        <w:rPr>
          <w:rFonts w:hint="eastAsia" w:ascii="宋体" w:hAnsi="宋体" w:eastAsia="宋体" w:cs="宋体"/>
          <w:bCs/>
          <w:color w:val="0000FF"/>
          <w:kern w:val="0"/>
          <w:szCs w:val="21"/>
        </w:rPr>
        <w:t>日</w:t>
      </w:r>
      <w:bookmarkEnd w:id="2"/>
    </w:p>
    <w:bookmarkEnd w:id="3"/>
    <w:p w14:paraId="1CB7DE96">
      <w:pPr>
        <w:pStyle w:val="3"/>
        <w:rPr>
          <w:rFonts w:hint="eastAsia" w:ascii="宋体" w:hAnsi="宋体" w:eastAsia="宋体" w:cs="宋体"/>
          <w:sz w:val="36"/>
          <w:szCs w:val="36"/>
        </w:rPr>
      </w:pPr>
      <w:r>
        <w:rPr>
          <w:rFonts w:hint="eastAsia" w:ascii="宋体" w:hAnsi="宋体" w:eastAsia="宋体" w:cs="宋体"/>
          <w:bCs/>
          <w:kern w:val="0"/>
          <w:szCs w:val="21"/>
        </w:rPr>
        <w:br w:type="page"/>
      </w:r>
      <w:bookmarkStart w:id="15" w:name="_Toc491780523"/>
      <w:bookmarkStart w:id="16" w:name="_Toc223933220"/>
      <w:bookmarkStart w:id="17" w:name="_Toc227057032"/>
      <w:bookmarkStart w:id="18" w:name="_Toc217460684"/>
      <w:bookmarkStart w:id="19" w:name="_Toc218041725"/>
      <w:bookmarkStart w:id="20" w:name="_Toc219538612"/>
      <w:bookmarkStart w:id="21" w:name="_Toc216667819"/>
      <w:bookmarkStart w:id="22" w:name="_Toc215415529"/>
      <w:bookmarkStart w:id="23" w:name="_Toc223717603"/>
      <w:bookmarkStart w:id="24" w:name="_Toc227056845"/>
      <w:bookmarkStart w:id="25" w:name="_Toc227489886"/>
      <w:r>
        <w:rPr>
          <w:rFonts w:hint="eastAsia" w:ascii="宋体" w:hAnsi="宋体" w:eastAsia="宋体" w:cs="宋体"/>
          <w:sz w:val="36"/>
          <w:szCs w:val="36"/>
        </w:rPr>
        <w:t>第一部分 投标供应商须知</w:t>
      </w:r>
      <w:bookmarkEnd w:id="15"/>
      <w:bookmarkEnd w:id="16"/>
      <w:bookmarkEnd w:id="17"/>
      <w:bookmarkEnd w:id="18"/>
      <w:bookmarkEnd w:id="19"/>
      <w:bookmarkEnd w:id="20"/>
      <w:bookmarkEnd w:id="21"/>
      <w:bookmarkEnd w:id="22"/>
      <w:bookmarkEnd w:id="23"/>
      <w:bookmarkEnd w:id="24"/>
      <w:bookmarkEnd w:id="25"/>
      <w:r>
        <w:rPr>
          <w:rFonts w:hint="eastAsia" w:ascii="宋体" w:hAnsi="宋体" w:eastAsia="宋体" w:cs="宋体"/>
          <w:sz w:val="36"/>
          <w:szCs w:val="36"/>
        </w:rPr>
        <w:t>及投标供应商须知前附表</w:t>
      </w:r>
    </w:p>
    <w:p w14:paraId="0C4B2CDD">
      <w:pPr>
        <w:spacing w:before="120" w:beforeLines="50" w:after="120" w:afterLines="50"/>
        <w:jc w:val="center"/>
        <w:rPr>
          <w:rFonts w:hint="eastAsia" w:ascii="宋体" w:hAnsi="宋体" w:eastAsia="宋体" w:cs="宋体"/>
          <w:b/>
          <w:sz w:val="28"/>
          <w:szCs w:val="28"/>
        </w:rPr>
      </w:pPr>
      <w:bookmarkStart w:id="26" w:name="_Toc433729304"/>
      <w:bookmarkStart w:id="27" w:name="_Toc401243876"/>
      <w:bookmarkStart w:id="28" w:name="_Toc218041726"/>
      <w:bookmarkStart w:id="29" w:name="_Toc227489887"/>
      <w:bookmarkStart w:id="30" w:name="_Toc227057033"/>
      <w:bookmarkStart w:id="31" w:name="_Toc215415530"/>
      <w:bookmarkStart w:id="32" w:name="_Toc223933221"/>
      <w:bookmarkStart w:id="33" w:name="_Toc219538613"/>
      <w:bookmarkStart w:id="34" w:name="_Toc227056846"/>
      <w:bookmarkStart w:id="35" w:name="_Toc217460685"/>
      <w:bookmarkStart w:id="36" w:name="_Toc223717604"/>
      <w:bookmarkStart w:id="37" w:name="_Toc216667820"/>
      <w:r>
        <w:rPr>
          <w:rFonts w:hint="eastAsia" w:ascii="宋体" w:hAnsi="宋体" w:eastAsia="宋体" w:cs="宋体"/>
          <w:b/>
          <w:sz w:val="28"/>
          <w:szCs w:val="28"/>
        </w:rPr>
        <w:t>投标供应商须知前附表</w:t>
      </w:r>
      <w:bookmarkEnd w:id="26"/>
      <w:bookmarkEnd w:id="27"/>
    </w:p>
    <w:p w14:paraId="06B9BBE1">
      <w:pPr>
        <w:pStyle w:val="79"/>
        <w:ind w:firstLine="180"/>
        <w:rPr>
          <w:rFonts w:hint="eastAsia" w:ascii="宋体" w:hAnsi="宋体" w:eastAsia="宋体" w:cs="宋体"/>
          <w:sz w:val="18"/>
          <w:szCs w:val="18"/>
        </w:rPr>
      </w:pPr>
      <w:r>
        <w:rPr>
          <w:rFonts w:hint="eastAsia" w:ascii="宋体" w:hAnsi="宋体" w:eastAsia="宋体" w:cs="宋体"/>
          <w:sz w:val="18"/>
          <w:szCs w:val="18"/>
        </w:rPr>
        <w:t>投标供应商须知前附表内容是对投标供应商须知的补充和说明，两者如有矛盾以投标供应商须知前附表为准。</w:t>
      </w:r>
    </w:p>
    <w:tbl>
      <w:tblPr>
        <w:tblStyle w:val="33"/>
        <w:tblW w:w="0" w:type="auto"/>
        <w:jc w:val="center"/>
        <w:tblLayout w:type="fixed"/>
        <w:tblCellMar>
          <w:top w:w="0" w:type="dxa"/>
          <w:left w:w="108" w:type="dxa"/>
          <w:bottom w:w="0" w:type="dxa"/>
          <w:right w:w="108" w:type="dxa"/>
        </w:tblCellMar>
      </w:tblPr>
      <w:tblGrid>
        <w:gridCol w:w="597"/>
        <w:gridCol w:w="1829"/>
        <w:gridCol w:w="6643"/>
      </w:tblGrid>
      <w:tr w14:paraId="51E8A68F">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0E6F2806">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2C13D0C">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条款名称</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5FE23712">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编列内容</w:t>
            </w:r>
          </w:p>
        </w:tc>
      </w:tr>
      <w:tr w14:paraId="023ED9F5">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17C7B272">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955627F">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6F69FC8E">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燃气客户服务外包供应商库</w:t>
            </w:r>
          </w:p>
        </w:tc>
      </w:tr>
      <w:tr w14:paraId="6F063A33">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4E6E470D">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19D267B">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项目编号</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744DEA7D">
            <w:pPr>
              <w:keepNext w:val="0"/>
              <w:keepLines w:val="0"/>
              <w:suppressLineNumbers w:val="0"/>
              <w:spacing w:before="0" w:beforeAutospacing="0" w:after="0" w:afterAutospacing="0"/>
              <w:ind w:left="0" w:right="0"/>
              <w:rPr>
                <w:rFonts w:hint="eastAsia" w:ascii="宋体" w:hAnsi="宋体" w:eastAsia="宋体" w:cs="宋体"/>
                <w:kern w:val="0"/>
                <w:sz w:val="18"/>
                <w:szCs w:val="18"/>
                <w:lang w:eastAsia="zh-CN"/>
              </w:rPr>
            </w:pPr>
            <w:r>
              <w:rPr>
                <w:rFonts w:hint="eastAsia" w:ascii="宋体" w:hAnsi="宋体" w:eastAsia="宋体" w:cs="宋体"/>
                <w:sz w:val="18"/>
                <w:szCs w:val="18"/>
                <w:lang w:eastAsia="zh-CN"/>
              </w:rPr>
              <w:t>WGSS-GYJT-X-2024005</w:t>
            </w:r>
          </w:p>
        </w:tc>
      </w:tr>
      <w:tr w14:paraId="62706509">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314490AE">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8CCAE5C">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4320900E">
            <w:pPr>
              <w:keepNext w:val="0"/>
              <w:keepLines w:val="0"/>
              <w:suppressLineNumbers w:val="0"/>
              <w:spacing w:before="0" w:beforeAutospacing="0" w:after="0" w:afterAutospacing="0"/>
              <w:ind w:left="0" w:right="0"/>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温州市燃气集团有限公司</w:t>
            </w:r>
          </w:p>
          <w:p w14:paraId="5ADC1D00">
            <w:pPr>
              <w:keepNext w:val="0"/>
              <w:keepLines w:val="0"/>
              <w:suppressLineNumbers w:val="0"/>
              <w:spacing w:before="0" w:beforeAutospacing="0" w:after="0" w:afterAutospacing="0"/>
              <w:ind w:left="0" w:right="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温州市鹿城区雪山路75弄28号</w:t>
            </w:r>
          </w:p>
          <w:p w14:paraId="2E0D4B10">
            <w:pPr>
              <w:keepNext w:val="0"/>
              <w:keepLines w:val="0"/>
              <w:suppressLineNumbers w:val="0"/>
              <w:spacing w:before="0" w:beforeAutospacing="0" w:after="0" w:afterAutospacing="0"/>
              <w:ind w:left="0" w:right="0"/>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eastAsia="zh-CN"/>
              </w:rPr>
              <w:t>姚先生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0577-88911933</w:t>
            </w:r>
          </w:p>
        </w:tc>
      </w:tr>
      <w:tr w14:paraId="60A078EB">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312B6A0">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384C88F">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采购代理机构</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34C20C55">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代理机构名称：浙江国际招投标有限公司</w:t>
            </w:r>
          </w:p>
          <w:p w14:paraId="5E77DB6A">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代理机构地址：温州市黎明西路342号人保财险鹿城支公司办公大楼401室</w:t>
            </w:r>
          </w:p>
          <w:p w14:paraId="45C5080C">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联系人：冯先生</w:t>
            </w:r>
          </w:p>
          <w:p w14:paraId="26A2EB1F">
            <w:pPr>
              <w:keepNext w:val="0"/>
              <w:keepLines w:val="0"/>
              <w:widowControl/>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rPr>
              <w:t>联系方式：13857723185 邮箱：1826066763@qq.com</w:t>
            </w:r>
          </w:p>
        </w:tc>
      </w:tr>
      <w:tr w14:paraId="16702239">
        <w:tblPrEx>
          <w:tblCellMar>
            <w:top w:w="0" w:type="dxa"/>
            <w:left w:w="108" w:type="dxa"/>
            <w:bottom w:w="0" w:type="dxa"/>
            <w:right w:w="108"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2F43CD7">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449EA73">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采购内容</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454B1E8C">
            <w:pPr>
              <w:pStyle w:val="11"/>
              <w:keepNext w:val="0"/>
              <w:keepLines w:val="0"/>
              <w:suppressLineNumbers w:val="0"/>
              <w:spacing w:before="0" w:beforeAutospacing="0" w:after="0" w:afterAutospacing="0"/>
              <w:ind w:left="0" w:right="0"/>
              <w:rPr>
                <w:rFonts w:hint="eastAsia" w:ascii="宋体" w:hAnsi="宋体" w:eastAsia="宋体" w:cs="宋体"/>
                <w:bCs/>
                <w:kern w:val="0"/>
                <w:sz w:val="18"/>
                <w:szCs w:val="18"/>
                <w:lang w:val="en-US" w:eastAsia="zh-CN" w:bidi="ar-SA"/>
              </w:rPr>
            </w:pPr>
            <w:r>
              <w:rPr>
                <w:rFonts w:hint="eastAsia" w:ascii="宋体" w:hAnsi="宋体" w:eastAsia="宋体" w:cs="宋体"/>
                <w:kern w:val="0"/>
                <w:sz w:val="18"/>
                <w:szCs w:val="18"/>
              </w:rPr>
              <w:t>燃气客户服务外包供应商库采购，在温州市燃气集团有限公司特许经营许可的经营范围内为采购人提供</w:t>
            </w:r>
            <w:r>
              <w:rPr>
                <w:rFonts w:hint="eastAsia" w:ascii="宋体" w:hAnsi="宋体" w:eastAsia="宋体" w:cs="宋体"/>
                <w:kern w:val="0"/>
                <w:sz w:val="18"/>
                <w:szCs w:val="18"/>
                <w:lang w:eastAsia="zh-CN"/>
              </w:rPr>
              <w:t>抄表、安检、</w:t>
            </w:r>
            <w:r>
              <w:rPr>
                <w:rFonts w:hint="eastAsia" w:ascii="宋体" w:hAnsi="宋体" w:eastAsia="宋体" w:cs="宋体"/>
                <w:kern w:val="0"/>
                <w:sz w:val="18"/>
                <w:szCs w:val="18"/>
                <w:lang w:val="en-US" w:eastAsia="zh-CN"/>
              </w:rPr>
              <w:t>通气</w:t>
            </w:r>
            <w:r>
              <w:rPr>
                <w:rFonts w:hint="eastAsia" w:ascii="宋体" w:hAnsi="宋体" w:eastAsia="宋体" w:cs="宋体"/>
                <w:kern w:val="0"/>
                <w:sz w:val="18"/>
                <w:szCs w:val="18"/>
                <w:lang w:eastAsia="zh-CN"/>
              </w:rPr>
              <w:t>等</w:t>
            </w:r>
            <w:r>
              <w:rPr>
                <w:rFonts w:hint="eastAsia" w:ascii="宋体" w:hAnsi="宋体" w:eastAsia="宋体" w:cs="宋体"/>
                <w:kern w:val="0"/>
                <w:sz w:val="18"/>
                <w:szCs w:val="18"/>
              </w:rPr>
              <w:t>业务服务，采购预算为</w:t>
            </w:r>
            <w:r>
              <w:rPr>
                <w:rFonts w:hint="eastAsia" w:ascii="宋体" w:hAnsi="宋体" w:eastAsia="宋体" w:cs="宋体"/>
                <w:kern w:val="0"/>
                <w:sz w:val="18"/>
                <w:szCs w:val="18"/>
                <w:lang w:val="en-US" w:eastAsia="zh-CN"/>
              </w:rPr>
              <w:t>首年</w:t>
            </w:r>
            <w:r>
              <w:rPr>
                <w:rFonts w:hint="eastAsia" w:ascii="宋体" w:hAnsi="宋体" w:eastAsia="宋体" w:cs="宋体"/>
                <w:kern w:val="0"/>
                <w:sz w:val="18"/>
                <w:szCs w:val="18"/>
                <w:u w:val="single"/>
                <w:lang w:val="en-US" w:eastAsia="zh-CN"/>
              </w:rPr>
              <w:t>1024</w:t>
            </w:r>
            <w:r>
              <w:rPr>
                <w:rFonts w:hint="eastAsia" w:ascii="宋体" w:hAnsi="宋体" w:eastAsia="宋体" w:cs="宋体"/>
                <w:kern w:val="0"/>
                <w:sz w:val="18"/>
                <w:szCs w:val="18"/>
                <w:u w:val="single"/>
              </w:rPr>
              <w:t xml:space="preserve"> </w:t>
            </w:r>
            <w:r>
              <w:rPr>
                <w:rFonts w:hint="eastAsia" w:ascii="宋体" w:hAnsi="宋体" w:eastAsia="宋体" w:cs="宋体"/>
                <w:kern w:val="0"/>
                <w:sz w:val="18"/>
                <w:szCs w:val="18"/>
              </w:rPr>
              <w:t>万元</w:t>
            </w:r>
            <w:r>
              <w:rPr>
                <w:rFonts w:hint="eastAsia" w:ascii="宋体" w:hAnsi="宋体" w:eastAsia="宋体" w:cs="宋体"/>
                <w:kern w:val="0"/>
                <w:sz w:val="18"/>
                <w:szCs w:val="18"/>
                <w:lang w:val="en-US" w:eastAsia="zh-CN"/>
              </w:rPr>
              <w:t>/年</w:t>
            </w:r>
            <w:r>
              <w:rPr>
                <w:rFonts w:hint="eastAsia" w:ascii="宋体" w:hAnsi="宋体" w:eastAsia="宋体" w:cs="宋体"/>
                <w:kern w:val="0"/>
                <w:sz w:val="18"/>
                <w:szCs w:val="18"/>
              </w:rPr>
              <w:t>，服务期为1年，并采用1+1+1年模式，具体采购内容及要求详见采购文件相关部分。</w:t>
            </w:r>
          </w:p>
        </w:tc>
      </w:tr>
      <w:tr w14:paraId="6E947B97">
        <w:tblPrEx>
          <w:tblCellMar>
            <w:top w:w="0" w:type="dxa"/>
            <w:left w:w="108" w:type="dxa"/>
            <w:bottom w:w="0" w:type="dxa"/>
            <w:right w:w="108"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105FA678">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4814BE7">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最高投标限价</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5F78B2FD">
            <w:pPr>
              <w:keepNext w:val="0"/>
              <w:keepLines w:val="0"/>
              <w:suppressLineNumbers w:val="0"/>
              <w:spacing w:before="0" w:beforeAutospacing="0" w:after="0" w:afterAutospacing="0"/>
              <w:ind w:left="0" w:right="0"/>
              <w:rPr>
                <w:rFonts w:hint="eastAsia" w:ascii="宋体" w:hAnsi="宋体" w:eastAsia="宋体" w:cs="宋体"/>
                <w:kern w:val="2"/>
                <w:sz w:val="18"/>
                <w:szCs w:val="18"/>
                <w:highlight w:val="none"/>
                <w:lang w:val="en-US" w:eastAsia="zh-CN" w:bidi="ar-SA"/>
              </w:rPr>
            </w:pPr>
            <w:r>
              <w:rPr>
                <w:rFonts w:hint="eastAsia" w:ascii="宋体" w:hAnsi="宋体" w:eastAsia="宋体" w:cs="宋体"/>
                <w:b/>
                <w:kern w:val="0"/>
                <w:sz w:val="18"/>
                <w:szCs w:val="18"/>
                <w:highlight w:val="none"/>
                <w:u w:val="single"/>
              </w:rPr>
              <w:t>▲本项目仅对折扣系数进行报价，折扣系数报价最高限价为100%，折扣系数报价大于100%）的作无效标处理</w:t>
            </w:r>
            <w:r>
              <w:rPr>
                <w:rFonts w:hint="eastAsia" w:ascii="宋体" w:hAnsi="宋体" w:eastAsia="宋体" w:cs="宋体"/>
                <w:b/>
                <w:kern w:val="0"/>
                <w:sz w:val="18"/>
                <w:szCs w:val="18"/>
                <w:highlight w:val="none"/>
              </w:rPr>
              <w:t>。</w:t>
            </w:r>
          </w:p>
        </w:tc>
      </w:tr>
      <w:tr w14:paraId="25E389E4">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1E2CF17">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5A96BC7">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服务期</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4E04EFE1">
            <w:pPr>
              <w:pStyle w:val="11"/>
              <w:keepNext w:val="0"/>
              <w:keepLines w:val="0"/>
              <w:suppressLineNumbers w:val="0"/>
              <w:spacing w:before="0" w:beforeAutospacing="0" w:after="0" w:afterAutospacing="0"/>
              <w:ind w:left="0" w:right="0"/>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供应商入库期限3年，合同采用1+1+1年模式，一年一签，续签合同的服务内容、要求和单价不变</w:t>
            </w:r>
            <w:r>
              <w:rPr>
                <w:rFonts w:hint="eastAsia" w:ascii="宋体" w:hAnsi="宋体" w:eastAsia="宋体" w:cs="宋体"/>
                <w:kern w:val="0"/>
                <w:sz w:val="18"/>
                <w:szCs w:val="18"/>
                <w:highlight w:val="none"/>
                <w:lang w:eastAsia="zh-CN"/>
              </w:rPr>
              <w:t>。</w:t>
            </w:r>
          </w:p>
          <w:p w14:paraId="6C0351D0">
            <w:pPr>
              <w:pStyle w:val="11"/>
              <w:keepNext w:val="0"/>
              <w:keepLines w:val="0"/>
              <w:suppressLineNumbers w:val="0"/>
              <w:spacing w:before="0" w:beforeAutospacing="0" w:after="0" w:afterAutospacing="0"/>
              <w:ind w:left="0" w:right="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在合同到期前由</w:t>
            </w:r>
            <w:r>
              <w:rPr>
                <w:rFonts w:hint="eastAsia" w:ascii="宋体" w:hAnsi="宋体" w:eastAsia="宋体" w:cs="宋体"/>
                <w:kern w:val="0"/>
                <w:sz w:val="18"/>
                <w:szCs w:val="18"/>
                <w:highlight w:val="none"/>
                <w:lang w:val="en-US" w:eastAsia="zh-CN"/>
              </w:rPr>
              <w:t>采购人</w:t>
            </w:r>
            <w:r>
              <w:rPr>
                <w:rFonts w:hint="eastAsia" w:ascii="宋体" w:hAnsi="宋体" w:eastAsia="宋体" w:cs="宋体"/>
                <w:kern w:val="0"/>
                <w:sz w:val="18"/>
                <w:szCs w:val="18"/>
                <w:highlight w:val="none"/>
              </w:rPr>
              <w:t>组织相关部门、单位根据</w:t>
            </w:r>
            <w:r>
              <w:rPr>
                <w:rFonts w:hint="eastAsia" w:ascii="宋体" w:hAnsi="宋体" w:eastAsia="宋体" w:cs="宋体"/>
                <w:kern w:val="0"/>
                <w:sz w:val="18"/>
                <w:szCs w:val="18"/>
                <w:highlight w:val="none"/>
                <w:lang w:val="en-US" w:eastAsia="zh-CN"/>
              </w:rPr>
              <w:t>供应商</w:t>
            </w:r>
            <w:r>
              <w:rPr>
                <w:rFonts w:hint="eastAsia" w:ascii="宋体" w:hAnsi="宋体" w:eastAsia="宋体" w:cs="宋体"/>
                <w:kern w:val="0"/>
                <w:sz w:val="18"/>
                <w:szCs w:val="18"/>
                <w:highlight w:val="none"/>
              </w:rPr>
              <w:t>服务质量、服务能力</w:t>
            </w:r>
            <w:r>
              <w:rPr>
                <w:rFonts w:hint="eastAsia" w:ascii="宋体" w:hAnsi="宋体" w:eastAsia="宋体" w:cs="宋体"/>
                <w:kern w:val="0"/>
                <w:sz w:val="18"/>
                <w:szCs w:val="18"/>
                <w:highlight w:val="none"/>
                <w:lang w:eastAsia="zh-CN"/>
              </w:rPr>
              <w:t>、</w:t>
            </w:r>
            <w:r>
              <w:rPr>
                <w:rFonts w:hint="eastAsia" w:ascii="宋体" w:hAnsi="宋体" w:eastAsia="宋体" w:cs="宋体"/>
                <w:kern w:val="0"/>
                <w:sz w:val="18"/>
                <w:szCs w:val="18"/>
                <w:highlight w:val="none"/>
                <w:lang w:val="en-US" w:eastAsia="zh-CN"/>
              </w:rPr>
              <w:t>客户满意度</w:t>
            </w:r>
            <w:r>
              <w:rPr>
                <w:rFonts w:hint="eastAsia" w:ascii="宋体" w:hAnsi="宋体" w:eastAsia="宋体" w:cs="宋体"/>
                <w:kern w:val="0"/>
                <w:sz w:val="18"/>
                <w:szCs w:val="18"/>
                <w:highlight w:val="none"/>
              </w:rPr>
              <w:t>等进行综合考评，考评合格的，如</w:t>
            </w:r>
            <w:r>
              <w:rPr>
                <w:rFonts w:hint="eastAsia" w:ascii="宋体" w:hAnsi="宋体" w:eastAsia="宋体" w:cs="宋体"/>
                <w:kern w:val="0"/>
                <w:sz w:val="18"/>
                <w:szCs w:val="18"/>
                <w:highlight w:val="none"/>
                <w:lang w:val="en-US" w:eastAsia="zh-CN"/>
              </w:rPr>
              <w:t>采购人</w:t>
            </w:r>
            <w:r>
              <w:rPr>
                <w:rFonts w:hint="eastAsia" w:ascii="宋体" w:hAnsi="宋体" w:eastAsia="宋体" w:cs="宋体"/>
                <w:kern w:val="0"/>
                <w:sz w:val="18"/>
                <w:szCs w:val="18"/>
                <w:highlight w:val="none"/>
              </w:rPr>
              <w:t>需要且</w:t>
            </w:r>
            <w:r>
              <w:rPr>
                <w:rFonts w:hint="eastAsia" w:ascii="宋体" w:hAnsi="宋体" w:eastAsia="宋体" w:cs="宋体"/>
                <w:kern w:val="0"/>
                <w:sz w:val="18"/>
                <w:szCs w:val="18"/>
                <w:highlight w:val="none"/>
                <w:lang w:val="en-US" w:eastAsia="zh-CN"/>
              </w:rPr>
              <w:t>供应商</w:t>
            </w:r>
            <w:r>
              <w:rPr>
                <w:rFonts w:hint="eastAsia" w:ascii="宋体" w:hAnsi="宋体" w:eastAsia="宋体" w:cs="宋体"/>
                <w:kern w:val="0"/>
                <w:sz w:val="18"/>
                <w:szCs w:val="18"/>
                <w:highlight w:val="none"/>
              </w:rPr>
              <w:t>提出申请，可以续签下一年供货服务合同，最多续签二次。即使具备续签条件，</w:t>
            </w:r>
            <w:r>
              <w:rPr>
                <w:rFonts w:hint="eastAsia" w:ascii="宋体" w:hAnsi="宋体" w:eastAsia="宋体" w:cs="宋体"/>
                <w:kern w:val="0"/>
                <w:sz w:val="18"/>
                <w:szCs w:val="18"/>
                <w:highlight w:val="none"/>
                <w:lang w:val="en-US" w:eastAsia="zh-CN"/>
              </w:rPr>
              <w:t>采购人</w:t>
            </w:r>
            <w:r>
              <w:rPr>
                <w:rFonts w:hint="eastAsia" w:ascii="宋体" w:hAnsi="宋体" w:eastAsia="宋体" w:cs="宋体"/>
                <w:kern w:val="0"/>
                <w:sz w:val="18"/>
                <w:szCs w:val="18"/>
                <w:highlight w:val="none"/>
              </w:rPr>
              <w:t>也有权不再签订下一年合同。</w:t>
            </w:r>
          </w:p>
        </w:tc>
      </w:tr>
      <w:tr w14:paraId="166BFFD3">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711F9655">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636727D">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投标供应商资格要求</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017894FA">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b/>
                <w:bCs/>
                <w:kern w:val="0"/>
                <w:sz w:val="18"/>
                <w:szCs w:val="18"/>
              </w:rPr>
              <w:t>见采购公告中的要求</w:t>
            </w:r>
          </w:p>
        </w:tc>
      </w:tr>
      <w:tr w14:paraId="5B51E5D8">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09F34E4B">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FD22A84">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是否接受联合体投标</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45884EF3">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b/>
                <w:kern w:val="0"/>
                <w:sz w:val="18"/>
                <w:szCs w:val="18"/>
              </w:rPr>
              <w:sym w:font="Wingdings" w:char="F0FE"/>
            </w:r>
            <w:r>
              <w:rPr>
                <w:rFonts w:hint="eastAsia" w:ascii="宋体" w:hAnsi="宋体" w:eastAsia="宋体" w:cs="宋体"/>
                <w:kern w:val="0"/>
                <w:sz w:val="18"/>
                <w:szCs w:val="18"/>
              </w:rPr>
              <w:t>不接受</w:t>
            </w:r>
          </w:p>
        </w:tc>
      </w:tr>
      <w:tr w14:paraId="6F65B154">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5A56AE40">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3AF561B">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踏勘现场</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742DFA14">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b/>
                <w:snapToGrid w:val="0"/>
                <w:sz w:val="18"/>
                <w:szCs w:val="18"/>
              </w:rPr>
              <w:sym w:font="Wingdings" w:char="F0FE"/>
            </w:r>
            <w:r>
              <w:rPr>
                <w:rFonts w:hint="eastAsia" w:ascii="宋体" w:hAnsi="宋体" w:eastAsia="宋体" w:cs="宋体"/>
                <w:kern w:val="0"/>
                <w:sz w:val="18"/>
                <w:szCs w:val="18"/>
              </w:rPr>
              <w:t>不组织</w:t>
            </w:r>
          </w:p>
        </w:tc>
      </w:tr>
      <w:tr w14:paraId="3AC7509D">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1C65620F">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1A77D61">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投标预备会</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71B081A5">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b/>
                <w:snapToGrid w:val="0"/>
                <w:sz w:val="18"/>
                <w:szCs w:val="18"/>
              </w:rPr>
              <w:sym w:font="Wingdings" w:char="F0FE"/>
            </w:r>
            <w:r>
              <w:rPr>
                <w:rFonts w:hint="eastAsia" w:ascii="宋体" w:hAnsi="宋体" w:eastAsia="宋体" w:cs="宋体"/>
                <w:kern w:val="0"/>
                <w:sz w:val="18"/>
                <w:szCs w:val="18"/>
              </w:rPr>
              <w:t>不召开</w:t>
            </w:r>
          </w:p>
        </w:tc>
      </w:tr>
      <w:tr w14:paraId="39B5A3F4">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342B253A">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70F6101">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投标供应商对采购文件提出澄清</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10AD02CD">
            <w:pPr>
              <w:keepNext w:val="0"/>
              <w:keepLines w:val="0"/>
              <w:suppressLineNumbers w:val="0"/>
              <w:spacing w:before="0" w:beforeAutospacing="0" w:after="0" w:afterAutospacing="0"/>
              <w:ind w:left="0" w:right="0"/>
              <w:rPr>
                <w:rFonts w:hint="eastAsia" w:ascii="宋体" w:hAnsi="宋体" w:eastAsia="宋体" w:cs="宋体"/>
                <w:b/>
                <w:bCs/>
                <w:color w:val="C00000"/>
                <w:kern w:val="0"/>
                <w:sz w:val="18"/>
                <w:szCs w:val="18"/>
              </w:rPr>
            </w:pPr>
            <w:r>
              <w:rPr>
                <w:rFonts w:hint="eastAsia" w:ascii="宋体" w:hAnsi="宋体" w:eastAsia="宋体" w:cs="宋体"/>
                <w:b/>
                <w:bCs/>
                <w:kern w:val="0"/>
                <w:sz w:val="18"/>
                <w:szCs w:val="18"/>
              </w:rPr>
              <w:t>询疑截止时间：</w:t>
            </w:r>
            <w:r>
              <w:rPr>
                <w:rFonts w:hint="eastAsia" w:ascii="宋体" w:hAnsi="宋体" w:eastAsia="宋体" w:cs="宋体"/>
                <w:b/>
                <w:bCs/>
                <w:color w:val="C00000"/>
                <w:kern w:val="0"/>
                <w:sz w:val="18"/>
                <w:szCs w:val="18"/>
              </w:rPr>
              <w:t>202</w:t>
            </w:r>
            <w:r>
              <w:rPr>
                <w:rFonts w:hint="eastAsia" w:ascii="宋体" w:hAnsi="宋体" w:eastAsia="宋体" w:cs="宋体"/>
                <w:b/>
                <w:bCs/>
                <w:color w:val="C00000"/>
                <w:kern w:val="0"/>
                <w:sz w:val="18"/>
                <w:szCs w:val="18"/>
                <w:lang w:val="en-US" w:eastAsia="zh-CN"/>
              </w:rPr>
              <w:t>4</w:t>
            </w:r>
            <w:r>
              <w:rPr>
                <w:rFonts w:hint="eastAsia" w:ascii="宋体" w:hAnsi="宋体" w:eastAsia="宋体" w:cs="宋体"/>
                <w:b/>
                <w:bCs/>
                <w:color w:val="C00000"/>
                <w:kern w:val="0"/>
                <w:sz w:val="18"/>
                <w:szCs w:val="18"/>
              </w:rPr>
              <w:t>年</w:t>
            </w:r>
            <w:r>
              <w:rPr>
                <w:rFonts w:hint="eastAsia" w:ascii="宋体" w:hAnsi="宋体" w:cs="宋体"/>
                <w:b/>
                <w:bCs/>
                <w:color w:val="C00000"/>
                <w:kern w:val="0"/>
                <w:sz w:val="18"/>
                <w:szCs w:val="18"/>
                <w:lang w:val="en-US" w:eastAsia="zh-CN"/>
              </w:rPr>
              <w:t>9</w:t>
            </w:r>
            <w:r>
              <w:rPr>
                <w:rFonts w:hint="eastAsia" w:ascii="宋体" w:hAnsi="宋体" w:eastAsia="宋体" w:cs="宋体"/>
                <w:b/>
                <w:bCs/>
                <w:color w:val="C00000"/>
                <w:kern w:val="0"/>
                <w:sz w:val="18"/>
                <w:szCs w:val="18"/>
              </w:rPr>
              <w:t>月</w:t>
            </w:r>
            <w:r>
              <w:rPr>
                <w:rFonts w:hint="eastAsia" w:ascii="宋体" w:hAnsi="宋体" w:cs="宋体"/>
                <w:b/>
                <w:bCs/>
                <w:color w:val="C00000"/>
                <w:kern w:val="0"/>
                <w:sz w:val="18"/>
                <w:szCs w:val="18"/>
                <w:lang w:val="en-US" w:eastAsia="zh-CN"/>
              </w:rPr>
              <w:t>3</w:t>
            </w:r>
            <w:r>
              <w:rPr>
                <w:rFonts w:hint="eastAsia" w:ascii="宋体" w:hAnsi="宋体" w:eastAsia="宋体" w:cs="宋体"/>
                <w:b/>
                <w:bCs/>
                <w:color w:val="C00000"/>
                <w:kern w:val="0"/>
                <w:sz w:val="18"/>
                <w:szCs w:val="18"/>
                <w:lang w:val="en-US" w:eastAsia="zh-CN"/>
              </w:rPr>
              <w:t xml:space="preserve"> </w:t>
            </w:r>
            <w:r>
              <w:rPr>
                <w:rFonts w:hint="eastAsia" w:ascii="宋体" w:hAnsi="宋体" w:eastAsia="宋体" w:cs="宋体"/>
                <w:b/>
                <w:bCs/>
                <w:color w:val="C00000"/>
                <w:kern w:val="0"/>
                <w:sz w:val="18"/>
                <w:szCs w:val="18"/>
              </w:rPr>
              <w:t>日</w:t>
            </w:r>
            <w:r>
              <w:rPr>
                <w:rFonts w:hint="eastAsia" w:ascii="宋体" w:hAnsi="宋体" w:cs="宋体"/>
                <w:b/>
                <w:bCs/>
                <w:color w:val="C00000"/>
                <w:kern w:val="0"/>
                <w:sz w:val="18"/>
                <w:szCs w:val="18"/>
                <w:lang w:val="en-US" w:eastAsia="zh-CN"/>
              </w:rPr>
              <w:t>17</w:t>
            </w:r>
            <w:r>
              <w:rPr>
                <w:rFonts w:hint="eastAsia" w:ascii="宋体" w:hAnsi="宋体" w:eastAsia="宋体" w:cs="宋体"/>
                <w:b/>
                <w:bCs/>
                <w:color w:val="C00000"/>
                <w:kern w:val="0"/>
                <w:sz w:val="18"/>
                <w:szCs w:val="18"/>
              </w:rPr>
              <w:t>时</w:t>
            </w:r>
            <w:r>
              <w:rPr>
                <w:rFonts w:hint="eastAsia" w:ascii="宋体" w:hAnsi="宋体" w:cs="宋体"/>
                <w:b/>
                <w:bCs/>
                <w:color w:val="C00000"/>
                <w:kern w:val="0"/>
                <w:sz w:val="18"/>
                <w:szCs w:val="18"/>
                <w:lang w:val="en-US" w:eastAsia="zh-CN"/>
              </w:rPr>
              <w:t>00分</w:t>
            </w:r>
            <w:r>
              <w:rPr>
                <w:rFonts w:hint="eastAsia" w:ascii="宋体" w:hAnsi="宋体" w:eastAsia="宋体" w:cs="宋体"/>
                <w:b/>
                <w:bCs/>
                <w:color w:val="C00000"/>
                <w:kern w:val="0"/>
                <w:sz w:val="18"/>
                <w:szCs w:val="18"/>
              </w:rPr>
              <w:t>之前</w:t>
            </w:r>
          </w:p>
          <w:p w14:paraId="21A6EB47">
            <w:pPr>
              <w:keepNext w:val="0"/>
              <w:keepLines w:val="0"/>
              <w:suppressLineNumbers w:val="0"/>
              <w:wordWrap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澄清文件提交：</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"mailto:质疑文件加盖公章后以照片或扫描件发送至邮箱517411407@qq.com" </w:instrText>
            </w:r>
            <w:r>
              <w:rPr>
                <w:rFonts w:hint="eastAsia" w:ascii="宋体" w:hAnsi="宋体" w:eastAsia="宋体" w:cs="宋体"/>
                <w:sz w:val="18"/>
                <w:szCs w:val="18"/>
              </w:rPr>
              <w:fldChar w:fldCharType="separate"/>
            </w:r>
            <w:r>
              <w:rPr>
                <w:rStyle w:val="43"/>
                <w:rFonts w:hint="eastAsia" w:ascii="宋体" w:hAnsi="宋体" w:eastAsia="宋体" w:cs="宋体"/>
                <w:color w:val="auto"/>
                <w:kern w:val="0"/>
                <w:sz w:val="18"/>
                <w:szCs w:val="18"/>
              </w:rPr>
              <w:t>澄清文件加盖公章后以照片或扫描件发送至邮箱1826066763@qq.com</w:t>
            </w:r>
            <w:r>
              <w:rPr>
                <w:rFonts w:hint="eastAsia" w:ascii="宋体" w:hAnsi="宋体" w:eastAsia="宋体" w:cs="宋体"/>
                <w:kern w:val="0"/>
                <w:sz w:val="18"/>
                <w:szCs w:val="18"/>
              </w:rPr>
              <w:fldChar w:fldCharType="end"/>
            </w:r>
          </w:p>
        </w:tc>
      </w:tr>
      <w:tr w14:paraId="1723F7B0">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6A583986">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C93DD0B">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是否允许递交备选投标方案</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05005B08">
            <w:pPr>
              <w:keepNext w:val="0"/>
              <w:keepLines w:val="0"/>
              <w:suppressLineNumbers w:val="0"/>
              <w:adjustRightInd w:val="0"/>
              <w:spacing w:before="0" w:beforeAutospacing="0" w:after="0" w:afterAutospacing="0"/>
              <w:ind w:left="0" w:right="0"/>
              <w:textAlignment w:val="baseline"/>
              <w:rPr>
                <w:rFonts w:hint="eastAsia" w:ascii="宋体" w:hAnsi="宋体" w:eastAsia="宋体" w:cs="宋体"/>
                <w:sz w:val="18"/>
                <w:szCs w:val="18"/>
              </w:rPr>
            </w:pPr>
            <w:r>
              <w:rPr>
                <w:rFonts w:hint="eastAsia" w:ascii="宋体" w:hAnsi="宋体" w:eastAsia="宋体" w:cs="宋体"/>
                <w:b/>
                <w:snapToGrid w:val="0"/>
                <w:sz w:val="18"/>
                <w:szCs w:val="18"/>
              </w:rPr>
              <w:sym w:font="Wingdings" w:char="F0FE"/>
            </w:r>
            <w:r>
              <w:rPr>
                <w:rFonts w:hint="eastAsia" w:ascii="宋体" w:hAnsi="宋体" w:eastAsia="宋体" w:cs="宋体"/>
                <w:kern w:val="0"/>
                <w:sz w:val="18"/>
                <w:szCs w:val="18"/>
              </w:rPr>
              <w:t>不允许</w:t>
            </w:r>
          </w:p>
        </w:tc>
      </w:tr>
      <w:tr w14:paraId="0CDBD50E">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0B129DA6">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F41A527">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是否退还投标文件</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39F0A4AF">
            <w:pPr>
              <w:keepNext w:val="0"/>
              <w:keepLines w:val="0"/>
              <w:widowControl/>
              <w:suppressLineNumbers w:val="0"/>
              <w:adjustRightInd w:val="0"/>
              <w:spacing w:before="0" w:beforeAutospacing="0" w:after="0" w:afterAutospacing="0"/>
              <w:ind w:left="0" w:right="0"/>
              <w:jc w:val="left"/>
              <w:textAlignment w:val="baseline"/>
              <w:rPr>
                <w:rFonts w:hint="eastAsia" w:ascii="宋体" w:hAnsi="宋体" w:eastAsia="宋体" w:cs="宋体"/>
                <w:kern w:val="0"/>
                <w:sz w:val="18"/>
                <w:szCs w:val="18"/>
              </w:rPr>
            </w:pPr>
            <w:r>
              <w:rPr>
                <w:rFonts w:hint="eastAsia" w:ascii="宋体" w:hAnsi="宋体" w:eastAsia="宋体" w:cs="宋体"/>
                <w:b/>
                <w:snapToGrid w:val="0"/>
                <w:sz w:val="18"/>
                <w:szCs w:val="18"/>
              </w:rPr>
              <w:sym w:font="Wingdings" w:char="F0FE"/>
            </w:r>
            <w:r>
              <w:rPr>
                <w:rFonts w:hint="eastAsia" w:ascii="宋体" w:hAnsi="宋体" w:eastAsia="宋体" w:cs="宋体"/>
                <w:kern w:val="0"/>
                <w:sz w:val="18"/>
                <w:szCs w:val="18"/>
              </w:rPr>
              <w:t>否，证照、证件和证明文件原件除外</w:t>
            </w:r>
          </w:p>
        </w:tc>
      </w:tr>
      <w:tr w14:paraId="29918A07">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4D04981F">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A060AE6">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偏离</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79F207D1">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偏差允许幅度及其处理方法：允许细微偏差，不允许重大偏差。由评标委员会判断，细微偏差要求投标供应商在评标结束前予以澄清、说明或补正，不按要求进行的澄清、说明或补正的，评标委员会有权做无效标处理，详见第一部分投标供应商须知条款“23.</w:t>
            </w:r>
            <w:r>
              <w:rPr>
                <w:rFonts w:hint="eastAsia" w:ascii="宋体" w:hAnsi="宋体" w:eastAsia="宋体" w:cs="宋体"/>
                <w:sz w:val="18"/>
                <w:szCs w:val="18"/>
              </w:rPr>
              <w:t>投标文件的澄清</w:t>
            </w:r>
            <w:r>
              <w:rPr>
                <w:rFonts w:hint="eastAsia" w:ascii="宋体" w:hAnsi="宋体" w:eastAsia="宋体" w:cs="宋体"/>
                <w:kern w:val="0"/>
                <w:sz w:val="18"/>
                <w:szCs w:val="18"/>
              </w:rPr>
              <w:t>”</w:t>
            </w:r>
          </w:p>
        </w:tc>
      </w:tr>
      <w:tr w14:paraId="7D71F1EF">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A392A8F">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076D2D4">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投标有效期</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00E22070">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投标文件自投标文件递交截止时间起生效，有效期90天。</w:t>
            </w:r>
          </w:p>
        </w:tc>
      </w:tr>
      <w:tr w14:paraId="40215EBB">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6DEFBD39">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0AFB260">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投标保证金</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21024E12">
            <w:pPr>
              <w:keepNext w:val="0"/>
              <w:keepLines w:val="0"/>
              <w:suppressLineNumbers w:val="0"/>
              <w:spacing w:before="0" w:beforeAutospacing="0" w:after="0" w:afterAutospacing="0"/>
              <w:ind w:left="0" w:right="0"/>
              <w:rPr>
                <w:rFonts w:hint="eastAsia" w:ascii="宋体" w:hAnsi="宋体" w:eastAsia="宋体" w:cs="宋体"/>
                <w:b/>
                <w:kern w:val="0"/>
                <w:sz w:val="18"/>
                <w:szCs w:val="18"/>
              </w:rPr>
            </w:pPr>
            <w:r>
              <w:rPr>
                <w:rFonts w:hint="eastAsia" w:ascii="宋体" w:hAnsi="宋体" w:eastAsia="宋体" w:cs="宋体"/>
                <w:kern w:val="0"/>
                <w:sz w:val="18"/>
                <w:szCs w:val="18"/>
              </w:rPr>
              <w:t>见采购公告内容</w:t>
            </w:r>
          </w:p>
        </w:tc>
      </w:tr>
      <w:tr w14:paraId="1293AA9E">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7DE87D9D">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49EBFBDA">
            <w:pPr>
              <w:keepNext w:val="0"/>
              <w:keepLines w:val="0"/>
              <w:suppressLineNumbers w:val="0"/>
              <w:spacing w:before="0" w:beforeAutospacing="0" w:after="0" w:afterAutospacing="0"/>
              <w:ind w:left="0" w:right="0"/>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2D071BB8">
            <w:pPr>
              <w:keepNext w:val="0"/>
              <w:keepLines w:val="0"/>
              <w:suppressLineNumbers w:val="0"/>
              <w:spacing w:before="0" w:beforeAutospacing="0" w:after="0" w:afterAutospacing="0" w:line="240" w:lineRule="exact"/>
              <w:ind w:left="0" w:right="0" w:firstLine="360" w:firstLineChars="2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1）技术资信标一式</w:t>
            </w:r>
            <w:r>
              <w:rPr>
                <w:rFonts w:hint="eastAsia" w:ascii="宋体" w:hAnsi="宋体" w:eastAsia="宋体" w:cs="宋体"/>
                <w:color w:val="auto"/>
                <w:kern w:val="0"/>
                <w:sz w:val="18"/>
                <w:szCs w:val="18"/>
                <w:highlight w:val="none"/>
                <w:lang w:val="en-US" w:eastAsia="zh-CN"/>
              </w:rPr>
              <w:t>七</w:t>
            </w:r>
            <w:r>
              <w:rPr>
                <w:rFonts w:hint="eastAsia" w:ascii="宋体" w:hAnsi="宋体" w:eastAsia="宋体" w:cs="宋体"/>
                <w:color w:val="auto"/>
                <w:kern w:val="0"/>
                <w:sz w:val="18"/>
                <w:szCs w:val="18"/>
                <w:highlight w:val="none"/>
              </w:rPr>
              <w:t>份，正本一份，副本</w:t>
            </w:r>
            <w:r>
              <w:rPr>
                <w:rFonts w:hint="eastAsia" w:ascii="宋体" w:hAnsi="宋体" w:eastAsia="宋体" w:cs="宋体"/>
                <w:color w:val="auto"/>
                <w:kern w:val="0"/>
                <w:sz w:val="18"/>
                <w:szCs w:val="18"/>
                <w:highlight w:val="none"/>
                <w:lang w:val="en-US" w:eastAsia="zh-CN"/>
              </w:rPr>
              <w:t>六</w:t>
            </w:r>
            <w:r>
              <w:rPr>
                <w:rFonts w:hint="eastAsia" w:ascii="宋体" w:hAnsi="宋体" w:eastAsia="宋体" w:cs="宋体"/>
                <w:color w:val="auto"/>
                <w:kern w:val="0"/>
                <w:sz w:val="18"/>
                <w:szCs w:val="18"/>
                <w:highlight w:val="none"/>
              </w:rPr>
              <w:t>份；</w:t>
            </w:r>
          </w:p>
          <w:p w14:paraId="4986EC75">
            <w:pPr>
              <w:keepNext w:val="0"/>
              <w:keepLines w:val="0"/>
              <w:suppressLineNumbers w:val="0"/>
              <w:spacing w:before="0" w:beforeAutospacing="0" w:after="0" w:afterAutospacing="0"/>
              <w:ind w:left="0" w:right="0" w:firstLine="360" w:firstLineChars="200"/>
              <w:rPr>
                <w:rFonts w:hint="eastAsia" w:ascii="宋体" w:hAnsi="宋体" w:eastAsia="宋体" w:cs="宋体"/>
                <w:kern w:val="0"/>
                <w:sz w:val="18"/>
                <w:szCs w:val="18"/>
                <w:highlight w:val="none"/>
                <w:lang w:eastAsia="zh-CN"/>
              </w:rPr>
            </w:pPr>
            <w:r>
              <w:rPr>
                <w:rFonts w:hint="eastAsia" w:ascii="宋体" w:hAnsi="宋体" w:eastAsia="宋体" w:cs="宋体"/>
                <w:color w:val="auto"/>
                <w:kern w:val="0"/>
                <w:sz w:val="18"/>
                <w:szCs w:val="18"/>
                <w:highlight w:val="none"/>
              </w:rPr>
              <w:t>2）商务（报价）标一式</w:t>
            </w:r>
            <w:r>
              <w:rPr>
                <w:rFonts w:hint="eastAsia" w:ascii="宋体" w:hAnsi="宋体" w:eastAsia="宋体" w:cs="宋体"/>
                <w:color w:val="auto"/>
                <w:kern w:val="0"/>
                <w:sz w:val="18"/>
                <w:szCs w:val="18"/>
                <w:highlight w:val="none"/>
                <w:lang w:val="en-US" w:eastAsia="zh-CN"/>
              </w:rPr>
              <w:t>七</w:t>
            </w:r>
            <w:r>
              <w:rPr>
                <w:rFonts w:hint="eastAsia" w:ascii="宋体" w:hAnsi="宋体" w:eastAsia="宋体" w:cs="宋体"/>
                <w:color w:val="auto"/>
                <w:kern w:val="0"/>
                <w:sz w:val="18"/>
                <w:szCs w:val="18"/>
                <w:highlight w:val="none"/>
              </w:rPr>
              <w:t>份，正本一份，副本</w:t>
            </w:r>
            <w:r>
              <w:rPr>
                <w:rFonts w:hint="eastAsia" w:ascii="宋体" w:hAnsi="宋体" w:eastAsia="宋体" w:cs="宋体"/>
                <w:color w:val="auto"/>
                <w:kern w:val="0"/>
                <w:sz w:val="18"/>
                <w:szCs w:val="18"/>
                <w:highlight w:val="none"/>
                <w:lang w:val="en-US" w:eastAsia="zh-CN"/>
              </w:rPr>
              <w:t>六</w:t>
            </w:r>
            <w:r>
              <w:rPr>
                <w:rFonts w:hint="eastAsia" w:ascii="宋体" w:hAnsi="宋体" w:eastAsia="宋体" w:cs="宋体"/>
                <w:color w:val="auto"/>
                <w:kern w:val="0"/>
                <w:sz w:val="18"/>
                <w:szCs w:val="18"/>
                <w:highlight w:val="none"/>
              </w:rPr>
              <w:t>份</w:t>
            </w:r>
            <w:r>
              <w:rPr>
                <w:rFonts w:hint="eastAsia" w:ascii="宋体" w:hAnsi="宋体" w:eastAsia="宋体" w:cs="宋体"/>
                <w:color w:val="auto"/>
                <w:kern w:val="0"/>
                <w:sz w:val="18"/>
                <w:szCs w:val="18"/>
                <w:highlight w:val="none"/>
                <w:lang w:eastAsia="zh-CN"/>
              </w:rPr>
              <w:t>。</w:t>
            </w:r>
          </w:p>
        </w:tc>
      </w:tr>
      <w:tr w14:paraId="2B55AC02">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7440F614">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169E79CA">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156EEED0">
            <w:pPr>
              <w:keepNext w:val="0"/>
              <w:keepLines w:val="0"/>
              <w:suppressLineNumbers w:val="0"/>
              <w:spacing w:before="0" w:beforeAutospacing="0" w:after="0" w:afterAutospacing="0"/>
              <w:ind w:left="0" w:right="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C00000"/>
                <w:kern w:val="0"/>
                <w:sz w:val="18"/>
                <w:szCs w:val="18"/>
                <w:highlight w:val="none"/>
              </w:rPr>
              <w:t>202</w:t>
            </w:r>
            <w:r>
              <w:rPr>
                <w:rFonts w:hint="eastAsia" w:ascii="宋体" w:hAnsi="宋体" w:eastAsia="宋体" w:cs="宋体"/>
                <w:b/>
                <w:bCs/>
                <w:color w:val="C00000"/>
                <w:kern w:val="0"/>
                <w:sz w:val="18"/>
                <w:szCs w:val="18"/>
                <w:highlight w:val="none"/>
                <w:lang w:val="en-US" w:eastAsia="zh-CN"/>
              </w:rPr>
              <w:t>4</w:t>
            </w:r>
            <w:r>
              <w:rPr>
                <w:rFonts w:hint="eastAsia" w:ascii="宋体" w:hAnsi="宋体" w:eastAsia="宋体" w:cs="宋体"/>
                <w:b/>
                <w:bCs/>
                <w:color w:val="C00000"/>
                <w:kern w:val="0"/>
                <w:sz w:val="18"/>
                <w:szCs w:val="18"/>
                <w:highlight w:val="none"/>
              </w:rPr>
              <w:t>年</w:t>
            </w:r>
            <w:r>
              <w:rPr>
                <w:rFonts w:hint="eastAsia" w:ascii="宋体" w:hAnsi="宋体" w:cs="宋体"/>
                <w:b/>
                <w:bCs/>
                <w:color w:val="C00000"/>
                <w:kern w:val="0"/>
                <w:sz w:val="18"/>
                <w:szCs w:val="18"/>
                <w:highlight w:val="none"/>
                <w:lang w:val="en-US" w:eastAsia="zh-CN"/>
              </w:rPr>
              <w:t>9</w:t>
            </w:r>
            <w:r>
              <w:rPr>
                <w:rFonts w:hint="eastAsia" w:ascii="宋体" w:hAnsi="宋体" w:eastAsia="宋体" w:cs="宋体"/>
                <w:b/>
                <w:bCs/>
                <w:color w:val="C00000"/>
                <w:kern w:val="0"/>
                <w:sz w:val="18"/>
                <w:szCs w:val="18"/>
                <w:highlight w:val="none"/>
              </w:rPr>
              <w:t>月</w:t>
            </w:r>
            <w:r>
              <w:rPr>
                <w:rFonts w:hint="eastAsia" w:ascii="宋体" w:hAnsi="宋体" w:cs="宋体"/>
                <w:b/>
                <w:bCs/>
                <w:color w:val="C00000"/>
                <w:kern w:val="0"/>
                <w:sz w:val="18"/>
                <w:szCs w:val="18"/>
                <w:highlight w:val="none"/>
                <w:lang w:val="en-US" w:eastAsia="zh-CN"/>
              </w:rPr>
              <w:t>19</w:t>
            </w:r>
            <w:r>
              <w:rPr>
                <w:rFonts w:hint="eastAsia" w:ascii="宋体" w:hAnsi="宋体" w:eastAsia="宋体" w:cs="宋体"/>
                <w:b/>
                <w:bCs/>
                <w:color w:val="C00000"/>
                <w:kern w:val="0"/>
                <w:sz w:val="18"/>
                <w:szCs w:val="18"/>
                <w:highlight w:val="none"/>
              </w:rPr>
              <w:t>日9时30分</w:t>
            </w:r>
          </w:p>
          <w:p w14:paraId="77AE85F4">
            <w:pPr>
              <w:keepNext w:val="0"/>
              <w:keepLines w:val="0"/>
              <w:suppressLineNumbers w:val="0"/>
              <w:spacing w:before="0" w:beforeAutospacing="0" w:after="0" w:afterAutospacing="0"/>
              <w:ind w:left="0" w:right="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递交地点：温州市政务服务管理中心收标区 (温州市鹿城区会展路1268号温州市民中心A座3楼公共资源交易专区)（详见当天大厅大屏幕）</w:t>
            </w:r>
          </w:p>
        </w:tc>
      </w:tr>
      <w:tr w14:paraId="6ADC6536">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14408826">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9E871EC">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开标时间</w:t>
            </w:r>
          </w:p>
          <w:p w14:paraId="791192CB">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和地点</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4D9EAE3A">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开标时间：同投标文件递交截止时间</w:t>
            </w:r>
          </w:p>
          <w:p w14:paraId="03002FD5">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开标地点：温州市政务服务管理中心开标区</w:t>
            </w:r>
          </w:p>
        </w:tc>
      </w:tr>
      <w:tr w14:paraId="4A104CC8">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E8AE648">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34DA217">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开标程序</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7892736D">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1.宣布开标纪律；</w:t>
            </w:r>
          </w:p>
          <w:p w14:paraId="230F51D3">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2.公布在投标截止时间前递交投标文件的投标供应商名称，并点名确认投标供应商是否派授权代表到场；</w:t>
            </w:r>
          </w:p>
          <w:p w14:paraId="721A5F21">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3.宣布唱标人、记录人、监督人员等有关人员姓名；</w:t>
            </w:r>
          </w:p>
          <w:p w14:paraId="0DDE7FF9">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4.密封情况检查：由投标供应商或其推选的代表检查投标文件密封情况；</w:t>
            </w:r>
          </w:p>
          <w:p w14:paraId="599FF003">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b/>
                <w:bCs/>
                <w:sz w:val="18"/>
                <w:szCs w:val="18"/>
              </w:rPr>
              <w:t>开标顺序：同时开启技术资信部分投标文件、商务（报价）文件</w:t>
            </w:r>
            <w:r>
              <w:rPr>
                <w:rFonts w:hint="eastAsia" w:ascii="宋体" w:hAnsi="宋体" w:eastAsia="宋体" w:cs="宋体"/>
                <w:sz w:val="18"/>
                <w:szCs w:val="18"/>
              </w:rPr>
              <w:t>；</w:t>
            </w:r>
          </w:p>
          <w:p w14:paraId="7435C1C5">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6.确认开标结果：投标供应商授权代表对开标记录进行当场校核及勘误，并签字确认；并同时由记录人、监督人当场签字确认。</w:t>
            </w:r>
          </w:p>
          <w:p w14:paraId="4595BC6E">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7.宣布开标结束。</w:t>
            </w:r>
          </w:p>
          <w:p w14:paraId="3E4EDF5F">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sz w:val="18"/>
                <w:szCs w:val="18"/>
              </w:rPr>
              <w:t>8.投标供应商授权代表未参加开标会议；未到场签字确认的，不影响开标，</w:t>
            </w:r>
            <w:r>
              <w:rPr>
                <w:rFonts w:hint="eastAsia" w:ascii="宋体" w:hAnsi="宋体" w:eastAsia="宋体" w:cs="宋体"/>
                <w:sz w:val="18"/>
                <w:szCs w:val="18"/>
                <w:lang w:val="en-US" w:eastAsia="zh-CN"/>
              </w:rPr>
              <w:t>开</w:t>
            </w:r>
            <w:r>
              <w:rPr>
                <w:rFonts w:hint="eastAsia" w:ascii="宋体" w:hAnsi="宋体" w:eastAsia="宋体" w:cs="宋体"/>
                <w:sz w:val="18"/>
                <w:szCs w:val="18"/>
              </w:rPr>
              <w:t>标过程，视同认可开标结果；事后不得对采购相关人员、开标过程和开标结果提出异议。</w:t>
            </w:r>
          </w:p>
        </w:tc>
      </w:tr>
      <w:tr w14:paraId="20E1AA78">
        <w:tblPrEx>
          <w:tblCellMar>
            <w:top w:w="0" w:type="dxa"/>
            <w:left w:w="108" w:type="dxa"/>
            <w:bottom w:w="0" w:type="dxa"/>
            <w:right w:w="108"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777DF9F8">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55B41E40">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评标委员会</w:t>
            </w:r>
          </w:p>
          <w:p w14:paraId="052ADED8">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的组建</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630748FB">
            <w:pPr>
              <w:keepNext w:val="0"/>
              <w:keepLines w:val="0"/>
              <w:suppressLineNumbers w:val="0"/>
              <w:spacing w:before="0" w:beforeAutospacing="0" w:after="0" w:afterAutospacing="0"/>
              <w:ind w:left="0" w:right="0"/>
              <w:rPr>
                <w:rFonts w:hint="eastAsia" w:ascii="宋体" w:hAnsi="宋体" w:eastAsia="宋体" w:cs="宋体"/>
                <w:color w:val="auto"/>
                <w:kern w:val="0"/>
                <w:sz w:val="18"/>
                <w:szCs w:val="18"/>
              </w:rPr>
            </w:pPr>
            <w:r>
              <w:rPr>
                <w:rFonts w:hint="eastAsia" w:ascii="宋体" w:hAnsi="宋体" w:eastAsia="宋体" w:cs="宋体"/>
                <w:color w:val="auto"/>
                <w:sz w:val="18"/>
                <w:szCs w:val="18"/>
              </w:rPr>
              <w:t>评标委员会成员依法由采购人代表和有关技术、经济等方面的专家组成，人数为5人及以上单数，除采购人代表外的专家将在有关评标专家库中按规定抽取产生。</w:t>
            </w:r>
          </w:p>
        </w:tc>
      </w:tr>
      <w:tr w14:paraId="30553B5E">
        <w:tblPrEx>
          <w:tblCellMar>
            <w:top w:w="0" w:type="dxa"/>
            <w:left w:w="108" w:type="dxa"/>
            <w:bottom w:w="0" w:type="dxa"/>
            <w:right w:w="108" w:type="dxa"/>
          </w:tblCellMar>
        </w:tblPrEx>
        <w:trPr>
          <w:trHeight w:val="90"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3F87AB8">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0F584045">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确定中标人</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19642858">
            <w:pPr>
              <w:keepNext w:val="0"/>
              <w:keepLines w:val="0"/>
              <w:suppressLineNumbers w:val="0"/>
              <w:spacing w:before="0" w:beforeAutospacing="0" w:after="0" w:afterAutospacing="0"/>
              <w:ind w:left="0" w:right="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1、最多确定3家中标入围供应商。</w:t>
            </w:r>
          </w:p>
          <w:p w14:paraId="63976980">
            <w:pPr>
              <w:keepNext w:val="0"/>
              <w:keepLines w:val="0"/>
              <w:suppressLineNumbers w:val="0"/>
              <w:spacing w:before="0" w:beforeAutospacing="0" w:after="0" w:afterAutospacing="0"/>
              <w:ind w:left="0" w:right="0"/>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2、第一合同年度</w:t>
            </w:r>
            <w:r>
              <w:rPr>
                <w:rFonts w:hint="eastAsia" w:ascii="宋体" w:hAnsi="宋体" w:eastAsia="宋体" w:cs="宋体"/>
                <w:b/>
                <w:bCs/>
                <w:color w:val="auto"/>
                <w:sz w:val="18"/>
                <w:szCs w:val="18"/>
              </w:rPr>
              <w:t>中标入围</w:t>
            </w:r>
            <w:r>
              <w:rPr>
                <w:rFonts w:hint="eastAsia" w:ascii="宋体" w:hAnsi="宋体" w:eastAsia="宋体" w:cs="宋体"/>
                <w:b/>
                <w:bCs/>
                <w:color w:val="auto"/>
                <w:sz w:val="18"/>
                <w:szCs w:val="18"/>
                <w:lang w:val="en-US" w:eastAsia="zh-CN"/>
              </w:rPr>
              <w:t>供应商各项业务量</w:t>
            </w:r>
            <w:r>
              <w:rPr>
                <w:rFonts w:hint="eastAsia" w:ascii="宋体" w:hAnsi="宋体" w:eastAsia="宋体" w:cs="宋体"/>
                <w:b/>
                <w:bCs/>
                <w:color w:val="auto"/>
                <w:sz w:val="18"/>
                <w:szCs w:val="18"/>
              </w:rPr>
              <w:t>分配原则：</w:t>
            </w:r>
          </w:p>
          <w:p w14:paraId="3F159E5B">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1）如中标入围人为3家时：</w:t>
            </w:r>
          </w:p>
          <w:p w14:paraId="753582D5">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（1）</w:t>
            </w:r>
            <w:r>
              <w:rPr>
                <w:rFonts w:hint="eastAsia" w:ascii="宋体" w:hAnsi="宋体" w:eastAsia="宋体" w:cs="宋体"/>
                <w:b/>
                <w:bCs/>
                <w:color w:val="auto"/>
                <w:sz w:val="18"/>
                <w:szCs w:val="18"/>
              </w:rPr>
              <w:t>原则上综合得分排名第一的中标入围</w:t>
            </w:r>
            <w:r>
              <w:rPr>
                <w:rFonts w:hint="eastAsia" w:ascii="宋体" w:hAnsi="宋体" w:eastAsia="宋体" w:cs="宋体"/>
                <w:b/>
                <w:bCs/>
                <w:color w:val="auto"/>
                <w:sz w:val="18"/>
                <w:szCs w:val="18"/>
                <w:lang w:val="en-US" w:eastAsia="zh-CN"/>
              </w:rPr>
              <w:t>供应商业务分配量为各项业务年度总量的</w:t>
            </w:r>
            <w:r>
              <w:rPr>
                <w:rFonts w:hint="eastAsia" w:ascii="宋体" w:hAnsi="宋体" w:eastAsia="宋体" w:cs="宋体"/>
                <w:b/>
                <w:bCs/>
                <w:color w:val="auto"/>
                <w:sz w:val="18"/>
                <w:szCs w:val="18"/>
              </w:rPr>
              <w:t>4</w:t>
            </w:r>
            <w:r>
              <w:rPr>
                <w:rFonts w:hint="eastAsia" w:ascii="宋体" w:hAnsi="宋体" w:eastAsia="宋体" w:cs="宋体"/>
                <w:b/>
                <w:bCs/>
                <w:color w:val="auto"/>
                <w:sz w:val="18"/>
                <w:szCs w:val="18"/>
                <w:lang w:val="en-US" w:eastAsia="zh-CN"/>
              </w:rPr>
              <w:t>1</w:t>
            </w:r>
            <w:r>
              <w:rPr>
                <w:rFonts w:hint="eastAsia" w:ascii="宋体" w:hAnsi="宋体" w:eastAsia="宋体" w:cs="宋体"/>
                <w:b/>
                <w:bCs/>
                <w:color w:val="auto"/>
                <w:sz w:val="18"/>
                <w:szCs w:val="18"/>
              </w:rPr>
              <w:t>%，综合得分排名第二的中标</w:t>
            </w:r>
            <w:r>
              <w:rPr>
                <w:rFonts w:hint="eastAsia" w:ascii="宋体" w:hAnsi="宋体" w:eastAsia="宋体" w:cs="宋体"/>
                <w:b/>
                <w:bCs/>
                <w:color w:val="auto"/>
                <w:sz w:val="18"/>
                <w:szCs w:val="18"/>
                <w:lang w:val="en-US" w:eastAsia="zh-CN"/>
              </w:rPr>
              <w:t>供应商业务分配量为33</w:t>
            </w:r>
            <w:r>
              <w:rPr>
                <w:rFonts w:hint="eastAsia" w:ascii="宋体" w:hAnsi="宋体" w:eastAsia="宋体" w:cs="宋体"/>
                <w:b/>
                <w:bCs/>
                <w:color w:val="auto"/>
                <w:sz w:val="18"/>
                <w:szCs w:val="18"/>
              </w:rPr>
              <w:t>%，综合得分排名第三的中标供应商业务分配量为</w:t>
            </w:r>
            <w:r>
              <w:rPr>
                <w:rFonts w:hint="eastAsia" w:ascii="宋体" w:hAnsi="宋体" w:eastAsia="宋体" w:cs="宋体"/>
                <w:b/>
                <w:bCs/>
                <w:color w:val="auto"/>
                <w:sz w:val="18"/>
                <w:szCs w:val="18"/>
                <w:lang w:val="en-US" w:eastAsia="zh-CN"/>
              </w:rPr>
              <w:t>26</w:t>
            </w:r>
            <w:r>
              <w:rPr>
                <w:rFonts w:hint="eastAsia" w:ascii="宋体" w:hAnsi="宋体" w:eastAsia="宋体" w:cs="宋体"/>
                <w:b/>
                <w:bCs/>
                <w:color w:val="auto"/>
                <w:sz w:val="18"/>
                <w:szCs w:val="18"/>
              </w:rPr>
              <w:t>%。</w:t>
            </w:r>
          </w:p>
          <w:p w14:paraId="405E8978">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2）如中标入围人为2家时：</w:t>
            </w:r>
          </w:p>
          <w:p w14:paraId="7CA5EC64">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w:t>
            </w:r>
            <w:r>
              <w:rPr>
                <w:rFonts w:hint="eastAsia" w:ascii="宋体" w:hAnsi="宋体" w:eastAsia="宋体" w:cs="宋体"/>
                <w:b/>
                <w:bCs/>
                <w:color w:val="auto"/>
                <w:sz w:val="18"/>
                <w:szCs w:val="18"/>
              </w:rPr>
              <w:t>原则上综合得分排名第一的中标入围</w:t>
            </w:r>
            <w:r>
              <w:rPr>
                <w:rFonts w:hint="eastAsia" w:ascii="宋体" w:hAnsi="宋体" w:eastAsia="宋体" w:cs="宋体"/>
                <w:b/>
                <w:bCs/>
                <w:color w:val="auto"/>
                <w:sz w:val="18"/>
                <w:szCs w:val="18"/>
                <w:lang w:val="en-US" w:eastAsia="zh-CN"/>
              </w:rPr>
              <w:t>供应商业务分配量为各项业务年度总量的60</w:t>
            </w:r>
            <w:r>
              <w:rPr>
                <w:rFonts w:hint="eastAsia" w:ascii="宋体" w:hAnsi="宋体" w:eastAsia="宋体" w:cs="宋体"/>
                <w:b/>
                <w:bCs/>
                <w:color w:val="auto"/>
                <w:sz w:val="18"/>
                <w:szCs w:val="18"/>
              </w:rPr>
              <w:t>%，综合得分排名第二的中标</w:t>
            </w:r>
            <w:r>
              <w:rPr>
                <w:rFonts w:hint="eastAsia" w:ascii="宋体" w:hAnsi="宋体" w:eastAsia="宋体" w:cs="宋体"/>
                <w:b/>
                <w:bCs/>
                <w:color w:val="auto"/>
                <w:sz w:val="18"/>
                <w:szCs w:val="18"/>
                <w:lang w:val="en-US" w:eastAsia="zh-CN"/>
              </w:rPr>
              <w:t>供应商业务分配量为40</w:t>
            </w:r>
            <w:r>
              <w:rPr>
                <w:rFonts w:hint="eastAsia" w:ascii="宋体" w:hAnsi="宋体" w:eastAsia="宋体" w:cs="宋体"/>
                <w:b/>
                <w:bCs/>
                <w:color w:val="auto"/>
                <w:sz w:val="18"/>
                <w:szCs w:val="18"/>
              </w:rPr>
              <w:t>%。</w:t>
            </w:r>
          </w:p>
          <w:p w14:paraId="43F4A5D2">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3）</w:t>
            </w:r>
            <w:r>
              <w:rPr>
                <w:rFonts w:hint="eastAsia" w:ascii="宋体" w:hAnsi="宋体" w:eastAsia="宋体" w:cs="宋体"/>
                <w:b/>
                <w:bCs/>
                <w:color w:val="auto"/>
                <w:sz w:val="18"/>
                <w:szCs w:val="18"/>
              </w:rPr>
              <w:t>采购文件第三部分“投标文件的编制格式”附件五“中标折扣系数承诺函”中明确的“中标折扣系数、综合单价”为</w:t>
            </w:r>
            <w:r>
              <w:rPr>
                <w:rFonts w:hint="eastAsia" w:ascii="宋体" w:hAnsi="宋体" w:eastAsia="宋体" w:cs="宋体"/>
                <w:b/>
                <w:bCs/>
                <w:color w:val="auto"/>
                <w:sz w:val="18"/>
                <w:szCs w:val="18"/>
                <w:lang w:val="en-US" w:eastAsia="zh-CN"/>
              </w:rPr>
              <w:t>各</w:t>
            </w:r>
            <w:r>
              <w:rPr>
                <w:rFonts w:hint="eastAsia" w:ascii="宋体" w:hAnsi="宋体" w:eastAsia="宋体" w:cs="宋体"/>
                <w:b/>
                <w:bCs/>
                <w:color w:val="auto"/>
                <w:sz w:val="18"/>
                <w:szCs w:val="18"/>
              </w:rPr>
              <w:t>中标入围</w:t>
            </w:r>
            <w:r>
              <w:rPr>
                <w:rFonts w:hint="eastAsia" w:ascii="宋体" w:hAnsi="宋体" w:eastAsia="宋体" w:cs="宋体"/>
                <w:b/>
                <w:bCs/>
                <w:color w:val="auto"/>
                <w:sz w:val="18"/>
                <w:szCs w:val="18"/>
                <w:lang w:val="en-US" w:eastAsia="zh-CN"/>
              </w:rPr>
              <w:t>供应商</w:t>
            </w:r>
            <w:r>
              <w:rPr>
                <w:rFonts w:hint="eastAsia" w:ascii="宋体" w:hAnsi="宋体" w:eastAsia="宋体" w:cs="宋体"/>
                <w:b/>
                <w:bCs/>
                <w:color w:val="auto"/>
                <w:sz w:val="18"/>
                <w:szCs w:val="18"/>
              </w:rPr>
              <w:t>的实际</w:t>
            </w:r>
            <w:r>
              <w:rPr>
                <w:rFonts w:hint="eastAsia" w:ascii="宋体" w:hAnsi="宋体" w:eastAsia="宋体" w:cs="宋体"/>
                <w:b/>
                <w:bCs/>
                <w:color w:val="auto"/>
                <w:sz w:val="18"/>
                <w:szCs w:val="18"/>
                <w:lang w:val="en-US" w:eastAsia="zh-CN"/>
              </w:rPr>
              <w:t>合同</w:t>
            </w:r>
            <w:r>
              <w:rPr>
                <w:rFonts w:hint="eastAsia" w:ascii="宋体" w:hAnsi="宋体" w:eastAsia="宋体" w:cs="宋体"/>
                <w:b/>
                <w:bCs/>
                <w:color w:val="auto"/>
                <w:sz w:val="18"/>
                <w:szCs w:val="18"/>
              </w:rPr>
              <w:t>价。</w:t>
            </w:r>
          </w:p>
          <w:p w14:paraId="0E3E21BA">
            <w:pPr>
              <w:pStyle w:val="3"/>
              <w:keepLines w:val="0"/>
              <w:suppressLineNumbers w:val="0"/>
              <w:spacing w:before="0" w:beforeAutospacing="0" w:after="0" w:afterAutospacing="0"/>
              <w:ind w:left="0" w:right="0"/>
              <w:jc w:val="both"/>
              <w:rPr>
                <w:rFonts w:hint="eastAsia" w:ascii="宋体" w:hAnsi="宋体" w:eastAsia="宋体" w:cs="宋体"/>
                <w:color w:val="auto"/>
                <w:lang w:val="en-US" w:eastAsia="zh-CN"/>
              </w:rPr>
            </w:pPr>
            <w:r>
              <w:rPr>
                <w:rFonts w:hint="eastAsia" w:ascii="宋体" w:hAnsi="宋体" w:eastAsia="宋体" w:cs="宋体"/>
                <w:b/>
                <w:bCs/>
                <w:color w:val="auto"/>
                <w:sz w:val="18"/>
                <w:szCs w:val="18"/>
                <w:lang w:val="en-US" w:eastAsia="zh-CN"/>
              </w:rPr>
              <w:t>3、第二合同年度起，根据上一年度各中标供应商年度考核排名情况，当年分配按第2条业务分配原则规定进行分配业务。</w:t>
            </w:r>
          </w:p>
        </w:tc>
      </w:tr>
      <w:tr w14:paraId="385EB74D">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459EB107">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2A2A62A7">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lang w:val="zh-CN"/>
              </w:rPr>
            </w:pPr>
            <w:r>
              <w:rPr>
                <w:rFonts w:hint="eastAsia" w:ascii="宋体" w:hAnsi="宋体" w:eastAsia="宋体" w:cs="宋体"/>
                <w:kern w:val="0"/>
                <w:sz w:val="18"/>
                <w:szCs w:val="18"/>
              </w:rPr>
              <w:t>履约担保</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2D3854CC">
            <w:pPr>
              <w:keepNext w:val="0"/>
              <w:keepLines w:val="0"/>
              <w:suppressLineNumbers w:val="0"/>
              <w:spacing w:before="0" w:beforeAutospacing="0" w:after="0" w:afterAutospacing="0"/>
              <w:ind w:left="0" w:right="0"/>
              <w:rPr>
                <w:rFonts w:hint="eastAsia" w:ascii="宋体" w:hAnsi="宋体" w:eastAsia="宋体" w:cs="宋体"/>
                <w:bCs/>
                <w:sz w:val="18"/>
                <w:szCs w:val="18"/>
                <w:lang w:val="en-US" w:eastAsia="zh-CN"/>
              </w:rPr>
            </w:pPr>
            <w:r>
              <w:rPr>
                <w:rFonts w:hint="eastAsia" w:ascii="宋体" w:hAnsi="宋体" w:eastAsia="宋体" w:cs="宋体"/>
                <w:bCs/>
                <w:sz w:val="18"/>
                <w:szCs w:val="18"/>
              </w:rPr>
              <w:t>履约担保的形式：履约保证金（采取转账形式）</w:t>
            </w:r>
          </w:p>
          <w:p w14:paraId="3288DB51">
            <w:pPr>
              <w:keepNext w:val="0"/>
              <w:keepLines w:val="0"/>
              <w:suppressLineNumbers w:val="0"/>
              <w:spacing w:before="0" w:beforeAutospacing="0" w:after="0" w:afterAutospacing="0"/>
              <w:ind w:left="0" w:right="0"/>
              <w:rPr>
                <w:rFonts w:hint="eastAsia" w:ascii="宋体" w:hAnsi="宋体" w:eastAsia="宋体" w:cs="宋体"/>
                <w:b/>
                <w:sz w:val="18"/>
                <w:szCs w:val="18"/>
                <w:u w:val="single"/>
              </w:rPr>
            </w:pPr>
            <w:r>
              <w:rPr>
                <w:rFonts w:hint="eastAsia" w:ascii="宋体" w:hAnsi="宋体" w:eastAsia="宋体" w:cs="宋体"/>
                <w:b/>
                <w:sz w:val="18"/>
                <w:szCs w:val="18"/>
                <w:u w:val="single"/>
              </w:rPr>
              <w:t>履约担保的金额：</w:t>
            </w:r>
          </w:p>
          <w:p w14:paraId="499C390C">
            <w:pPr>
              <w:keepNext w:val="0"/>
              <w:keepLines w:val="0"/>
              <w:suppressLineNumbers w:val="0"/>
              <w:spacing w:before="0" w:beforeAutospacing="0" w:after="0" w:afterAutospacing="0"/>
              <w:ind w:left="0" w:right="0" w:firstLine="361" w:firstLineChars="200"/>
              <w:rPr>
                <w:rFonts w:hint="eastAsia" w:ascii="宋体" w:hAnsi="宋体" w:eastAsia="宋体" w:cs="宋体"/>
                <w:bCs/>
                <w:kern w:val="0"/>
                <w:sz w:val="18"/>
                <w:szCs w:val="18"/>
                <w:lang w:val="zh-CN"/>
              </w:rPr>
            </w:pPr>
            <w:r>
              <w:rPr>
                <w:rFonts w:hint="eastAsia" w:ascii="宋体" w:hAnsi="宋体" w:eastAsia="宋体" w:cs="宋体"/>
                <w:b/>
                <w:sz w:val="18"/>
                <w:szCs w:val="18"/>
                <w:u w:val="single"/>
                <w:lang w:val="en-US" w:eastAsia="zh-CN"/>
              </w:rPr>
              <w:t>各</w:t>
            </w:r>
            <w:r>
              <w:rPr>
                <w:rFonts w:hint="eastAsia" w:ascii="宋体" w:hAnsi="宋体" w:eastAsia="宋体" w:cs="宋体"/>
                <w:b/>
                <w:sz w:val="18"/>
                <w:szCs w:val="18"/>
                <w:u w:val="single"/>
              </w:rPr>
              <w:t>标入围供应商履约担保金额均为</w:t>
            </w:r>
            <w:r>
              <w:rPr>
                <w:rFonts w:hint="eastAsia" w:ascii="宋体" w:hAnsi="宋体" w:eastAsia="宋体" w:cs="宋体"/>
                <w:b/>
                <w:sz w:val="18"/>
                <w:szCs w:val="18"/>
                <w:u w:val="single"/>
                <w:lang w:val="en-US" w:eastAsia="zh-CN"/>
              </w:rPr>
              <w:t>人民币30</w:t>
            </w:r>
            <w:r>
              <w:rPr>
                <w:rFonts w:hint="eastAsia" w:ascii="宋体" w:hAnsi="宋体" w:eastAsia="宋体" w:cs="宋体"/>
                <w:b/>
                <w:sz w:val="18"/>
                <w:szCs w:val="18"/>
                <w:u w:val="single"/>
              </w:rPr>
              <w:t>万元</w:t>
            </w:r>
            <w:r>
              <w:rPr>
                <w:rFonts w:hint="eastAsia" w:ascii="宋体" w:hAnsi="宋体" w:eastAsia="宋体" w:cs="宋体"/>
                <w:b/>
                <w:sz w:val="18"/>
                <w:szCs w:val="18"/>
                <w:u w:val="single"/>
                <w:lang w:val="en-US" w:eastAsia="zh-CN"/>
              </w:rPr>
              <w:t>整，均</w:t>
            </w:r>
            <w:r>
              <w:rPr>
                <w:rFonts w:hint="eastAsia" w:ascii="宋体" w:hAnsi="宋体" w:eastAsia="宋体" w:cs="宋体"/>
                <w:b/>
                <w:sz w:val="18"/>
                <w:szCs w:val="18"/>
                <w:u w:val="single"/>
              </w:rPr>
              <w:t>须在合同签订前</w:t>
            </w:r>
            <w:r>
              <w:rPr>
                <w:rFonts w:hint="eastAsia" w:ascii="宋体" w:hAnsi="宋体" w:eastAsia="宋体" w:cs="宋体"/>
                <w:b/>
                <w:sz w:val="18"/>
                <w:szCs w:val="18"/>
                <w:u w:val="single"/>
                <w:lang w:val="en-US" w:eastAsia="zh-CN"/>
              </w:rPr>
              <w:t>一次性</w:t>
            </w:r>
            <w:r>
              <w:rPr>
                <w:rFonts w:hint="eastAsia" w:ascii="宋体" w:hAnsi="宋体" w:eastAsia="宋体" w:cs="宋体"/>
                <w:b/>
                <w:sz w:val="18"/>
                <w:szCs w:val="18"/>
                <w:u w:val="single"/>
              </w:rPr>
              <w:t>提交</w:t>
            </w:r>
            <w:r>
              <w:rPr>
                <w:rFonts w:hint="eastAsia" w:ascii="宋体" w:hAnsi="宋体" w:eastAsia="宋体" w:cs="宋体"/>
                <w:b/>
                <w:sz w:val="18"/>
                <w:szCs w:val="18"/>
                <w:u w:val="single"/>
                <w:lang w:val="en-US" w:eastAsia="zh-CN"/>
              </w:rPr>
              <w:t>给采购人</w:t>
            </w:r>
            <w:r>
              <w:rPr>
                <w:rFonts w:hint="eastAsia" w:ascii="宋体" w:hAnsi="宋体" w:eastAsia="宋体" w:cs="宋体"/>
                <w:b/>
                <w:sz w:val="18"/>
                <w:szCs w:val="18"/>
                <w:u w:val="single"/>
              </w:rPr>
              <w:t>。</w:t>
            </w:r>
          </w:p>
        </w:tc>
      </w:tr>
      <w:tr w14:paraId="4E838E9A">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5BA4AF55">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DCE7DE1">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r>
              <w:rPr>
                <w:rFonts w:hint="eastAsia" w:ascii="宋体" w:hAnsi="宋体" w:eastAsia="宋体" w:cs="宋体"/>
                <w:kern w:val="0"/>
                <w:sz w:val="18"/>
                <w:szCs w:val="18"/>
              </w:rPr>
              <w:t>中标通知书及合同备案</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6A6EF169">
            <w:pPr>
              <w:keepNext w:val="0"/>
              <w:keepLines w:val="0"/>
              <w:suppressLineNumbers w:val="0"/>
              <w:autoSpaceDE w:val="0"/>
              <w:autoSpaceDN w:val="0"/>
              <w:spacing w:before="0" w:beforeAutospacing="0" w:after="0" w:afterAutospacing="0"/>
              <w:ind w:left="0" w:right="0"/>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w:t>
            </w:r>
            <w:r>
              <w:rPr>
                <w:rFonts w:hint="eastAsia" w:ascii="宋体" w:hAnsi="宋体" w:eastAsia="宋体" w:cs="宋体"/>
                <w:bCs/>
                <w:snapToGrid w:val="0"/>
                <w:sz w:val="18"/>
                <w:szCs w:val="18"/>
                <w:highlight w:val="none"/>
                <w:lang w:val="en-US" w:eastAsia="zh-CN"/>
              </w:rPr>
              <w:t>3</w:t>
            </w:r>
            <w:r>
              <w:rPr>
                <w:rFonts w:hint="eastAsia" w:ascii="宋体" w:hAnsi="宋体" w:eastAsia="宋体" w:cs="宋体"/>
                <w:bCs/>
                <w:snapToGrid w:val="0"/>
                <w:sz w:val="18"/>
                <w:szCs w:val="18"/>
                <w:highlight w:val="none"/>
              </w:rPr>
              <w:t>0</w:t>
            </w:r>
            <w:r>
              <w:rPr>
                <w:rFonts w:hint="eastAsia" w:ascii="宋体" w:hAnsi="宋体" w:eastAsia="宋体" w:cs="宋体"/>
                <w:bCs/>
                <w:snapToGrid w:val="0"/>
                <w:sz w:val="18"/>
                <w:szCs w:val="18"/>
                <w:highlight w:val="none"/>
                <w:lang w:val="en-US" w:eastAsia="zh-CN"/>
              </w:rPr>
              <w:t>日历</w:t>
            </w:r>
            <w:r>
              <w:rPr>
                <w:rFonts w:hint="eastAsia" w:ascii="宋体" w:hAnsi="宋体" w:eastAsia="宋体" w:cs="宋体"/>
                <w:bCs/>
                <w:snapToGrid w:val="0"/>
                <w:sz w:val="18"/>
                <w:szCs w:val="18"/>
                <w:highlight w:val="none"/>
              </w:rPr>
              <w:t>天内与采购人签订合同。</w:t>
            </w:r>
          </w:p>
          <w:p w14:paraId="602EF8D6">
            <w:pPr>
              <w:keepNext w:val="0"/>
              <w:keepLines w:val="0"/>
              <w:suppressLineNumbers w:val="0"/>
              <w:spacing w:before="0" w:beforeAutospacing="0" w:after="0" w:afterAutospacing="0"/>
              <w:ind w:left="0" w:right="0"/>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（2）合同签订后，中标人应在2天内将合同扫描件电子版发给采购代理机构，由采购代理机构负责备案。邮箱：1826066763@qq.com。</w:t>
            </w:r>
          </w:p>
        </w:tc>
      </w:tr>
      <w:tr w14:paraId="29508B04">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29F566AA">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300EBBED">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sz w:val="18"/>
                <w:szCs w:val="18"/>
              </w:rPr>
              <w:t>合同履约管理</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73AA89FE">
            <w:pPr>
              <w:keepNext w:val="0"/>
              <w:keepLines w:val="0"/>
              <w:suppressLineNumbers w:val="0"/>
              <w:spacing w:before="0" w:beforeAutospacing="0" w:after="0" w:afterAutospacing="0"/>
              <w:ind w:left="0" w:right="0"/>
              <w:jc w:val="left"/>
              <w:rPr>
                <w:rFonts w:hint="eastAsia" w:ascii="宋体" w:hAnsi="宋体" w:eastAsia="宋体" w:cs="宋体"/>
                <w:bCs/>
                <w:snapToGrid w:val="0"/>
                <w:sz w:val="18"/>
                <w:szCs w:val="18"/>
              </w:rPr>
            </w:pPr>
            <w:r>
              <w:rPr>
                <w:rFonts w:hint="eastAsia" w:ascii="宋体" w:hAnsi="宋体" w:eastAsia="宋体" w:cs="宋体"/>
                <w:sz w:val="18"/>
                <w:szCs w:val="18"/>
              </w:rPr>
              <w:t>合同签订后，采购人依法加强对合同履约进行管理，并在中标单位服务、项目验收等重要</w:t>
            </w:r>
            <w:r>
              <w:rPr>
                <w:rFonts w:hint="eastAsia" w:ascii="宋体" w:hAnsi="宋体" w:cs="宋体"/>
                <w:sz w:val="18"/>
                <w:szCs w:val="18"/>
                <w:lang w:val="en-US" w:eastAsia="zh-CN"/>
              </w:rPr>
              <w:t>环</w:t>
            </w:r>
            <w:r>
              <w:rPr>
                <w:rFonts w:hint="eastAsia" w:ascii="宋体" w:hAnsi="宋体" w:eastAsia="宋体" w:cs="宋体"/>
                <w:sz w:val="18"/>
                <w:szCs w:val="18"/>
              </w:rPr>
              <w:t>节，如实填写《合同验收报告》（或考核资料），并及时向有关部门报告验收过程中遇到的问题。</w:t>
            </w:r>
          </w:p>
        </w:tc>
      </w:tr>
      <w:tr w14:paraId="696B0DDF">
        <w:tblPrEx>
          <w:tblCellMar>
            <w:top w:w="0" w:type="dxa"/>
            <w:left w:w="108" w:type="dxa"/>
            <w:bottom w:w="0" w:type="dxa"/>
            <w:right w:w="108" w:type="dxa"/>
          </w:tblCellMar>
        </w:tblPrEx>
        <w:trPr>
          <w:trHeight w:val="23"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14:paraId="1689A1EB">
            <w:pPr>
              <w:keepNext w:val="0"/>
              <w:keepLines w:val="0"/>
              <w:numPr>
                <w:ilvl w:val="0"/>
                <w:numId w:val="3"/>
              </w:numPr>
              <w:suppressLineNumbers w:val="0"/>
              <w:spacing w:before="0" w:beforeAutospacing="0" w:after="0" w:afterAutospacing="0"/>
              <w:ind w:right="0"/>
              <w:jc w:val="center"/>
              <w:rPr>
                <w:rFonts w:hint="eastAsia" w:ascii="宋体" w:hAnsi="宋体" w:eastAsia="宋体" w:cs="宋体"/>
                <w:kern w:val="0"/>
                <w:sz w:val="18"/>
                <w:szCs w:val="18"/>
              </w:rPr>
            </w:pPr>
          </w:p>
        </w:tc>
        <w:tc>
          <w:tcPr>
            <w:tcW w:w="1829" w:type="dxa"/>
            <w:tcBorders>
              <w:top w:val="single" w:color="auto" w:sz="4" w:space="0"/>
              <w:left w:val="single" w:color="auto" w:sz="4" w:space="0"/>
              <w:bottom w:val="single" w:color="auto" w:sz="4" w:space="0"/>
              <w:right w:val="single" w:color="auto" w:sz="4" w:space="0"/>
            </w:tcBorders>
            <w:noWrap w:val="0"/>
            <w:vAlign w:val="center"/>
          </w:tcPr>
          <w:p w14:paraId="7AD8F767">
            <w:pPr>
              <w:keepNext w:val="0"/>
              <w:keepLines w:val="0"/>
              <w:suppressLineNumbers w:val="0"/>
              <w:spacing w:before="0" w:beforeAutospacing="0" w:after="0" w:afterAutospacing="0"/>
              <w:ind w:left="0" w:right="0"/>
              <w:jc w:val="center"/>
              <w:rPr>
                <w:rFonts w:hint="eastAsia" w:ascii="宋体" w:hAnsi="宋体" w:eastAsia="宋体" w:cs="宋体"/>
                <w:kern w:val="0"/>
                <w:sz w:val="18"/>
                <w:szCs w:val="18"/>
              </w:rPr>
            </w:pPr>
            <w:r>
              <w:rPr>
                <w:rFonts w:hint="eastAsia" w:ascii="宋体" w:hAnsi="宋体" w:eastAsia="宋体" w:cs="宋体"/>
                <w:kern w:val="0"/>
                <w:sz w:val="18"/>
                <w:szCs w:val="18"/>
              </w:rPr>
              <w:t>注意事项</w:t>
            </w:r>
          </w:p>
        </w:tc>
        <w:tc>
          <w:tcPr>
            <w:tcW w:w="6643" w:type="dxa"/>
            <w:tcBorders>
              <w:top w:val="single" w:color="auto" w:sz="4" w:space="0"/>
              <w:left w:val="single" w:color="auto" w:sz="4" w:space="0"/>
              <w:bottom w:val="single" w:color="auto" w:sz="4" w:space="0"/>
              <w:right w:val="single" w:color="auto" w:sz="4" w:space="0"/>
            </w:tcBorders>
            <w:noWrap w:val="0"/>
            <w:vAlign w:val="center"/>
          </w:tcPr>
          <w:p w14:paraId="1B05E852">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1、采购文件、采购公告中如有前后不一致的，一律以本“投标供应商须知前附表”为准；</w:t>
            </w:r>
          </w:p>
          <w:p w14:paraId="72CE071F">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2、本采购文件涉及的时间为“北京时间”；</w:t>
            </w:r>
          </w:p>
          <w:p w14:paraId="3FDC9106">
            <w:pPr>
              <w:keepNext w:val="0"/>
              <w:keepLines w:val="0"/>
              <w:suppressLineNumbers w:val="0"/>
              <w:spacing w:before="0" w:beforeAutospacing="0" w:after="0" w:afterAutospacing="0"/>
              <w:ind w:left="0" w:right="0"/>
              <w:rPr>
                <w:rFonts w:hint="eastAsia" w:ascii="宋体" w:hAnsi="宋体" w:eastAsia="宋体" w:cs="宋体"/>
                <w:kern w:val="0"/>
                <w:sz w:val="18"/>
                <w:szCs w:val="18"/>
              </w:rPr>
            </w:pPr>
            <w:r>
              <w:rPr>
                <w:rFonts w:hint="eastAsia" w:ascii="宋体" w:hAnsi="宋体" w:eastAsia="宋体" w:cs="宋体"/>
                <w:kern w:val="0"/>
                <w:sz w:val="18"/>
                <w:szCs w:val="18"/>
              </w:rPr>
              <w:t>3、本采购文件涉及的货币为“人民币”</w:t>
            </w:r>
          </w:p>
        </w:tc>
      </w:tr>
    </w:tbl>
    <w:p w14:paraId="0E84A0F4">
      <w:pPr>
        <w:spacing w:before="120" w:beforeLines="50" w:after="120" w:afterLines="50"/>
        <w:jc w:val="center"/>
        <w:rPr>
          <w:rFonts w:hint="eastAsia" w:ascii="宋体" w:hAnsi="宋体" w:eastAsia="宋体" w:cs="宋体"/>
          <w:sz w:val="36"/>
          <w:szCs w:val="36"/>
        </w:rPr>
      </w:pPr>
      <w:r>
        <w:rPr>
          <w:rFonts w:hint="eastAsia" w:ascii="宋体" w:hAnsi="宋体" w:eastAsia="宋体" w:cs="宋体"/>
        </w:rPr>
        <w:br w:type="page"/>
      </w:r>
      <w:r>
        <w:rPr>
          <w:rFonts w:hint="eastAsia" w:ascii="宋体" w:hAnsi="宋体" w:eastAsia="宋体" w:cs="宋体"/>
          <w:b/>
          <w:sz w:val="36"/>
          <w:szCs w:val="36"/>
        </w:rPr>
        <w:t>投标供应商须知</w:t>
      </w:r>
    </w:p>
    <w:p w14:paraId="4F6A2E88">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一、 说明</w:t>
      </w:r>
      <w:bookmarkEnd w:id="28"/>
      <w:bookmarkEnd w:id="29"/>
      <w:bookmarkEnd w:id="30"/>
      <w:bookmarkEnd w:id="31"/>
      <w:bookmarkEnd w:id="32"/>
      <w:bookmarkEnd w:id="33"/>
      <w:bookmarkEnd w:id="34"/>
      <w:bookmarkEnd w:id="35"/>
      <w:bookmarkEnd w:id="36"/>
      <w:bookmarkEnd w:id="37"/>
    </w:p>
    <w:p w14:paraId="0E503636">
      <w:pPr>
        <w:numPr>
          <w:ilvl w:val="0"/>
          <w:numId w:val="4"/>
        </w:numPr>
        <w:tabs>
          <w:tab w:val="left" w:pos="525"/>
          <w:tab w:val="left" w:pos="900"/>
        </w:tabs>
        <w:wordWrap w:val="0"/>
        <w:ind w:left="527" w:hanging="527"/>
        <w:rPr>
          <w:rFonts w:hint="eastAsia" w:ascii="宋体" w:hAnsi="宋体" w:eastAsia="宋体" w:cs="宋体"/>
          <w:sz w:val="22"/>
          <w:szCs w:val="22"/>
        </w:rPr>
      </w:pPr>
      <w:r>
        <w:rPr>
          <w:rFonts w:hint="eastAsia" w:ascii="宋体" w:hAnsi="宋体" w:eastAsia="宋体" w:cs="宋体"/>
          <w:sz w:val="22"/>
          <w:szCs w:val="22"/>
        </w:rPr>
        <w:t>本次采购工作是按照《温州市市属国有企业采购管理办法（试行）》等相关文件组织和实施的。本项目采购公告在</w:t>
      </w:r>
      <w:r>
        <w:rPr>
          <w:rFonts w:hint="eastAsia" w:ascii="宋体" w:hAnsi="宋体" w:eastAsia="宋体" w:cs="宋体"/>
          <w:sz w:val="22"/>
          <w:szCs w:val="22"/>
          <w:lang w:val="en-US" w:eastAsia="zh-CN"/>
        </w:rPr>
        <w:t>浙江省政府采购网（https://zfcg.czt.zj.gov.cn/）、</w:t>
      </w:r>
      <w:r>
        <w:rPr>
          <w:rFonts w:hint="eastAsia" w:ascii="宋体" w:hAnsi="宋体" w:eastAsia="宋体" w:cs="宋体"/>
          <w:sz w:val="22"/>
          <w:szCs w:val="22"/>
        </w:rPr>
        <w:t>温州国企采购平台（https://wzgzw-cg.zhengcaiyun.cn/home.html）和温州公用事业发展集团有限公司网https://www.wzgytz.com/）（以下简称“项目采购公告发布的网站”）同时发布。</w:t>
      </w:r>
    </w:p>
    <w:p w14:paraId="575AAA67">
      <w:pPr>
        <w:numPr>
          <w:ilvl w:val="0"/>
          <w:numId w:val="4"/>
        </w:numPr>
        <w:tabs>
          <w:tab w:val="left" w:pos="540"/>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采购人和采购代理机构：见投标供应商须知前附表。</w:t>
      </w:r>
    </w:p>
    <w:p w14:paraId="29BFC709">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b/>
          <w:bCs/>
          <w:sz w:val="22"/>
          <w:u w:val="single"/>
        </w:rPr>
        <w:t>合格的投标供应商：以本项目采购公告及投标供应商须知前附表表述为准</w:t>
      </w:r>
      <w:r>
        <w:rPr>
          <w:rFonts w:hint="eastAsia" w:ascii="宋体" w:hAnsi="宋体" w:eastAsia="宋体" w:cs="宋体"/>
          <w:sz w:val="22"/>
        </w:rPr>
        <w:t>。</w:t>
      </w:r>
    </w:p>
    <w:p w14:paraId="58F76030">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投标供应商代表</w:t>
      </w:r>
    </w:p>
    <w:p w14:paraId="08F8FC4A">
      <w:pPr>
        <w:ind w:left="538" w:leftChars="256"/>
        <w:rPr>
          <w:rFonts w:hint="eastAsia" w:ascii="宋体" w:hAnsi="宋体" w:eastAsia="宋体" w:cs="宋体"/>
          <w:sz w:val="22"/>
          <w:szCs w:val="22"/>
        </w:rPr>
      </w:pPr>
      <w:r>
        <w:rPr>
          <w:rFonts w:hint="eastAsia" w:ascii="宋体" w:hAnsi="宋体" w:eastAsia="宋体" w:cs="宋体"/>
          <w:sz w:val="22"/>
          <w:szCs w:val="22"/>
        </w:rPr>
        <w:t>指全权代表投标供应商参加投标活动并签署投标文件的人。如果投标供应商代表不是法定代表人，须持有《法定代表人授权书》。</w:t>
      </w:r>
    </w:p>
    <w:p w14:paraId="44514DEC">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现场勘察及投标费用</w:t>
      </w:r>
    </w:p>
    <w:p w14:paraId="07DA7C5B">
      <w:pPr>
        <w:ind w:left="550" w:hanging="550" w:hangingChars="250"/>
        <w:rPr>
          <w:rFonts w:hint="eastAsia" w:ascii="宋体" w:hAnsi="宋体" w:eastAsia="宋体" w:cs="宋体"/>
          <w:sz w:val="22"/>
          <w:szCs w:val="22"/>
        </w:rPr>
      </w:pPr>
      <w:r>
        <w:rPr>
          <w:rFonts w:hint="eastAsia" w:ascii="宋体" w:hAnsi="宋体" w:eastAsia="宋体" w:cs="宋体"/>
          <w:sz w:val="22"/>
          <w:szCs w:val="22"/>
        </w:rPr>
        <w:t>5.1  投标供应商须知前附表规定组织踏勘现场、召开标前会的，采购人按投标供应商须知前附表规定的时间、地点组织投标供应商踏勘项目现场、召开标前会。</w:t>
      </w:r>
    </w:p>
    <w:p w14:paraId="3763CBFA">
      <w:pPr>
        <w:ind w:left="550" w:hanging="550" w:hangingChars="250"/>
        <w:rPr>
          <w:rFonts w:hint="eastAsia" w:ascii="宋体" w:hAnsi="宋体" w:eastAsia="宋体" w:cs="宋体"/>
          <w:sz w:val="22"/>
          <w:szCs w:val="22"/>
        </w:rPr>
      </w:pPr>
      <w:r>
        <w:rPr>
          <w:rFonts w:hint="eastAsia" w:ascii="宋体" w:hAnsi="宋体" w:eastAsia="宋体" w:cs="宋体"/>
          <w:sz w:val="22"/>
          <w:szCs w:val="22"/>
        </w:rPr>
        <w:t>5.2  为了便于编制投标文件，投标供应商自行对现场和周围环境进行现场察勘，察勘现场的费用由投标供应商自行承担。</w:t>
      </w:r>
    </w:p>
    <w:p w14:paraId="1CCCA0A2">
      <w:pPr>
        <w:ind w:left="550" w:hanging="550" w:hangingChars="250"/>
        <w:rPr>
          <w:rFonts w:hint="eastAsia" w:ascii="宋体" w:hAnsi="宋体" w:eastAsia="宋体" w:cs="宋体"/>
          <w:sz w:val="22"/>
          <w:szCs w:val="22"/>
        </w:rPr>
      </w:pPr>
      <w:r>
        <w:rPr>
          <w:rFonts w:hint="eastAsia" w:ascii="宋体" w:hAnsi="宋体" w:eastAsia="宋体" w:cs="宋体"/>
          <w:sz w:val="22"/>
          <w:szCs w:val="22"/>
        </w:rPr>
        <w:t>5.3  在现场察勘中所发生的人员伤亡和财产损失应由投标供应商自行负责。</w:t>
      </w:r>
    </w:p>
    <w:p w14:paraId="4EC22613">
      <w:pPr>
        <w:ind w:left="550" w:hanging="550" w:hangingChars="250"/>
        <w:rPr>
          <w:rFonts w:hint="eastAsia" w:ascii="宋体" w:hAnsi="宋体" w:eastAsia="宋体" w:cs="宋体"/>
          <w:sz w:val="22"/>
          <w:szCs w:val="22"/>
        </w:rPr>
      </w:pPr>
      <w:r>
        <w:rPr>
          <w:rFonts w:hint="eastAsia" w:ascii="宋体" w:hAnsi="宋体" w:eastAsia="宋体" w:cs="宋体"/>
          <w:sz w:val="22"/>
          <w:szCs w:val="22"/>
        </w:rPr>
        <w:t>5.4  投标供应商应承担所有与准备和参加投标有关费用，不论投标的结果如何，采购人和采购代理机构（以下统称“采购单位”）均无义务和责任承担这些费用。</w:t>
      </w:r>
    </w:p>
    <w:p w14:paraId="4601D864">
      <w:pPr>
        <w:spacing w:before="120" w:beforeLines="50" w:after="120" w:afterLines="50"/>
        <w:jc w:val="center"/>
        <w:rPr>
          <w:rFonts w:hint="eastAsia" w:ascii="宋体" w:hAnsi="宋体" w:eastAsia="宋体" w:cs="宋体"/>
          <w:b/>
          <w:sz w:val="28"/>
          <w:szCs w:val="28"/>
        </w:rPr>
      </w:pPr>
      <w:bookmarkStart w:id="38" w:name="_Toc209332634"/>
      <w:bookmarkStart w:id="39" w:name="_Toc205877558"/>
      <w:bookmarkStart w:id="40" w:name="_Toc205005287"/>
      <w:bookmarkStart w:id="41" w:name="_Toc227057034"/>
      <w:bookmarkStart w:id="42" w:name="_Toc215415531"/>
      <w:bookmarkStart w:id="43" w:name="_Toc209261433"/>
      <w:bookmarkStart w:id="44" w:name="_Toc205877453"/>
      <w:bookmarkStart w:id="45" w:name="_Toc216667821"/>
      <w:bookmarkStart w:id="46" w:name="_Toc204578576"/>
      <w:bookmarkStart w:id="47" w:name="_Toc223717605"/>
      <w:bookmarkStart w:id="48" w:name="_Toc223933222"/>
      <w:bookmarkStart w:id="49" w:name="_Toc214365791"/>
      <w:bookmarkStart w:id="50" w:name="_Toc205703103"/>
      <w:bookmarkStart w:id="51" w:name="_Toc227489888"/>
      <w:bookmarkStart w:id="52" w:name="_Toc204491318"/>
      <w:bookmarkStart w:id="53" w:name="_Toc205004969"/>
      <w:bookmarkStart w:id="54" w:name="_Toc209251128"/>
      <w:bookmarkStart w:id="55" w:name="_Toc219538614"/>
      <w:bookmarkStart w:id="56" w:name="_Toc218041727"/>
      <w:bookmarkStart w:id="57" w:name="_Toc227056847"/>
      <w:bookmarkStart w:id="58" w:name="_Toc217460686"/>
      <w:bookmarkStart w:id="59" w:name="_Toc209261366"/>
      <w:bookmarkStart w:id="60" w:name="_Toc209250720"/>
      <w:bookmarkStart w:id="61" w:name="_Toc207609182"/>
      <w:bookmarkStart w:id="62" w:name="_Toc210879709"/>
    </w:p>
    <w:p w14:paraId="58BC2E1F">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二、 采购文件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63E15AE9">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采购文件由采购文件目录所列内容及相关资料等组成。</w:t>
      </w:r>
    </w:p>
    <w:p w14:paraId="037A58B8">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采购文件的澄清</w:t>
      </w:r>
    </w:p>
    <w:p w14:paraId="124DBCE8">
      <w:pPr>
        <w:tabs>
          <w:tab w:val="left" w:pos="625"/>
          <w:tab w:val="left" w:pos="1080"/>
        </w:tabs>
        <w:ind w:left="524" w:hanging="523" w:hangingChars="238"/>
        <w:rPr>
          <w:rFonts w:hint="eastAsia" w:ascii="宋体" w:hAnsi="宋体" w:eastAsia="宋体" w:cs="宋体"/>
          <w:sz w:val="22"/>
          <w:szCs w:val="22"/>
        </w:rPr>
      </w:pPr>
      <w:r>
        <w:rPr>
          <w:rFonts w:hint="eastAsia" w:ascii="宋体" w:hAnsi="宋体" w:eastAsia="宋体" w:cs="宋体"/>
          <w:sz w:val="22"/>
          <w:szCs w:val="22"/>
        </w:rPr>
        <w:t>7.1  投标供应商对采购文件如有疑点或未尽事宜要求澄清，或认为有必要与采购人或采购代理机构进行说明或交流，应于“投标供应商须知前附表”中规定的询疑截止时间之前，将书面材料（盖章）递交或邮寄给采购人或采购代理机构，截止期后的询疑将不予受理、答复。如果采购文件询疑截止时间前未收到有关疑问，视为投标供应商完全同意采购文件所有条款，且对于采购文件相关表述以及未尽事宜如有争议，以采购人解释为准。</w:t>
      </w:r>
    </w:p>
    <w:p w14:paraId="216BA5C6">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采购文件的修改</w:t>
      </w:r>
    </w:p>
    <w:p w14:paraId="10680AF0">
      <w:pPr>
        <w:tabs>
          <w:tab w:val="left" w:pos="1080"/>
        </w:tabs>
        <w:ind w:left="524" w:hanging="523" w:hangingChars="238"/>
        <w:rPr>
          <w:rFonts w:hint="eastAsia" w:ascii="宋体" w:hAnsi="宋体" w:eastAsia="宋体" w:cs="宋体"/>
          <w:sz w:val="22"/>
          <w:szCs w:val="22"/>
        </w:rPr>
      </w:pPr>
      <w:r>
        <w:rPr>
          <w:rFonts w:hint="eastAsia" w:ascii="宋体" w:hAnsi="宋体" w:eastAsia="宋体" w:cs="宋体"/>
          <w:sz w:val="22"/>
          <w:szCs w:val="22"/>
        </w:rPr>
        <w:t>8.1  在投标截止期前，由于各种原因，不论是自己主动提出还是答复投标供应商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14:paraId="7A252354">
      <w:pPr>
        <w:tabs>
          <w:tab w:val="left" w:pos="1080"/>
        </w:tabs>
        <w:ind w:left="524" w:hanging="523" w:hangingChars="238"/>
        <w:rPr>
          <w:rFonts w:hint="eastAsia" w:ascii="宋体" w:hAnsi="宋体" w:eastAsia="宋体" w:cs="宋体"/>
          <w:sz w:val="22"/>
          <w:szCs w:val="22"/>
        </w:rPr>
      </w:pPr>
      <w:r>
        <w:rPr>
          <w:rFonts w:hint="eastAsia" w:ascii="宋体" w:hAnsi="宋体" w:eastAsia="宋体" w:cs="宋体"/>
          <w:sz w:val="22"/>
          <w:szCs w:val="22"/>
        </w:rPr>
        <w:t>8.2  采购文件的答复、澄清、修改或补充将以更正公告形式在项目采购公告发布的网站上予以公示，以通知所有获取采购文件的潜在投标供应商。</w:t>
      </w:r>
    </w:p>
    <w:p w14:paraId="7E0F6DFE">
      <w:pPr>
        <w:tabs>
          <w:tab w:val="left" w:pos="1080"/>
        </w:tabs>
        <w:ind w:left="524" w:hanging="523" w:hangingChars="238"/>
        <w:rPr>
          <w:rFonts w:hint="eastAsia" w:ascii="宋体" w:hAnsi="宋体" w:eastAsia="宋体" w:cs="宋体"/>
          <w:sz w:val="22"/>
          <w:szCs w:val="22"/>
        </w:rPr>
      </w:pPr>
      <w:r>
        <w:rPr>
          <w:rFonts w:hint="eastAsia" w:ascii="宋体" w:hAnsi="宋体" w:eastAsia="宋体" w:cs="宋体"/>
          <w:sz w:val="22"/>
          <w:szCs w:val="22"/>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14:paraId="7F034373">
      <w:pPr>
        <w:tabs>
          <w:tab w:val="left" w:pos="1080"/>
        </w:tabs>
        <w:ind w:left="524" w:hanging="523" w:hangingChars="238"/>
        <w:rPr>
          <w:rFonts w:hint="eastAsia" w:ascii="宋体" w:hAnsi="宋体" w:eastAsia="宋体" w:cs="宋体"/>
          <w:sz w:val="22"/>
          <w:szCs w:val="22"/>
        </w:rPr>
      </w:pPr>
      <w:r>
        <w:rPr>
          <w:rFonts w:hint="eastAsia" w:ascii="宋体" w:hAnsi="宋体" w:eastAsia="宋体" w:cs="宋体"/>
          <w:sz w:val="22"/>
          <w:szCs w:val="22"/>
        </w:rPr>
        <w:t>8.4</w:t>
      </w:r>
      <w:r>
        <w:rPr>
          <w:rFonts w:hint="eastAsia" w:ascii="宋体" w:hAnsi="宋体" w:eastAsia="宋体" w:cs="宋体"/>
          <w:sz w:val="22"/>
          <w:szCs w:val="22"/>
        </w:rPr>
        <w:tab/>
      </w:r>
      <w:r>
        <w:rPr>
          <w:rFonts w:hint="eastAsia" w:ascii="宋体" w:hAnsi="宋体" w:eastAsia="宋体" w:cs="宋体"/>
          <w:sz w:val="22"/>
          <w:szCs w:val="22"/>
        </w:rPr>
        <w:t>本项目投标供应商均可在本项目采购公告附件下载采购文件，并按采购文件规定的时间、地点递交投标文件。投标供应商须在开标前自行在项目采购公告发布的网站上查看是否有补充更正文件，并按补充更正文件要求投标，否则责任自负。</w:t>
      </w:r>
    </w:p>
    <w:p w14:paraId="43DD1A1F">
      <w:pPr>
        <w:tabs>
          <w:tab w:val="left" w:pos="1080"/>
        </w:tabs>
        <w:ind w:left="524" w:hanging="523" w:hangingChars="238"/>
        <w:rPr>
          <w:rFonts w:hint="eastAsia" w:ascii="宋体" w:hAnsi="宋体" w:eastAsia="宋体" w:cs="宋体"/>
          <w:sz w:val="22"/>
          <w:szCs w:val="22"/>
        </w:rPr>
      </w:pPr>
      <w:r>
        <w:rPr>
          <w:rFonts w:hint="eastAsia" w:ascii="宋体" w:hAnsi="宋体" w:eastAsia="宋体" w:cs="宋体"/>
          <w:sz w:val="22"/>
          <w:szCs w:val="22"/>
        </w:rPr>
        <w:t>8.5  在采购文件规定的答疑截止时间后，经采购人及采购机构同意购买采购文件的投标供应商不得对采购文件及其补充文件提出澄清或答疑。</w:t>
      </w:r>
    </w:p>
    <w:p w14:paraId="72D7D8CB">
      <w:pPr>
        <w:spacing w:before="120" w:beforeLines="50" w:after="120" w:afterLines="50"/>
        <w:jc w:val="center"/>
        <w:rPr>
          <w:rFonts w:hint="eastAsia" w:ascii="宋体" w:hAnsi="宋体" w:eastAsia="宋体" w:cs="宋体"/>
          <w:b/>
          <w:sz w:val="28"/>
          <w:szCs w:val="28"/>
        </w:rPr>
      </w:pPr>
      <w:bookmarkStart w:id="63" w:name="_Toc207609183"/>
      <w:bookmarkStart w:id="64" w:name="_Toc223933223"/>
      <w:bookmarkStart w:id="65" w:name="_Toc205877454"/>
      <w:bookmarkStart w:id="66" w:name="_Toc205004970"/>
      <w:bookmarkStart w:id="67" w:name="_Toc204491319"/>
      <w:bookmarkStart w:id="68" w:name="_Toc227057035"/>
      <w:bookmarkStart w:id="69" w:name="_Toc218041728"/>
      <w:bookmarkStart w:id="70" w:name="_Toc205877559"/>
      <w:bookmarkStart w:id="71" w:name="_Toc227056848"/>
      <w:bookmarkStart w:id="72" w:name="_Toc205703104"/>
      <w:bookmarkStart w:id="73" w:name="_Toc210879710"/>
      <w:bookmarkStart w:id="74" w:name="_Toc209261367"/>
      <w:bookmarkStart w:id="75" w:name="_Toc223717606"/>
      <w:bookmarkStart w:id="76" w:name="_Toc215415532"/>
      <w:bookmarkStart w:id="77" w:name="_Toc209250721"/>
      <w:bookmarkStart w:id="78" w:name="_Toc227489889"/>
      <w:bookmarkStart w:id="79" w:name="_Toc219538615"/>
      <w:bookmarkStart w:id="80" w:name="_Toc216667822"/>
      <w:bookmarkStart w:id="81" w:name="_Toc217460687"/>
      <w:bookmarkStart w:id="82" w:name="_Toc205005288"/>
      <w:bookmarkStart w:id="83" w:name="_Toc209251129"/>
      <w:bookmarkStart w:id="84" w:name="_Toc204578577"/>
      <w:bookmarkStart w:id="85" w:name="_Toc209261434"/>
      <w:bookmarkStart w:id="86" w:name="_Toc214365792"/>
      <w:bookmarkStart w:id="87" w:name="_Toc209332635"/>
    </w:p>
    <w:p w14:paraId="62E20CE8">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三、 投标文件的编制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BD6EFE0">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投标供应商应认真阅读采购文件中所有事项格式、条款和技术规范等。投标供应商没有按照采购文件要求提交全部资料，或者没有对采购文件各个方面做出实质性响应，导致投标被拒绝的风险由投标供应商自行承担。</w:t>
      </w:r>
    </w:p>
    <w:p w14:paraId="2A60D925">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投标供应商应保证所提供文件资料的真实性，所有文件资料必须是针对本次采购的。如发现投标供应商提供了虚假文件资料，其投标将被拒绝，并自行承担相应的法律责任。</w:t>
      </w:r>
    </w:p>
    <w:p w14:paraId="1482E1D0">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投标文件的构成：</w:t>
      </w:r>
    </w:p>
    <w:p w14:paraId="5EB6B953">
      <w:pPr>
        <w:rPr>
          <w:rFonts w:hint="eastAsia" w:ascii="宋体" w:hAnsi="宋体" w:eastAsia="宋体" w:cs="宋体"/>
          <w:sz w:val="22"/>
          <w:szCs w:val="22"/>
        </w:rPr>
      </w:pPr>
      <w:r>
        <w:rPr>
          <w:rFonts w:hint="eastAsia" w:ascii="宋体" w:hAnsi="宋体" w:eastAsia="宋体" w:cs="宋体"/>
          <w:sz w:val="22"/>
          <w:szCs w:val="22"/>
        </w:rPr>
        <w:t>11.1 投标文件由技术资信标、商务（报价）标二部分构成：</w:t>
      </w:r>
    </w:p>
    <w:p w14:paraId="688B63CC">
      <w:pPr>
        <w:ind w:left="187" w:leftChars="85" w:hanging="9" w:hangingChars="4"/>
        <w:rPr>
          <w:rFonts w:hint="eastAsia" w:ascii="宋体" w:hAnsi="宋体" w:eastAsia="宋体" w:cs="宋体"/>
          <w:b/>
          <w:sz w:val="22"/>
          <w:szCs w:val="22"/>
        </w:rPr>
      </w:pPr>
      <w:r>
        <w:rPr>
          <w:rFonts w:hint="eastAsia" w:ascii="宋体" w:hAnsi="宋体" w:eastAsia="宋体" w:cs="宋体"/>
          <w:b/>
          <w:sz w:val="22"/>
          <w:szCs w:val="22"/>
        </w:rPr>
        <w:t>（1）技术资信标</w:t>
      </w:r>
    </w:p>
    <w:tbl>
      <w:tblPr>
        <w:tblStyle w:val="3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14:paraId="07FF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1FE7C9DC">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6951" w:type="dxa"/>
            <w:noWrap w:val="0"/>
            <w:vAlign w:val="center"/>
          </w:tcPr>
          <w:p w14:paraId="65A90C80">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r>
              <w:rPr>
                <w:rFonts w:hint="eastAsia" w:ascii="宋体" w:hAnsi="宋体" w:eastAsia="宋体" w:cs="宋体"/>
                <w:b/>
                <w:sz w:val="18"/>
                <w:szCs w:val="18"/>
              </w:rPr>
              <w:t>内  容</w:t>
            </w:r>
          </w:p>
        </w:tc>
        <w:tc>
          <w:tcPr>
            <w:tcW w:w="1276" w:type="dxa"/>
            <w:noWrap w:val="0"/>
            <w:vAlign w:val="center"/>
          </w:tcPr>
          <w:p w14:paraId="5213ABDF">
            <w:pPr>
              <w:keepNext w:val="0"/>
              <w:keepLines w:val="0"/>
              <w:suppressLineNumbers w:val="0"/>
              <w:spacing w:before="0" w:beforeAutospacing="0" w:after="0" w:afterAutospacing="0"/>
              <w:ind w:left="0" w:right="0"/>
              <w:jc w:val="center"/>
              <w:rPr>
                <w:rFonts w:hint="eastAsia" w:ascii="宋体" w:hAnsi="宋体" w:eastAsia="宋体" w:cs="宋体"/>
                <w:b/>
                <w:sz w:val="18"/>
                <w:szCs w:val="18"/>
              </w:rPr>
            </w:pPr>
            <w:r>
              <w:rPr>
                <w:rFonts w:hint="eastAsia" w:ascii="宋体" w:hAnsi="宋体" w:eastAsia="宋体" w:cs="宋体"/>
                <w:b/>
                <w:sz w:val="18"/>
                <w:szCs w:val="18"/>
              </w:rPr>
              <w:t>备注</w:t>
            </w:r>
          </w:p>
        </w:tc>
      </w:tr>
      <w:tr w14:paraId="54E3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4D082C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6951" w:type="dxa"/>
            <w:noWrap w:val="0"/>
            <w:vAlign w:val="center"/>
          </w:tcPr>
          <w:p w14:paraId="2E8644EF">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投标函</w:t>
            </w:r>
          </w:p>
        </w:tc>
        <w:tc>
          <w:tcPr>
            <w:tcW w:w="1276" w:type="dxa"/>
            <w:noWrap w:val="0"/>
            <w:vAlign w:val="center"/>
          </w:tcPr>
          <w:p w14:paraId="656FDD4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附件一</w:t>
            </w:r>
          </w:p>
        </w:tc>
      </w:tr>
      <w:tr w14:paraId="7BB6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3E0E52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2</w:t>
            </w:r>
          </w:p>
        </w:tc>
        <w:tc>
          <w:tcPr>
            <w:tcW w:w="6951" w:type="dxa"/>
            <w:noWrap w:val="0"/>
            <w:vAlign w:val="center"/>
          </w:tcPr>
          <w:p w14:paraId="30C82D71">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1276" w:type="dxa"/>
            <w:noWrap w:val="0"/>
            <w:vAlign w:val="center"/>
          </w:tcPr>
          <w:p w14:paraId="66C23D1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附件二</w:t>
            </w:r>
          </w:p>
        </w:tc>
      </w:tr>
      <w:tr w14:paraId="41F4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91A0EDD">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3</w:t>
            </w:r>
          </w:p>
        </w:tc>
        <w:tc>
          <w:tcPr>
            <w:tcW w:w="6951" w:type="dxa"/>
            <w:noWrap w:val="0"/>
            <w:vAlign w:val="center"/>
          </w:tcPr>
          <w:p w14:paraId="5267F8E5">
            <w:pPr>
              <w:keepNext w:val="0"/>
              <w:keepLines w:val="0"/>
              <w:suppressLineNumbers w:val="0"/>
              <w:spacing w:before="0" w:beforeAutospacing="0" w:after="0" w:afterAutospacing="0"/>
              <w:ind w:left="0" w:right="0"/>
              <w:rPr>
                <w:rFonts w:hint="eastAsia" w:ascii="宋体" w:hAnsi="宋体" w:eastAsia="宋体" w:cs="宋体"/>
                <w:sz w:val="18"/>
                <w:szCs w:val="18"/>
                <w:u w:val="single"/>
              </w:rPr>
            </w:pPr>
            <w:r>
              <w:rPr>
                <w:rFonts w:hint="eastAsia" w:ascii="宋体" w:hAnsi="宋体" w:eastAsia="宋体" w:cs="宋体"/>
                <w:b/>
                <w:bCs/>
                <w:sz w:val="18"/>
                <w:szCs w:val="18"/>
                <w:u w:val="single"/>
              </w:rPr>
              <w:t>▲</w:t>
            </w:r>
            <w:r>
              <w:rPr>
                <w:rFonts w:hint="eastAsia" w:ascii="宋体" w:hAnsi="宋体" w:eastAsia="宋体" w:cs="宋体"/>
                <w:b/>
                <w:sz w:val="18"/>
                <w:szCs w:val="18"/>
                <w:u w:val="single"/>
              </w:rPr>
              <w:t>资格证明文件（本部分为投标供应商资格审查内容，为实质性要求）：</w:t>
            </w:r>
          </w:p>
        </w:tc>
        <w:tc>
          <w:tcPr>
            <w:tcW w:w="1276" w:type="dxa"/>
            <w:noWrap w:val="0"/>
            <w:vAlign w:val="center"/>
          </w:tcPr>
          <w:p w14:paraId="3D72AE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附件三</w:t>
            </w:r>
          </w:p>
        </w:tc>
      </w:tr>
      <w:tr w14:paraId="5E8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D11F272">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6951" w:type="dxa"/>
            <w:noWrap w:val="0"/>
            <w:vAlign w:val="center"/>
          </w:tcPr>
          <w:p w14:paraId="1AB6F996">
            <w:pPr>
              <w:keepNext w:val="0"/>
              <w:keepLines w:val="0"/>
              <w:suppressLineNumbers w:val="0"/>
              <w:tabs>
                <w:tab w:val="left" w:pos="5355"/>
              </w:tabs>
              <w:spacing w:before="0" w:beforeAutospacing="0" w:after="0" w:afterAutospacing="0"/>
              <w:ind w:left="0" w:right="0"/>
              <w:rPr>
                <w:rFonts w:hint="eastAsia" w:ascii="宋体" w:hAnsi="宋体" w:eastAsia="宋体" w:cs="宋体"/>
                <w:b/>
                <w:bCs/>
                <w:sz w:val="18"/>
                <w:szCs w:val="18"/>
                <w:u w:val="single"/>
              </w:rPr>
            </w:pPr>
            <w:r>
              <w:rPr>
                <w:rFonts w:hint="eastAsia" w:ascii="宋体" w:hAnsi="宋体" w:eastAsia="宋体" w:cs="宋体"/>
                <w:sz w:val="18"/>
                <w:szCs w:val="18"/>
                <w:u w:val="single"/>
              </w:rPr>
              <w:t>法定代表人授权书（如授权代表参加投标时提供）</w:t>
            </w:r>
          </w:p>
        </w:tc>
        <w:tc>
          <w:tcPr>
            <w:tcW w:w="1276" w:type="dxa"/>
            <w:noWrap w:val="0"/>
            <w:vAlign w:val="center"/>
          </w:tcPr>
          <w:p w14:paraId="24285A9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32CC0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D5B4E59">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6951" w:type="dxa"/>
            <w:noWrap w:val="0"/>
            <w:vAlign w:val="center"/>
          </w:tcPr>
          <w:p w14:paraId="3D22E187">
            <w:pPr>
              <w:keepNext w:val="0"/>
              <w:keepLines w:val="0"/>
              <w:suppressLineNumbers w:val="0"/>
              <w:tabs>
                <w:tab w:val="left" w:pos="5355"/>
              </w:tabs>
              <w:spacing w:before="0" w:beforeAutospacing="0" w:after="0" w:afterAutospacing="0"/>
              <w:ind w:left="0" w:right="0"/>
              <w:rPr>
                <w:rFonts w:hint="eastAsia" w:ascii="宋体" w:hAnsi="宋体" w:eastAsia="宋体" w:cs="宋体"/>
                <w:sz w:val="18"/>
                <w:szCs w:val="18"/>
                <w:u w:val="single"/>
              </w:rPr>
            </w:pPr>
            <w:r>
              <w:rPr>
                <w:rFonts w:hint="eastAsia" w:ascii="宋体" w:hAnsi="宋体" w:eastAsia="宋体" w:cs="宋体"/>
                <w:sz w:val="18"/>
                <w:szCs w:val="18"/>
                <w:u w:val="single"/>
              </w:rPr>
              <w:t>法定代表人资格证明书（如法定代表人参加投标时提供）</w:t>
            </w:r>
          </w:p>
        </w:tc>
        <w:tc>
          <w:tcPr>
            <w:tcW w:w="1276" w:type="dxa"/>
            <w:noWrap w:val="0"/>
            <w:vAlign w:val="center"/>
          </w:tcPr>
          <w:p w14:paraId="0809362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2C90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1E7E723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（2）</w:t>
            </w:r>
          </w:p>
        </w:tc>
        <w:tc>
          <w:tcPr>
            <w:tcW w:w="6951" w:type="dxa"/>
            <w:noWrap w:val="0"/>
            <w:vAlign w:val="center"/>
          </w:tcPr>
          <w:p w14:paraId="63462580">
            <w:pPr>
              <w:keepNext w:val="0"/>
              <w:keepLines w:val="0"/>
              <w:suppressLineNumbers w:val="0"/>
              <w:tabs>
                <w:tab w:val="left" w:pos="5355"/>
              </w:tabs>
              <w:spacing w:before="0" w:beforeAutospacing="0" w:after="0" w:afterAutospacing="0"/>
              <w:ind w:left="0" w:right="0"/>
              <w:rPr>
                <w:rFonts w:hint="eastAsia" w:ascii="宋体" w:hAnsi="宋体" w:eastAsia="宋体" w:cs="宋体"/>
                <w:sz w:val="18"/>
                <w:szCs w:val="18"/>
                <w:u w:val="single"/>
              </w:rPr>
            </w:pPr>
            <w:r>
              <w:rPr>
                <w:rFonts w:hint="eastAsia" w:ascii="宋体" w:hAnsi="宋体" w:eastAsia="宋体" w:cs="宋体"/>
                <w:sz w:val="18"/>
                <w:szCs w:val="18"/>
                <w:u w:val="single"/>
              </w:rPr>
              <w:t>企业法人有效营业执照</w:t>
            </w:r>
            <w:r>
              <w:rPr>
                <w:rFonts w:hint="eastAsia" w:ascii="宋体" w:hAnsi="宋体" w:eastAsia="宋体" w:cs="宋体"/>
                <w:snapToGrid w:val="0"/>
                <w:kern w:val="0"/>
                <w:sz w:val="18"/>
                <w:szCs w:val="18"/>
                <w:u w:val="single"/>
              </w:rPr>
              <w:t>（复印件加盖单位公章）</w:t>
            </w:r>
          </w:p>
        </w:tc>
        <w:tc>
          <w:tcPr>
            <w:tcW w:w="1276" w:type="dxa"/>
            <w:noWrap w:val="0"/>
            <w:vAlign w:val="center"/>
          </w:tcPr>
          <w:p w14:paraId="37B071CF">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7580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34B272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（3）</w:t>
            </w:r>
          </w:p>
        </w:tc>
        <w:tc>
          <w:tcPr>
            <w:tcW w:w="6951" w:type="dxa"/>
            <w:noWrap w:val="0"/>
            <w:vAlign w:val="center"/>
          </w:tcPr>
          <w:p w14:paraId="2172B108">
            <w:pPr>
              <w:keepNext w:val="0"/>
              <w:keepLines w:val="0"/>
              <w:suppressLineNumbers w:val="0"/>
              <w:tabs>
                <w:tab w:val="left" w:pos="5355"/>
              </w:tabs>
              <w:spacing w:before="0" w:beforeAutospacing="0" w:after="0" w:afterAutospacing="0"/>
              <w:ind w:left="0" w:right="0"/>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u w:val="single"/>
              </w:rPr>
              <w:t>投标声明书</w:t>
            </w:r>
          </w:p>
        </w:tc>
        <w:tc>
          <w:tcPr>
            <w:tcW w:w="1276" w:type="dxa"/>
            <w:noWrap w:val="0"/>
            <w:vAlign w:val="center"/>
          </w:tcPr>
          <w:p w14:paraId="48BB0CAB">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附件四</w:t>
            </w:r>
          </w:p>
        </w:tc>
      </w:tr>
      <w:tr w14:paraId="27D5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8AB8658">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6951" w:type="dxa"/>
            <w:noWrap w:val="0"/>
            <w:vAlign w:val="center"/>
          </w:tcPr>
          <w:p w14:paraId="6F315D07">
            <w:pPr>
              <w:keepNext w:val="0"/>
              <w:keepLines w:val="0"/>
              <w:suppressLineNumbers w:val="0"/>
              <w:tabs>
                <w:tab w:val="left" w:pos="5355"/>
              </w:tabs>
              <w:spacing w:before="0" w:beforeAutospacing="0" w:after="0" w:afterAutospacing="0"/>
              <w:ind w:left="0" w:right="0"/>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u w:val="single"/>
              </w:rPr>
              <w:t>参加采购活动前三年内，在经营活动中没有重大违法记录。请在投标声明书中如实填写</w:t>
            </w:r>
            <w:r>
              <w:rPr>
                <w:rFonts w:hint="eastAsia" w:ascii="宋体" w:hAnsi="宋体" w:eastAsia="宋体" w:cs="宋体"/>
                <w:color w:val="auto"/>
                <w:sz w:val="18"/>
                <w:szCs w:val="18"/>
                <w:highlight w:val="none"/>
                <w:u w:val="single"/>
              </w:rPr>
              <w:t>（新成立不满三年的组织机构自成立之日起算）</w:t>
            </w:r>
          </w:p>
        </w:tc>
        <w:tc>
          <w:tcPr>
            <w:tcW w:w="1276" w:type="dxa"/>
            <w:noWrap w:val="0"/>
            <w:vAlign w:val="center"/>
          </w:tcPr>
          <w:p w14:paraId="107EF3DB">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00DD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376583A3">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c>
          <w:tcPr>
            <w:tcW w:w="6951" w:type="dxa"/>
            <w:noWrap w:val="0"/>
            <w:vAlign w:val="center"/>
          </w:tcPr>
          <w:p w14:paraId="22431512">
            <w:pPr>
              <w:keepNext w:val="0"/>
              <w:keepLines w:val="0"/>
              <w:suppressLineNumbers w:val="0"/>
              <w:tabs>
                <w:tab w:val="left" w:pos="5355"/>
              </w:tabs>
              <w:spacing w:before="0" w:beforeAutospacing="0" w:after="0" w:afterAutospacing="0"/>
              <w:ind w:left="0" w:right="0"/>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u w:val="single"/>
              </w:rPr>
              <w:t>至本项目投标截止前未被列入“信用中国”网站(www.creditchina.gov.cn)“记录失信被执行人或重大税收违法案件当事人名单”记录名单。请在投标声明书在如实填写，并以采购人或代理机构当天查询结果为准。</w:t>
            </w:r>
          </w:p>
        </w:tc>
        <w:tc>
          <w:tcPr>
            <w:tcW w:w="1276" w:type="dxa"/>
            <w:noWrap w:val="0"/>
            <w:vAlign w:val="center"/>
          </w:tcPr>
          <w:p w14:paraId="5E63C2B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r w14:paraId="5758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C27E188">
            <w:pPr>
              <w:keepNext w:val="0"/>
              <w:keepLines w:val="0"/>
              <w:suppressLineNumbers w:val="0"/>
              <w:spacing w:before="0" w:beforeAutospacing="0" w:after="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4</w:t>
            </w:r>
          </w:p>
        </w:tc>
        <w:tc>
          <w:tcPr>
            <w:tcW w:w="6951" w:type="dxa"/>
            <w:noWrap w:val="0"/>
            <w:vAlign w:val="center"/>
          </w:tcPr>
          <w:p w14:paraId="2FE7F261">
            <w:pPr>
              <w:keepNext w:val="0"/>
              <w:keepLines w:val="0"/>
              <w:suppressLineNumbers w:val="0"/>
              <w:tabs>
                <w:tab w:val="left" w:pos="5355"/>
              </w:tabs>
              <w:spacing w:before="0" w:beforeAutospacing="0" w:after="0" w:afterAutospacing="0"/>
              <w:ind w:left="0" w:right="0"/>
              <w:rPr>
                <w:rFonts w:hint="eastAsia" w:ascii="宋体" w:hAnsi="宋体" w:eastAsia="宋体" w:cs="宋体"/>
                <w:sz w:val="18"/>
                <w:szCs w:val="18"/>
                <w:u w:val="single"/>
              </w:rPr>
            </w:pPr>
            <w:r>
              <w:rPr>
                <w:rFonts w:hint="eastAsia" w:ascii="宋体" w:hAnsi="宋体" w:eastAsia="宋体" w:cs="宋体"/>
                <w:sz w:val="18"/>
                <w:szCs w:val="18"/>
                <w:u w:val="single"/>
              </w:rPr>
              <w:t>▲中标折扣系数承诺函</w:t>
            </w:r>
          </w:p>
        </w:tc>
        <w:tc>
          <w:tcPr>
            <w:tcW w:w="1276" w:type="dxa"/>
            <w:noWrap w:val="0"/>
            <w:vAlign w:val="center"/>
          </w:tcPr>
          <w:p w14:paraId="26F17E08">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附件五</w:t>
            </w:r>
          </w:p>
        </w:tc>
      </w:tr>
      <w:tr w14:paraId="66FAD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shd w:val="clear" w:color="auto" w:fill="auto"/>
            <w:noWrap w:val="0"/>
            <w:vAlign w:val="center"/>
          </w:tcPr>
          <w:p w14:paraId="64321D7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951" w:type="dxa"/>
            <w:shd w:val="clear" w:color="auto" w:fill="auto"/>
            <w:noWrap w:val="0"/>
            <w:vAlign w:val="center"/>
          </w:tcPr>
          <w:p w14:paraId="01B2B8DF">
            <w:pPr>
              <w:keepNext w:val="0"/>
              <w:keepLines w:val="0"/>
              <w:suppressLineNumbers w:val="0"/>
              <w:tabs>
                <w:tab w:val="left" w:pos="5355"/>
              </w:tabs>
              <w:spacing w:before="0" w:beforeAutospacing="0" w:after="0" w:afterAutospacing="0"/>
              <w:ind w:left="0" w:leftChars="0" w:right="0" w:rightChars="0"/>
              <w:rPr>
                <w:rFonts w:hint="eastAsia" w:ascii="宋体" w:hAnsi="宋体" w:eastAsia="宋体" w:cs="宋体"/>
                <w:kern w:val="2"/>
                <w:sz w:val="18"/>
                <w:szCs w:val="18"/>
                <w:u w:val="single"/>
                <w:lang w:val="en-US" w:eastAsia="zh-CN" w:bidi="ar-SA"/>
              </w:rPr>
            </w:pPr>
            <w:r>
              <w:rPr>
                <w:rFonts w:hint="eastAsia" w:ascii="宋体" w:hAnsi="宋体" w:eastAsia="宋体" w:cs="宋体"/>
                <w:sz w:val="18"/>
                <w:szCs w:val="18"/>
                <w:u w:val="single"/>
              </w:rPr>
              <w:t>▲购买公众责任险承诺函</w:t>
            </w:r>
          </w:p>
        </w:tc>
        <w:tc>
          <w:tcPr>
            <w:tcW w:w="1276" w:type="dxa"/>
            <w:noWrap w:val="0"/>
            <w:vAlign w:val="center"/>
          </w:tcPr>
          <w:p w14:paraId="279DF508">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附件六</w:t>
            </w:r>
          </w:p>
        </w:tc>
      </w:tr>
      <w:tr w14:paraId="6E05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shd w:val="clear" w:color="auto" w:fill="auto"/>
            <w:noWrap w:val="0"/>
            <w:vAlign w:val="center"/>
          </w:tcPr>
          <w:p w14:paraId="54E6E859">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6951" w:type="dxa"/>
            <w:noWrap w:val="0"/>
            <w:vAlign w:val="center"/>
          </w:tcPr>
          <w:p w14:paraId="44068A6D">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根据采购文件中的采购内容及要求以及技术资信评分项目逐项编制，需编制目录索引，注明评分细则项目所在投标文件页码。）</w:t>
            </w:r>
          </w:p>
          <w:p w14:paraId="3D59B29A">
            <w:pPr>
              <w:keepNext w:val="0"/>
              <w:keepLines w:val="0"/>
              <w:suppressLineNumbers w:val="0"/>
              <w:tabs>
                <w:tab w:val="left" w:pos="5355"/>
              </w:tabs>
              <w:spacing w:before="0" w:beforeAutospacing="0" w:after="0" w:afterAutospacing="0"/>
              <w:ind w:left="0" w:right="0" w:firstLine="360" w:firstLineChars="200"/>
              <w:rPr>
                <w:rFonts w:hint="eastAsia" w:ascii="宋体" w:hAnsi="宋体" w:eastAsia="宋体" w:cs="宋体"/>
                <w:kern w:val="2"/>
                <w:sz w:val="18"/>
                <w:szCs w:val="18"/>
                <w:lang w:val="en-US" w:eastAsia="zh-CN" w:bidi="ar-SA"/>
              </w:rPr>
            </w:pPr>
            <w:r>
              <w:rPr>
                <w:rFonts w:hint="eastAsia" w:ascii="宋体" w:hAnsi="宋体" w:eastAsia="宋体" w:cs="宋体"/>
                <w:sz w:val="18"/>
                <w:szCs w:val="18"/>
              </w:rPr>
              <w:t>本文件《第三部分  附件》附件中未提供格式的，可自行拟定格式，并</w:t>
            </w:r>
            <w:r>
              <w:rPr>
                <w:rFonts w:hint="eastAsia" w:ascii="宋体" w:hAnsi="宋体" w:eastAsia="宋体" w:cs="宋体"/>
                <w:sz w:val="18"/>
                <w:szCs w:val="18"/>
                <w:lang w:val="en-US" w:eastAsia="zh-CN"/>
              </w:rPr>
              <w:t>按采购文件相关规定</w:t>
            </w:r>
            <w:r>
              <w:rPr>
                <w:rFonts w:hint="eastAsia" w:ascii="宋体" w:hAnsi="宋体" w:eastAsia="宋体" w:cs="宋体"/>
                <w:sz w:val="18"/>
                <w:szCs w:val="18"/>
              </w:rPr>
              <w:t>加盖单位公章并由法定代表人(负责人)或其授权代表签署（签字或盖章），否则视为未提供。</w:t>
            </w:r>
          </w:p>
        </w:tc>
        <w:tc>
          <w:tcPr>
            <w:tcW w:w="1276" w:type="dxa"/>
            <w:noWrap w:val="0"/>
            <w:vAlign w:val="center"/>
          </w:tcPr>
          <w:p w14:paraId="0812870B">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p>
        </w:tc>
      </w:tr>
      <w:tr w14:paraId="1206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20165E5">
            <w:pPr>
              <w:keepNext w:val="0"/>
              <w:keepLines w:val="0"/>
              <w:suppressLineNumbers w:val="0"/>
              <w:spacing w:before="0" w:beforeAutospacing="0" w:after="0" w:afterAutospacing="0"/>
              <w:ind w:left="0" w:right="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7</w:t>
            </w:r>
          </w:p>
        </w:tc>
        <w:tc>
          <w:tcPr>
            <w:tcW w:w="6951" w:type="dxa"/>
            <w:noWrap w:val="0"/>
            <w:vAlign w:val="center"/>
          </w:tcPr>
          <w:p w14:paraId="604EB141">
            <w:pPr>
              <w:keepNext w:val="0"/>
              <w:keepLines w:val="0"/>
              <w:suppressLineNumbers w:val="0"/>
              <w:tabs>
                <w:tab w:val="left" w:pos="5355"/>
              </w:tabs>
              <w:spacing w:before="0" w:beforeAutospacing="0" w:after="0" w:afterAutospacing="0"/>
              <w:ind w:left="0" w:right="0"/>
              <w:rPr>
                <w:rFonts w:hint="eastAsia" w:ascii="宋体" w:hAnsi="宋体" w:eastAsia="宋体" w:cs="宋体"/>
                <w:kern w:val="2"/>
                <w:sz w:val="18"/>
                <w:szCs w:val="18"/>
                <w:lang w:val="en-US" w:eastAsia="zh-CN" w:bidi="ar-SA"/>
              </w:rPr>
            </w:pPr>
            <w:r>
              <w:rPr>
                <w:rFonts w:hint="eastAsia" w:ascii="宋体" w:hAnsi="宋体" w:eastAsia="宋体" w:cs="宋体"/>
                <w:sz w:val="18"/>
                <w:szCs w:val="18"/>
              </w:rPr>
              <w:t>投标供应商认为需要提供的其他文件和资料</w:t>
            </w:r>
          </w:p>
        </w:tc>
        <w:tc>
          <w:tcPr>
            <w:tcW w:w="1276" w:type="dxa"/>
            <w:noWrap w:val="0"/>
            <w:vAlign w:val="center"/>
          </w:tcPr>
          <w:p w14:paraId="1E955DAA">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p>
        </w:tc>
      </w:tr>
    </w:tbl>
    <w:p w14:paraId="58B10A6C">
      <w:pPr>
        <w:rPr>
          <w:rFonts w:hint="eastAsia" w:ascii="宋体" w:hAnsi="宋体" w:eastAsia="宋体" w:cs="宋体"/>
          <w:b/>
          <w:sz w:val="22"/>
          <w:szCs w:val="22"/>
        </w:rPr>
      </w:pPr>
      <w:r>
        <w:rPr>
          <w:rFonts w:hint="eastAsia" w:ascii="宋体" w:hAnsi="宋体" w:eastAsia="宋体" w:cs="宋体"/>
          <w:b/>
          <w:sz w:val="22"/>
          <w:szCs w:val="22"/>
        </w:rPr>
        <w:t>技术资信标说明：</w:t>
      </w:r>
    </w:p>
    <w:p w14:paraId="6F1B38BE">
      <w:pPr>
        <w:tabs>
          <w:tab w:val="left" w:pos="5355"/>
        </w:tabs>
        <w:ind w:firstLine="440" w:firstLineChars="200"/>
        <w:rPr>
          <w:rFonts w:hint="eastAsia" w:ascii="宋体" w:hAnsi="宋体" w:eastAsia="宋体" w:cs="宋体"/>
          <w:sz w:val="22"/>
        </w:rPr>
      </w:pPr>
      <w:r>
        <w:rPr>
          <w:rFonts w:hint="eastAsia" w:ascii="宋体" w:hAnsi="宋体" w:eastAsia="宋体" w:cs="宋体"/>
          <w:sz w:val="22"/>
        </w:rPr>
        <w:t>1）</w:t>
      </w:r>
      <w:r>
        <w:rPr>
          <w:rFonts w:hint="eastAsia" w:ascii="宋体" w:hAnsi="宋体" w:eastAsia="宋体" w:cs="宋体"/>
          <w:sz w:val="22"/>
          <w:lang w:eastAsia="zh-CN"/>
        </w:rPr>
        <w:t>投标供应商</w:t>
      </w:r>
      <w:r>
        <w:rPr>
          <w:rFonts w:hint="eastAsia" w:ascii="宋体" w:hAnsi="宋体" w:eastAsia="宋体" w:cs="宋体"/>
          <w:sz w:val="22"/>
        </w:rPr>
        <w:t>可根据采购文件中的技术规格书以及技术资信评分表，提供</w:t>
      </w:r>
      <w:r>
        <w:rPr>
          <w:rFonts w:hint="eastAsia" w:ascii="宋体" w:hAnsi="宋体" w:eastAsia="宋体" w:cs="宋体"/>
          <w:sz w:val="22"/>
          <w:lang w:eastAsia="zh-CN"/>
        </w:rPr>
        <w:t>投标供应商</w:t>
      </w:r>
      <w:r>
        <w:rPr>
          <w:rFonts w:hint="eastAsia" w:ascii="宋体" w:hAnsi="宋体" w:eastAsia="宋体" w:cs="宋体"/>
          <w:sz w:val="22"/>
        </w:rPr>
        <w:t>认为需要提供的文件和资料。</w:t>
      </w:r>
    </w:p>
    <w:p w14:paraId="43E8A2E6">
      <w:pPr>
        <w:tabs>
          <w:tab w:val="left" w:pos="5355"/>
        </w:tabs>
        <w:ind w:firstLine="440" w:firstLineChars="200"/>
        <w:rPr>
          <w:rFonts w:hint="eastAsia" w:ascii="宋体" w:hAnsi="宋体" w:eastAsia="宋体" w:cs="宋体"/>
          <w:sz w:val="22"/>
        </w:rPr>
      </w:pPr>
      <w:r>
        <w:rPr>
          <w:rFonts w:hint="eastAsia" w:ascii="宋体" w:hAnsi="宋体" w:eastAsia="宋体" w:cs="宋体"/>
          <w:sz w:val="22"/>
        </w:rPr>
        <w:t>2）投标文件中应承诺：</w:t>
      </w:r>
      <w:r>
        <w:rPr>
          <w:rFonts w:hint="eastAsia" w:ascii="宋体" w:hAnsi="宋体" w:eastAsia="宋体" w:cs="宋体"/>
          <w:sz w:val="22"/>
          <w:lang w:eastAsia="zh-CN"/>
        </w:rPr>
        <w:t>投标供应商</w:t>
      </w:r>
      <w:r>
        <w:rPr>
          <w:rFonts w:hint="eastAsia" w:ascii="宋体" w:hAnsi="宋体" w:eastAsia="宋体" w:cs="宋体"/>
          <w:sz w:val="22"/>
        </w:rPr>
        <w:t>所提供的服务所有权归采购人所有。如若发生侵权事件，其侵权责任与采购人及采购代理机构无关，由</w:t>
      </w:r>
      <w:r>
        <w:rPr>
          <w:rFonts w:hint="eastAsia" w:ascii="宋体" w:hAnsi="宋体" w:eastAsia="宋体" w:cs="宋体"/>
          <w:sz w:val="22"/>
          <w:lang w:eastAsia="zh-CN"/>
        </w:rPr>
        <w:t>投标供应商</w:t>
      </w:r>
      <w:r>
        <w:rPr>
          <w:rFonts w:hint="eastAsia" w:ascii="宋体" w:hAnsi="宋体" w:eastAsia="宋体" w:cs="宋体"/>
          <w:sz w:val="22"/>
        </w:rPr>
        <w:t>承担全部责任。侵权造成的所有相关费用，均由</w:t>
      </w:r>
      <w:r>
        <w:rPr>
          <w:rFonts w:hint="eastAsia" w:ascii="宋体" w:hAnsi="宋体" w:eastAsia="宋体" w:cs="宋体"/>
          <w:sz w:val="22"/>
          <w:lang w:eastAsia="zh-CN"/>
        </w:rPr>
        <w:t>投标供应商</w:t>
      </w:r>
      <w:r>
        <w:rPr>
          <w:rFonts w:hint="eastAsia" w:ascii="宋体" w:hAnsi="宋体" w:eastAsia="宋体" w:cs="宋体"/>
          <w:sz w:val="22"/>
        </w:rPr>
        <w:t>支付，保证不伤害采购人的利益。</w:t>
      </w:r>
    </w:p>
    <w:p w14:paraId="3CAC84F1">
      <w:pPr>
        <w:tabs>
          <w:tab w:val="left" w:pos="5355"/>
        </w:tabs>
        <w:ind w:firstLine="440" w:firstLineChars="200"/>
        <w:rPr>
          <w:rFonts w:hint="eastAsia" w:ascii="宋体" w:hAnsi="宋体" w:eastAsia="宋体" w:cs="宋体"/>
          <w:sz w:val="22"/>
        </w:rPr>
      </w:pPr>
      <w:r>
        <w:rPr>
          <w:rFonts w:hint="eastAsia" w:ascii="宋体" w:hAnsi="宋体" w:eastAsia="宋体" w:cs="宋体"/>
          <w:sz w:val="22"/>
        </w:rPr>
        <w:t>3）以上所需的各种证书、证件、证明、执照若系复印件，须在复印件上加盖</w:t>
      </w:r>
      <w:r>
        <w:rPr>
          <w:rFonts w:hint="eastAsia" w:ascii="宋体" w:hAnsi="宋体" w:eastAsia="宋体" w:cs="宋体"/>
          <w:sz w:val="22"/>
          <w:lang w:eastAsia="zh-CN"/>
        </w:rPr>
        <w:t>投标供应商</w:t>
      </w:r>
      <w:r>
        <w:rPr>
          <w:rFonts w:hint="eastAsia" w:ascii="宋体" w:hAnsi="宋体" w:eastAsia="宋体" w:cs="宋体"/>
          <w:sz w:val="22"/>
        </w:rPr>
        <w:t>有效的公章。</w:t>
      </w:r>
    </w:p>
    <w:p w14:paraId="2D2ECB70">
      <w:pPr>
        <w:tabs>
          <w:tab w:val="left" w:pos="5355"/>
        </w:tabs>
        <w:ind w:firstLine="440" w:firstLineChars="200"/>
        <w:rPr>
          <w:rFonts w:hint="eastAsia" w:ascii="宋体" w:hAnsi="宋体" w:eastAsia="宋体" w:cs="宋体"/>
          <w:sz w:val="22"/>
          <w:szCs w:val="22"/>
        </w:rPr>
      </w:pPr>
      <w:r>
        <w:rPr>
          <w:rFonts w:hint="eastAsia" w:ascii="宋体" w:hAnsi="宋体" w:eastAsia="宋体" w:cs="宋体"/>
          <w:sz w:val="22"/>
          <w:lang w:val="en-US" w:eastAsia="zh-CN"/>
        </w:rPr>
        <w:t>4</w:t>
      </w:r>
      <w:r>
        <w:rPr>
          <w:rFonts w:hint="eastAsia" w:ascii="宋体" w:hAnsi="宋体" w:eastAsia="宋体" w:cs="宋体"/>
          <w:sz w:val="22"/>
        </w:rPr>
        <w:t>）</w:t>
      </w:r>
      <w:r>
        <w:rPr>
          <w:rFonts w:hint="eastAsia" w:ascii="宋体" w:hAnsi="宋体" w:eastAsia="宋体" w:cs="宋体"/>
          <w:sz w:val="22"/>
          <w:lang w:eastAsia="zh-CN"/>
        </w:rPr>
        <w:t>投标供应商</w:t>
      </w:r>
      <w:r>
        <w:rPr>
          <w:rFonts w:hint="eastAsia" w:ascii="宋体" w:hAnsi="宋体" w:eastAsia="宋体" w:cs="宋体"/>
          <w:sz w:val="22"/>
        </w:rPr>
        <w:t>可在采购文件中对采购服务/货物的技术规格和要求选用替代标准，但这些替代标准必须相当于或优于采购文件中提出的相应要求，并使采购人满意。同时在技术偏离表中作出详细说明。</w:t>
      </w:r>
    </w:p>
    <w:p w14:paraId="57DC88D9">
      <w:pPr>
        <w:tabs>
          <w:tab w:val="left" w:pos="5355"/>
        </w:tabs>
        <w:rPr>
          <w:rFonts w:hint="eastAsia" w:ascii="宋体" w:hAnsi="宋体" w:eastAsia="宋体" w:cs="宋体"/>
          <w:b/>
          <w:sz w:val="22"/>
          <w:szCs w:val="22"/>
        </w:rPr>
      </w:pPr>
    </w:p>
    <w:p w14:paraId="2BBA225E">
      <w:pPr>
        <w:ind w:left="187" w:leftChars="85" w:hanging="9" w:hangingChars="4"/>
        <w:rPr>
          <w:rFonts w:hint="eastAsia" w:ascii="宋体" w:hAnsi="宋体" w:eastAsia="宋体" w:cs="宋体"/>
          <w:b/>
          <w:sz w:val="22"/>
          <w:szCs w:val="22"/>
        </w:rPr>
      </w:pPr>
      <w:r>
        <w:rPr>
          <w:rFonts w:hint="eastAsia" w:ascii="宋体" w:hAnsi="宋体" w:eastAsia="宋体" w:cs="宋体"/>
          <w:b/>
          <w:sz w:val="22"/>
          <w:szCs w:val="22"/>
        </w:rPr>
        <w:t>（2） 商务（报价）标</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14:paraId="021E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2EB8FA85">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序号</w:t>
            </w:r>
          </w:p>
        </w:tc>
        <w:tc>
          <w:tcPr>
            <w:tcW w:w="6323" w:type="dxa"/>
            <w:noWrap w:val="0"/>
            <w:vAlign w:val="center"/>
          </w:tcPr>
          <w:p w14:paraId="7B215566">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内  容</w:t>
            </w:r>
          </w:p>
        </w:tc>
        <w:tc>
          <w:tcPr>
            <w:tcW w:w="1496" w:type="dxa"/>
            <w:noWrap w:val="0"/>
            <w:vAlign w:val="center"/>
          </w:tcPr>
          <w:p w14:paraId="44432944">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备注</w:t>
            </w:r>
          </w:p>
        </w:tc>
      </w:tr>
      <w:tr w14:paraId="4E2A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4F163C2C">
            <w:pPr>
              <w:keepNext w:val="0"/>
              <w:keepLines w:val="0"/>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6323" w:type="dxa"/>
            <w:noWrap w:val="0"/>
            <w:vAlign w:val="center"/>
          </w:tcPr>
          <w:p w14:paraId="0E304543">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sz w:val="18"/>
                <w:szCs w:val="18"/>
              </w:rPr>
              <w:t>开标一览表</w:t>
            </w:r>
          </w:p>
        </w:tc>
        <w:tc>
          <w:tcPr>
            <w:tcW w:w="1496" w:type="dxa"/>
            <w:noWrap w:val="0"/>
            <w:vAlign w:val="center"/>
          </w:tcPr>
          <w:p w14:paraId="273A65F3">
            <w:pPr>
              <w:keepNext w:val="0"/>
              <w:keepLines w:val="0"/>
              <w:suppressLineNumbers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rPr>
              <w:t>附件</w:t>
            </w:r>
            <w:r>
              <w:rPr>
                <w:rFonts w:hint="eastAsia" w:ascii="宋体" w:hAnsi="宋体" w:cs="宋体"/>
                <w:sz w:val="18"/>
                <w:szCs w:val="18"/>
                <w:lang w:val="en-US" w:eastAsia="zh-CN"/>
              </w:rPr>
              <w:t>七</w:t>
            </w:r>
          </w:p>
        </w:tc>
      </w:tr>
      <w:tr w14:paraId="6D0B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6DF0157D">
            <w:pPr>
              <w:keepNext w:val="0"/>
              <w:keepLines w:val="0"/>
              <w:suppressLineNumbers w:val="0"/>
              <w:spacing w:before="0" w:beforeAutospacing="0" w:after="0" w:afterAutospacing="0"/>
              <w:ind w:left="0" w:right="0"/>
              <w:jc w:val="center"/>
              <w:rPr>
                <w:rFonts w:hint="eastAsia" w:ascii="宋体" w:hAnsi="宋体" w:eastAsia="宋体" w:cs="宋体"/>
                <w:strike/>
                <w:sz w:val="18"/>
                <w:szCs w:val="18"/>
                <w:highlight w:val="yellow"/>
              </w:rPr>
            </w:pPr>
          </w:p>
        </w:tc>
        <w:tc>
          <w:tcPr>
            <w:tcW w:w="6323" w:type="dxa"/>
            <w:noWrap w:val="0"/>
            <w:vAlign w:val="center"/>
          </w:tcPr>
          <w:p w14:paraId="3D8E52D0">
            <w:pPr>
              <w:keepNext w:val="0"/>
              <w:keepLines w:val="0"/>
              <w:suppressLineNumbers w:val="0"/>
              <w:spacing w:before="0" w:beforeAutospacing="0" w:after="0" w:afterAutospacing="0"/>
              <w:ind w:left="0" w:right="0"/>
              <w:rPr>
                <w:rFonts w:hint="eastAsia" w:ascii="宋体" w:hAnsi="宋体" w:eastAsia="宋体" w:cs="宋体"/>
                <w:strike/>
                <w:sz w:val="18"/>
                <w:szCs w:val="18"/>
                <w:highlight w:val="yellow"/>
              </w:rPr>
            </w:pPr>
          </w:p>
        </w:tc>
        <w:tc>
          <w:tcPr>
            <w:tcW w:w="1496" w:type="dxa"/>
            <w:noWrap w:val="0"/>
            <w:vAlign w:val="center"/>
          </w:tcPr>
          <w:p w14:paraId="2771CB08">
            <w:pPr>
              <w:keepNext w:val="0"/>
              <w:keepLines w:val="0"/>
              <w:suppressLineNumbers w:val="0"/>
              <w:spacing w:before="0" w:beforeAutospacing="0" w:after="0" w:afterAutospacing="0"/>
              <w:ind w:left="0" w:right="0"/>
              <w:jc w:val="center"/>
              <w:rPr>
                <w:rFonts w:hint="eastAsia" w:ascii="宋体" w:hAnsi="宋体" w:eastAsia="宋体" w:cs="宋体"/>
                <w:strike/>
                <w:sz w:val="18"/>
                <w:szCs w:val="18"/>
                <w:highlight w:val="yellow"/>
              </w:rPr>
            </w:pPr>
          </w:p>
        </w:tc>
      </w:tr>
    </w:tbl>
    <w:p w14:paraId="612759D5">
      <w:pPr>
        <w:rPr>
          <w:rFonts w:hint="eastAsia" w:ascii="宋体" w:hAnsi="宋体" w:eastAsia="宋体" w:cs="宋体"/>
          <w:b/>
          <w:sz w:val="22"/>
          <w:szCs w:val="22"/>
        </w:rPr>
      </w:pPr>
    </w:p>
    <w:p w14:paraId="033012AF">
      <w:pPr>
        <w:rPr>
          <w:rFonts w:hint="eastAsia" w:ascii="宋体" w:hAnsi="宋体" w:eastAsia="宋体" w:cs="宋体"/>
          <w:b/>
          <w:sz w:val="22"/>
        </w:rPr>
      </w:pPr>
      <w:r>
        <w:rPr>
          <w:rFonts w:hint="eastAsia" w:ascii="宋体" w:hAnsi="宋体" w:eastAsia="宋体" w:cs="宋体"/>
          <w:b/>
          <w:sz w:val="22"/>
        </w:rPr>
        <w:t>11.2  投标文件格式</w:t>
      </w:r>
    </w:p>
    <w:p w14:paraId="2C8488C4">
      <w:pPr>
        <w:numPr>
          <w:ilvl w:val="0"/>
          <w:numId w:val="5"/>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lang w:eastAsia="zh-CN"/>
        </w:rPr>
        <w:t>投标供应商</w:t>
      </w:r>
      <w:r>
        <w:rPr>
          <w:rFonts w:hint="eastAsia" w:ascii="宋体" w:hAnsi="宋体" w:eastAsia="宋体" w:cs="宋体"/>
          <w:sz w:val="22"/>
        </w:rPr>
        <w:t>应根据采购文件中所提供的格式，内容按顺序填写并装订成册，不允许以活页夹形式装订投标文件，</w:t>
      </w:r>
      <w:r>
        <w:rPr>
          <w:rFonts w:hint="eastAsia" w:ascii="宋体" w:hAnsi="宋体" w:eastAsia="宋体" w:cs="宋体"/>
          <w:b/>
          <w:bCs/>
          <w:sz w:val="22"/>
          <w:u w:val="single"/>
        </w:rPr>
        <w:t>▲须将技术资信标装订成册，并密封包装于技术资信标标函袋中（标函袋数量、形式不做统一要求）；须将商务（报价）标装订成册，并密封包装于商务（报价）标标函袋中（标函袋数量、形式不做统一要求），否则其投标</w:t>
      </w:r>
      <w:r>
        <w:rPr>
          <w:rFonts w:hint="eastAsia" w:ascii="宋体" w:hAnsi="宋体" w:eastAsia="宋体" w:cs="宋体"/>
          <w:b/>
          <w:bCs/>
          <w:sz w:val="22"/>
          <w:u w:val="single"/>
          <w:lang w:val="en-US" w:eastAsia="zh-CN"/>
        </w:rPr>
        <w:t>文件</w:t>
      </w:r>
      <w:r>
        <w:rPr>
          <w:rFonts w:hint="eastAsia" w:ascii="宋体" w:hAnsi="宋体" w:eastAsia="宋体" w:cs="宋体"/>
          <w:b/>
          <w:bCs/>
          <w:sz w:val="22"/>
          <w:u w:val="single"/>
        </w:rPr>
        <w:t>将被拒收</w:t>
      </w:r>
      <w:r>
        <w:rPr>
          <w:rFonts w:hint="eastAsia" w:ascii="宋体" w:hAnsi="宋体" w:eastAsia="宋体" w:cs="宋体"/>
          <w:sz w:val="22"/>
        </w:rPr>
        <w:t>。</w:t>
      </w:r>
    </w:p>
    <w:p w14:paraId="7F629E8F">
      <w:pPr>
        <w:numPr>
          <w:ilvl w:val="0"/>
          <w:numId w:val="5"/>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投标文件应有目录以及页码，以便评委检索。</w:t>
      </w:r>
    </w:p>
    <w:p w14:paraId="094D7227">
      <w:pPr>
        <w:numPr>
          <w:ilvl w:val="0"/>
          <w:numId w:val="5"/>
        </w:numPr>
        <w:tabs>
          <w:tab w:val="left" w:pos="530"/>
        </w:tabs>
        <w:autoSpaceDE w:val="0"/>
        <w:autoSpaceDN w:val="0"/>
        <w:textAlignment w:val="bottom"/>
        <w:rPr>
          <w:rFonts w:hint="eastAsia" w:ascii="宋体" w:hAnsi="宋体" w:eastAsia="宋体" w:cs="宋体"/>
          <w:sz w:val="22"/>
        </w:rPr>
      </w:pPr>
      <w:r>
        <w:rPr>
          <w:rFonts w:hint="eastAsia" w:ascii="宋体" w:hAnsi="宋体" w:eastAsia="宋体" w:cs="宋体"/>
          <w:sz w:val="22"/>
        </w:rPr>
        <w:t>投标文件尽可能简练有针对性，双面打印/复印后装订。</w:t>
      </w:r>
    </w:p>
    <w:p w14:paraId="6B62610E">
      <w:pPr>
        <w:numPr>
          <w:ilvl w:val="0"/>
          <w:numId w:val="4"/>
        </w:numPr>
        <w:tabs>
          <w:tab w:val="left" w:pos="525"/>
          <w:tab w:val="left" w:pos="900"/>
        </w:tabs>
        <w:ind w:left="525" w:hanging="525"/>
        <w:rPr>
          <w:rFonts w:hint="eastAsia" w:ascii="宋体" w:hAnsi="宋体" w:eastAsia="宋体" w:cs="宋体"/>
          <w:b/>
          <w:sz w:val="22"/>
          <w:u w:val="single"/>
        </w:rPr>
      </w:pPr>
      <w:r>
        <w:rPr>
          <w:rFonts w:hint="eastAsia" w:ascii="宋体" w:hAnsi="宋体" w:eastAsia="宋体" w:cs="宋体"/>
          <w:b/>
          <w:sz w:val="22"/>
          <w:u w:val="single"/>
        </w:rPr>
        <w:t>▲投标报价</w:t>
      </w:r>
    </w:p>
    <w:p w14:paraId="31A39135">
      <w:pPr>
        <w:ind w:left="526" w:hanging="526" w:hangingChars="238"/>
        <w:rPr>
          <w:rFonts w:hint="eastAsia" w:ascii="宋体" w:hAnsi="宋体" w:eastAsia="宋体" w:cs="宋体"/>
          <w:b/>
          <w:bCs/>
          <w:sz w:val="22"/>
          <w:u w:val="single"/>
        </w:rPr>
      </w:pPr>
      <w:r>
        <w:rPr>
          <w:rFonts w:hint="eastAsia" w:ascii="宋体" w:hAnsi="宋体" w:eastAsia="宋体" w:cs="宋体"/>
          <w:b/>
          <w:bCs/>
          <w:sz w:val="22"/>
          <w:u w:val="single"/>
        </w:rPr>
        <w:t>12.1 本次采购以优惠折扣系数方式进行报价，</w:t>
      </w:r>
      <w:r>
        <w:rPr>
          <w:rFonts w:hint="eastAsia" w:ascii="宋体" w:hAnsi="宋体" w:eastAsia="宋体" w:cs="宋体"/>
          <w:b/>
          <w:bCs/>
          <w:sz w:val="22"/>
          <w:u w:val="single"/>
          <w:lang w:eastAsia="zh-CN"/>
        </w:rPr>
        <w:t>投标供应商</w:t>
      </w:r>
      <w:r>
        <w:rPr>
          <w:rFonts w:hint="eastAsia" w:ascii="宋体" w:hAnsi="宋体" w:eastAsia="宋体" w:cs="宋体"/>
          <w:b/>
          <w:bCs/>
          <w:sz w:val="22"/>
          <w:u w:val="single"/>
        </w:rPr>
        <w:t>在采购人提供的各项服务项目最高限价的基础上给出折扣系数报价，折扣系数报价大于100%的作无效标处理；</w:t>
      </w:r>
    </w:p>
    <w:p w14:paraId="559A8933">
      <w:pPr>
        <w:ind w:left="526" w:hanging="526" w:hangingChars="238"/>
        <w:rPr>
          <w:rFonts w:hint="eastAsia" w:ascii="宋体" w:hAnsi="宋体" w:eastAsia="宋体" w:cs="宋体"/>
          <w:b/>
          <w:bCs/>
          <w:sz w:val="22"/>
          <w:highlight w:val="none"/>
          <w:u w:val="single"/>
          <w:lang w:val="en-US" w:eastAsia="zh-CN"/>
        </w:rPr>
      </w:pPr>
      <w:r>
        <w:rPr>
          <w:rFonts w:hint="eastAsia" w:ascii="宋体" w:hAnsi="宋体" w:eastAsia="宋体" w:cs="宋体"/>
          <w:b/>
          <w:bCs/>
          <w:sz w:val="22"/>
          <w:u w:val="single"/>
        </w:rPr>
        <w:t xml:space="preserve">12.2 </w:t>
      </w:r>
      <w:r>
        <w:rPr>
          <w:rFonts w:hint="eastAsia" w:ascii="宋体" w:hAnsi="宋体" w:eastAsia="宋体" w:cs="宋体"/>
          <w:b/>
          <w:bCs/>
          <w:sz w:val="22"/>
          <w:u w:val="single"/>
          <w:lang w:val="en-US" w:eastAsia="zh-CN"/>
        </w:rPr>
        <w:t>采购文件中确定的中标</w:t>
      </w:r>
      <w:r>
        <w:rPr>
          <w:rFonts w:hint="eastAsia" w:ascii="宋体" w:hAnsi="宋体" w:eastAsia="宋体" w:cs="宋体"/>
          <w:b/>
          <w:bCs/>
          <w:sz w:val="22"/>
          <w:u w:val="single"/>
        </w:rPr>
        <w:t>折扣</w:t>
      </w:r>
      <w:r>
        <w:rPr>
          <w:rFonts w:hint="eastAsia" w:ascii="宋体" w:hAnsi="宋体" w:eastAsia="宋体" w:cs="宋体"/>
          <w:b/>
          <w:bCs/>
          <w:sz w:val="22"/>
          <w:highlight w:val="none"/>
          <w:u w:val="single"/>
        </w:rPr>
        <w:t>系数报价、以及该</w:t>
      </w:r>
      <w:r>
        <w:rPr>
          <w:rFonts w:hint="eastAsia" w:ascii="宋体" w:hAnsi="宋体" w:eastAsia="宋体" w:cs="宋体"/>
          <w:b/>
          <w:bCs/>
          <w:sz w:val="22"/>
          <w:highlight w:val="none"/>
          <w:u w:val="single"/>
          <w:lang w:val="en-US" w:eastAsia="zh-CN"/>
        </w:rPr>
        <w:t>中标</w:t>
      </w:r>
      <w:r>
        <w:rPr>
          <w:rFonts w:hint="eastAsia" w:ascii="宋体" w:hAnsi="宋体" w:eastAsia="宋体" w:cs="宋体"/>
          <w:b/>
          <w:bCs/>
          <w:sz w:val="22"/>
          <w:highlight w:val="none"/>
          <w:u w:val="single"/>
        </w:rPr>
        <w:t>折扣系数报价乘以各项服务项目最高限价得出的各项服务项目的综合单价</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lang w:val="en-US" w:eastAsia="zh-CN"/>
        </w:rPr>
        <w:t>除采购文件或合同另有规定外</w:t>
      </w:r>
      <w:r>
        <w:rPr>
          <w:rFonts w:hint="eastAsia" w:ascii="宋体" w:hAnsi="宋体" w:eastAsia="宋体" w:cs="宋体"/>
          <w:b/>
          <w:bCs/>
          <w:sz w:val="22"/>
          <w:highlight w:val="none"/>
          <w:u w:val="single"/>
          <w:lang w:eastAsia="zh-CN"/>
        </w:rPr>
        <w:t>）</w:t>
      </w:r>
      <w:r>
        <w:rPr>
          <w:rFonts w:hint="eastAsia" w:ascii="宋体" w:hAnsi="宋体" w:eastAsia="宋体" w:cs="宋体"/>
          <w:b/>
          <w:bCs/>
          <w:sz w:val="22"/>
          <w:highlight w:val="none"/>
          <w:u w:val="single"/>
        </w:rPr>
        <w:t>均在合同规定的服务期限内保持不变，</w:t>
      </w:r>
      <w:r>
        <w:rPr>
          <w:rFonts w:hint="eastAsia" w:ascii="宋体" w:hAnsi="宋体" w:eastAsia="宋体" w:cs="宋体"/>
          <w:b/>
          <w:bCs/>
          <w:sz w:val="22"/>
          <w:highlight w:val="none"/>
          <w:u w:val="single"/>
          <w:lang w:val="en-US" w:eastAsia="zh-CN"/>
        </w:rPr>
        <w:t>本项目实行</w:t>
      </w:r>
      <w:r>
        <w:rPr>
          <w:rFonts w:hint="eastAsia" w:ascii="宋体" w:hAnsi="宋体" w:eastAsia="宋体" w:cs="宋体"/>
          <w:b/>
          <w:bCs/>
          <w:sz w:val="22"/>
          <w:highlight w:val="none"/>
          <w:u w:val="single"/>
        </w:rPr>
        <w:t>综合单价</w:t>
      </w:r>
      <w:r>
        <w:rPr>
          <w:rFonts w:hint="eastAsia" w:ascii="宋体" w:hAnsi="宋体" w:eastAsia="宋体" w:cs="宋体"/>
          <w:b/>
          <w:bCs/>
          <w:sz w:val="22"/>
          <w:highlight w:val="none"/>
          <w:u w:val="single"/>
          <w:lang w:val="en-US" w:eastAsia="zh-CN"/>
        </w:rPr>
        <w:t>承包，</w:t>
      </w:r>
      <w:r>
        <w:rPr>
          <w:rFonts w:hint="eastAsia" w:ascii="宋体" w:hAnsi="宋体" w:eastAsia="宋体" w:cs="宋体"/>
          <w:b/>
          <w:bCs/>
          <w:sz w:val="22"/>
          <w:highlight w:val="none"/>
          <w:u w:val="single"/>
        </w:rPr>
        <w:t>各</w:t>
      </w:r>
      <w:r>
        <w:rPr>
          <w:rFonts w:hint="eastAsia" w:ascii="宋体" w:hAnsi="宋体" w:eastAsia="宋体" w:cs="宋体"/>
          <w:b/>
          <w:bCs/>
          <w:sz w:val="22"/>
          <w:highlight w:val="none"/>
          <w:u w:val="single"/>
          <w:lang w:eastAsia="zh-CN"/>
        </w:rPr>
        <w:t>投标供应商</w:t>
      </w:r>
      <w:r>
        <w:rPr>
          <w:rFonts w:hint="eastAsia" w:ascii="宋体" w:hAnsi="宋体" w:eastAsia="宋体" w:cs="宋体"/>
          <w:b/>
          <w:bCs/>
          <w:sz w:val="22"/>
          <w:highlight w:val="none"/>
          <w:u w:val="single"/>
        </w:rPr>
        <w:t>报价时必须充分考虑该风险。</w:t>
      </w:r>
    </w:p>
    <w:p w14:paraId="4AF5B5DB">
      <w:pPr>
        <w:ind w:left="526" w:hanging="526" w:hangingChars="238"/>
        <w:rPr>
          <w:rFonts w:hint="eastAsia" w:ascii="宋体" w:hAnsi="宋体" w:eastAsia="宋体" w:cs="宋体"/>
          <w:b/>
          <w:bCs/>
          <w:sz w:val="22"/>
          <w:u w:val="single"/>
          <w:lang w:val="en-US" w:eastAsia="zh-CN"/>
        </w:rPr>
      </w:pPr>
      <w:r>
        <w:rPr>
          <w:rFonts w:hint="eastAsia" w:ascii="宋体" w:hAnsi="宋体" w:eastAsia="宋体" w:cs="宋体"/>
          <w:b/>
          <w:bCs/>
          <w:sz w:val="22"/>
          <w:highlight w:val="none"/>
          <w:u w:val="single"/>
        </w:rPr>
        <w:t xml:space="preserve">12.3 </w:t>
      </w:r>
      <w:r>
        <w:rPr>
          <w:rFonts w:hint="eastAsia" w:ascii="宋体" w:hAnsi="宋体" w:eastAsia="宋体" w:cs="宋体"/>
          <w:b/>
          <w:bCs/>
          <w:sz w:val="22"/>
          <w:highlight w:val="none"/>
          <w:u w:val="single"/>
          <w:lang w:eastAsia="zh-CN"/>
        </w:rPr>
        <w:t>投标供应商</w:t>
      </w:r>
      <w:r>
        <w:rPr>
          <w:rFonts w:hint="eastAsia" w:ascii="宋体" w:hAnsi="宋体" w:eastAsia="宋体" w:cs="宋体"/>
          <w:b/>
          <w:bCs/>
          <w:sz w:val="22"/>
          <w:highlight w:val="none"/>
          <w:u w:val="single"/>
        </w:rPr>
        <w:t>关于本项目折扣系</w:t>
      </w:r>
      <w:r>
        <w:rPr>
          <w:rFonts w:hint="eastAsia" w:ascii="宋体" w:hAnsi="宋体" w:eastAsia="宋体" w:cs="宋体"/>
          <w:b/>
          <w:bCs/>
          <w:sz w:val="22"/>
          <w:u w:val="single"/>
        </w:rPr>
        <w:t>数报价</w:t>
      </w:r>
      <w:r>
        <w:rPr>
          <w:rFonts w:hint="eastAsia" w:ascii="宋体" w:hAnsi="宋体" w:eastAsia="宋体" w:cs="宋体"/>
          <w:b/>
          <w:bCs/>
          <w:sz w:val="22"/>
          <w:u w:val="single"/>
          <w:lang w:eastAsia="zh-CN"/>
        </w:rPr>
        <w:t>、</w:t>
      </w:r>
      <w:r>
        <w:rPr>
          <w:rFonts w:hint="eastAsia" w:ascii="宋体" w:hAnsi="宋体" w:eastAsia="宋体" w:cs="宋体"/>
          <w:b/>
          <w:bCs/>
          <w:sz w:val="22"/>
          <w:u w:val="single"/>
          <w:lang w:val="en-US" w:eastAsia="zh-CN"/>
        </w:rPr>
        <w:t>按采购文件中的规定确定的中标</w:t>
      </w:r>
      <w:r>
        <w:rPr>
          <w:rFonts w:hint="eastAsia" w:ascii="宋体" w:hAnsi="宋体" w:eastAsia="宋体" w:cs="宋体"/>
          <w:b/>
          <w:bCs/>
          <w:sz w:val="22"/>
          <w:u w:val="single"/>
        </w:rPr>
        <w:t>折扣系数、上述12.2条规定的各综合单价均包括在承包区域内提供服务所需的一切人员工资、奖金、节日加班费及延误加班费、餐费、各种社会保险、培训、通讯、住宿与交通、工作服、管理费用、税费、利润以及完成合同所需的一切本身和不可或缺的所有工作开支、政策性文件规定及合同包含的所有风险、责任等各项全部费用并承担一切风险责任。</w:t>
      </w:r>
    </w:p>
    <w:p w14:paraId="16C7CD78">
      <w:pPr>
        <w:ind w:left="521" w:leftChars="209" w:hanging="82" w:hangingChars="37"/>
        <w:rPr>
          <w:rFonts w:hint="eastAsia" w:ascii="宋体" w:hAnsi="宋体" w:eastAsia="宋体" w:cs="宋体"/>
          <w:b/>
          <w:bCs/>
          <w:sz w:val="22"/>
          <w:u w:val="single"/>
        </w:rPr>
      </w:pPr>
      <w:r>
        <w:rPr>
          <w:rFonts w:hint="eastAsia" w:ascii="宋体" w:hAnsi="宋体" w:eastAsia="宋体" w:cs="宋体"/>
          <w:b/>
          <w:bCs/>
          <w:sz w:val="22"/>
          <w:u w:val="single"/>
        </w:rPr>
        <w:t>供应商为完成服务工作所需的日常</w:t>
      </w:r>
      <w:r>
        <w:rPr>
          <w:rFonts w:hint="eastAsia" w:ascii="宋体" w:hAnsi="宋体" w:cs="宋体"/>
          <w:b/>
          <w:bCs/>
          <w:sz w:val="22"/>
          <w:u w:val="single"/>
          <w:lang w:val="en-US" w:eastAsia="zh-CN"/>
        </w:rPr>
        <w:t>工具设备</w:t>
      </w:r>
      <w:r>
        <w:rPr>
          <w:rFonts w:hint="eastAsia" w:ascii="宋体" w:hAnsi="宋体" w:eastAsia="宋体" w:cs="宋体"/>
          <w:b/>
          <w:bCs/>
          <w:sz w:val="22"/>
          <w:u w:val="single"/>
        </w:rPr>
        <w:t>、安全</w:t>
      </w:r>
      <w:r>
        <w:rPr>
          <w:rFonts w:hint="eastAsia" w:ascii="宋体" w:hAnsi="宋体" w:eastAsia="宋体" w:cs="宋体"/>
          <w:b/>
          <w:bCs/>
          <w:sz w:val="22"/>
          <w:u w:val="single"/>
          <w:lang w:val="en-US" w:eastAsia="zh-CN"/>
        </w:rPr>
        <w:t>防护</w:t>
      </w:r>
      <w:r>
        <w:rPr>
          <w:rFonts w:hint="eastAsia" w:ascii="宋体" w:hAnsi="宋体" w:eastAsia="宋体" w:cs="宋体"/>
          <w:b/>
          <w:bCs/>
          <w:sz w:val="22"/>
          <w:u w:val="single"/>
        </w:rPr>
        <w:t>、车辆</w:t>
      </w:r>
      <w:r>
        <w:rPr>
          <w:rFonts w:hint="eastAsia" w:ascii="宋体" w:hAnsi="宋体" w:eastAsia="宋体" w:cs="宋体"/>
          <w:b/>
          <w:bCs/>
          <w:sz w:val="22"/>
          <w:u w:val="single"/>
          <w:lang w:val="en-US" w:eastAsia="zh-CN"/>
        </w:rPr>
        <w:t>等</w:t>
      </w:r>
      <w:r>
        <w:rPr>
          <w:rFonts w:hint="eastAsia" w:ascii="宋体" w:hAnsi="宋体" w:eastAsia="宋体" w:cs="宋体"/>
          <w:b/>
          <w:bCs/>
          <w:sz w:val="22"/>
          <w:u w:val="single"/>
        </w:rPr>
        <w:t>交通工具</w:t>
      </w:r>
      <w:r>
        <w:rPr>
          <w:rFonts w:hint="eastAsia" w:ascii="宋体" w:hAnsi="宋体" w:eastAsia="宋体" w:cs="宋体"/>
          <w:b/>
          <w:bCs/>
          <w:sz w:val="22"/>
          <w:u w:val="single"/>
          <w:lang w:val="en-US" w:eastAsia="zh-CN"/>
        </w:rPr>
        <w:t>使用及其折旧</w:t>
      </w:r>
      <w:r>
        <w:rPr>
          <w:rFonts w:hint="eastAsia" w:ascii="宋体" w:hAnsi="宋体" w:eastAsia="宋体" w:cs="宋体"/>
          <w:b/>
          <w:bCs/>
          <w:sz w:val="22"/>
          <w:u w:val="single"/>
        </w:rPr>
        <w:t>费用、材料搬运、安全文明等费用也包含在折扣系数报价和该各综合单价中。</w:t>
      </w:r>
    </w:p>
    <w:p w14:paraId="0FA3A23B">
      <w:pPr>
        <w:ind w:left="526" w:hanging="526" w:hangingChars="238"/>
        <w:rPr>
          <w:rFonts w:hint="eastAsia" w:ascii="宋体" w:hAnsi="宋体" w:eastAsia="宋体" w:cs="宋体"/>
          <w:b/>
          <w:bCs/>
          <w:sz w:val="22"/>
          <w:lang w:val="zh-CN"/>
        </w:rPr>
      </w:pPr>
      <w:r>
        <w:rPr>
          <w:rFonts w:hint="eastAsia" w:ascii="宋体" w:hAnsi="宋体" w:eastAsia="宋体" w:cs="宋体"/>
          <w:b/>
          <w:sz w:val="22"/>
        </w:rPr>
        <w:t xml:space="preserve">12.4 </w:t>
      </w:r>
      <w:r>
        <w:rPr>
          <w:rFonts w:hint="eastAsia" w:ascii="宋体" w:hAnsi="宋体" w:eastAsia="宋体" w:cs="宋体"/>
          <w:b/>
          <w:sz w:val="22"/>
          <w:u w:val="single"/>
        </w:rPr>
        <w:t>供应商认为为完成本采购文件规定的承包内容所需发生的直接成本、间接成本、利润、税金、政策性文件规定的费用等一切费用均应计入投标报价；凡未列入的，将被认为均已包含在投标报价中，今后不得以任何理由追加或调整。</w:t>
      </w:r>
    </w:p>
    <w:p w14:paraId="1DBF3157">
      <w:pPr>
        <w:tabs>
          <w:tab w:val="left" w:pos="1080"/>
        </w:tabs>
        <w:ind w:left="526" w:hanging="526" w:hangingChars="238"/>
        <w:rPr>
          <w:rFonts w:hint="eastAsia" w:ascii="宋体" w:hAnsi="宋体" w:eastAsia="宋体" w:cs="宋体"/>
          <w:b/>
          <w:bCs/>
          <w:sz w:val="22"/>
        </w:rPr>
      </w:pPr>
      <w:r>
        <w:rPr>
          <w:rFonts w:hint="eastAsia" w:ascii="宋体" w:hAnsi="宋体" w:eastAsia="宋体" w:cs="宋体"/>
          <w:b/>
          <w:bCs/>
          <w:sz w:val="22"/>
        </w:rPr>
        <w:t xml:space="preserve">12.5 </w:t>
      </w:r>
      <w:r>
        <w:rPr>
          <w:rFonts w:hint="eastAsia" w:ascii="宋体" w:hAnsi="宋体" w:eastAsia="宋体" w:cs="宋体"/>
          <w:sz w:val="22"/>
          <w:lang w:eastAsia="zh-CN"/>
        </w:rPr>
        <w:t>投标供应商</w:t>
      </w:r>
      <w:r>
        <w:rPr>
          <w:rFonts w:hint="eastAsia" w:ascii="宋体" w:hAnsi="宋体" w:eastAsia="宋体" w:cs="宋体"/>
          <w:sz w:val="22"/>
        </w:rPr>
        <w:t>必须按附件中的开标一览表（统一格式）内容填写单价、合价和总价，并由法定代表人或</w:t>
      </w:r>
      <w:r>
        <w:rPr>
          <w:rFonts w:hint="eastAsia" w:ascii="宋体" w:hAnsi="宋体" w:eastAsia="宋体" w:cs="宋体"/>
          <w:sz w:val="22"/>
          <w:lang w:eastAsia="zh-CN"/>
        </w:rPr>
        <w:t>投标供应商</w:t>
      </w:r>
      <w:r>
        <w:rPr>
          <w:rFonts w:hint="eastAsia" w:ascii="宋体" w:hAnsi="宋体" w:eastAsia="宋体" w:cs="宋体"/>
          <w:sz w:val="22"/>
        </w:rPr>
        <w:t>代表签署。</w:t>
      </w:r>
    </w:p>
    <w:p w14:paraId="485D692A">
      <w:pPr>
        <w:tabs>
          <w:tab w:val="left" w:pos="1080"/>
        </w:tabs>
        <w:ind w:left="524" w:hanging="523" w:hangingChars="238"/>
        <w:rPr>
          <w:rFonts w:hint="eastAsia" w:ascii="宋体" w:hAnsi="宋体" w:eastAsia="宋体" w:cs="宋体"/>
          <w:strike w:val="0"/>
          <w:dstrike w:val="0"/>
          <w:sz w:val="22"/>
          <w:highlight w:val="none"/>
        </w:rPr>
      </w:pPr>
      <w:r>
        <w:rPr>
          <w:rFonts w:hint="eastAsia" w:ascii="宋体" w:hAnsi="宋体" w:eastAsia="宋体" w:cs="宋体"/>
          <w:strike w:val="0"/>
          <w:dstrike w:val="0"/>
          <w:sz w:val="22"/>
          <w:highlight w:val="none"/>
        </w:rPr>
        <w:t xml:space="preserve">12.6 </w:t>
      </w:r>
      <w:r>
        <w:rPr>
          <w:rFonts w:hint="eastAsia" w:ascii="宋体" w:hAnsi="宋体" w:eastAsia="宋体" w:cs="宋体"/>
          <w:strike w:val="0"/>
          <w:dstrike w:val="0"/>
          <w:sz w:val="22"/>
          <w:highlight w:val="none"/>
          <w:u w:val="single"/>
        </w:rPr>
        <w:t>▲</w:t>
      </w:r>
      <w:r>
        <w:rPr>
          <w:rFonts w:hint="eastAsia" w:ascii="宋体" w:hAnsi="宋体" w:eastAsia="宋体" w:cs="宋体"/>
          <w:b/>
          <w:bCs/>
          <w:strike w:val="0"/>
          <w:dstrike w:val="0"/>
          <w:sz w:val="22"/>
          <w:highlight w:val="none"/>
          <w:u w:val="single"/>
        </w:rPr>
        <w:t>采购人不接受任何选择报价，</w:t>
      </w:r>
      <w:r>
        <w:rPr>
          <w:rFonts w:hint="eastAsia" w:ascii="宋体" w:hAnsi="宋体" w:eastAsia="宋体" w:cs="宋体"/>
          <w:b/>
          <w:bCs/>
          <w:strike w:val="0"/>
          <w:dstrike w:val="0"/>
          <w:sz w:val="22"/>
          <w:highlight w:val="none"/>
          <w:u w:val="single"/>
          <w:lang w:val="en-US" w:eastAsia="zh-CN"/>
        </w:rPr>
        <w:t>采购文件规定的服务</w:t>
      </w:r>
      <w:r>
        <w:rPr>
          <w:rFonts w:hint="eastAsia" w:ascii="宋体" w:hAnsi="宋体" w:eastAsia="宋体" w:cs="宋体"/>
          <w:b/>
          <w:bCs/>
          <w:strike w:val="0"/>
          <w:dstrike w:val="0"/>
          <w:sz w:val="22"/>
          <w:highlight w:val="none"/>
          <w:u w:val="single"/>
        </w:rPr>
        <w:t>只接受一个折扣系数报价</w:t>
      </w:r>
      <w:r>
        <w:rPr>
          <w:rFonts w:hint="eastAsia" w:ascii="宋体" w:hAnsi="宋体" w:eastAsia="宋体" w:cs="宋体"/>
          <w:b/>
          <w:bCs/>
          <w:strike w:val="0"/>
          <w:dstrike w:val="0"/>
          <w:sz w:val="22"/>
          <w:highlight w:val="none"/>
        </w:rPr>
        <w:t>。</w:t>
      </w:r>
    </w:p>
    <w:p w14:paraId="2A95820A">
      <w:pPr>
        <w:tabs>
          <w:tab w:val="left" w:pos="-180"/>
          <w:tab w:val="left" w:pos="180"/>
          <w:tab w:val="left" w:pos="360"/>
        </w:tabs>
        <w:ind w:left="550" w:hanging="550" w:hangingChars="250"/>
        <w:rPr>
          <w:rFonts w:hint="eastAsia" w:ascii="宋体" w:hAnsi="宋体" w:eastAsia="宋体" w:cs="宋体"/>
          <w:sz w:val="22"/>
        </w:rPr>
      </w:pPr>
      <w:r>
        <w:rPr>
          <w:rFonts w:hint="eastAsia" w:ascii="宋体" w:hAnsi="宋体" w:eastAsia="宋体" w:cs="宋体"/>
          <w:bCs/>
          <w:sz w:val="22"/>
          <w:u w:val="single"/>
        </w:rPr>
        <w:t>12.7 ▲</w:t>
      </w:r>
      <w:r>
        <w:rPr>
          <w:rFonts w:hint="eastAsia" w:ascii="宋体" w:hAnsi="宋体" w:eastAsia="宋体" w:cs="宋体"/>
          <w:b/>
          <w:sz w:val="22"/>
          <w:u w:val="single"/>
        </w:rPr>
        <w:t>投标报价报出后，</w:t>
      </w:r>
      <w:r>
        <w:rPr>
          <w:rFonts w:hint="eastAsia" w:ascii="宋体" w:hAnsi="宋体" w:eastAsia="宋体" w:cs="宋体"/>
          <w:b/>
          <w:sz w:val="22"/>
          <w:u w:val="single"/>
          <w:lang w:eastAsia="zh-CN"/>
        </w:rPr>
        <w:t>投标供应商</w:t>
      </w:r>
      <w:r>
        <w:rPr>
          <w:rFonts w:hint="eastAsia" w:ascii="宋体" w:hAnsi="宋体" w:eastAsia="宋体" w:cs="宋体"/>
          <w:b/>
          <w:sz w:val="22"/>
          <w:u w:val="single"/>
        </w:rPr>
        <w:t>不得以任何理由予以变更。任何包含价格调整的要求，将被认为是非实质性响应投标而予以拒绝。</w:t>
      </w:r>
    </w:p>
    <w:p w14:paraId="7AFD4FBA">
      <w:pPr>
        <w:tabs>
          <w:tab w:val="left" w:pos="1080"/>
        </w:tabs>
        <w:ind w:left="524" w:hanging="523" w:hangingChars="238"/>
        <w:rPr>
          <w:rFonts w:hint="eastAsia" w:ascii="宋体" w:hAnsi="宋体" w:eastAsia="宋体" w:cs="宋体"/>
          <w:strike/>
          <w:sz w:val="22"/>
        </w:rPr>
      </w:pPr>
      <w:r>
        <w:rPr>
          <w:rFonts w:hint="eastAsia" w:ascii="宋体" w:hAnsi="宋体" w:eastAsia="宋体" w:cs="宋体"/>
          <w:sz w:val="22"/>
        </w:rPr>
        <w:t>12.8 最低报价不作为中标的保证。</w:t>
      </w:r>
    </w:p>
    <w:p w14:paraId="7CC794A0">
      <w:pPr>
        <w:numPr>
          <w:ilvl w:val="0"/>
          <w:numId w:val="4"/>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14:paraId="14C45B1C">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sz w:val="22"/>
          <w:highlight w:val="none"/>
        </w:rPr>
        <w:t xml:space="preserve">13.1 </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须按</w:t>
      </w:r>
      <w:r>
        <w:rPr>
          <w:rFonts w:hint="eastAsia" w:ascii="宋体" w:hAnsi="宋体" w:eastAsia="宋体" w:cs="宋体"/>
          <w:b/>
          <w:bCs/>
          <w:color w:val="auto"/>
          <w:sz w:val="22"/>
          <w:szCs w:val="22"/>
          <w:highlight w:val="none"/>
          <w:u w:val="single"/>
          <w:lang w:eastAsia="zh-CN"/>
        </w:rPr>
        <w:t>投标供应商</w:t>
      </w:r>
      <w:r>
        <w:rPr>
          <w:rFonts w:hint="eastAsia" w:ascii="宋体" w:hAnsi="宋体" w:eastAsia="宋体" w:cs="宋体"/>
          <w:b/>
          <w:bCs/>
          <w:color w:val="auto"/>
          <w:sz w:val="22"/>
          <w:szCs w:val="22"/>
          <w:highlight w:val="none"/>
          <w:u w:val="single"/>
        </w:rPr>
        <w:t>须知前附表规定交纳投标保证金，否则</w:t>
      </w:r>
      <w:r>
        <w:rPr>
          <w:rFonts w:hint="eastAsia" w:ascii="宋体" w:hAnsi="宋体" w:eastAsia="宋体" w:cs="宋体"/>
          <w:b/>
          <w:bCs/>
          <w:color w:val="auto"/>
          <w:sz w:val="22"/>
          <w:szCs w:val="22"/>
          <w:highlight w:val="none"/>
          <w:u w:val="single"/>
          <w:lang w:val="en-US" w:eastAsia="zh-CN"/>
        </w:rPr>
        <w:t>将作无效标处理</w:t>
      </w:r>
      <w:r>
        <w:rPr>
          <w:rFonts w:hint="eastAsia" w:ascii="宋体" w:hAnsi="宋体" w:eastAsia="宋体" w:cs="宋体"/>
          <w:color w:val="auto"/>
          <w:sz w:val="22"/>
          <w:szCs w:val="22"/>
          <w:highlight w:val="none"/>
        </w:rPr>
        <w:t>。</w:t>
      </w:r>
    </w:p>
    <w:p w14:paraId="134DE105">
      <w:pPr>
        <w:tabs>
          <w:tab w:val="left" w:pos="851"/>
          <w:tab w:val="left" w:pos="1080"/>
        </w:tabs>
        <w:ind w:left="524" w:hanging="523" w:hangingChars="238"/>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r>
        <w:rPr>
          <w:rFonts w:hint="eastAsia" w:ascii="宋体" w:hAnsi="宋体" w:eastAsia="宋体" w:cs="宋体"/>
          <w:b/>
          <w:bCs/>
          <w:color w:val="auto"/>
          <w:sz w:val="22"/>
          <w:szCs w:val="22"/>
          <w:highlight w:val="none"/>
          <w:u w:val="single"/>
        </w:rPr>
        <w:t>投标保证金金额及形式详见采购公告及投标须知前附表规定。</w:t>
      </w:r>
    </w:p>
    <w:p w14:paraId="506BD384">
      <w:pPr>
        <w:tabs>
          <w:tab w:val="left" w:pos="851"/>
          <w:tab w:val="left" w:pos="1080"/>
        </w:tabs>
        <w:ind w:left="524" w:hanging="523" w:hangingChars="238"/>
        <w:rPr>
          <w:rFonts w:hint="eastAsia" w:ascii="宋体" w:hAnsi="宋体" w:eastAsia="宋体" w:cs="宋体"/>
          <w:b/>
          <w:bCs/>
          <w:sz w:val="22"/>
          <w:highlight w:val="none"/>
        </w:rPr>
      </w:pPr>
      <w:r>
        <w:rPr>
          <w:rFonts w:hint="eastAsia" w:ascii="宋体" w:hAnsi="宋体" w:eastAsia="宋体" w:cs="宋体"/>
          <w:color w:val="auto"/>
          <w:sz w:val="22"/>
          <w:szCs w:val="22"/>
          <w:highlight w:val="none"/>
        </w:rPr>
        <w:t xml:space="preserve">13.3 </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的投标保证金在中标人提交履约</w:t>
      </w:r>
      <w:r>
        <w:rPr>
          <w:rFonts w:hint="eastAsia" w:ascii="宋体" w:hAnsi="宋体" w:eastAsia="宋体" w:cs="宋体"/>
          <w:color w:val="auto"/>
          <w:sz w:val="22"/>
          <w:szCs w:val="22"/>
          <w:highlight w:val="none"/>
          <w:lang w:val="en-US" w:eastAsia="zh-CN"/>
        </w:rPr>
        <w:t>担保</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与</w:t>
      </w:r>
      <w:r>
        <w:rPr>
          <w:rFonts w:hint="eastAsia" w:ascii="宋体" w:hAnsi="宋体" w:eastAsia="宋体" w:cs="宋体"/>
          <w:color w:val="auto"/>
          <w:sz w:val="22"/>
          <w:szCs w:val="22"/>
          <w:highlight w:val="none"/>
        </w:rPr>
        <w:t>采购人签订了合同且合同经备案后无息退还，未</w:t>
      </w:r>
      <w:r>
        <w:rPr>
          <w:rFonts w:hint="eastAsia" w:ascii="宋体" w:hAnsi="宋体" w:eastAsia="宋体" w:cs="宋体"/>
          <w:color w:val="auto"/>
          <w:sz w:val="22"/>
          <w:szCs w:val="22"/>
          <w:highlight w:val="none"/>
          <w:lang w:eastAsia="zh-CN"/>
        </w:rPr>
        <w:t>中标供应商</w:t>
      </w:r>
      <w:r>
        <w:rPr>
          <w:rFonts w:hint="eastAsia" w:ascii="宋体" w:hAnsi="宋体" w:eastAsia="宋体" w:cs="宋体"/>
          <w:color w:val="auto"/>
          <w:sz w:val="22"/>
          <w:szCs w:val="22"/>
          <w:highlight w:val="none"/>
        </w:rPr>
        <w:t>的投标保证金将在确定中标人后无息退还。</w:t>
      </w:r>
    </w:p>
    <w:p w14:paraId="15EDDB4B">
      <w:pPr>
        <w:tabs>
          <w:tab w:val="left" w:pos="851"/>
          <w:tab w:val="left" w:pos="1080"/>
        </w:tabs>
        <w:ind w:left="524" w:hanging="523" w:hangingChars="238"/>
        <w:rPr>
          <w:rFonts w:hint="eastAsia" w:ascii="宋体" w:hAnsi="宋体" w:eastAsia="宋体" w:cs="宋体"/>
          <w:sz w:val="22"/>
        </w:rPr>
      </w:pPr>
      <w:r>
        <w:rPr>
          <w:rFonts w:hint="eastAsia" w:ascii="宋体" w:hAnsi="宋体" w:eastAsia="宋体" w:cs="宋体"/>
          <w:sz w:val="22"/>
        </w:rPr>
        <w:t xml:space="preserve">13.4 </w:t>
      </w:r>
      <w:r>
        <w:rPr>
          <w:rFonts w:hint="eastAsia" w:ascii="宋体" w:hAnsi="宋体" w:eastAsia="宋体" w:cs="宋体"/>
          <w:b/>
          <w:sz w:val="22"/>
          <w:u w:val="single"/>
        </w:rPr>
        <w:t>如发生下列情况之一，投标保证金将不予退还：</w:t>
      </w:r>
    </w:p>
    <w:p w14:paraId="664FED04">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lang w:eastAsia="zh-CN"/>
        </w:rPr>
        <w:t>投标供应商</w:t>
      </w:r>
      <w:r>
        <w:rPr>
          <w:rFonts w:hint="eastAsia" w:ascii="宋体" w:hAnsi="宋体" w:eastAsia="宋体" w:cs="宋体"/>
          <w:sz w:val="22"/>
        </w:rPr>
        <w:t>在采购文件规定的投标有效期内撤回投标；</w:t>
      </w:r>
    </w:p>
    <w:p w14:paraId="189DAB15">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rPr>
        <w:t>中标人未按中标通知书中规定的时间与采购人签订合同；</w:t>
      </w:r>
    </w:p>
    <w:p w14:paraId="3AB0D1B6">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rPr>
        <w:t>中标人在规定期限内未能根据采购文件要求提供履约担保；</w:t>
      </w:r>
    </w:p>
    <w:p w14:paraId="11C54837">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lang w:eastAsia="zh-CN"/>
        </w:rPr>
        <w:t>投标供应商</w:t>
      </w:r>
      <w:r>
        <w:rPr>
          <w:rFonts w:hint="eastAsia" w:ascii="宋体" w:hAnsi="宋体" w:eastAsia="宋体" w:cs="宋体"/>
          <w:sz w:val="22"/>
        </w:rPr>
        <w:t>在投标文件中提供虚假技术指标及参数，经评标委员会确认属实的；</w:t>
      </w:r>
    </w:p>
    <w:p w14:paraId="7665DA48">
      <w:pPr>
        <w:numPr>
          <w:ilvl w:val="0"/>
          <w:numId w:val="6"/>
        </w:numPr>
        <w:tabs>
          <w:tab w:val="left" w:pos="525"/>
        </w:tabs>
        <w:ind w:left="525"/>
        <w:rPr>
          <w:rFonts w:hint="eastAsia" w:ascii="宋体" w:hAnsi="宋体" w:eastAsia="宋体" w:cs="宋体"/>
          <w:sz w:val="22"/>
        </w:rPr>
      </w:pPr>
      <w:r>
        <w:rPr>
          <w:rFonts w:hint="eastAsia" w:ascii="宋体" w:hAnsi="宋体" w:eastAsia="宋体" w:cs="宋体"/>
          <w:sz w:val="22"/>
        </w:rPr>
        <w:t>经国企采购监督管理部门审查认定</w:t>
      </w:r>
      <w:r>
        <w:rPr>
          <w:rFonts w:hint="eastAsia" w:ascii="宋体" w:hAnsi="宋体" w:eastAsia="宋体" w:cs="宋体"/>
          <w:sz w:val="22"/>
          <w:lang w:eastAsia="zh-CN"/>
        </w:rPr>
        <w:t>投标供应商</w:t>
      </w:r>
      <w:r>
        <w:rPr>
          <w:rFonts w:hint="eastAsia" w:ascii="宋体" w:hAnsi="宋体" w:eastAsia="宋体" w:cs="宋体"/>
          <w:sz w:val="22"/>
        </w:rPr>
        <w:t>有违反《温州市市属国有企业采购管理办法（试行）》等有关法律法规的行为。</w:t>
      </w:r>
    </w:p>
    <w:p w14:paraId="1EF64A1F">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投标有效期</w:t>
      </w:r>
    </w:p>
    <w:p w14:paraId="39312B6F">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 xml:space="preserve">14.1 </w:t>
      </w:r>
      <w:r>
        <w:rPr>
          <w:rFonts w:hint="eastAsia" w:ascii="宋体" w:hAnsi="宋体" w:eastAsia="宋体" w:cs="宋体"/>
          <w:b/>
          <w:sz w:val="22"/>
          <w:u w:val="single"/>
        </w:rPr>
        <w:t>▲投标有效期见</w:t>
      </w:r>
      <w:r>
        <w:rPr>
          <w:rFonts w:hint="eastAsia" w:ascii="宋体" w:hAnsi="宋体" w:eastAsia="宋体" w:cs="宋体"/>
          <w:b/>
          <w:sz w:val="22"/>
          <w:u w:val="single"/>
          <w:lang w:eastAsia="zh-CN"/>
        </w:rPr>
        <w:t>投标供应商</w:t>
      </w:r>
      <w:r>
        <w:rPr>
          <w:rFonts w:hint="eastAsia" w:ascii="宋体" w:hAnsi="宋体" w:eastAsia="宋体" w:cs="宋体"/>
          <w:b/>
          <w:sz w:val="22"/>
          <w:u w:val="single"/>
        </w:rPr>
        <w:t>须知前附表，投标文件有效期短于这个规定期限的将被拒绝。</w:t>
      </w:r>
    </w:p>
    <w:p w14:paraId="67D3EE84">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14.2在</w:t>
      </w:r>
      <w:r>
        <w:rPr>
          <w:rFonts w:hint="eastAsia" w:ascii="宋体" w:hAnsi="宋体" w:eastAsia="宋体" w:cs="宋体"/>
          <w:sz w:val="22"/>
          <w:lang w:eastAsia="zh-CN"/>
        </w:rPr>
        <w:t>投标供应商</w:t>
      </w:r>
      <w:r>
        <w:rPr>
          <w:rFonts w:hint="eastAsia" w:ascii="宋体" w:hAnsi="宋体" w:eastAsia="宋体" w:cs="宋体"/>
          <w:sz w:val="22"/>
        </w:rPr>
        <w:t>须知前附表规定的投标有效期内，</w:t>
      </w:r>
      <w:r>
        <w:rPr>
          <w:rFonts w:hint="eastAsia" w:ascii="宋体" w:hAnsi="宋体" w:eastAsia="宋体" w:cs="宋体"/>
          <w:sz w:val="22"/>
          <w:lang w:eastAsia="zh-CN"/>
        </w:rPr>
        <w:t>投标供应商</w:t>
      </w:r>
      <w:r>
        <w:rPr>
          <w:rFonts w:hint="eastAsia" w:ascii="宋体" w:hAnsi="宋体" w:eastAsia="宋体" w:cs="宋体"/>
          <w:sz w:val="22"/>
        </w:rPr>
        <w:t>不得要求撤销或修改其投标文件。</w:t>
      </w:r>
    </w:p>
    <w:p w14:paraId="5EA6E151">
      <w:pPr>
        <w:tabs>
          <w:tab w:val="left" w:pos="1080"/>
          <w:tab w:val="left" w:pos="1287"/>
        </w:tabs>
        <w:ind w:left="524" w:hanging="523" w:hangingChars="238"/>
        <w:rPr>
          <w:rFonts w:hint="eastAsia" w:ascii="宋体" w:hAnsi="宋体" w:eastAsia="宋体" w:cs="宋体"/>
          <w:sz w:val="22"/>
        </w:rPr>
      </w:pPr>
      <w:r>
        <w:rPr>
          <w:rFonts w:hint="eastAsia" w:ascii="宋体" w:hAnsi="宋体" w:eastAsia="宋体" w:cs="宋体"/>
          <w:sz w:val="22"/>
        </w:rPr>
        <w:t>14.3 特殊情况下，在原投标有效期截止前，采购人可与</w:t>
      </w:r>
      <w:r>
        <w:rPr>
          <w:rFonts w:hint="eastAsia" w:ascii="宋体" w:hAnsi="宋体" w:eastAsia="宋体" w:cs="宋体"/>
          <w:sz w:val="22"/>
          <w:lang w:eastAsia="zh-CN"/>
        </w:rPr>
        <w:t>投标供应商</w:t>
      </w:r>
      <w:r>
        <w:rPr>
          <w:rFonts w:hint="eastAsia" w:ascii="宋体" w:hAnsi="宋体" w:eastAsia="宋体" w:cs="宋体"/>
          <w:sz w:val="22"/>
        </w:rPr>
        <w:t>协商延长投标有效期，这种要求和答复均以书面形式进行。</w:t>
      </w:r>
      <w:r>
        <w:rPr>
          <w:rFonts w:hint="eastAsia" w:ascii="宋体" w:hAnsi="宋体" w:eastAsia="宋体" w:cs="宋体"/>
          <w:sz w:val="22"/>
          <w:lang w:eastAsia="zh-CN"/>
        </w:rPr>
        <w:t>投标供应商</w:t>
      </w:r>
      <w:r>
        <w:rPr>
          <w:rFonts w:hint="eastAsia" w:ascii="宋体" w:hAnsi="宋体" w:eastAsia="宋体" w:cs="宋体"/>
          <w:sz w:val="22"/>
        </w:rPr>
        <w:t>可拒绝接受延期要求，而不会导致投标保证金不予退还。同意延长投标有效期的</w:t>
      </w:r>
      <w:r>
        <w:rPr>
          <w:rFonts w:hint="eastAsia" w:ascii="宋体" w:hAnsi="宋体" w:eastAsia="宋体" w:cs="宋体"/>
          <w:sz w:val="22"/>
          <w:lang w:eastAsia="zh-CN"/>
        </w:rPr>
        <w:t>投标供应商</w:t>
      </w:r>
      <w:r>
        <w:rPr>
          <w:rFonts w:hint="eastAsia" w:ascii="宋体" w:hAnsi="宋体" w:eastAsia="宋体" w:cs="宋体"/>
          <w:sz w:val="22"/>
        </w:rPr>
        <w:t>不得修改投标文件。有关退还和不予退还投标保证金的规定在投标有效期的延长期内继续有效。</w:t>
      </w:r>
    </w:p>
    <w:p w14:paraId="1F9B0B00">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投标文件的签署和规定</w:t>
      </w:r>
    </w:p>
    <w:p w14:paraId="026871B6">
      <w:pPr>
        <w:numPr>
          <w:ilvl w:val="1"/>
          <w:numId w:val="7"/>
        </w:numPr>
        <w:tabs>
          <w:tab w:val="left" w:pos="525"/>
        </w:tabs>
        <w:ind w:left="525" w:hanging="525"/>
        <w:rPr>
          <w:rFonts w:hint="eastAsia" w:ascii="宋体" w:hAnsi="宋体" w:eastAsia="宋体" w:cs="宋体"/>
          <w:b/>
          <w:sz w:val="22"/>
        </w:rPr>
      </w:pPr>
      <w:r>
        <w:rPr>
          <w:rFonts w:hint="eastAsia" w:ascii="宋体" w:hAnsi="宋体" w:eastAsia="宋体" w:cs="宋体"/>
          <w:b/>
          <w:sz w:val="22"/>
          <w:lang w:eastAsia="zh-CN"/>
        </w:rPr>
        <w:t>投标供应商</w:t>
      </w:r>
      <w:r>
        <w:rPr>
          <w:rFonts w:hint="eastAsia" w:ascii="宋体" w:hAnsi="宋体" w:eastAsia="宋体" w:cs="宋体"/>
          <w:b/>
          <w:sz w:val="22"/>
        </w:rPr>
        <w:t>应提供技术资信标、商务（报价）标各一式</w:t>
      </w:r>
      <w:r>
        <w:rPr>
          <w:rFonts w:hint="eastAsia" w:ascii="宋体" w:hAnsi="宋体" w:eastAsia="宋体" w:cs="宋体"/>
          <w:b/>
          <w:sz w:val="22"/>
          <w:lang w:val="en-US" w:eastAsia="zh-CN"/>
        </w:rPr>
        <w:t>七</w:t>
      </w:r>
      <w:r>
        <w:rPr>
          <w:rFonts w:hint="eastAsia" w:ascii="宋体" w:hAnsi="宋体" w:eastAsia="宋体" w:cs="宋体"/>
          <w:b/>
          <w:sz w:val="22"/>
        </w:rPr>
        <w:t>份的投标文件，分别装订成册。其中正本一份、副本</w:t>
      </w:r>
      <w:r>
        <w:rPr>
          <w:rFonts w:hint="eastAsia" w:ascii="宋体" w:hAnsi="宋体" w:eastAsia="宋体" w:cs="宋体"/>
          <w:b/>
          <w:sz w:val="22"/>
          <w:lang w:val="en-US" w:eastAsia="zh-CN"/>
        </w:rPr>
        <w:t>六</w:t>
      </w:r>
      <w:r>
        <w:rPr>
          <w:rFonts w:hint="eastAsia" w:ascii="宋体" w:hAnsi="宋体" w:eastAsia="宋体" w:cs="宋体"/>
          <w:b/>
          <w:sz w:val="22"/>
        </w:rPr>
        <w:t>份，每套投标文件的封面应清楚标明“正本”或“副本”字样，若“正本”与“副本”不符，以“正本”为准。</w:t>
      </w:r>
    </w:p>
    <w:p w14:paraId="2BF0B0C5">
      <w:pPr>
        <w:numPr>
          <w:ilvl w:val="1"/>
          <w:numId w:val="7"/>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投标文件的正本必须打印或用不褪色的墨水书写，并由法定代表人或其授权代表签署，副本可用正本的复印件。</w:t>
      </w:r>
    </w:p>
    <w:p w14:paraId="5F56D38D">
      <w:pPr>
        <w:numPr>
          <w:ilvl w:val="1"/>
          <w:numId w:val="7"/>
        </w:numPr>
        <w:tabs>
          <w:tab w:val="left" w:pos="525"/>
        </w:tabs>
        <w:ind w:left="525" w:hanging="525"/>
        <w:rPr>
          <w:rFonts w:hint="eastAsia" w:ascii="宋体" w:hAnsi="宋体" w:eastAsia="宋体" w:cs="宋体"/>
          <w:b/>
          <w:sz w:val="22"/>
        </w:rPr>
      </w:pPr>
      <w:r>
        <w:rPr>
          <w:rFonts w:hint="eastAsia" w:ascii="宋体" w:hAnsi="宋体" w:eastAsia="宋体" w:cs="宋体"/>
          <w:b/>
          <w:sz w:val="22"/>
        </w:rPr>
        <w:t>投标文件如有修改和增删必须由投标文件签字人在修改和增删处旁签署或盖章，方才有效。</w:t>
      </w:r>
    </w:p>
    <w:p w14:paraId="7C32F164">
      <w:pPr>
        <w:numPr>
          <w:ilvl w:val="1"/>
          <w:numId w:val="7"/>
        </w:numPr>
        <w:tabs>
          <w:tab w:val="left" w:pos="525"/>
        </w:tabs>
        <w:ind w:left="525" w:hanging="525"/>
        <w:rPr>
          <w:rFonts w:hint="eastAsia" w:ascii="宋体" w:hAnsi="宋体" w:eastAsia="宋体" w:cs="宋体"/>
          <w:sz w:val="22"/>
        </w:rPr>
      </w:pPr>
      <w:r>
        <w:rPr>
          <w:rFonts w:hint="eastAsia" w:ascii="宋体" w:hAnsi="宋体" w:eastAsia="宋体" w:cs="宋体"/>
          <w:sz w:val="22"/>
        </w:rPr>
        <w:t>投标文件字迹模糊或在关键的技术、商务条款上表述不清楚，将可能导致其投标被拒绝。</w:t>
      </w:r>
    </w:p>
    <w:p w14:paraId="27407E0C">
      <w:pPr>
        <w:numPr>
          <w:ilvl w:val="0"/>
          <w:numId w:val="4"/>
        </w:numPr>
        <w:tabs>
          <w:tab w:val="left" w:pos="525"/>
          <w:tab w:val="left" w:pos="900"/>
        </w:tabs>
        <w:ind w:left="525" w:hanging="525"/>
        <w:rPr>
          <w:rFonts w:hint="eastAsia" w:ascii="宋体" w:hAnsi="宋体" w:eastAsia="宋体" w:cs="宋体"/>
          <w:sz w:val="22"/>
        </w:rPr>
      </w:pPr>
      <w:r>
        <w:rPr>
          <w:rFonts w:hint="eastAsia" w:ascii="宋体" w:hAnsi="宋体" w:eastAsia="宋体" w:cs="宋体"/>
          <w:sz w:val="22"/>
        </w:rPr>
        <w:t>投标文件的密封及标记</w:t>
      </w:r>
    </w:p>
    <w:p w14:paraId="2C82748B">
      <w:pPr>
        <w:numPr>
          <w:ilvl w:val="1"/>
          <w:numId w:val="8"/>
        </w:numPr>
        <w:tabs>
          <w:tab w:val="left" w:pos="525"/>
        </w:tabs>
        <w:ind w:left="525" w:hanging="525"/>
        <w:rPr>
          <w:rFonts w:hint="eastAsia" w:ascii="宋体" w:hAnsi="宋体" w:eastAsia="宋体" w:cs="宋体"/>
          <w:b/>
          <w:sz w:val="22"/>
        </w:rPr>
      </w:pPr>
      <w:r>
        <w:rPr>
          <w:rFonts w:hint="eastAsia" w:ascii="宋体" w:hAnsi="宋体" w:eastAsia="宋体" w:cs="宋体"/>
          <w:b/>
          <w:sz w:val="22"/>
          <w:lang w:eastAsia="zh-CN"/>
        </w:rPr>
        <w:t>投标供应商</w:t>
      </w:r>
      <w:r>
        <w:rPr>
          <w:rFonts w:hint="eastAsia" w:ascii="宋体" w:hAnsi="宋体" w:eastAsia="宋体" w:cs="宋体"/>
          <w:b/>
          <w:sz w:val="22"/>
        </w:rPr>
        <w:t>必须将投标文件的“技术资信标”、“商务（报价）标”分别单独密封，且在各自的密封袋上标明“技术资信标”、“商务（报价）标”字样。</w:t>
      </w:r>
      <w:r>
        <w:rPr>
          <w:rFonts w:hint="eastAsia" w:ascii="宋体" w:hAnsi="宋体" w:eastAsia="宋体" w:cs="宋体"/>
          <w:sz w:val="22"/>
        </w:rPr>
        <w:t>封口处贴上封条，启封处加盖投标单位公章并由法定代表人或其授权代表签字。</w:t>
      </w:r>
      <w:r>
        <w:rPr>
          <w:rFonts w:hint="eastAsia" w:ascii="宋体" w:hAnsi="宋体" w:eastAsia="宋体" w:cs="宋体"/>
          <w:b/>
          <w:sz w:val="22"/>
        </w:rPr>
        <w:t>封皮上写明投标项目名称、采购编号，并注明“开标时启封”字样。</w:t>
      </w:r>
    </w:p>
    <w:p w14:paraId="7A69623E">
      <w:pPr>
        <w:numPr>
          <w:ilvl w:val="1"/>
          <w:numId w:val="8"/>
        </w:numPr>
        <w:tabs>
          <w:tab w:val="left" w:pos="525"/>
        </w:tabs>
        <w:ind w:left="525" w:hanging="525"/>
        <w:rPr>
          <w:rFonts w:hint="eastAsia" w:ascii="宋体" w:hAnsi="宋体" w:eastAsia="宋体" w:cs="宋体"/>
          <w:sz w:val="22"/>
        </w:rPr>
      </w:pPr>
      <w:r>
        <w:rPr>
          <w:rFonts w:hint="eastAsia" w:ascii="宋体" w:hAnsi="宋体" w:eastAsia="宋体" w:cs="宋体"/>
          <w:sz w:val="22"/>
        </w:rPr>
        <w:t>如果</w:t>
      </w:r>
      <w:r>
        <w:rPr>
          <w:rFonts w:hint="eastAsia" w:ascii="宋体" w:hAnsi="宋体" w:eastAsia="宋体" w:cs="宋体"/>
          <w:sz w:val="22"/>
          <w:lang w:eastAsia="zh-CN"/>
        </w:rPr>
        <w:t>投标供应商</w:t>
      </w:r>
      <w:r>
        <w:rPr>
          <w:rFonts w:hint="eastAsia" w:ascii="宋体" w:hAnsi="宋体" w:eastAsia="宋体" w:cs="宋体"/>
          <w:sz w:val="22"/>
        </w:rPr>
        <w:t>未按上述要求密封及加写标记，采购人对投标文件的误投和提前启封不负责任。</w:t>
      </w:r>
    </w:p>
    <w:p w14:paraId="033EDFD0">
      <w:pPr>
        <w:spacing w:before="120" w:beforeLines="50" w:after="120" w:afterLines="50"/>
        <w:jc w:val="center"/>
        <w:rPr>
          <w:rFonts w:hint="eastAsia" w:ascii="宋体" w:hAnsi="宋体" w:eastAsia="宋体" w:cs="宋体"/>
          <w:b/>
          <w:sz w:val="28"/>
          <w:szCs w:val="28"/>
        </w:rPr>
      </w:pPr>
      <w:bookmarkStart w:id="88" w:name="_Toc216667823"/>
      <w:bookmarkStart w:id="89" w:name="_Toc205877560"/>
      <w:bookmarkStart w:id="90" w:name="_Toc209250722"/>
      <w:bookmarkStart w:id="91" w:name="_Toc214365793"/>
      <w:bookmarkStart w:id="92" w:name="_Toc227056849"/>
      <w:bookmarkStart w:id="93" w:name="_Toc204578578"/>
      <w:bookmarkStart w:id="94" w:name="_Toc209332636"/>
      <w:bookmarkStart w:id="95" w:name="_Toc210879711"/>
      <w:bookmarkStart w:id="96" w:name="_Toc209251130"/>
      <w:bookmarkStart w:id="97" w:name="_Toc204491320"/>
      <w:bookmarkStart w:id="98" w:name="_Toc209261435"/>
      <w:bookmarkStart w:id="99" w:name="_Toc223717607"/>
      <w:bookmarkStart w:id="100" w:name="_Toc207609184"/>
      <w:bookmarkStart w:id="101" w:name="_Toc205877455"/>
      <w:bookmarkStart w:id="102" w:name="_Toc227489890"/>
      <w:bookmarkStart w:id="103" w:name="_Toc205703105"/>
      <w:bookmarkStart w:id="104" w:name="_Toc217460688"/>
      <w:bookmarkStart w:id="105" w:name="_Toc219538616"/>
      <w:bookmarkStart w:id="106" w:name="_Toc218041729"/>
      <w:bookmarkStart w:id="107" w:name="_Toc205004971"/>
      <w:bookmarkStart w:id="108" w:name="_Toc223933224"/>
      <w:bookmarkStart w:id="109" w:name="_Toc227057036"/>
      <w:bookmarkStart w:id="110" w:name="_Toc215415533"/>
      <w:bookmarkStart w:id="111" w:name="_Toc209261368"/>
      <w:bookmarkStart w:id="112" w:name="_Toc205005289"/>
    </w:p>
    <w:p w14:paraId="40AB9843">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四、 投标文件的递交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BEC6DA5">
      <w:pPr>
        <w:numPr>
          <w:ilvl w:val="0"/>
          <w:numId w:val="4"/>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投标文件的递交</w:t>
      </w:r>
    </w:p>
    <w:p w14:paraId="716E8076">
      <w:pPr>
        <w:numPr>
          <w:ilvl w:val="1"/>
          <w:numId w:val="9"/>
        </w:numPr>
        <w:tabs>
          <w:tab w:val="left" w:pos="525"/>
        </w:tabs>
        <w:ind w:left="527" w:hanging="527"/>
        <w:rPr>
          <w:rFonts w:hint="eastAsia" w:ascii="宋体" w:hAnsi="宋体" w:eastAsia="宋体" w:cs="宋体"/>
          <w:b/>
          <w:sz w:val="22"/>
          <w:u w:val="single"/>
        </w:rPr>
      </w:pPr>
      <w:r>
        <w:rPr>
          <w:rFonts w:hint="eastAsia" w:ascii="宋体" w:hAnsi="宋体" w:eastAsia="宋体" w:cs="宋体"/>
          <w:b/>
          <w:bCs/>
          <w:sz w:val="22"/>
          <w:u w:val="single"/>
        </w:rPr>
        <w:t>▲</w:t>
      </w:r>
      <w:r>
        <w:rPr>
          <w:rFonts w:hint="eastAsia" w:ascii="宋体" w:hAnsi="宋体" w:eastAsia="宋体" w:cs="宋体"/>
          <w:b/>
          <w:sz w:val="22"/>
          <w:u w:val="single"/>
        </w:rPr>
        <w:t>投标文件必须在规定的投标文件递交截止时间前送达到投标文件递交地点；</w:t>
      </w:r>
    </w:p>
    <w:p w14:paraId="1F542DA2">
      <w:pPr>
        <w:numPr>
          <w:ilvl w:val="1"/>
          <w:numId w:val="9"/>
        </w:numPr>
        <w:tabs>
          <w:tab w:val="left" w:pos="525"/>
        </w:tabs>
        <w:ind w:left="527" w:hanging="527"/>
        <w:rPr>
          <w:rFonts w:hint="eastAsia" w:ascii="宋体" w:hAnsi="宋体" w:eastAsia="宋体" w:cs="宋体"/>
          <w:b/>
          <w:sz w:val="22"/>
        </w:rPr>
      </w:pPr>
      <w:r>
        <w:rPr>
          <w:rFonts w:hint="eastAsia" w:ascii="宋体" w:hAnsi="宋体" w:eastAsia="宋体" w:cs="宋体"/>
          <w:b/>
          <w:sz w:val="22"/>
        </w:rPr>
        <w:t>在递交投标文件同时递交以下证明文件，由评标委员会确认投标资格：</w:t>
      </w:r>
    </w:p>
    <w:p w14:paraId="3FCBCC95">
      <w:pPr>
        <w:numPr>
          <w:ilvl w:val="0"/>
          <w:numId w:val="10"/>
        </w:numPr>
        <w:tabs>
          <w:tab w:val="left" w:pos="525"/>
        </w:tabs>
        <w:ind w:left="947"/>
        <w:rPr>
          <w:rFonts w:hint="eastAsia" w:ascii="宋体" w:hAnsi="宋体" w:eastAsia="宋体" w:cs="宋体"/>
          <w:b/>
          <w:sz w:val="22"/>
        </w:rPr>
      </w:pPr>
      <w:r>
        <w:rPr>
          <w:rFonts w:hint="eastAsia" w:ascii="宋体" w:hAnsi="宋体" w:eastAsia="宋体" w:cs="宋体"/>
          <w:b/>
          <w:sz w:val="22"/>
        </w:rPr>
        <w:t>投标保证金缴纳凭证；</w:t>
      </w:r>
    </w:p>
    <w:p w14:paraId="094F013A">
      <w:pPr>
        <w:numPr>
          <w:ilvl w:val="0"/>
          <w:numId w:val="10"/>
        </w:numPr>
        <w:tabs>
          <w:tab w:val="left" w:pos="525"/>
        </w:tabs>
        <w:ind w:left="947"/>
        <w:rPr>
          <w:rFonts w:hint="eastAsia" w:ascii="宋体" w:hAnsi="宋体" w:eastAsia="宋体" w:cs="宋体"/>
          <w:b/>
          <w:sz w:val="22"/>
        </w:rPr>
      </w:pPr>
      <w:r>
        <w:rPr>
          <w:rFonts w:hint="eastAsia" w:ascii="宋体" w:hAnsi="宋体" w:eastAsia="宋体" w:cs="宋体"/>
          <w:b/>
          <w:sz w:val="22"/>
          <w:lang w:eastAsia="zh-CN"/>
        </w:rPr>
        <w:t>投标供应商</w:t>
      </w:r>
      <w:r>
        <w:rPr>
          <w:rFonts w:hint="eastAsia" w:ascii="宋体" w:hAnsi="宋体" w:eastAsia="宋体" w:cs="宋体"/>
          <w:b/>
          <w:sz w:val="22"/>
        </w:rPr>
        <w:t>代表有效身份证件；</w:t>
      </w:r>
    </w:p>
    <w:p w14:paraId="064C2BE4">
      <w:pPr>
        <w:numPr>
          <w:ilvl w:val="0"/>
          <w:numId w:val="10"/>
        </w:numPr>
        <w:tabs>
          <w:tab w:val="left" w:pos="525"/>
        </w:tabs>
        <w:ind w:left="947"/>
        <w:rPr>
          <w:rFonts w:hint="eastAsia" w:ascii="宋体" w:hAnsi="宋体" w:eastAsia="宋体" w:cs="宋体"/>
          <w:b/>
          <w:sz w:val="22"/>
        </w:rPr>
      </w:pPr>
      <w:r>
        <w:rPr>
          <w:rFonts w:hint="eastAsia" w:ascii="宋体" w:hAnsi="宋体" w:eastAsia="宋体" w:cs="宋体"/>
          <w:b/>
          <w:sz w:val="22"/>
        </w:rPr>
        <w:t>如企业/事业单位法定代表人委派</w:t>
      </w:r>
      <w:r>
        <w:rPr>
          <w:rFonts w:hint="eastAsia" w:ascii="宋体" w:hAnsi="宋体" w:eastAsia="宋体" w:cs="宋体"/>
          <w:b/>
          <w:sz w:val="22"/>
          <w:lang w:eastAsia="zh-CN"/>
        </w:rPr>
        <w:t>投标供应商</w:t>
      </w:r>
      <w:r>
        <w:rPr>
          <w:rFonts w:hint="eastAsia" w:ascii="宋体" w:hAnsi="宋体" w:eastAsia="宋体" w:cs="宋体"/>
          <w:b/>
          <w:sz w:val="22"/>
        </w:rPr>
        <w:t>代表的，需提交法定代表人授权书（原件）（如密封在投标文件技术资信标中，在技术资信标开启后经评标委员会查验符合要求亦为有效）。</w:t>
      </w:r>
    </w:p>
    <w:p w14:paraId="2F4BE83A">
      <w:pPr>
        <w:numPr>
          <w:ilvl w:val="0"/>
          <w:numId w:val="4"/>
        </w:numPr>
        <w:tabs>
          <w:tab w:val="left" w:pos="525"/>
          <w:tab w:val="left" w:pos="900"/>
        </w:tabs>
        <w:ind w:left="527" w:hanging="527"/>
        <w:rPr>
          <w:rFonts w:hint="eastAsia" w:ascii="宋体" w:hAnsi="宋体" w:eastAsia="宋体" w:cs="宋体"/>
          <w:sz w:val="22"/>
        </w:rPr>
      </w:pPr>
      <w:r>
        <w:rPr>
          <w:rFonts w:hint="eastAsia" w:ascii="宋体" w:hAnsi="宋体" w:eastAsia="宋体" w:cs="宋体"/>
          <w:sz w:val="22"/>
        </w:rPr>
        <w:t>投标文件的修改和撤回</w:t>
      </w:r>
    </w:p>
    <w:p w14:paraId="708D2F7B">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rPr>
        <w:t>在投标文件递交截止时间前，</w:t>
      </w:r>
      <w:r>
        <w:rPr>
          <w:rFonts w:hint="eastAsia" w:ascii="宋体" w:hAnsi="宋体" w:eastAsia="宋体" w:cs="宋体"/>
          <w:bCs/>
          <w:sz w:val="22"/>
          <w:lang w:eastAsia="zh-CN"/>
        </w:rPr>
        <w:t>投标供应商</w:t>
      </w:r>
      <w:r>
        <w:rPr>
          <w:rFonts w:hint="eastAsia" w:ascii="宋体" w:hAnsi="宋体" w:eastAsia="宋体" w:cs="宋体"/>
          <w:bCs/>
          <w:sz w:val="22"/>
        </w:rPr>
        <w:t>可以用书面形式提出修改或撤回其投标并送达到采购人，但不得影响开标活动的正常进行。</w:t>
      </w:r>
    </w:p>
    <w:p w14:paraId="2B9A1ECF">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rPr>
        <w:t>“投标文件修改”或“投标文件撤回通知”都应密封并在密封袋上写明投标项目名称、编号、投标单位名称，并注明“投标文件修改”或“投标文件撤回通知”字样。</w:t>
      </w:r>
    </w:p>
    <w:p w14:paraId="4AB2DB39">
      <w:pPr>
        <w:numPr>
          <w:ilvl w:val="1"/>
          <w:numId w:val="11"/>
        </w:numPr>
        <w:tabs>
          <w:tab w:val="left" w:pos="525"/>
        </w:tabs>
        <w:ind w:left="527" w:hanging="527"/>
        <w:rPr>
          <w:rFonts w:hint="eastAsia" w:ascii="宋体" w:hAnsi="宋体" w:eastAsia="宋体" w:cs="宋体"/>
          <w:bCs/>
          <w:sz w:val="22"/>
        </w:rPr>
      </w:pPr>
      <w:r>
        <w:rPr>
          <w:rFonts w:hint="eastAsia" w:ascii="宋体" w:hAnsi="宋体" w:eastAsia="宋体" w:cs="宋体"/>
          <w:bCs/>
          <w:sz w:val="22"/>
        </w:rPr>
        <w:t>从投标文件递交截止时间起至投标有效期满这段时间内，</w:t>
      </w:r>
      <w:r>
        <w:rPr>
          <w:rFonts w:hint="eastAsia" w:ascii="宋体" w:hAnsi="宋体" w:eastAsia="宋体" w:cs="宋体"/>
          <w:bCs/>
          <w:sz w:val="22"/>
          <w:lang w:eastAsia="zh-CN"/>
        </w:rPr>
        <w:t>投标供应商</w:t>
      </w:r>
      <w:r>
        <w:rPr>
          <w:rFonts w:hint="eastAsia" w:ascii="宋体" w:hAnsi="宋体" w:eastAsia="宋体" w:cs="宋体"/>
          <w:bCs/>
          <w:sz w:val="22"/>
        </w:rPr>
        <w:t>不得撤回其投标，否则投标保证金将被不予退还。</w:t>
      </w:r>
    </w:p>
    <w:p w14:paraId="372912D3">
      <w:pPr>
        <w:numPr>
          <w:ilvl w:val="0"/>
          <w:numId w:val="4"/>
        </w:numPr>
        <w:tabs>
          <w:tab w:val="left" w:pos="525"/>
          <w:tab w:val="left" w:pos="900"/>
        </w:tabs>
        <w:ind w:left="527" w:hanging="527"/>
        <w:rPr>
          <w:rFonts w:hint="eastAsia" w:ascii="宋体" w:hAnsi="宋体" w:eastAsia="宋体" w:cs="宋体"/>
          <w:b/>
          <w:sz w:val="22"/>
          <w:u w:val="single"/>
        </w:rPr>
      </w:pPr>
      <w:r>
        <w:rPr>
          <w:rFonts w:hint="eastAsia" w:ascii="宋体" w:hAnsi="宋体" w:eastAsia="宋体" w:cs="宋体"/>
          <w:b/>
          <w:sz w:val="22"/>
          <w:u w:val="single"/>
        </w:rPr>
        <w:t>▲发生下列情况之一的投标文件将拒收：</w:t>
      </w:r>
    </w:p>
    <w:p w14:paraId="0CCA4564">
      <w:pPr>
        <w:numPr>
          <w:ilvl w:val="1"/>
          <w:numId w:val="12"/>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在投标文件递交截止时间以后送达的投标文件；</w:t>
      </w:r>
    </w:p>
    <w:p w14:paraId="68798C92">
      <w:pPr>
        <w:numPr>
          <w:ilvl w:val="1"/>
          <w:numId w:val="12"/>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未购买采购文件；</w:t>
      </w:r>
    </w:p>
    <w:p w14:paraId="2E8DF742">
      <w:pPr>
        <w:numPr>
          <w:ilvl w:val="1"/>
          <w:numId w:val="12"/>
        </w:numPr>
        <w:tabs>
          <w:tab w:val="left" w:pos="525"/>
        </w:tabs>
        <w:ind w:left="527" w:hanging="527"/>
        <w:rPr>
          <w:rFonts w:hint="eastAsia" w:ascii="宋体" w:hAnsi="宋体" w:eastAsia="宋体" w:cs="宋体"/>
          <w:bCs/>
          <w:sz w:val="22"/>
          <w:u w:val="single"/>
        </w:rPr>
      </w:pPr>
      <w:r>
        <w:rPr>
          <w:rFonts w:hint="eastAsia" w:ascii="宋体" w:hAnsi="宋体" w:eastAsia="宋体" w:cs="宋体"/>
          <w:bCs/>
          <w:sz w:val="22"/>
          <w:u w:val="single"/>
        </w:rPr>
        <w:t>未按要求密封的投标文件</w:t>
      </w:r>
      <w:r>
        <w:rPr>
          <w:rFonts w:hint="eastAsia" w:ascii="宋体" w:hAnsi="宋体" w:eastAsia="宋体" w:cs="宋体"/>
          <w:bCs/>
          <w:sz w:val="22"/>
          <w:u w:val="single"/>
          <w:lang w:eastAsia="zh-CN"/>
        </w:rPr>
        <w:t>，</w:t>
      </w:r>
      <w:r>
        <w:rPr>
          <w:rFonts w:hint="eastAsia" w:ascii="宋体" w:hAnsi="宋体" w:eastAsia="宋体" w:cs="宋体"/>
          <w:bCs/>
          <w:sz w:val="22"/>
          <w:u w:val="single"/>
        </w:rPr>
        <w:t>由于包装不妥在送达</w:t>
      </w:r>
      <w:r>
        <w:rPr>
          <w:rFonts w:hint="eastAsia" w:ascii="宋体" w:hAnsi="宋体" w:eastAsia="宋体" w:cs="宋体"/>
          <w:bCs/>
          <w:sz w:val="22"/>
          <w:u w:val="single"/>
          <w:lang w:val="en-US" w:eastAsia="zh-CN"/>
        </w:rPr>
        <w:t>时</w:t>
      </w:r>
      <w:r>
        <w:rPr>
          <w:rFonts w:hint="eastAsia" w:ascii="宋体" w:hAnsi="宋体" w:eastAsia="宋体" w:cs="宋体"/>
          <w:bCs/>
          <w:sz w:val="22"/>
          <w:u w:val="single"/>
        </w:rPr>
        <w:t>严重破损或失散的投标文件；</w:t>
      </w:r>
    </w:p>
    <w:p w14:paraId="70F44760">
      <w:pPr>
        <w:numPr>
          <w:ilvl w:val="1"/>
          <w:numId w:val="12"/>
        </w:numPr>
        <w:tabs>
          <w:tab w:val="left" w:pos="525"/>
          <w:tab w:val="clear" w:pos="992"/>
        </w:tabs>
        <w:ind w:left="527" w:hanging="527"/>
        <w:rPr>
          <w:rFonts w:hint="eastAsia" w:ascii="宋体" w:hAnsi="宋体" w:eastAsia="宋体" w:cs="宋体"/>
          <w:bCs/>
          <w:sz w:val="22"/>
          <w:szCs w:val="22"/>
        </w:rPr>
      </w:pPr>
      <w:r>
        <w:rPr>
          <w:rFonts w:hint="eastAsia" w:ascii="宋体" w:hAnsi="宋体" w:eastAsia="宋体" w:cs="宋体"/>
          <w:bCs/>
          <w:sz w:val="22"/>
          <w:u w:val="single"/>
        </w:rPr>
        <w:t>以电讯形式递交的投标文件</w:t>
      </w:r>
      <w:r>
        <w:rPr>
          <w:rFonts w:hint="eastAsia" w:ascii="宋体" w:hAnsi="宋体" w:eastAsia="宋体" w:cs="宋体"/>
          <w:bCs/>
          <w:sz w:val="22"/>
          <w:szCs w:val="22"/>
        </w:rPr>
        <w:t>。</w:t>
      </w:r>
    </w:p>
    <w:p w14:paraId="498225AE">
      <w:pPr>
        <w:spacing w:before="120" w:beforeLines="50" w:after="120" w:afterLines="50"/>
        <w:jc w:val="center"/>
        <w:rPr>
          <w:rFonts w:hint="eastAsia" w:ascii="宋体" w:hAnsi="宋体" w:eastAsia="宋体" w:cs="宋体"/>
          <w:b/>
          <w:sz w:val="28"/>
          <w:szCs w:val="28"/>
        </w:rPr>
      </w:pPr>
      <w:bookmarkStart w:id="113" w:name="_Toc214365794"/>
      <w:bookmarkStart w:id="114" w:name="_Toc223717608"/>
      <w:bookmarkStart w:id="115" w:name="_Toc218041730"/>
      <w:bookmarkStart w:id="116" w:name="_Toc210879712"/>
      <w:bookmarkStart w:id="117" w:name="_Toc227489891"/>
      <w:bookmarkStart w:id="118" w:name="_Toc209251131"/>
      <w:bookmarkStart w:id="119" w:name="_Toc215415534"/>
      <w:bookmarkStart w:id="120" w:name="_Toc209261369"/>
      <w:bookmarkStart w:id="121" w:name="_Toc207609185"/>
      <w:bookmarkStart w:id="122" w:name="_Toc205877561"/>
      <w:bookmarkStart w:id="123" w:name="_Toc205005290"/>
      <w:bookmarkStart w:id="124" w:name="_Toc223933225"/>
      <w:bookmarkStart w:id="125" w:name="_Toc204578579"/>
      <w:bookmarkStart w:id="126" w:name="_Toc205703106"/>
      <w:bookmarkStart w:id="127" w:name="_Toc219538617"/>
      <w:bookmarkStart w:id="128" w:name="_Toc217460689"/>
      <w:bookmarkStart w:id="129" w:name="_Toc216667824"/>
      <w:bookmarkStart w:id="130" w:name="_Toc227057037"/>
      <w:bookmarkStart w:id="131" w:name="_Toc209332637"/>
      <w:bookmarkStart w:id="132" w:name="_Toc205004972"/>
      <w:bookmarkStart w:id="133" w:name="_Toc204491321"/>
      <w:bookmarkStart w:id="134" w:name="_Toc227056850"/>
      <w:bookmarkStart w:id="135" w:name="_Toc205877456"/>
      <w:bookmarkStart w:id="136" w:name="_Toc209250723"/>
      <w:bookmarkStart w:id="137" w:name="_Toc209261436"/>
    </w:p>
    <w:p w14:paraId="70431065">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五、 开标和评审</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D6A42C5">
      <w:pPr>
        <w:numPr>
          <w:ilvl w:val="0"/>
          <w:numId w:val="4"/>
        </w:numPr>
        <w:tabs>
          <w:tab w:val="left" w:pos="525"/>
          <w:tab w:val="left" w:pos="900"/>
        </w:tabs>
        <w:ind w:left="525" w:hanging="525"/>
        <w:rPr>
          <w:rFonts w:hint="eastAsia" w:ascii="宋体" w:hAnsi="宋体" w:eastAsia="宋体" w:cs="宋体"/>
          <w:sz w:val="22"/>
          <w:szCs w:val="22"/>
        </w:rPr>
      </w:pPr>
      <w:bookmarkStart w:id="138" w:name="_Toc209250724"/>
      <w:bookmarkStart w:id="139" w:name="_Toc205005291"/>
      <w:bookmarkStart w:id="140" w:name="_Toc205004973"/>
      <w:bookmarkStart w:id="141" w:name="_Toc218041731"/>
      <w:bookmarkStart w:id="142" w:name="_Toc227056851"/>
      <w:bookmarkStart w:id="143" w:name="_Toc204491322"/>
      <w:bookmarkStart w:id="144" w:name="_Toc205877457"/>
      <w:bookmarkStart w:id="145" w:name="_Toc205877562"/>
      <w:bookmarkStart w:id="146" w:name="_Toc209251132"/>
      <w:bookmarkStart w:id="147" w:name="_Toc227489892"/>
      <w:bookmarkStart w:id="148" w:name="_Toc214365795"/>
      <w:bookmarkStart w:id="149" w:name="_Toc205703107"/>
      <w:bookmarkStart w:id="150" w:name="_Toc217460690"/>
      <w:bookmarkStart w:id="151" w:name="_Toc223717609"/>
      <w:bookmarkStart w:id="152" w:name="_Toc210879713"/>
      <w:bookmarkStart w:id="153" w:name="_Toc209261370"/>
      <w:bookmarkStart w:id="154" w:name="_Toc219538618"/>
      <w:bookmarkStart w:id="155" w:name="_Toc216667825"/>
      <w:bookmarkStart w:id="156" w:name="_Toc215415535"/>
      <w:bookmarkStart w:id="157" w:name="_Toc209332638"/>
      <w:bookmarkStart w:id="158" w:name="_Toc207609186"/>
      <w:bookmarkStart w:id="159" w:name="_Toc204578580"/>
      <w:bookmarkStart w:id="160" w:name="_Toc209261437"/>
      <w:bookmarkStart w:id="161" w:name="_Toc223933226"/>
      <w:bookmarkStart w:id="162" w:name="_Toc227057038"/>
      <w:r>
        <w:rPr>
          <w:rFonts w:hint="eastAsia" w:ascii="宋体" w:hAnsi="宋体" w:eastAsia="宋体" w:cs="宋体"/>
          <w:sz w:val="22"/>
          <w:szCs w:val="22"/>
        </w:rPr>
        <w:t>评标委员会</w:t>
      </w:r>
    </w:p>
    <w:p w14:paraId="2383AFFD">
      <w:pPr>
        <w:ind w:left="540" w:leftChars="257"/>
        <w:rPr>
          <w:rFonts w:hint="eastAsia" w:ascii="宋体" w:hAnsi="宋体" w:eastAsia="宋体" w:cs="宋体"/>
          <w:bCs/>
          <w:sz w:val="22"/>
          <w:szCs w:val="22"/>
        </w:rPr>
      </w:pPr>
      <w:r>
        <w:rPr>
          <w:rFonts w:hint="eastAsia" w:ascii="宋体" w:hAnsi="宋体" w:eastAsia="宋体" w:cs="宋体"/>
          <w:bCs/>
          <w:sz w:val="22"/>
          <w:szCs w:val="22"/>
        </w:rPr>
        <w:t>采购人依法组建评标委员会。评标委员会的成员在评标过程中必须严格遵守有关法律、法规的规定。</w:t>
      </w:r>
    </w:p>
    <w:p w14:paraId="30966638">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评标过程的保密性</w:t>
      </w:r>
    </w:p>
    <w:p w14:paraId="6A5FA18F">
      <w:pPr>
        <w:ind w:left="540" w:leftChars="257"/>
        <w:rPr>
          <w:rFonts w:hint="eastAsia" w:ascii="宋体" w:hAnsi="宋体" w:eastAsia="宋体" w:cs="宋体"/>
          <w:bCs/>
          <w:sz w:val="22"/>
          <w:szCs w:val="22"/>
        </w:rPr>
      </w:pPr>
      <w:r>
        <w:rPr>
          <w:rFonts w:hint="eastAsia" w:ascii="宋体" w:hAnsi="宋体" w:eastAsia="宋体" w:cs="宋体"/>
          <w:bCs/>
          <w:sz w:val="22"/>
          <w:szCs w:val="22"/>
        </w:rPr>
        <w:t>开标后直至向中标人授予合同时止，凡与评审有关的资料均不得向投标供应商及与评标无关人员透露。如果投标供应商在评标过程中试图向</w:t>
      </w:r>
      <w:r>
        <w:rPr>
          <w:rFonts w:hint="eastAsia" w:ascii="宋体" w:hAnsi="宋体" w:eastAsia="宋体" w:cs="宋体"/>
          <w:sz w:val="22"/>
          <w:szCs w:val="22"/>
        </w:rPr>
        <w:t>采购单位、评标委员会</w:t>
      </w:r>
      <w:r>
        <w:rPr>
          <w:rFonts w:hint="eastAsia" w:ascii="宋体" w:hAnsi="宋体" w:eastAsia="宋体" w:cs="宋体"/>
          <w:bCs/>
          <w:sz w:val="22"/>
          <w:szCs w:val="22"/>
        </w:rPr>
        <w:t>施加影响，其投标将被拒绝。</w:t>
      </w:r>
    </w:p>
    <w:p w14:paraId="2F607B22">
      <w:pPr>
        <w:numPr>
          <w:ilvl w:val="0"/>
          <w:numId w:val="4"/>
        </w:numPr>
        <w:tabs>
          <w:tab w:val="left" w:pos="525"/>
          <w:tab w:val="left" w:pos="900"/>
        </w:tabs>
        <w:ind w:left="525" w:hanging="525"/>
        <w:rPr>
          <w:rFonts w:hint="eastAsia" w:ascii="宋体" w:hAnsi="宋体" w:eastAsia="宋体" w:cs="宋体"/>
          <w:sz w:val="22"/>
          <w:szCs w:val="22"/>
        </w:rPr>
      </w:pPr>
      <w:r>
        <w:rPr>
          <w:rFonts w:hint="eastAsia" w:ascii="宋体" w:hAnsi="宋体" w:eastAsia="宋体" w:cs="宋体"/>
          <w:sz w:val="22"/>
          <w:szCs w:val="22"/>
        </w:rPr>
        <w:t>开标、评标</w:t>
      </w:r>
    </w:p>
    <w:p w14:paraId="2AEE5929">
      <w:pPr>
        <w:numPr>
          <w:ilvl w:val="1"/>
          <w:numId w:val="13"/>
        </w:numPr>
        <w:tabs>
          <w:tab w:val="left" w:pos="540"/>
          <w:tab w:val="clear" w:pos="450"/>
        </w:tabs>
        <w:ind w:left="525" w:hanging="525"/>
        <w:rPr>
          <w:rFonts w:hint="eastAsia" w:ascii="宋体" w:hAnsi="宋体" w:eastAsia="宋体" w:cs="宋体"/>
          <w:bCs/>
          <w:sz w:val="22"/>
          <w:szCs w:val="22"/>
        </w:rPr>
      </w:pPr>
      <w:r>
        <w:rPr>
          <w:rFonts w:hint="eastAsia" w:ascii="宋体" w:hAnsi="宋体" w:eastAsia="宋体" w:cs="宋体"/>
          <w:bCs/>
          <w:sz w:val="22"/>
          <w:szCs w:val="22"/>
        </w:rPr>
        <w:t>开标程序：</w:t>
      </w:r>
    </w:p>
    <w:p w14:paraId="7030BF1D">
      <w:pPr>
        <w:numPr>
          <w:ilvl w:val="0"/>
          <w:numId w:val="14"/>
        </w:numPr>
        <w:rPr>
          <w:rFonts w:hint="eastAsia" w:ascii="宋体" w:hAnsi="宋体" w:eastAsia="宋体" w:cs="宋体"/>
          <w:bCs/>
          <w:sz w:val="22"/>
          <w:szCs w:val="22"/>
        </w:rPr>
      </w:pPr>
      <w:r>
        <w:rPr>
          <w:rFonts w:hint="eastAsia" w:ascii="宋体" w:hAnsi="宋体" w:eastAsia="宋体" w:cs="宋体"/>
          <w:bCs/>
          <w:sz w:val="22"/>
          <w:szCs w:val="22"/>
        </w:rPr>
        <w:t>宣布开标纪律；</w:t>
      </w:r>
    </w:p>
    <w:p w14:paraId="4EAFF02B">
      <w:pPr>
        <w:numPr>
          <w:ilvl w:val="0"/>
          <w:numId w:val="14"/>
        </w:numPr>
        <w:rPr>
          <w:rFonts w:hint="eastAsia" w:ascii="宋体" w:hAnsi="宋体" w:eastAsia="宋体" w:cs="宋体"/>
          <w:bCs/>
          <w:sz w:val="22"/>
          <w:szCs w:val="22"/>
        </w:rPr>
      </w:pPr>
      <w:r>
        <w:rPr>
          <w:rFonts w:hint="eastAsia" w:ascii="宋体" w:hAnsi="宋体" w:eastAsia="宋体" w:cs="宋体"/>
          <w:bCs/>
          <w:sz w:val="22"/>
          <w:szCs w:val="22"/>
        </w:rPr>
        <w:t>公布在投标截止时间前递交投标文件的投标供应商名称，并点名确认投标供应商是否派授权代表到场；</w:t>
      </w:r>
    </w:p>
    <w:p w14:paraId="5099F398">
      <w:pPr>
        <w:numPr>
          <w:ilvl w:val="0"/>
          <w:numId w:val="14"/>
        </w:numPr>
        <w:rPr>
          <w:rFonts w:hint="eastAsia" w:ascii="宋体" w:hAnsi="宋体" w:eastAsia="宋体" w:cs="宋体"/>
          <w:bCs/>
          <w:sz w:val="22"/>
          <w:szCs w:val="22"/>
        </w:rPr>
      </w:pPr>
      <w:r>
        <w:rPr>
          <w:rFonts w:hint="eastAsia" w:ascii="宋体" w:hAnsi="宋体" w:eastAsia="宋体" w:cs="宋体"/>
          <w:bCs/>
          <w:sz w:val="22"/>
          <w:szCs w:val="22"/>
        </w:rPr>
        <w:t>宣布唱标人、记录人、监督人员等有关人员姓名；</w:t>
      </w:r>
    </w:p>
    <w:p w14:paraId="7AF3A36E">
      <w:pPr>
        <w:numPr>
          <w:ilvl w:val="0"/>
          <w:numId w:val="14"/>
        </w:numPr>
        <w:rPr>
          <w:rFonts w:hint="eastAsia" w:ascii="宋体" w:hAnsi="宋体" w:eastAsia="宋体" w:cs="宋体"/>
          <w:bCs/>
          <w:sz w:val="22"/>
          <w:szCs w:val="22"/>
        </w:rPr>
      </w:pPr>
      <w:r>
        <w:rPr>
          <w:rFonts w:hint="eastAsia" w:ascii="宋体" w:hAnsi="宋体" w:eastAsia="宋体" w:cs="宋体"/>
          <w:bCs/>
          <w:sz w:val="22"/>
          <w:szCs w:val="22"/>
        </w:rPr>
        <w:t>密封情况检查：由投标供应商或其推选的代表检查投标文件密封情况；</w:t>
      </w:r>
    </w:p>
    <w:p w14:paraId="32AD0744">
      <w:pPr>
        <w:numPr>
          <w:ilvl w:val="0"/>
          <w:numId w:val="14"/>
        </w:numPr>
        <w:rPr>
          <w:rFonts w:hint="eastAsia" w:ascii="宋体" w:hAnsi="宋体" w:eastAsia="宋体" w:cs="宋体"/>
          <w:bCs/>
          <w:sz w:val="22"/>
          <w:szCs w:val="22"/>
        </w:rPr>
      </w:pPr>
      <w:r>
        <w:rPr>
          <w:rFonts w:hint="eastAsia" w:ascii="宋体" w:hAnsi="宋体" w:eastAsia="宋体" w:cs="宋体"/>
          <w:b/>
          <w:bCs w:val="0"/>
          <w:sz w:val="22"/>
          <w:szCs w:val="22"/>
        </w:rPr>
        <w:t>开标顺序：同时开启技术资信部分投标文件、开启商务（报价）文件</w:t>
      </w:r>
      <w:r>
        <w:rPr>
          <w:rFonts w:hint="eastAsia" w:ascii="宋体" w:hAnsi="宋体" w:eastAsia="宋体" w:cs="宋体"/>
          <w:bCs/>
          <w:sz w:val="22"/>
          <w:szCs w:val="22"/>
        </w:rPr>
        <w:t>；</w:t>
      </w:r>
    </w:p>
    <w:p w14:paraId="405CC5F8">
      <w:pPr>
        <w:numPr>
          <w:ilvl w:val="0"/>
          <w:numId w:val="14"/>
        </w:numPr>
        <w:rPr>
          <w:rFonts w:hint="eastAsia" w:ascii="宋体" w:hAnsi="宋体" w:eastAsia="宋体" w:cs="宋体"/>
          <w:bCs/>
          <w:sz w:val="22"/>
          <w:szCs w:val="22"/>
        </w:rPr>
      </w:pPr>
      <w:r>
        <w:rPr>
          <w:rFonts w:hint="eastAsia" w:ascii="宋体" w:hAnsi="宋体" w:eastAsia="宋体" w:cs="宋体"/>
          <w:bCs/>
          <w:sz w:val="22"/>
          <w:szCs w:val="22"/>
        </w:rPr>
        <w:t>确认开标结果：投标供应商授权代表对开标书面记录进行当场校核及勘误，并签字确认；并同时由记录人、监督人当场签字确认。</w:t>
      </w:r>
    </w:p>
    <w:p w14:paraId="70FBEFEC">
      <w:pPr>
        <w:numPr>
          <w:ilvl w:val="0"/>
          <w:numId w:val="14"/>
        </w:numPr>
        <w:rPr>
          <w:rFonts w:hint="eastAsia" w:ascii="宋体" w:hAnsi="宋体" w:eastAsia="宋体" w:cs="宋体"/>
          <w:bCs/>
          <w:sz w:val="22"/>
          <w:szCs w:val="22"/>
        </w:rPr>
      </w:pPr>
      <w:r>
        <w:rPr>
          <w:rFonts w:hint="eastAsia" w:ascii="宋体" w:hAnsi="宋体" w:eastAsia="宋体" w:cs="宋体"/>
          <w:bCs/>
          <w:sz w:val="22"/>
          <w:szCs w:val="22"/>
        </w:rPr>
        <w:t>宣布开标结束。</w:t>
      </w:r>
    </w:p>
    <w:p w14:paraId="4E3CB8C0">
      <w:pPr>
        <w:numPr>
          <w:ilvl w:val="0"/>
          <w:numId w:val="14"/>
        </w:numPr>
        <w:rPr>
          <w:rFonts w:hint="eastAsia" w:ascii="宋体" w:hAnsi="宋体" w:eastAsia="宋体" w:cs="宋体"/>
          <w:bCs/>
          <w:sz w:val="22"/>
          <w:szCs w:val="22"/>
        </w:rPr>
      </w:pPr>
      <w:r>
        <w:rPr>
          <w:rFonts w:hint="eastAsia" w:ascii="宋体" w:hAnsi="宋体" w:eastAsia="宋体" w:cs="宋体"/>
          <w:bCs/>
          <w:sz w:val="22"/>
          <w:szCs w:val="22"/>
        </w:rPr>
        <w:t>投标供应商授权代表未参加开标会议；未到场签字确认的，不影响开标，评标过程，视同认可开标结果；事后不得对采购相关人员、开标过程和开标结果提出异议。</w:t>
      </w:r>
    </w:p>
    <w:p w14:paraId="1FC8EBA2">
      <w:pPr>
        <w:numPr>
          <w:ilvl w:val="1"/>
          <w:numId w:val="13"/>
        </w:numPr>
        <w:tabs>
          <w:tab w:val="left" w:pos="525"/>
          <w:tab w:val="clear" w:pos="450"/>
        </w:tabs>
        <w:ind w:left="525" w:hanging="525"/>
        <w:rPr>
          <w:rFonts w:hint="eastAsia" w:ascii="宋体" w:hAnsi="宋体" w:eastAsia="宋体" w:cs="宋体"/>
          <w:b/>
          <w:bCs w:val="0"/>
          <w:sz w:val="22"/>
          <w:szCs w:val="22"/>
        </w:rPr>
      </w:pPr>
      <w:r>
        <w:rPr>
          <w:rFonts w:hint="eastAsia" w:ascii="宋体" w:hAnsi="宋体" w:eastAsia="宋体" w:cs="宋体"/>
          <w:b/>
          <w:bCs w:val="0"/>
          <w:sz w:val="22"/>
          <w:szCs w:val="22"/>
          <w:highlight w:val="none"/>
        </w:rPr>
        <w:t>评标程序：先对各投标文件进行初审，然后对初审合格的投标文件进行技术资信标评审，</w:t>
      </w:r>
      <w:r>
        <w:rPr>
          <w:rFonts w:hint="eastAsia" w:ascii="宋体" w:hAnsi="宋体" w:eastAsia="宋体" w:cs="宋体"/>
          <w:b/>
          <w:bCs w:val="0"/>
          <w:sz w:val="22"/>
          <w:szCs w:val="22"/>
        </w:rPr>
        <w:t>技术资信标评审结束后，再对各有效标进行商务（报价）评审。</w:t>
      </w:r>
    </w:p>
    <w:p w14:paraId="557ABEF6">
      <w:pPr>
        <w:numPr>
          <w:ilvl w:val="1"/>
          <w:numId w:val="13"/>
        </w:numPr>
        <w:tabs>
          <w:tab w:val="left" w:pos="525"/>
          <w:tab w:val="clear" w:pos="450"/>
        </w:tabs>
        <w:ind w:left="525" w:hanging="525"/>
        <w:rPr>
          <w:rFonts w:hint="eastAsia" w:ascii="宋体" w:hAnsi="宋体" w:eastAsia="宋体" w:cs="宋体"/>
          <w:bCs/>
          <w:sz w:val="22"/>
          <w:szCs w:val="22"/>
        </w:rPr>
      </w:pPr>
      <w:r>
        <w:rPr>
          <w:rFonts w:hint="eastAsia" w:ascii="宋体" w:hAnsi="宋体" w:eastAsia="宋体" w:cs="宋体"/>
          <w:bCs/>
          <w:sz w:val="22"/>
          <w:szCs w:val="22"/>
        </w:rPr>
        <w:t>投标文件的初审。初审分为资格性审查和符合性检查。</w:t>
      </w:r>
    </w:p>
    <w:p w14:paraId="440C9FEF">
      <w:pPr>
        <w:numPr>
          <w:ilvl w:val="0"/>
          <w:numId w:val="15"/>
        </w:numPr>
        <w:tabs>
          <w:tab w:val="left" w:pos="525"/>
          <w:tab w:val="clear" w:pos="780"/>
        </w:tabs>
        <w:ind w:left="525" w:hanging="315"/>
        <w:rPr>
          <w:rFonts w:hint="eastAsia" w:ascii="宋体" w:hAnsi="宋体" w:eastAsia="宋体" w:cs="宋体"/>
          <w:b/>
          <w:bCs/>
          <w:sz w:val="22"/>
          <w:szCs w:val="22"/>
          <w:u w:val="single"/>
        </w:rPr>
      </w:pPr>
      <w:r>
        <w:rPr>
          <w:rFonts w:hint="eastAsia" w:ascii="宋体" w:hAnsi="宋体" w:eastAsia="宋体" w:cs="宋体"/>
          <w:bCs/>
          <w:sz w:val="22"/>
          <w:szCs w:val="22"/>
        </w:rPr>
        <w:t>资格性审查。依据法律、法规和采购文件的规定，评标委员会对各投标供应商进行资格性审查，资格性审查内容包括但不仅限于审查随投标文件一同提交的法定代表人授权书（原件）、投标代表人有效身份证件、投标保证金缴纳凭证，以及投标文件所提交证明材料是否能证明符合本项目对投标供应商资格的实质性要求。</w:t>
      </w:r>
      <w:r>
        <w:rPr>
          <w:rFonts w:hint="eastAsia" w:ascii="宋体" w:hAnsi="宋体" w:eastAsia="宋体" w:cs="宋体"/>
          <w:b/>
          <w:bCs/>
          <w:sz w:val="22"/>
          <w:szCs w:val="22"/>
          <w:u w:val="single"/>
        </w:rPr>
        <w:t>▲审查不合格的投标文件将作无效标处理。</w:t>
      </w:r>
    </w:p>
    <w:p w14:paraId="0D35B7A1">
      <w:pPr>
        <w:numPr>
          <w:ilvl w:val="0"/>
          <w:numId w:val="15"/>
        </w:numPr>
        <w:tabs>
          <w:tab w:val="left" w:pos="525"/>
          <w:tab w:val="clear" w:pos="780"/>
        </w:tabs>
        <w:ind w:left="525" w:hanging="315"/>
        <w:rPr>
          <w:rFonts w:hint="eastAsia" w:ascii="宋体" w:hAnsi="宋体" w:eastAsia="宋体" w:cs="宋体"/>
          <w:bCs/>
          <w:sz w:val="22"/>
          <w:szCs w:val="22"/>
        </w:rPr>
      </w:pPr>
      <w:r>
        <w:rPr>
          <w:rFonts w:hint="eastAsia" w:ascii="宋体" w:hAnsi="宋体" w:eastAsia="宋体" w:cs="宋体"/>
          <w:bCs/>
          <w:sz w:val="22"/>
          <w:szCs w:val="22"/>
        </w:rPr>
        <w:t>符合性检查。依据采购文件的规定，对投标文件的有效性、完整性和对采购文件的响应程度进行审查，以确定是否对采购文件的实质性要求作出响应。</w:t>
      </w:r>
      <w:r>
        <w:rPr>
          <w:rFonts w:hint="eastAsia" w:ascii="宋体" w:hAnsi="宋体" w:eastAsia="宋体" w:cs="宋体"/>
          <w:b/>
          <w:sz w:val="22"/>
          <w:szCs w:val="22"/>
          <w:u w:val="single"/>
        </w:rPr>
        <w:t>▲审查不合格的投标文件将作无效标处理</w:t>
      </w:r>
      <w:r>
        <w:rPr>
          <w:rFonts w:hint="eastAsia" w:ascii="宋体" w:hAnsi="宋体" w:eastAsia="宋体" w:cs="宋体"/>
          <w:bCs/>
          <w:sz w:val="22"/>
          <w:szCs w:val="22"/>
        </w:rPr>
        <w:t>。</w:t>
      </w:r>
    </w:p>
    <w:p w14:paraId="1533DAAA">
      <w:pPr>
        <w:tabs>
          <w:tab w:val="left" w:pos="525"/>
        </w:tabs>
        <w:ind w:left="548" w:leftChars="261"/>
        <w:rPr>
          <w:rFonts w:hint="eastAsia" w:ascii="宋体" w:hAnsi="宋体" w:eastAsia="宋体" w:cs="宋体"/>
          <w:b/>
          <w:bCs/>
          <w:sz w:val="22"/>
          <w:szCs w:val="22"/>
          <w:u w:val="single"/>
        </w:rPr>
      </w:pPr>
      <w:r>
        <w:rPr>
          <w:rFonts w:hint="eastAsia" w:ascii="宋体" w:hAnsi="宋体" w:eastAsia="宋体" w:cs="宋体"/>
          <w:b/>
          <w:bCs/>
          <w:sz w:val="22"/>
          <w:szCs w:val="22"/>
          <w:u w:val="single"/>
        </w:rPr>
        <w:t>▲通过资格性审查与符合性审查的技术资信标由评委进行综合评审，审查确认未通过的投标文件将作无效标处理，其技术资信标不予评审。</w:t>
      </w:r>
    </w:p>
    <w:p w14:paraId="1280B9F7">
      <w:pPr>
        <w:numPr>
          <w:ilvl w:val="1"/>
          <w:numId w:val="13"/>
        </w:numPr>
        <w:tabs>
          <w:tab w:val="left" w:pos="525"/>
          <w:tab w:val="clear" w:pos="450"/>
        </w:tabs>
        <w:ind w:left="525" w:hanging="525"/>
        <w:rPr>
          <w:rFonts w:hint="eastAsia" w:ascii="宋体" w:hAnsi="宋体" w:eastAsia="宋体" w:cs="宋体"/>
          <w:b/>
          <w:bCs/>
          <w:sz w:val="22"/>
          <w:szCs w:val="22"/>
          <w:u w:val="single"/>
        </w:rPr>
      </w:pPr>
      <w:r>
        <w:rPr>
          <w:rFonts w:hint="eastAsia" w:ascii="宋体" w:hAnsi="宋体" w:eastAsia="宋体" w:cs="宋体"/>
          <w:b/>
          <w:bCs/>
          <w:sz w:val="22"/>
          <w:szCs w:val="22"/>
          <w:u w:val="single"/>
        </w:rPr>
        <w:t>▲在对各投标供应商的投标文件进行综合评审时，投标文件有下列情况之一的，经评标委员会认定后该投标文件按无效标处理：</w:t>
      </w:r>
    </w:p>
    <w:p w14:paraId="3A8864D2">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未按采购文件要求</w:t>
      </w:r>
      <w:r>
        <w:rPr>
          <w:rFonts w:hint="eastAsia" w:ascii="宋体" w:hAnsi="宋体" w:eastAsia="宋体" w:cs="宋体"/>
          <w:bCs/>
          <w:sz w:val="22"/>
          <w:u w:val="single"/>
        </w:rPr>
        <w:t>（非实质性条款除外）</w:t>
      </w:r>
      <w:r>
        <w:rPr>
          <w:rFonts w:hint="eastAsia" w:ascii="宋体" w:hAnsi="宋体" w:eastAsia="宋体" w:cs="宋体"/>
          <w:bCs/>
          <w:sz w:val="22"/>
          <w:szCs w:val="22"/>
          <w:u w:val="single"/>
        </w:rPr>
        <w:t>加盖单位公章、无法定代表人或其授权代表签字或盖章的；</w:t>
      </w:r>
    </w:p>
    <w:p w14:paraId="06007D98">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投标文件附有采购人不能接受的条件；</w:t>
      </w:r>
    </w:p>
    <w:p w14:paraId="0C340D88">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授权代表参加投标没有法定代表人合法、有效委托的；</w:t>
      </w:r>
    </w:p>
    <w:p w14:paraId="27A7FB05">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投标供应商递交两份以上内容不同的投标书，未声明哪一份有效的，或同一投标文件中出现有选择性的报价，未声明以其中一个报价为准的；</w:t>
      </w:r>
    </w:p>
    <w:p w14:paraId="15D70FA0">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投标供应商未能按要求提交投标保证金的；</w:t>
      </w:r>
    </w:p>
    <w:p w14:paraId="791AD2FF">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投标供应商的投标报价（折扣系数报价）超过采购最高限价（即折扣系数报价大于100%）的；</w:t>
      </w:r>
    </w:p>
    <w:p w14:paraId="0D85B300">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未实质性响应采购文件中“▲”同时加下划线条款的；</w:t>
      </w:r>
    </w:p>
    <w:p w14:paraId="53AD040C">
      <w:pPr>
        <w:numPr>
          <w:ilvl w:val="0"/>
          <w:numId w:val="16"/>
        </w:numPr>
        <w:ind w:firstLine="0"/>
        <w:rPr>
          <w:rFonts w:hint="eastAsia" w:ascii="宋体" w:hAnsi="宋体" w:eastAsia="宋体" w:cs="宋体"/>
          <w:bCs/>
          <w:sz w:val="22"/>
          <w:szCs w:val="22"/>
          <w:u w:val="single"/>
        </w:rPr>
      </w:pPr>
      <w:r>
        <w:rPr>
          <w:rFonts w:hint="eastAsia" w:ascii="宋体" w:hAnsi="宋体" w:eastAsia="宋体" w:cs="宋体"/>
          <w:bCs/>
          <w:sz w:val="22"/>
          <w:szCs w:val="22"/>
          <w:u w:val="single"/>
        </w:rPr>
        <w:t>投标供应商提交的投标文件相关证书、材料经评标委员会认定有弄虚作假情况的；</w:t>
      </w:r>
    </w:p>
    <w:p w14:paraId="1BAE120B">
      <w:pPr>
        <w:numPr>
          <w:ilvl w:val="0"/>
          <w:numId w:val="16"/>
        </w:numPr>
        <w:ind w:firstLine="0"/>
        <w:rPr>
          <w:rFonts w:hint="eastAsia" w:ascii="宋体" w:hAnsi="宋体" w:eastAsia="宋体" w:cs="宋体"/>
          <w:bCs/>
          <w:sz w:val="22"/>
          <w:szCs w:val="22"/>
        </w:rPr>
      </w:pPr>
      <w:r>
        <w:rPr>
          <w:rFonts w:hint="eastAsia" w:ascii="宋体" w:hAnsi="宋体" w:eastAsia="宋体" w:cs="宋体"/>
          <w:bCs/>
          <w:sz w:val="22"/>
          <w:szCs w:val="22"/>
          <w:u w:val="single"/>
        </w:rPr>
        <w:t>评标委员会认定不符合法律、法规和采购文件中规定的其他实质性要求的。</w:t>
      </w:r>
    </w:p>
    <w:p w14:paraId="127EDB28">
      <w:pPr>
        <w:tabs>
          <w:tab w:val="left" w:pos="525"/>
        </w:tabs>
        <w:ind w:firstLine="440" w:firstLineChars="200"/>
        <w:rPr>
          <w:rFonts w:hint="eastAsia" w:ascii="宋体" w:hAnsi="宋体" w:eastAsia="宋体" w:cs="宋体"/>
          <w:kern w:val="0"/>
          <w:sz w:val="22"/>
          <w:szCs w:val="22"/>
        </w:rPr>
      </w:pPr>
      <w:r>
        <w:rPr>
          <w:rFonts w:hint="eastAsia" w:ascii="宋体" w:hAnsi="宋体" w:eastAsia="宋体" w:cs="宋体"/>
          <w:kern w:val="0"/>
          <w:sz w:val="22"/>
          <w:szCs w:val="22"/>
          <w:u w:val="single"/>
        </w:rPr>
        <w:t>▲</w:t>
      </w:r>
      <w:r>
        <w:rPr>
          <w:rFonts w:hint="eastAsia" w:ascii="宋体" w:hAnsi="宋体" w:eastAsia="宋体" w:cs="宋体"/>
          <w:b/>
          <w:bCs/>
          <w:kern w:val="0"/>
          <w:sz w:val="22"/>
          <w:szCs w:val="22"/>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szCs w:val="22"/>
        </w:rPr>
        <w:t>：</w:t>
      </w:r>
    </w:p>
    <w:p w14:paraId="0974BDC7">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1）主要内容未按采购文件要求编制、</w:t>
      </w:r>
      <w:r>
        <w:rPr>
          <w:rFonts w:hint="eastAsia" w:ascii="宋体" w:hAnsi="宋体" w:eastAsia="宋体" w:cs="宋体"/>
          <w:bCs/>
          <w:sz w:val="22"/>
          <w:szCs w:val="22"/>
          <w:u w:val="single"/>
        </w:rPr>
        <w:t>内容不全，</w:t>
      </w:r>
      <w:r>
        <w:rPr>
          <w:rFonts w:hint="eastAsia" w:ascii="宋体" w:hAnsi="宋体" w:eastAsia="宋体" w:cs="宋体"/>
          <w:kern w:val="0"/>
          <w:sz w:val="22"/>
          <w:szCs w:val="22"/>
          <w:u w:val="single"/>
        </w:rPr>
        <w:t>或实质性内容字迹模糊、辨认不清的投标文件；</w:t>
      </w:r>
    </w:p>
    <w:p w14:paraId="50DA1567">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2）除22.4条款以外，出现其它明显不符合服务内容要求、技术服务标准要求或不满足采购文件</w:t>
      </w:r>
      <w:r>
        <w:rPr>
          <w:rFonts w:hint="eastAsia" w:ascii="宋体" w:hAnsi="宋体" w:eastAsia="宋体" w:cs="宋体"/>
          <w:kern w:val="0"/>
          <w:sz w:val="22"/>
          <w:szCs w:val="22"/>
          <w:u w:val="single"/>
          <w:lang w:val="en-US" w:eastAsia="zh-CN"/>
        </w:rPr>
        <w:t>采购内容及要求</w:t>
      </w:r>
      <w:r>
        <w:rPr>
          <w:rFonts w:hint="eastAsia" w:ascii="宋体" w:hAnsi="宋体" w:eastAsia="宋体" w:cs="宋体"/>
          <w:bCs/>
          <w:sz w:val="22"/>
          <w:szCs w:val="22"/>
          <w:u w:val="single"/>
        </w:rPr>
        <w:t>，对</w:t>
      </w:r>
      <w:r>
        <w:rPr>
          <w:rFonts w:hint="eastAsia" w:ascii="宋体" w:hAnsi="宋体" w:eastAsia="宋体" w:cs="宋体"/>
          <w:bCs/>
          <w:sz w:val="22"/>
          <w:szCs w:val="22"/>
          <w:u w:val="single"/>
          <w:lang w:val="en-US" w:eastAsia="zh-CN"/>
        </w:rPr>
        <w:t>服务</w:t>
      </w:r>
      <w:r>
        <w:rPr>
          <w:rFonts w:hint="eastAsia" w:ascii="宋体" w:hAnsi="宋体" w:eastAsia="宋体" w:cs="宋体"/>
          <w:bCs/>
          <w:sz w:val="22"/>
          <w:szCs w:val="22"/>
          <w:u w:val="single"/>
        </w:rPr>
        <w:t>质量产生重大影响</w:t>
      </w:r>
      <w:r>
        <w:rPr>
          <w:rFonts w:hint="eastAsia" w:ascii="宋体" w:hAnsi="宋体" w:eastAsia="宋体" w:cs="宋体"/>
          <w:kern w:val="0"/>
          <w:sz w:val="22"/>
          <w:szCs w:val="22"/>
          <w:u w:val="single"/>
        </w:rPr>
        <w:t>的投标文件；</w:t>
      </w:r>
    </w:p>
    <w:p w14:paraId="65BBD873">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3）除22.4条款以外，出现投标项目服务工作与采购文件对比出现较大偏差；</w:t>
      </w:r>
      <w:r>
        <w:rPr>
          <w:rFonts w:hint="eastAsia" w:ascii="宋体" w:hAnsi="宋体" w:eastAsia="宋体" w:cs="宋体"/>
          <w:kern w:val="0"/>
          <w:sz w:val="22"/>
          <w:szCs w:val="22"/>
          <w:u w:val="single"/>
          <w:lang w:val="en-US" w:eastAsia="zh-CN"/>
        </w:rPr>
        <w:t>或者出现</w:t>
      </w:r>
      <w:r>
        <w:rPr>
          <w:rFonts w:hint="eastAsia" w:ascii="宋体" w:hAnsi="宋体" w:eastAsia="宋体" w:cs="宋体"/>
          <w:kern w:val="0"/>
          <w:sz w:val="22"/>
          <w:szCs w:val="22"/>
          <w:u w:val="single"/>
        </w:rPr>
        <w:t>商务报价明细表计算错误，出现较大差错；</w:t>
      </w:r>
    </w:p>
    <w:p w14:paraId="080580C5">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4）除22.4条款以外，出现其它不符合采购文件中规定的实质性要求的投标文件，是否为偏离实质性要求由评标委员会认定。</w:t>
      </w:r>
    </w:p>
    <w:p w14:paraId="64EED754">
      <w:pPr>
        <w:numPr>
          <w:ilvl w:val="1"/>
          <w:numId w:val="13"/>
        </w:numPr>
        <w:tabs>
          <w:tab w:val="left" w:pos="525"/>
          <w:tab w:val="clear" w:pos="450"/>
        </w:tabs>
        <w:ind w:left="525" w:hanging="525"/>
        <w:rPr>
          <w:rFonts w:hint="eastAsia" w:ascii="宋体" w:hAnsi="宋体" w:eastAsia="宋体" w:cs="宋体"/>
          <w:kern w:val="0"/>
          <w:sz w:val="22"/>
          <w:szCs w:val="22"/>
        </w:rPr>
      </w:pPr>
      <w:r>
        <w:rPr>
          <w:rFonts w:hint="eastAsia" w:ascii="宋体" w:hAnsi="宋体" w:eastAsia="宋体" w:cs="宋体"/>
          <w:kern w:val="0"/>
          <w:sz w:val="22"/>
          <w:szCs w:val="22"/>
          <w:u w:val="single"/>
        </w:rPr>
        <w:t>▲</w:t>
      </w:r>
      <w:r>
        <w:rPr>
          <w:rFonts w:hint="eastAsia" w:ascii="宋体" w:hAnsi="宋体" w:eastAsia="宋体" w:cs="宋体"/>
          <w:b/>
          <w:bCs/>
          <w:kern w:val="0"/>
          <w:sz w:val="22"/>
          <w:szCs w:val="22"/>
          <w:u w:val="single"/>
        </w:rPr>
        <w:t>有下列情形之一的，视为投标供应商串通投标，其投标无效</w:t>
      </w:r>
      <w:r>
        <w:rPr>
          <w:rFonts w:hint="eastAsia" w:ascii="宋体" w:hAnsi="宋体" w:eastAsia="宋体" w:cs="宋体"/>
          <w:kern w:val="0"/>
          <w:sz w:val="22"/>
          <w:szCs w:val="22"/>
        </w:rPr>
        <w:t>：</w:t>
      </w:r>
    </w:p>
    <w:p w14:paraId="5C0E7187">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1）不同投标供应商的投标文件由同一单位或者个人编制；</w:t>
      </w:r>
    </w:p>
    <w:p w14:paraId="77FC104A">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2）不同投标供应商委托同一单位或者个人办理投标事宜；</w:t>
      </w:r>
    </w:p>
    <w:p w14:paraId="25D951CE">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3）不同投标供应商的投标文件载明的项目管理成员或者联系人员为同一人；</w:t>
      </w:r>
    </w:p>
    <w:p w14:paraId="404B0E78">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4）不同投标供应商的投标文件异常一致或者投标报价呈规律性差异；</w:t>
      </w:r>
    </w:p>
    <w:p w14:paraId="5A678CC8">
      <w:pPr>
        <w:ind w:firstLine="418" w:firstLineChars="190"/>
        <w:rPr>
          <w:rFonts w:hint="eastAsia" w:ascii="宋体" w:hAnsi="宋体" w:eastAsia="宋体" w:cs="宋体"/>
          <w:kern w:val="0"/>
          <w:sz w:val="22"/>
          <w:szCs w:val="22"/>
          <w:u w:val="single"/>
        </w:rPr>
      </w:pPr>
      <w:r>
        <w:rPr>
          <w:rFonts w:hint="eastAsia" w:ascii="宋体" w:hAnsi="宋体" w:eastAsia="宋体" w:cs="宋体"/>
          <w:kern w:val="0"/>
          <w:sz w:val="22"/>
          <w:szCs w:val="22"/>
          <w:u w:val="single"/>
        </w:rPr>
        <w:t>5）不同投标供应商的投标文件相互混装；</w:t>
      </w:r>
    </w:p>
    <w:p w14:paraId="749767AD">
      <w:pPr>
        <w:ind w:firstLine="418" w:firstLineChars="190"/>
        <w:rPr>
          <w:rFonts w:hint="eastAsia" w:ascii="宋体" w:hAnsi="宋体" w:eastAsia="宋体" w:cs="宋体"/>
          <w:kern w:val="0"/>
          <w:sz w:val="22"/>
          <w:szCs w:val="22"/>
        </w:rPr>
      </w:pPr>
      <w:r>
        <w:rPr>
          <w:rFonts w:hint="eastAsia" w:ascii="宋体" w:hAnsi="宋体" w:eastAsia="宋体" w:cs="宋体"/>
          <w:kern w:val="0"/>
          <w:sz w:val="22"/>
          <w:szCs w:val="22"/>
          <w:u w:val="single"/>
        </w:rPr>
        <w:t>6）不同投标供应商的投标保证金从同一单位或者个人的账户转出</w:t>
      </w:r>
      <w:r>
        <w:rPr>
          <w:rFonts w:hint="eastAsia" w:ascii="宋体" w:hAnsi="宋体" w:eastAsia="宋体" w:cs="宋体"/>
          <w:kern w:val="0"/>
          <w:sz w:val="22"/>
          <w:szCs w:val="22"/>
        </w:rPr>
        <w:t>。</w:t>
      </w:r>
    </w:p>
    <w:p w14:paraId="7EA12CA5">
      <w:pPr>
        <w:numPr>
          <w:ilvl w:val="1"/>
          <w:numId w:val="13"/>
        </w:numPr>
        <w:tabs>
          <w:tab w:val="left" w:pos="525"/>
          <w:tab w:val="clear" w:pos="450"/>
        </w:tabs>
        <w:ind w:left="525" w:hanging="525"/>
        <w:rPr>
          <w:rFonts w:hint="eastAsia" w:ascii="宋体" w:hAnsi="宋体" w:eastAsia="宋体" w:cs="宋体"/>
          <w:bCs/>
          <w:sz w:val="22"/>
          <w:szCs w:val="22"/>
        </w:rPr>
      </w:pPr>
      <w:r>
        <w:rPr>
          <w:rFonts w:hint="eastAsia" w:ascii="宋体" w:hAnsi="宋体" w:eastAsia="宋体" w:cs="宋体"/>
          <w:bCs/>
          <w:sz w:val="22"/>
          <w:szCs w:val="22"/>
        </w:rPr>
        <w:t xml:space="preserve"> “技术资信标”评审结束后，由评标委员会对各投标供应商的商务报价进行核查，核查时发现投标报价内容不清楚可要求投标供应商书面澄清，计算上的错误，可按下面方法修正：</w:t>
      </w:r>
    </w:p>
    <w:p w14:paraId="7A258BDE">
      <w:pPr>
        <w:numPr>
          <w:ilvl w:val="0"/>
          <w:numId w:val="17"/>
        </w:numPr>
        <w:tabs>
          <w:tab w:val="left" w:pos="735"/>
          <w:tab w:val="clear" w:pos="420"/>
        </w:tabs>
        <w:ind w:left="735" w:hanging="315"/>
        <w:rPr>
          <w:rFonts w:hint="eastAsia" w:ascii="宋体" w:hAnsi="宋体" w:eastAsia="宋体" w:cs="宋体"/>
          <w:sz w:val="22"/>
          <w:szCs w:val="22"/>
        </w:rPr>
      </w:pPr>
      <w:r>
        <w:rPr>
          <w:rFonts w:hint="eastAsia" w:ascii="宋体" w:hAnsi="宋体" w:eastAsia="宋体" w:cs="宋体"/>
          <w:sz w:val="22"/>
          <w:szCs w:val="22"/>
        </w:rPr>
        <w:t>投标文件中开标一览表(报价表)内容与投标文件中相应内容不一致的，以开标一览表(报价表)为准；</w:t>
      </w:r>
    </w:p>
    <w:p w14:paraId="60D04FB7">
      <w:pPr>
        <w:numPr>
          <w:ilvl w:val="0"/>
          <w:numId w:val="17"/>
        </w:numPr>
        <w:tabs>
          <w:tab w:val="left" w:pos="735"/>
          <w:tab w:val="clear" w:pos="420"/>
        </w:tabs>
        <w:ind w:left="735" w:hanging="315"/>
        <w:rPr>
          <w:rFonts w:hint="eastAsia" w:ascii="宋体" w:hAnsi="宋体" w:eastAsia="宋体" w:cs="宋体"/>
          <w:sz w:val="22"/>
          <w:szCs w:val="22"/>
        </w:rPr>
      </w:pPr>
      <w:r>
        <w:rPr>
          <w:rFonts w:hint="eastAsia" w:ascii="宋体" w:hAnsi="宋体" w:eastAsia="宋体" w:cs="宋体"/>
          <w:sz w:val="22"/>
          <w:szCs w:val="22"/>
        </w:rPr>
        <w:t>大写金额和小写金额不一致的，以大写金额为准；</w:t>
      </w:r>
    </w:p>
    <w:p w14:paraId="0E50A3BC">
      <w:pPr>
        <w:numPr>
          <w:ilvl w:val="0"/>
          <w:numId w:val="17"/>
        </w:numPr>
        <w:tabs>
          <w:tab w:val="left" w:pos="735"/>
          <w:tab w:val="clear" w:pos="420"/>
        </w:tabs>
        <w:ind w:left="735" w:hanging="315"/>
        <w:rPr>
          <w:rFonts w:hint="eastAsia" w:ascii="宋体" w:hAnsi="宋体" w:eastAsia="宋体" w:cs="宋体"/>
          <w:sz w:val="22"/>
          <w:szCs w:val="22"/>
        </w:rPr>
      </w:pPr>
      <w:r>
        <w:rPr>
          <w:rFonts w:hint="eastAsia" w:ascii="宋体" w:hAnsi="宋体" w:eastAsia="宋体" w:cs="宋体"/>
          <w:sz w:val="22"/>
          <w:szCs w:val="22"/>
        </w:rPr>
        <w:t>单价金额小数点或者百分比有明显错位的，以开标一览表的总价为准，并修改单价；</w:t>
      </w:r>
    </w:p>
    <w:p w14:paraId="4BEB979F">
      <w:pPr>
        <w:numPr>
          <w:ilvl w:val="0"/>
          <w:numId w:val="17"/>
        </w:numPr>
        <w:tabs>
          <w:tab w:val="left" w:pos="735"/>
          <w:tab w:val="clear" w:pos="420"/>
        </w:tabs>
        <w:ind w:left="735" w:hanging="315"/>
        <w:rPr>
          <w:rFonts w:hint="eastAsia" w:ascii="宋体" w:hAnsi="宋体" w:eastAsia="宋体" w:cs="宋体"/>
          <w:sz w:val="22"/>
          <w:szCs w:val="22"/>
        </w:rPr>
      </w:pPr>
      <w:r>
        <w:rPr>
          <w:rFonts w:hint="eastAsia" w:ascii="宋体" w:hAnsi="宋体" w:eastAsia="宋体" w:cs="宋体"/>
          <w:sz w:val="22"/>
          <w:szCs w:val="22"/>
        </w:rPr>
        <w:t>总价金额与按单价汇总金额不一致的，以单价金额计算结果为准。</w:t>
      </w:r>
    </w:p>
    <w:p w14:paraId="0570930E">
      <w:pPr>
        <w:numPr>
          <w:ilvl w:val="0"/>
          <w:numId w:val="17"/>
        </w:numPr>
        <w:tabs>
          <w:tab w:val="left" w:pos="735"/>
          <w:tab w:val="clear" w:pos="420"/>
        </w:tabs>
        <w:ind w:left="735" w:hanging="315"/>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同时出现两种以上不一致的，按照前款规定的顺序修正（前款优先顺序为1）→2）→3）→4））。</w:t>
      </w:r>
    </w:p>
    <w:p w14:paraId="3922256F">
      <w:pPr>
        <w:tabs>
          <w:tab w:val="left" w:pos="735"/>
        </w:tabs>
        <w:ind w:left="420" w:firstLine="442" w:firstLineChars="200"/>
        <w:rPr>
          <w:rFonts w:hint="eastAsia" w:ascii="宋体" w:hAnsi="宋体" w:eastAsia="宋体" w:cs="宋体"/>
          <w:sz w:val="22"/>
          <w:szCs w:val="22"/>
        </w:rPr>
      </w:pPr>
      <w:r>
        <w:rPr>
          <w:rFonts w:hint="eastAsia" w:ascii="宋体" w:hAnsi="宋体" w:eastAsia="宋体" w:cs="宋体"/>
          <w:b/>
          <w:bCs/>
          <w:sz w:val="22"/>
          <w:szCs w:val="22"/>
          <w:u w:val="single"/>
        </w:rPr>
        <w:t>▲评标委员会按上述规则对投标报价进行修正的，修正后的报价经投标供应商确认后产生约束力，如果投标供应商不确认的，其投标作无效标处理</w:t>
      </w:r>
      <w:r>
        <w:rPr>
          <w:rFonts w:hint="eastAsia" w:ascii="宋体" w:hAnsi="宋体" w:eastAsia="宋体" w:cs="宋体"/>
          <w:sz w:val="22"/>
          <w:szCs w:val="22"/>
        </w:rPr>
        <w:t>。</w:t>
      </w:r>
    </w:p>
    <w:p w14:paraId="14BEF12B">
      <w:pPr>
        <w:numPr>
          <w:ilvl w:val="1"/>
          <w:numId w:val="13"/>
        </w:numPr>
        <w:tabs>
          <w:tab w:val="left" w:pos="525"/>
          <w:tab w:val="clear" w:pos="450"/>
        </w:tabs>
        <w:ind w:left="525" w:hanging="525"/>
        <w:rPr>
          <w:rFonts w:hint="eastAsia" w:ascii="宋体" w:hAnsi="宋体" w:eastAsia="宋体" w:cs="宋体"/>
          <w:bCs/>
          <w:sz w:val="22"/>
          <w:szCs w:val="22"/>
        </w:rPr>
      </w:pPr>
      <w:r>
        <w:rPr>
          <w:rFonts w:hint="eastAsia" w:ascii="宋体" w:hAnsi="宋体" w:eastAsia="宋体" w:cs="宋体"/>
          <w:bCs/>
          <w:sz w:val="22"/>
          <w:szCs w:val="22"/>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szCs w:val="22"/>
        </w:rPr>
        <w:t>评标委员会决定投标的响应性只根据投标文件本身的内容，而不寻求外部的证据。</w:t>
      </w:r>
    </w:p>
    <w:p w14:paraId="3DDC2FFF">
      <w:pPr>
        <w:numPr>
          <w:ilvl w:val="1"/>
          <w:numId w:val="13"/>
        </w:numPr>
        <w:tabs>
          <w:tab w:val="left" w:pos="525"/>
          <w:tab w:val="clear" w:pos="450"/>
        </w:tabs>
        <w:ind w:left="525" w:hanging="525"/>
        <w:rPr>
          <w:rFonts w:hint="eastAsia" w:ascii="宋体" w:hAnsi="宋体" w:eastAsia="宋体" w:cs="宋体"/>
          <w:bCs/>
          <w:sz w:val="22"/>
          <w:szCs w:val="22"/>
        </w:rPr>
      </w:pPr>
      <w:r>
        <w:rPr>
          <w:rFonts w:hint="eastAsia" w:ascii="宋体" w:hAnsi="宋体" w:eastAsia="宋体" w:cs="宋体"/>
          <w:bCs/>
          <w:sz w:val="22"/>
          <w:szCs w:val="22"/>
        </w:rPr>
        <w:t>实质上没有响应采购文件要求的投标将被拒绝，投标供应商不得通过修正或</w:t>
      </w:r>
      <w:r>
        <w:rPr>
          <w:rFonts w:hint="eastAsia" w:ascii="宋体" w:hAnsi="宋体" w:cs="宋体"/>
          <w:bCs/>
          <w:sz w:val="22"/>
          <w:szCs w:val="22"/>
          <w:lang w:val="en-US" w:eastAsia="zh-CN"/>
        </w:rPr>
        <w:t>撤销</w:t>
      </w:r>
      <w:r>
        <w:rPr>
          <w:rFonts w:hint="eastAsia" w:ascii="宋体" w:hAnsi="宋体" w:eastAsia="宋体" w:cs="宋体"/>
          <w:bCs/>
          <w:sz w:val="22"/>
          <w:szCs w:val="22"/>
        </w:rPr>
        <w:t>不合要求的偏离或保留从而使其投标成为实质上响应的投标。</w:t>
      </w:r>
    </w:p>
    <w:p w14:paraId="0990FC51">
      <w:pPr>
        <w:numPr>
          <w:ilvl w:val="1"/>
          <w:numId w:val="13"/>
        </w:numPr>
        <w:tabs>
          <w:tab w:val="left" w:pos="525"/>
          <w:tab w:val="clear" w:pos="450"/>
        </w:tabs>
        <w:ind w:left="525" w:hanging="525"/>
        <w:rPr>
          <w:rFonts w:hint="eastAsia" w:ascii="宋体" w:hAnsi="宋体" w:eastAsia="宋体" w:cs="宋体"/>
          <w:bCs/>
          <w:sz w:val="22"/>
          <w:szCs w:val="22"/>
        </w:rPr>
      </w:pPr>
      <w:r>
        <w:rPr>
          <w:rFonts w:hint="eastAsia" w:ascii="宋体" w:hAnsi="宋体" w:eastAsia="宋体" w:cs="宋体"/>
          <w:kern w:val="0"/>
          <w:sz w:val="22"/>
          <w:szCs w:val="22"/>
          <w:u w:val="single"/>
        </w:rPr>
        <w:t>▲</w:t>
      </w:r>
      <w:r>
        <w:rPr>
          <w:rFonts w:hint="eastAsia" w:ascii="宋体" w:hAnsi="宋体" w:eastAsia="宋体" w:cs="宋体"/>
          <w:b/>
          <w:bCs/>
          <w:kern w:val="0"/>
          <w:sz w:val="22"/>
          <w:szCs w:val="22"/>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宋体" w:hAnsi="宋体" w:eastAsia="宋体" w:cs="宋体"/>
          <w:kern w:val="0"/>
          <w:sz w:val="22"/>
          <w:szCs w:val="22"/>
        </w:rPr>
        <w:t>。</w:t>
      </w:r>
    </w:p>
    <w:p w14:paraId="190B5B1B">
      <w:pPr>
        <w:numPr>
          <w:ilvl w:val="1"/>
          <w:numId w:val="13"/>
        </w:numPr>
        <w:tabs>
          <w:tab w:val="left" w:pos="525"/>
          <w:tab w:val="clear" w:pos="450"/>
        </w:tabs>
        <w:ind w:left="525" w:hanging="525"/>
        <w:rPr>
          <w:rFonts w:hint="eastAsia" w:ascii="宋体" w:hAnsi="宋体" w:eastAsia="宋体" w:cs="宋体"/>
          <w:bCs/>
          <w:sz w:val="22"/>
          <w:szCs w:val="22"/>
          <w:highlight w:val="none"/>
        </w:rPr>
      </w:pPr>
      <w:r>
        <w:rPr>
          <w:rFonts w:hint="eastAsia" w:ascii="宋体" w:hAnsi="宋体" w:eastAsia="宋体" w:cs="宋体"/>
          <w:bCs/>
          <w:sz w:val="22"/>
          <w:szCs w:val="22"/>
        </w:rPr>
        <w:t>评标委员会对审查合格的投标文件按照采购文件中制订的评标方法进行综合评定打分。</w:t>
      </w:r>
    </w:p>
    <w:p w14:paraId="197268B4">
      <w:pPr>
        <w:numPr>
          <w:ilvl w:val="1"/>
          <w:numId w:val="13"/>
        </w:numPr>
        <w:tabs>
          <w:tab w:val="left" w:pos="525"/>
          <w:tab w:val="clear" w:pos="450"/>
        </w:tabs>
        <w:ind w:left="525" w:hanging="525"/>
        <w:rPr>
          <w:rFonts w:hint="eastAsia" w:ascii="宋体" w:hAnsi="宋体" w:eastAsia="宋体" w:cs="宋体"/>
          <w:bCs/>
          <w:sz w:val="22"/>
          <w:szCs w:val="22"/>
          <w:highlight w:val="none"/>
        </w:rPr>
      </w:pPr>
      <w:r>
        <w:rPr>
          <w:rFonts w:hint="eastAsia" w:ascii="宋体" w:hAnsi="宋体" w:eastAsia="宋体" w:cs="宋体"/>
          <w:bCs/>
          <w:sz w:val="22"/>
          <w:szCs w:val="22"/>
          <w:highlight w:val="none"/>
        </w:rPr>
        <w:t>评标过程中遇到特殊情况，由评标委员会遵循公开、公正原则，采取投票方式按照少数服从多数原则决定。</w:t>
      </w:r>
    </w:p>
    <w:p w14:paraId="6A53BC19">
      <w:pPr>
        <w:numPr>
          <w:ilvl w:val="1"/>
          <w:numId w:val="13"/>
        </w:numPr>
        <w:tabs>
          <w:tab w:val="left" w:pos="525"/>
          <w:tab w:val="clear" w:pos="450"/>
        </w:tabs>
        <w:ind w:left="525" w:hanging="525"/>
        <w:rPr>
          <w:rFonts w:hint="eastAsia" w:ascii="宋体" w:hAnsi="宋体" w:eastAsia="宋体" w:cs="宋体"/>
          <w:bCs/>
          <w:sz w:val="22"/>
          <w:szCs w:val="22"/>
          <w:highlight w:val="none"/>
        </w:rPr>
      </w:pPr>
      <w:r>
        <w:rPr>
          <w:rFonts w:hint="eastAsia" w:ascii="宋体" w:hAnsi="宋体" w:eastAsia="宋体" w:cs="宋体"/>
          <w:bCs/>
          <w:sz w:val="22"/>
          <w:szCs w:val="22"/>
          <w:highlight w:val="none"/>
        </w:rPr>
        <w:t>如投标截止时间、评审期间，出现有效投标供应商不足</w:t>
      </w:r>
      <w:r>
        <w:rPr>
          <w:rFonts w:hint="eastAsia" w:ascii="宋体" w:hAnsi="宋体" w:eastAsia="宋体" w:cs="宋体"/>
          <w:bCs/>
          <w:sz w:val="22"/>
          <w:szCs w:val="22"/>
          <w:highlight w:val="none"/>
          <w:lang w:val="en-US" w:eastAsia="zh-CN"/>
        </w:rPr>
        <w:t>3</w:t>
      </w:r>
      <w:r>
        <w:rPr>
          <w:rFonts w:hint="eastAsia" w:ascii="宋体" w:hAnsi="宋体" w:eastAsia="宋体" w:cs="宋体"/>
          <w:bCs/>
          <w:sz w:val="22"/>
          <w:szCs w:val="22"/>
          <w:highlight w:val="none"/>
        </w:rPr>
        <w:t>家的本项目作废标处理。</w:t>
      </w:r>
    </w:p>
    <w:p w14:paraId="7DD58B4D">
      <w:pPr>
        <w:numPr>
          <w:ilvl w:val="0"/>
          <w:numId w:val="4"/>
        </w:numPr>
        <w:tabs>
          <w:tab w:val="left" w:pos="525"/>
          <w:tab w:val="left" w:pos="900"/>
        </w:tabs>
        <w:ind w:left="525" w:hanging="525"/>
        <w:rPr>
          <w:rFonts w:hint="eastAsia" w:ascii="宋体" w:hAnsi="宋体" w:eastAsia="宋体" w:cs="宋体"/>
          <w:sz w:val="22"/>
          <w:szCs w:val="22"/>
          <w:highlight w:val="none"/>
        </w:rPr>
      </w:pPr>
      <w:r>
        <w:rPr>
          <w:rFonts w:hint="eastAsia" w:ascii="宋体" w:hAnsi="宋体" w:eastAsia="宋体" w:cs="宋体"/>
          <w:sz w:val="22"/>
          <w:szCs w:val="22"/>
          <w:highlight w:val="none"/>
        </w:rPr>
        <w:t>投标文件的澄清</w:t>
      </w:r>
    </w:p>
    <w:p w14:paraId="7F8673C5">
      <w:pPr>
        <w:numPr>
          <w:ilvl w:val="1"/>
          <w:numId w:val="18"/>
        </w:numPr>
        <w:tabs>
          <w:tab w:val="left" w:pos="420"/>
          <w:tab w:val="left" w:pos="450"/>
          <w:tab w:val="clear" w:pos="765"/>
        </w:tabs>
        <w:ind w:left="525" w:hanging="525"/>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在评标期间，评标委员会可以书面方式要求投标供应商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eastAsia="宋体" w:cs="宋体"/>
          <w:b/>
          <w:bCs/>
          <w:sz w:val="22"/>
          <w:szCs w:val="22"/>
          <w:highlight w:val="none"/>
          <w:u w:val="single"/>
        </w:rPr>
        <w:t>▲拒不按要求对其投标文件进行澄清，说明或补正的投标供应商，评标委员会可以将其投标作无效标处理</w:t>
      </w:r>
      <w:r>
        <w:rPr>
          <w:rFonts w:hint="eastAsia" w:ascii="宋体" w:hAnsi="宋体" w:eastAsia="宋体" w:cs="宋体"/>
          <w:sz w:val="22"/>
          <w:szCs w:val="22"/>
          <w:highlight w:val="none"/>
        </w:rPr>
        <w:t>。</w:t>
      </w:r>
    </w:p>
    <w:p w14:paraId="6C592B13">
      <w:pPr>
        <w:numPr>
          <w:ilvl w:val="1"/>
          <w:numId w:val="18"/>
        </w:numPr>
        <w:tabs>
          <w:tab w:val="left" w:pos="420"/>
          <w:tab w:val="left" w:pos="450"/>
          <w:tab w:val="clear" w:pos="765"/>
        </w:tabs>
        <w:ind w:left="525" w:hanging="525"/>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b/>
          <w:bCs/>
          <w:sz w:val="22"/>
          <w:szCs w:val="22"/>
          <w:highlight w:val="none"/>
          <w:u w:val="single"/>
        </w:rPr>
        <w:t>▲经澄清后，若偏差仍存在，且不可接受，投标供应商则被认为是“没有实质性响应采购文件要求”</w:t>
      </w:r>
      <w:r>
        <w:rPr>
          <w:rFonts w:hint="eastAsia" w:ascii="宋体" w:hAnsi="宋体" w:eastAsia="宋体" w:cs="宋体"/>
          <w:b/>
          <w:bCs/>
          <w:sz w:val="22"/>
          <w:highlight w:val="none"/>
          <w:u w:val="single"/>
        </w:rPr>
        <w:t>，作无效标处理，</w:t>
      </w:r>
      <w:r>
        <w:rPr>
          <w:rFonts w:hint="eastAsia" w:ascii="宋体" w:hAnsi="宋体" w:eastAsia="宋体" w:cs="宋体"/>
          <w:b/>
          <w:bCs/>
          <w:sz w:val="22"/>
          <w:szCs w:val="22"/>
          <w:highlight w:val="none"/>
          <w:u w:val="single"/>
        </w:rPr>
        <w:t>其投标不进入下一步评审</w:t>
      </w:r>
      <w:r>
        <w:rPr>
          <w:rFonts w:hint="eastAsia" w:ascii="宋体" w:hAnsi="宋体" w:eastAsia="宋体" w:cs="宋体"/>
          <w:sz w:val="22"/>
          <w:szCs w:val="22"/>
          <w:highlight w:val="none"/>
        </w:rPr>
        <w:t>。</w:t>
      </w:r>
    </w:p>
    <w:p w14:paraId="0E56EBDB">
      <w:pPr>
        <w:numPr>
          <w:ilvl w:val="0"/>
          <w:numId w:val="4"/>
        </w:numPr>
        <w:tabs>
          <w:tab w:val="left" w:pos="525"/>
          <w:tab w:val="left" w:pos="900"/>
        </w:tabs>
        <w:ind w:left="525" w:hanging="525"/>
        <w:rPr>
          <w:rFonts w:hint="eastAsia" w:ascii="宋体" w:hAnsi="宋体" w:eastAsia="宋体" w:cs="宋体"/>
          <w:sz w:val="22"/>
          <w:szCs w:val="22"/>
          <w:highlight w:val="none"/>
        </w:rPr>
      </w:pPr>
      <w:r>
        <w:rPr>
          <w:rFonts w:hint="eastAsia" w:ascii="宋体" w:hAnsi="宋体" w:eastAsia="宋体" w:cs="宋体"/>
          <w:sz w:val="22"/>
          <w:szCs w:val="22"/>
          <w:highlight w:val="none"/>
        </w:rPr>
        <w:t>确定中标候选人</w:t>
      </w:r>
    </w:p>
    <w:p w14:paraId="1B436D80">
      <w:pPr>
        <w:numPr>
          <w:ilvl w:val="1"/>
          <w:numId w:val="19"/>
        </w:numPr>
        <w:tabs>
          <w:tab w:val="left" w:pos="540"/>
        </w:tabs>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w:t>
      </w:r>
      <w:r>
        <w:rPr>
          <w:rFonts w:hint="eastAsia" w:ascii="宋体" w:hAnsi="宋体" w:eastAsia="宋体" w:cs="宋体"/>
          <w:b/>
          <w:bCs/>
          <w:sz w:val="22"/>
          <w:szCs w:val="22"/>
          <w:highlight w:val="none"/>
          <w:u w:val="single"/>
        </w:rPr>
        <w:t>本次采购由评标委员会推荐中标候选人，采购人根据评标委员会的推荐结果进行最终确认。具体详见评标办法中的规定。</w:t>
      </w:r>
    </w:p>
    <w:p w14:paraId="4A71DC62">
      <w:pPr>
        <w:numPr>
          <w:ilvl w:val="1"/>
          <w:numId w:val="19"/>
        </w:numPr>
        <w:tabs>
          <w:tab w:val="left" w:pos="540"/>
        </w:tabs>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采购人将把中标通知书授予最佳投标者，最低报价不是中标的保证。</w:t>
      </w:r>
    </w:p>
    <w:p w14:paraId="2CE46F67">
      <w:pPr>
        <w:numPr>
          <w:ilvl w:val="1"/>
          <w:numId w:val="19"/>
        </w:numPr>
        <w:tabs>
          <w:tab w:val="left" w:pos="540"/>
        </w:tabs>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采购单位对决标结果不做任何解释。</w:t>
      </w:r>
    </w:p>
    <w:p w14:paraId="233C554C">
      <w:pPr>
        <w:numPr>
          <w:ilvl w:val="0"/>
          <w:numId w:val="4"/>
        </w:numPr>
        <w:tabs>
          <w:tab w:val="left" w:pos="525"/>
          <w:tab w:val="left" w:pos="900"/>
        </w:tabs>
        <w:ind w:left="525" w:hanging="525"/>
        <w:rPr>
          <w:rFonts w:hint="eastAsia" w:ascii="宋体" w:hAnsi="宋体" w:eastAsia="宋体" w:cs="宋体"/>
          <w:sz w:val="22"/>
          <w:szCs w:val="22"/>
          <w:highlight w:val="none"/>
        </w:rPr>
      </w:pPr>
      <w:r>
        <w:rPr>
          <w:rFonts w:hint="eastAsia" w:ascii="宋体" w:hAnsi="宋体" w:eastAsia="宋体" w:cs="宋体"/>
          <w:sz w:val="22"/>
          <w:szCs w:val="22"/>
          <w:highlight w:val="none"/>
        </w:rPr>
        <w:t>评标细则详见本采购文件《评标原则及方法》。</w:t>
      </w:r>
    </w:p>
    <w:p w14:paraId="42831281">
      <w:pPr>
        <w:numPr>
          <w:ilvl w:val="0"/>
          <w:numId w:val="4"/>
        </w:numPr>
        <w:tabs>
          <w:tab w:val="left" w:pos="525"/>
          <w:tab w:val="left" w:pos="900"/>
        </w:tabs>
        <w:ind w:left="525" w:hanging="525"/>
        <w:rPr>
          <w:rFonts w:hint="eastAsia" w:ascii="宋体" w:hAnsi="宋体" w:eastAsia="宋体" w:cs="宋体"/>
          <w:sz w:val="22"/>
          <w:szCs w:val="22"/>
          <w:highlight w:val="none"/>
        </w:rPr>
      </w:pPr>
      <w:r>
        <w:rPr>
          <w:rFonts w:hint="eastAsia" w:ascii="宋体" w:hAnsi="宋体" w:eastAsia="宋体" w:cs="宋体"/>
          <w:sz w:val="22"/>
          <w:szCs w:val="22"/>
          <w:highlight w:val="none"/>
        </w:rPr>
        <w:t>未尽事宜遵循相关法律法规及规范性文件执行。</w:t>
      </w:r>
    </w:p>
    <w:p w14:paraId="0517E759">
      <w:pPr>
        <w:spacing w:before="120" w:beforeLines="50" w:after="120" w:afterLines="50"/>
        <w:jc w:val="center"/>
        <w:rPr>
          <w:rFonts w:hint="eastAsia" w:ascii="宋体" w:hAnsi="宋体" w:eastAsia="宋体" w:cs="宋体"/>
          <w:b/>
          <w:sz w:val="28"/>
          <w:szCs w:val="28"/>
          <w:highlight w:val="none"/>
        </w:rPr>
      </w:pPr>
    </w:p>
    <w:p w14:paraId="6A10E488">
      <w:pPr>
        <w:spacing w:before="120" w:beforeLines="50" w:after="120"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AE50F58">
      <w:pPr>
        <w:numPr>
          <w:ilvl w:val="0"/>
          <w:numId w:val="4"/>
        </w:numPr>
        <w:tabs>
          <w:tab w:val="left" w:pos="540"/>
          <w:tab w:val="left" w:pos="900"/>
        </w:tabs>
        <w:ind w:left="525" w:hanging="525"/>
        <w:rPr>
          <w:rFonts w:hint="eastAsia" w:ascii="宋体" w:hAnsi="宋体" w:eastAsia="宋体" w:cs="宋体"/>
          <w:bCs/>
          <w:sz w:val="22"/>
          <w:szCs w:val="22"/>
          <w:highlight w:val="none"/>
        </w:rPr>
      </w:pPr>
      <w:r>
        <w:rPr>
          <w:rFonts w:hint="eastAsia" w:ascii="宋体" w:hAnsi="宋体" w:eastAsia="宋体" w:cs="宋体"/>
          <w:bCs/>
          <w:sz w:val="22"/>
          <w:szCs w:val="22"/>
          <w:highlight w:val="none"/>
        </w:rPr>
        <w:t>确定中标人</w:t>
      </w:r>
    </w:p>
    <w:p w14:paraId="133A9EEF">
      <w:pPr>
        <w:tabs>
          <w:tab w:val="left" w:pos="540"/>
          <w:tab w:val="left" w:pos="900"/>
        </w:tabs>
        <w:ind w:left="440" w:hanging="440" w:hanging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27.1采购人自收到评标报告之日起5个工作日内，在评标报告确定的中标候选人名单中按顺序确定中标人。</w:t>
      </w:r>
    </w:p>
    <w:p w14:paraId="7D540D72">
      <w:pPr>
        <w:tabs>
          <w:tab w:val="left" w:pos="540"/>
          <w:tab w:val="left" w:pos="900"/>
        </w:tabs>
        <w:ind w:left="440" w:hanging="440" w:hanging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27.2中标人确定之日起2个工作日内，在</w:t>
      </w:r>
      <w:r>
        <w:rPr>
          <w:rFonts w:hint="eastAsia" w:ascii="宋体" w:hAnsi="宋体" w:eastAsia="宋体" w:cs="宋体"/>
          <w:sz w:val="22"/>
          <w:szCs w:val="22"/>
          <w:highlight w:val="none"/>
        </w:rPr>
        <w:t>发布项目采购公告的网站上</w:t>
      </w:r>
      <w:r>
        <w:rPr>
          <w:rFonts w:hint="eastAsia" w:ascii="宋体" w:hAnsi="宋体" w:eastAsia="宋体" w:cs="宋体"/>
          <w:bCs/>
          <w:sz w:val="22"/>
          <w:szCs w:val="22"/>
          <w:highlight w:val="none"/>
        </w:rPr>
        <w:t>公告中标结果，中标公告期限为1个工作日。</w:t>
      </w:r>
    </w:p>
    <w:p w14:paraId="5E992B21">
      <w:pPr>
        <w:tabs>
          <w:tab w:val="left" w:pos="540"/>
          <w:tab w:val="left" w:pos="900"/>
        </w:tabs>
        <w:ind w:left="440" w:hanging="440" w:hangingChars="200"/>
        <w:rPr>
          <w:rFonts w:hint="eastAsia" w:ascii="宋体" w:hAnsi="宋体" w:eastAsia="宋体" w:cs="宋体"/>
          <w:b/>
          <w:bCs/>
          <w:sz w:val="22"/>
          <w:szCs w:val="22"/>
          <w:highlight w:val="none"/>
          <w:u w:val="single"/>
        </w:rPr>
      </w:pPr>
      <w:r>
        <w:rPr>
          <w:rFonts w:hint="eastAsia" w:ascii="宋体" w:hAnsi="宋体" w:eastAsia="宋体" w:cs="宋体"/>
          <w:bCs/>
          <w:sz w:val="22"/>
          <w:szCs w:val="22"/>
          <w:highlight w:val="none"/>
        </w:rPr>
        <w:t>27.3</w:t>
      </w:r>
      <w:r>
        <w:rPr>
          <w:rFonts w:hint="eastAsia" w:ascii="宋体" w:hAnsi="宋体" w:eastAsia="宋体" w:cs="宋体"/>
          <w:b/>
          <w:bCs/>
          <w:sz w:val="22"/>
          <w:szCs w:val="22"/>
          <w:highlight w:val="none"/>
          <w:u w:val="single"/>
        </w:rPr>
        <w:t>各投标供应商对评标结果如有异议，可在中标结果公告之日起7个工作日内以书面形式向采购人署名提出质疑，但需对质疑内容的真实性承担法律责任。提出质疑的投标供应商应当是参与所质疑项目采购活动的投标供应商，投标供应商提出质疑应当提交质疑函和必要的证明材料。质疑投标供应商对采购人、采购代理机构的答复不满意或者采购人、采购代理机构未在规定的时间内作出答复的，可以在答复期满后15个工作日内向采购人（集团）的内设监管职能部门投诉。</w:t>
      </w:r>
    </w:p>
    <w:p w14:paraId="7D1CBB0D">
      <w:pPr>
        <w:numPr>
          <w:ilvl w:val="0"/>
          <w:numId w:val="4"/>
        </w:numPr>
        <w:tabs>
          <w:tab w:val="left" w:pos="525"/>
          <w:tab w:val="left" w:pos="900"/>
        </w:tabs>
        <w:ind w:left="525" w:hanging="525"/>
        <w:rPr>
          <w:rFonts w:hint="eastAsia" w:ascii="宋体" w:hAnsi="宋体" w:eastAsia="宋体" w:cs="宋体"/>
          <w:sz w:val="22"/>
          <w:szCs w:val="22"/>
          <w:highlight w:val="none"/>
        </w:rPr>
      </w:pPr>
      <w:r>
        <w:rPr>
          <w:rFonts w:hint="eastAsia" w:ascii="宋体" w:hAnsi="宋体" w:eastAsia="宋体" w:cs="宋体"/>
          <w:sz w:val="22"/>
          <w:szCs w:val="22"/>
          <w:highlight w:val="none"/>
        </w:rPr>
        <w:t>签订合同</w:t>
      </w:r>
    </w:p>
    <w:p w14:paraId="74F70316">
      <w:pPr>
        <w:tabs>
          <w:tab w:val="left" w:pos="540"/>
        </w:tabs>
        <w:ind w:left="440" w:hanging="440" w:hanging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28.1中标供应商应当在收到中标通知书之日起30</w:t>
      </w:r>
      <w:r>
        <w:rPr>
          <w:rFonts w:hint="eastAsia" w:ascii="宋体" w:hAnsi="宋体" w:eastAsia="宋体" w:cs="宋体"/>
          <w:bCs/>
          <w:sz w:val="22"/>
          <w:szCs w:val="22"/>
          <w:highlight w:val="none"/>
          <w:lang w:val="en-US" w:eastAsia="zh-CN"/>
        </w:rPr>
        <w:t>日历天</w:t>
      </w:r>
      <w:r>
        <w:rPr>
          <w:rFonts w:hint="eastAsia" w:ascii="宋体" w:hAnsi="宋体" w:eastAsia="宋体" w:cs="宋体"/>
          <w:bCs/>
          <w:sz w:val="22"/>
          <w:szCs w:val="22"/>
          <w:highlight w:val="none"/>
        </w:rPr>
        <w:t>内与采购人签订合同。中标供应商未经采购人许可，在规定时间内未到采购人处与采购人签订合同，则视为拒签合同。</w:t>
      </w:r>
    </w:p>
    <w:p w14:paraId="305E04A4">
      <w:pPr>
        <w:tabs>
          <w:tab w:val="left" w:pos="540"/>
        </w:tabs>
        <w:ind w:left="440" w:hanging="440" w:hanging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28.2采购文件、中标供应商的投标文件及投标修改文件、评标过程中有关澄清文件及经双方签字的询标纪要（承诺）和中标通知书均作为合同附件。</w:t>
      </w:r>
    </w:p>
    <w:p w14:paraId="7E867D1F">
      <w:p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28.3拒签合同的责任</w:t>
      </w:r>
    </w:p>
    <w:p w14:paraId="741264A2">
      <w:pPr>
        <w:tabs>
          <w:tab w:val="left" w:pos="540"/>
        </w:tabs>
        <w:ind w:left="437" w:leftChars="208"/>
        <w:rPr>
          <w:rFonts w:hint="eastAsia" w:ascii="宋体" w:hAnsi="宋体" w:eastAsia="宋体" w:cs="宋体"/>
          <w:bCs/>
          <w:sz w:val="22"/>
          <w:szCs w:val="22"/>
        </w:rPr>
      </w:pPr>
      <w:r>
        <w:rPr>
          <w:rFonts w:hint="eastAsia" w:ascii="宋体" w:hAnsi="宋体" w:eastAsia="宋体" w:cs="宋体"/>
          <w:bCs/>
          <w:sz w:val="22"/>
          <w:szCs w:val="22"/>
          <w:highlight w:val="none"/>
        </w:rPr>
        <w:t>中标供应商在规定时间内（30日历天）借故否认已经承诺的条件、拒签合同，以投标违约处理，其投标保证金不予退回，并赔偿采购</w:t>
      </w:r>
      <w:r>
        <w:rPr>
          <w:rFonts w:hint="eastAsia" w:ascii="宋体" w:hAnsi="宋体" w:eastAsia="宋体" w:cs="宋体"/>
          <w:bCs/>
          <w:sz w:val="22"/>
          <w:szCs w:val="22"/>
        </w:rPr>
        <w:t>人由此造成的直接经济损失；采购人重新组织采购的，所需费用由原中标供应商承担。</w:t>
      </w:r>
    </w:p>
    <w:p w14:paraId="1B0687B1">
      <w:pPr>
        <w:tabs>
          <w:tab w:val="left" w:pos="540"/>
        </w:tabs>
        <w:ind w:left="440" w:hanging="440" w:hangingChars="200"/>
        <w:rPr>
          <w:rFonts w:hint="eastAsia" w:ascii="宋体" w:hAnsi="宋体" w:eastAsia="宋体" w:cs="宋体"/>
          <w:bCs/>
          <w:sz w:val="22"/>
          <w:szCs w:val="22"/>
        </w:rPr>
      </w:pPr>
      <w:r>
        <w:rPr>
          <w:rFonts w:hint="eastAsia" w:ascii="宋体" w:hAnsi="宋体" w:eastAsia="宋体" w:cs="宋体"/>
          <w:bCs/>
          <w:sz w:val="22"/>
          <w:szCs w:val="22"/>
        </w:rPr>
        <w:t>28.4中标人须在合同签订后二日内提交一份合同文本向采购代理机构备案，否则会影响投标保证金的退付。</w:t>
      </w:r>
    </w:p>
    <w:p w14:paraId="6BEBCE3B">
      <w:pPr>
        <w:numPr>
          <w:ilvl w:val="0"/>
          <w:numId w:val="4"/>
        </w:numPr>
        <w:tabs>
          <w:tab w:val="left" w:pos="540"/>
          <w:tab w:val="left" w:pos="900"/>
        </w:tabs>
        <w:ind w:left="525" w:hanging="525"/>
        <w:rPr>
          <w:rFonts w:hint="eastAsia" w:ascii="宋体" w:hAnsi="宋体" w:eastAsia="宋体" w:cs="宋体"/>
          <w:bCs/>
          <w:sz w:val="22"/>
          <w:szCs w:val="22"/>
        </w:rPr>
      </w:pPr>
      <w:r>
        <w:rPr>
          <w:rFonts w:hint="eastAsia" w:ascii="宋体" w:hAnsi="宋体" w:eastAsia="宋体" w:cs="宋体"/>
          <w:bCs/>
          <w:sz w:val="22"/>
          <w:szCs w:val="22"/>
        </w:rPr>
        <w:t>履约</w:t>
      </w:r>
      <w:r>
        <w:rPr>
          <w:rFonts w:hint="eastAsia" w:ascii="宋体" w:hAnsi="宋体" w:eastAsia="宋体" w:cs="宋体"/>
          <w:bCs/>
          <w:sz w:val="22"/>
          <w:szCs w:val="22"/>
          <w:lang w:val="en-US" w:eastAsia="zh-CN"/>
        </w:rPr>
        <w:t>担保</w:t>
      </w:r>
    </w:p>
    <w:p w14:paraId="08519FCA">
      <w:pPr>
        <w:tabs>
          <w:tab w:val="left" w:pos="540"/>
        </w:tabs>
        <w:ind w:left="440" w:hanging="440" w:hangingChars="200"/>
        <w:rPr>
          <w:rFonts w:hint="eastAsia" w:ascii="宋体" w:hAnsi="宋体" w:eastAsia="宋体" w:cs="宋体"/>
          <w:bCs/>
          <w:sz w:val="22"/>
          <w:szCs w:val="22"/>
        </w:rPr>
      </w:pPr>
      <w:r>
        <w:rPr>
          <w:rFonts w:hint="eastAsia" w:ascii="宋体" w:hAnsi="宋体" w:eastAsia="宋体" w:cs="宋体"/>
          <w:bCs/>
          <w:sz w:val="22"/>
          <w:szCs w:val="22"/>
        </w:rPr>
        <w:t>29.1 中标人在收到中标通知书后，签订合同前须按投标须知前附表规定向采购人提交履约</w:t>
      </w:r>
      <w:r>
        <w:rPr>
          <w:rFonts w:hint="eastAsia" w:ascii="宋体" w:hAnsi="宋体" w:eastAsia="宋体" w:cs="宋体"/>
          <w:bCs/>
          <w:sz w:val="22"/>
          <w:szCs w:val="22"/>
          <w:lang w:val="en-US" w:eastAsia="zh-CN"/>
        </w:rPr>
        <w:t>担</w:t>
      </w:r>
      <w:r>
        <w:rPr>
          <w:rFonts w:hint="eastAsia" w:ascii="宋体" w:hAnsi="宋体" w:eastAsia="宋体" w:cs="宋体"/>
          <w:bCs/>
          <w:sz w:val="22"/>
          <w:szCs w:val="22"/>
        </w:rPr>
        <w:t>保。</w:t>
      </w:r>
    </w:p>
    <w:p w14:paraId="3FC55025">
      <w:pPr>
        <w:tabs>
          <w:tab w:val="left" w:pos="540"/>
        </w:tabs>
        <w:rPr>
          <w:rFonts w:hint="eastAsia" w:ascii="宋体" w:hAnsi="宋体" w:eastAsia="宋体" w:cs="宋体"/>
          <w:bCs/>
          <w:sz w:val="22"/>
          <w:szCs w:val="22"/>
        </w:rPr>
      </w:pPr>
      <w:r>
        <w:rPr>
          <w:rFonts w:hint="eastAsia" w:ascii="宋体" w:hAnsi="宋体" w:eastAsia="宋体" w:cs="宋体"/>
          <w:bCs/>
          <w:sz w:val="22"/>
          <w:szCs w:val="22"/>
        </w:rPr>
        <w:t>29.2 履约</w:t>
      </w:r>
      <w:r>
        <w:rPr>
          <w:rFonts w:hint="eastAsia" w:ascii="宋体" w:hAnsi="宋体" w:eastAsia="宋体" w:cs="宋体"/>
          <w:bCs/>
          <w:sz w:val="22"/>
          <w:szCs w:val="22"/>
          <w:lang w:val="en-US" w:eastAsia="zh-CN"/>
        </w:rPr>
        <w:t>担</w:t>
      </w:r>
      <w:r>
        <w:rPr>
          <w:rFonts w:hint="eastAsia" w:ascii="宋体" w:hAnsi="宋体" w:eastAsia="宋体" w:cs="宋体"/>
          <w:bCs/>
          <w:sz w:val="22"/>
          <w:szCs w:val="22"/>
        </w:rPr>
        <w:t>保用于补偿采购人因中标人不能履行其合同义务而蒙受的损失。</w:t>
      </w:r>
    </w:p>
    <w:p w14:paraId="31AF9AB3">
      <w:pPr>
        <w:tabs>
          <w:tab w:val="left" w:pos="540"/>
        </w:tabs>
        <w:ind w:left="440" w:hanging="440" w:hangingChars="200"/>
        <w:rPr>
          <w:rFonts w:hint="eastAsia" w:ascii="宋体" w:hAnsi="宋体" w:eastAsia="宋体" w:cs="宋体"/>
          <w:bCs/>
          <w:sz w:val="22"/>
          <w:szCs w:val="22"/>
        </w:rPr>
      </w:pPr>
      <w:r>
        <w:rPr>
          <w:rFonts w:hint="eastAsia" w:ascii="宋体" w:hAnsi="宋体" w:eastAsia="宋体" w:cs="宋体"/>
          <w:bCs/>
          <w:sz w:val="22"/>
          <w:szCs w:val="22"/>
        </w:rPr>
        <w:t>29.3 履约</w:t>
      </w:r>
      <w:r>
        <w:rPr>
          <w:rFonts w:hint="eastAsia" w:ascii="宋体" w:hAnsi="宋体" w:eastAsia="宋体" w:cs="宋体"/>
          <w:bCs/>
          <w:sz w:val="22"/>
          <w:szCs w:val="22"/>
          <w:lang w:val="en-US" w:eastAsia="zh-CN"/>
        </w:rPr>
        <w:t>担</w:t>
      </w:r>
      <w:r>
        <w:rPr>
          <w:rFonts w:hint="eastAsia" w:ascii="宋体" w:hAnsi="宋体" w:eastAsia="宋体" w:cs="宋体"/>
          <w:bCs/>
          <w:sz w:val="22"/>
          <w:szCs w:val="22"/>
        </w:rPr>
        <w:t>保自合同签订之日起至项目验收合格止有效。有效期满后，采购人应及时将履约保证金无息退还给中标人</w:t>
      </w:r>
      <w:r>
        <w:rPr>
          <w:rFonts w:hint="eastAsia" w:ascii="宋体" w:hAnsi="宋体" w:eastAsia="宋体" w:cs="宋体"/>
          <w:bCs/>
          <w:sz w:val="22"/>
        </w:rPr>
        <w:t>或解除履约担保</w:t>
      </w:r>
      <w:r>
        <w:rPr>
          <w:rFonts w:hint="eastAsia" w:ascii="宋体" w:hAnsi="宋体" w:eastAsia="宋体" w:cs="宋体"/>
          <w:bCs/>
          <w:sz w:val="22"/>
          <w:szCs w:val="22"/>
        </w:rPr>
        <w:t>。</w:t>
      </w:r>
    </w:p>
    <w:p w14:paraId="0B5E1DB8">
      <w:pPr>
        <w:numPr>
          <w:ilvl w:val="0"/>
          <w:numId w:val="4"/>
        </w:numPr>
        <w:tabs>
          <w:tab w:val="left" w:pos="540"/>
          <w:tab w:val="left" w:pos="900"/>
        </w:tabs>
        <w:ind w:left="525" w:hanging="525"/>
        <w:rPr>
          <w:rFonts w:hint="eastAsia" w:ascii="宋体" w:hAnsi="宋体" w:eastAsia="宋体" w:cs="宋体"/>
          <w:bCs/>
          <w:sz w:val="22"/>
          <w:szCs w:val="22"/>
          <w:shd w:val="clear" w:color="auto" w:fill="FFFF00"/>
        </w:rPr>
      </w:pPr>
      <w:r>
        <w:rPr>
          <w:rFonts w:hint="eastAsia" w:ascii="宋体" w:hAnsi="宋体" w:eastAsia="宋体" w:cs="宋体"/>
          <w:bCs/>
          <w:sz w:val="22"/>
          <w:szCs w:val="22"/>
        </w:rPr>
        <w:t>采购代理服务费</w:t>
      </w:r>
    </w:p>
    <w:p w14:paraId="6121B45F">
      <w:pPr>
        <w:ind w:left="538" w:leftChars="256"/>
        <w:rPr>
          <w:rFonts w:hint="eastAsia" w:ascii="宋体" w:hAnsi="宋体" w:eastAsia="宋体" w:cs="宋体"/>
          <w:b w:val="0"/>
          <w:bCs/>
          <w:sz w:val="22"/>
        </w:rPr>
      </w:pPr>
      <w:bookmarkStart w:id="163" w:name="_Toc227056852"/>
      <w:bookmarkStart w:id="164" w:name="_Toc218041732"/>
      <w:bookmarkStart w:id="165" w:name="_Toc216667826"/>
      <w:bookmarkStart w:id="166" w:name="_Toc217460691"/>
      <w:bookmarkStart w:id="167" w:name="_Toc223717610"/>
      <w:bookmarkStart w:id="168" w:name="_Toc215415536"/>
      <w:bookmarkStart w:id="169" w:name="_Toc227057039"/>
      <w:bookmarkStart w:id="170" w:name="_Toc227489893"/>
      <w:bookmarkStart w:id="171" w:name="_Toc219538619"/>
      <w:bookmarkStart w:id="172" w:name="_Toc223933227"/>
      <w:r>
        <w:rPr>
          <w:rFonts w:hint="eastAsia" w:ascii="宋体" w:hAnsi="宋体" w:eastAsia="宋体" w:cs="宋体"/>
          <w:b w:val="0"/>
          <w:bCs/>
          <w:sz w:val="22"/>
        </w:rPr>
        <w:t>本项目采购代理服务费按固定收费人民币</w:t>
      </w:r>
      <w:r>
        <w:rPr>
          <w:rFonts w:hint="eastAsia" w:ascii="宋体" w:hAnsi="宋体" w:eastAsia="宋体" w:cs="宋体"/>
          <w:b w:val="0"/>
          <w:bCs/>
          <w:sz w:val="22"/>
          <w:lang w:val="en-US" w:eastAsia="zh-CN"/>
        </w:rPr>
        <w:t>249</w:t>
      </w:r>
      <w:r>
        <w:rPr>
          <w:rFonts w:hint="eastAsia" w:ascii="宋体" w:hAnsi="宋体" w:eastAsia="宋体" w:cs="宋体"/>
          <w:b w:val="0"/>
          <w:bCs/>
          <w:sz w:val="22"/>
        </w:rPr>
        <w:t>00元收取，由各中标入围供应商均摊</w:t>
      </w:r>
      <w:r>
        <w:rPr>
          <w:rFonts w:hint="eastAsia" w:ascii="宋体" w:hAnsi="宋体" w:eastAsia="宋体" w:cs="宋体"/>
          <w:b w:val="0"/>
          <w:bCs/>
          <w:sz w:val="22"/>
          <w:lang w:val="en-US" w:eastAsia="zh-CN"/>
        </w:rPr>
        <w:t>支付</w:t>
      </w:r>
      <w:r>
        <w:rPr>
          <w:rFonts w:hint="eastAsia" w:ascii="宋体" w:hAnsi="宋体" w:eastAsia="宋体" w:cs="宋体"/>
          <w:b w:val="0"/>
          <w:bCs/>
          <w:sz w:val="22"/>
        </w:rPr>
        <w:t>，并在领取中标（成交）通知书时支付，采购代理费包含在投标总价中综合考虑。由中标人在领取中标通知书之前支付给采购代理机构，不再单列，请投标供应商在投标时综合考虑。</w:t>
      </w:r>
    </w:p>
    <w:p w14:paraId="457260D4">
      <w:pPr>
        <w:ind w:left="538" w:leftChars="256"/>
        <w:rPr>
          <w:rFonts w:hint="eastAsia" w:ascii="宋体" w:hAnsi="宋体" w:eastAsia="宋体" w:cs="宋体"/>
          <w:b w:val="0"/>
          <w:bCs/>
          <w:sz w:val="22"/>
        </w:rPr>
      </w:pPr>
      <w:r>
        <w:rPr>
          <w:rFonts w:hint="eastAsia" w:ascii="宋体" w:hAnsi="宋体" w:eastAsia="宋体" w:cs="宋体"/>
          <w:b w:val="0"/>
          <w:bCs/>
          <w:sz w:val="22"/>
        </w:rPr>
        <w:t>代理服务费汇入以下账号：</w:t>
      </w:r>
    </w:p>
    <w:p w14:paraId="6453237E">
      <w:pPr>
        <w:ind w:left="538" w:leftChars="256" w:firstLine="440" w:firstLineChars="200"/>
        <w:rPr>
          <w:rFonts w:hint="eastAsia" w:ascii="宋体" w:hAnsi="宋体" w:eastAsia="宋体" w:cs="宋体"/>
          <w:b w:val="0"/>
          <w:bCs/>
          <w:sz w:val="22"/>
        </w:rPr>
      </w:pPr>
      <w:r>
        <w:rPr>
          <w:rFonts w:hint="eastAsia" w:ascii="宋体" w:hAnsi="宋体" w:eastAsia="宋体" w:cs="宋体"/>
          <w:b w:val="0"/>
          <w:bCs/>
          <w:sz w:val="22"/>
        </w:rPr>
        <w:t>开户银行：工商银行杭州市武林支行</w:t>
      </w:r>
    </w:p>
    <w:p w14:paraId="2985A11D">
      <w:pPr>
        <w:ind w:left="538" w:leftChars="256" w:firstLine="440" w:firstLineChars="200"/>
        <w:rPr>
          <w:rFonts w:hint="eastAsia" w:ascii="宋体" w:hAnsi="宋体" w:eastAsia="宋体" w:cs="宋体"/>
          <w:b w:val="0"/>
          <w:bCs/>
          <w:sz w:val="22"/>
        </w:rPr>
      </w:pPr>
      <w:r>
        <w:rPr>
          <w:rFonts w:hint="eastAsia" w:ascii="宋体" w:hAnsi="宋体" w:eastAsia="宋体" w:cs="宋体"/>
          <w:b w:val="0"/>
          <w:bCs/>
          <w:sz w:val="22"/>
        </w:rPr>
        <w:t>开户名称：浙江国际招投标有限公司</w:t>
      </w:r>
    </w:p>
    <w:p w14:paraId="3B608BDF">
      <w:pPr>
        <w:ind w:left="538" w:leftChars="256" w:firstLine="440" w:firstLineChars="200"/>
        <w:rPr>
          <w:rFonts w:hint="eastAsia" w:ascii="宋体" w:hAnsi="宋体" w:eastAsia="宋体" w:cs="宋体"/>
          <w:b w:val="0"/>
          <w:bCs/>
          <w:sz w:val="22"/>
        </w:rPr>
      </w:pPr>
      <w:r>
        <w:rPr>
          <w:rFonts w:hint="eastAsia" w:ascii="宋体" w:hAnsi="宋体" w:eastAsia="宋体" w:cs="宋体"/>
          <w:b w:val="0"/>
          <w:bCs/>
          <w:sz w:val="22"/>
        </w:rPr>
        <w:t>开户账号：1202021209906782015</w:t>
      </w:r>
    </w:p>
    <w:p w14:paraId="4D7AE0BA">
      <w:pPr>
        <w:ind w:left="538" w:leftChars="256"/>
        <w:rPr>
          <w:rFonts w:hint="eastAsia" w:ascii="宋体" w:hAnsi="宋体" w:eastAsia="宋体" w:cs="宋体"/>
          <w:bCs/>
          <w:sz w:val="22"/>
        </w:rPr>
      </w:pPr>
      <w:r>
        <w:rPr>
          <w:rFonts w:hint="eastAsia" w:ascii="宋体" w:hAnsi="宋体" w:eastAsia="宋体" w:cs="宋体"/>
          <w:bCs/>
          <w:sz w:val="22"/>
        </w:rPr>
        <w:t>采购代理服务费可以是现金、支票或汇票。</w:t>
      </w:r>
    </w:p>
    <w:p w14:paraId="17EC0AC4">
      <w:pPr>
        <w:numPr>
          <w:ilvl w:val="0"/>
          <w:numId w:val="4"/>
        </w:numPr>
        <w:tabs>
          <w:tab w:val="left" w:pos="540"/>
          <w:tab w:val="left" w:pos="900"/>
        </w:tabs>
        <w:ind w:left="525" w:hanging="525"/>
        <w:rPr>
          <w:rFonts w:hint="eastAsia" w:ascii="宋体" w:hAnsi="宋体" w:eastAsia="宋体" w:cs="宋体"/>
          <w:b/>
          <w:sz w:val="22"/>
        </w:rPr>
      </w:pPr>
      <w:r>
        <w:rPr>
          <w:rFonts w:hint="eastAsia" w:ascii="宋体" w:hAnsi="宋体" w:eastAsia="宋体" w:cs="宋体"/>
          <w:b/>
          <w:sz w:val="22"/>
        </w:rPr>
        <w:t>乐采云技术服务费：</w:t>
      </w:r>
    </w:p>
    <w:p w14:paraId="541FCFAF">
      <w:pPr>
        <w:wordWrap w:val="0"/>
        <w:ind w:left="538" w:leftChars="256"/>
        <w:rPr>
          <w:rFonts w:hint="eastAsia" w:ascii="宋体" w:hAnsi="宋体" w:eastAsia="宋体" w:cs="宋体"/>
          <w:sz w:val="22"/>
        </w:rPr>
      </w:pPr>
      <w:r>
        <w:rPr>
          <w:rFonts w:hint="eastAsia" w:ascii="宋体" w:hAnsi="宋体" w:eastAsia="宋体" w:cs="宋体"/>
          <w:b/>
          <w:sz w:val="22"/>
        </w:rPr>
        <w:t>根据乐采云（https://www.lecaiyun.com/helpcenter/document#/document/detail?siteCode=lecaiyun&amp;manualId=2061&amp;topicId=8625）2023年9月6日发布的乐采云国企采购平台项目采购收费标准（温州市市属国企区）规定，本项目为不涉及具体金额的采购项目，技术服务费800元/件。由</w:t>
      </w:r>
      <w:r>
        <w:rPr>
          <w:rFonts w:hint="eastAsia" w:ascii="宋体" w:hAnsi="宋体" w:eastAsia="宋体" w:cs="宋体"/>
          <w:b/>
          <w:sz w:val="22"/>
          <w:lang w:val="en-US" w:eastAsia="zh-CN"/>
        </w:rPr>
        <w:t>各</w:t>
      </w:r>
      <w:r>
        <w:rPr>
          <w:rFonts w:hint="eastAsia" w:ascii="宋体" w:hAnsi="宋体" w:eastAsia="宋体" w:cs="宋体"/>
          <w:b/>
          <w:sz w:val="22"/>
        </w:rPr>
        <w:t>中标</w:t>
      </w:r>
      <w:r>
        <w:rPr>
          <w:rFonts w:hint="eastAsia" w:ascii="宋体" w:hAnsi="宋体" w:eastAsia="宋体" w:cs="宋体"/>
          <w:b/>
          <w:sz w:val="22"/>
          <w:lang w:val="en-US" w:eastAsia="zh-CN"/>
        </w:rPr>
        <w:t>入围</w:t>
      </w:r>
      <w:r>
        <w:rPr>
          <w:rFonts w:hint="eastAsia" w:ascii="宋体" w:hAnsi="宋体" w:eastAsia="宋体" w:cs="宋体"/>
          <w:b/>
          <w:sz w:val="22"/>
        </w:rPr>
        <w:t>供应商</w:t>
      </w:r>
      <w:r>
        <w:rPr>
          <w:rFonts w:hint="eastAsia" w:ascii="宋体" w:hAnsi="宋体" w:eastAsia="宋体" w:cs="宋体"/>
          <w:b/>
          <w:sz w:val="22"/>
          <w:lang w:val="en-US" w:eastAsia="zh-CN"/>
        </w:rPr>
        <w:t>支付，并</w:t>
      </w:r>
      <w:r>
        <w:rPr>
          <w:rFonts w:hint="eastAsia" w:ascii="宋体" w:hAnsi="宋体" w:eastAsia="宋体" w:cs="宋体"/>
          <w:b/>
          <w:sz w:val="22"/>
        </w:rPr>
        <w:t>于中标结果公示后支付该项目的技术服务费。各供应商投标总报价须包含该乐采云技术服务费。</w:t>
      </w:r>
    </w:p>
    <w:p w14:paraId="7743CC6D">
      <w:pPr>
        <w:numPr>
          <w:ilvl w:val="0"/>
          <w:numId w:val="4"/>
        </w:numPr>
        <w:tabs>
          <w:tab w:val="left" w:pos="540"/>
          <w:tab w:val="left" w:pos="900"/>
        </w:tabs>
        <w:ind w:left="525" w:hanging="525"/>
        <w:rPr>
          <w:rFonts w:hint="eastAsia" w:ascii="宋体" w:hAnsi="宋体" w:eastAsia="宋体" w:cs="宋体"/>
          <w:sz w:val="22"/>
        </w:rPr>
      </w:pPr>
      <w:r>
        <w:rPr>
          <w:rFonts w:hint="eastAsia" w:ascii="宋体" w:hAnsi="宋体" w:eastAsia="宋体" w:cs="宋体"/>
          <w:sz w:val="22"/>
        </w:rPr>
        <w:t>解释权</w:t>
      </w:r>
    </w:p>
    <w:p w14:paraId="07D21018">
      <w:pPr>
        <w:pStyle w:val="13"/>
        <w:ind w:left="0" w:leftChars="0" w:firstLine="440" w:firstLineChars="200"/>
        <w:rPr>
          <w:rFonts w:hint="eastAsia" w:ascii="宋体" w:hAnsi="宋体" w:eastAsia="宋体" w:cs="宋体"/>
        </w:rPr>
      </w:pPr>
      <w:r>
        <w:rPr>
          <w:rFonts w:hint="eastAsia" w:ascii="宋体" w:hAnsi="宋体" w:eastAsia="宋体" w:cs="宋体"/>
          <w:sz w:val="22"/>
          <w:szCs w:val="22"/>
        </w:rPr>
        <w:t>采购文件的解释权均属于采购人和浙江国际招投标有限公司。</w:t>
      </w:r>
    </w:p>
    <w:p w14:paraId="4FB64F7B">
      <w:pPr>
        <w:spacing w:before="120" w:beforeLines="50" w:after="120" w:afterLines="50"/>
        <w:jc w:val="center"/>
        <w:rPr>
          <w:rFonts w:hint="eastAsia" w:ascii="宋体" w:hAnsi="宋体" w:eastAsia="宋体" w:cs="宋体"/>
          <w:b/>
          <w:sz w:val="28"/>
          <w:szCs w:val="28"/>
        </w:rPr>
      </w:pPr>
    </w:p>
    <w:p w14:paraId="28DC65E4">
      <w:pPr>
        <w:spacing w:before="120" w:beforeLines="50" w:after="120" w:afterLines="50"/>
        <w:jc w:val="center"/>
        <w:rPr>
          <w:rFonts w:hint="eastAsia" w:ascii="宋体" w:hAnsi="宋体" w:eastAsia="宋体" w:cs="宋体"/>
          <w:b/>
          <w:sz w:val="28"/>
          <w:szCs w:val="28"/>
        </w:rPr>
      </w:pPr>
      <w:r>
        <w:rPr>
          <w:rFonts w:hint="eastAsia" w:ascii="宋体" w:hAnsi="宋体" w:eastAsia="宋体" w:cs="宋体"/>
          <w:b/>
          <w:sz w:val="28"/>
          <w:szCs w:val="28"/>
        </w:rPr>
        <w:t>七、 质疑与投诉</w:t>
      </w:r>
    </w:p>
    <w:p w14:paraId="6B36BF47">
      <w:pPr>
        <w:numPr>
          <w:ilvl w:val="0"/>
          <w:numId w:val="0"/>
        </w:numPr>
        <w:tabs>
          <w:tab w:val="left" w:pos="210"/>
        </w:tabs>
        <w:snapToGrid w:val="0"/>
        <w:spacing w:line="240" w:lineRule="auto"/>
        <w:ind w:left="400" w:leftChars="0"/>
        <w:jc w:val="left"/>
        <w:outlineLvl w:val="2"/>
        <w:rPr>
          <w:rFonts w:hint="eastAsia" w:ascii="宋体" w:hAnsi="宋体" w:eastAsia="宋体" w:cs="宋体"/>
          <w:b/>
          <w:bCs w:val="0"/>
          <w:color w:val="auto"/>
          <w:sz w:val="22"/>
          <w:szCs w:val="22"/>
          <w:highlight w:val="none"/>
          <w:lang w:val="zh-CN"/>
        </w:rPr>
      </w:pPr>
      <w:r>
        <w:rPr>
          <w:rFonts w:hint="eastAsia" w:ascii="宋体" w:hAnsi="宋体" w:eastAsia="宋体" w:cs="宋体"/>
          <w:b/>
          <w:bCs w:val="0"/>
          <w:color w:val="auto"/>
          <w:sz w:val="22"/>
          <w:szCs w:val="22"/>
          <w:highlight w:val="none"/>
          <w:lang w:val="en-US" w:eastAsia="zh-CN"/>
        </w:rPr>
        <w:t>1、</w:t>
      </w:r>
      <w:r>
        <w:rPr>
          <w:rFonts w:hint="eastAsia" w:ascii="宋体" w:hAnsi="宋体" w:eastAsia="宋体" w:cs="宋体"/>
          <w:b/>
          <w:bCs w:val="0"/>
          <w:color w:val="auto"/>
          <w:sz w:val="22"/>
          <w:szCs w:val="22"/>
          <w:highlight w:val="none"/>
          <w:lang w:val="zh-CN"/>
        </w:rPr>
        <w:t>供应商质疑</w:t>
      </w:r>
    </w:p>
    <w:p w14:paraId="67733047">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zh-CN"/>
        </w:rPr>
        <w:t>）提出质疑的供应商（以下简称质疑供应商）应当是参与所质疑项目采购活动的供应商。潜在供应商已依法获取其可质疑的采购文件的，可以对该文件提出质疑。</w:t>
      </w:r>
    </w:p>
    <w:p w14:paraId="7101D317">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zh-CN"/>
        </w:rPr>
        <w:t>）供应商认为采购文件、采购过程</w:t>
      </w:r>
      <w:r>
        <w:rPr>
          <w:rFonts w:hint="eastAsia" w:ascii="宋体" w:hAnsi="宋体" w:eastAsia="宋体" w:cs="宋体"/>
          <w:b w:val="0"/>
          <w:bCs/>
          <w:strike w:val="0"/>
          <w:dstrike w:val="0"/>
          <w:color w:val="auto"/>
          <w:sz w:val="22"/>
          <w:szCs w:val="22"/>
          <w:highlight w:val="none"/>
          <w:lang w:val="zh-CN"/>
        </w:rPr>
        <w:t>、中标</w:t>
      </w:r>
      <w:r>
        <w:rPr>
          <w:rFonts w:hint="eastAsia" w:ascii="宋体" w:hAnsi="宋体" w:eastAsia="宋体" w:cs="宋体"/>
          <w:b w:val="0"/>
          <w:bCs/>
          <w:strike w:val="0"/>
          <w:dstrike w:val="0"/>
          <w:color w:val="auto"/>
          <w:sz w:val="22"/>
          <w:szCs w:val="22"/>
          <w:highlight w:val="none"/>
          <w:lang w:val="en-US" w:eastAsia="zh-CN"/>
        </w:rPr>
        <w:t>或者成交</w:t>
      </w:r>
      <w:r>
        <w:rPr>
          <w:rFonts w:hint="eastAsia" w:ascii="宋体" w:hAnsi="宋体" w:eastAsia="宋体" w:cs="宋体"/>
          <w:b w:val="0"/>
          <w:bCs/>
          <w:strike w:val="0"/>
          <w:dstrike w:val="0"/>
          <w:color w:val="auto"/>
          <w:sz w:val="22"/>
          <w:szCs w:val="22"/>
          <w:highlight w:val="none"/>
          <w:lang w:val="zh-CN"/>
        </w:rPr>
        <w:t>结果</w:t>
      </w:r>
      <w:r>
        <w:rPr>
          <w:rFonts w:hint="eastAsia" w:ascii="宋体" w:hAnsi="宋体" w:eastAsia="宋体" w:cs="宋体"/>
          <w:b w:val="0"/>
          <w:bCs/>
          <w:color w:val="auto"/>
          <w:sz w:val="22"/>
          <w:szCs w:val="22"/>
          <w:highlight w:val="none"/>
          <w:lang w:val="zh-CN"/>
        </w:rPr>
        <w:t>使自己的权益受到损害的，可以在知道或者应知其权益受到损害之日起</w:t>
      </w:r>
      <w:r>
        <w:rPr>
          <w:rFonts w:hint="eastAsia" w:ascii="宋体" w:hAnsi="宋体" w:eastAsia="宋体" w:cs="宋体"/>
          <w:b w:val="0"/>
          <w:bCs/>
          <w:color w:val="auto"/>
          <w:sz w:val="22"/>
          <w:szCs w:val="22"/>
          <w:highlight w:val="none"/>
          <w:lang w:val="en-US" w:eastAsia="zh-CN"/>
        </w:rPr>
        <w:t>规定的时间</w:t>
      </w:r>
      <w:r>
        <w:rPr>
          <w:rFonts w:hint="eastAsia" w:ascii="宋体" w:hAnsi="宋体" w:eastAsia="宋体" w:cs="宋体"/>
          <w:b w:val="0"/>
          <w:bCs/>
          <w:color w:val="auto"/>
          <w:sz w:val="22"/>
          <w:szCs w:val="22"/>
          <w:highlight w:val="none"/>
          <w:lang w:val="zh-CN"/>
        </w:rPr>
        <w:t>内，以书面形式向采购人或者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提出质疑，否则，采购人或者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不予受理：</w:t>
      </w:r>
    </w:p>
    <w:p w14:paraId="49B04AEA">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对采购文件提出质疑的，质疑期限为供应商获得采购文件之日</w:t>
      </w:r>
      <w:r>
        <w:rPr>
          <w:rFonts w:hint="eastAsia" w:ascii="宋体" w:hAnsi="宋体" w:eastAsia="宋体" w:cs="宋体"/>
          <w:strike w:val="0"/>
          <w:dstrike w:val="0"/>
          <w:highlight w:val="none"/>
          <w:lang w:val="zh-CN"/>
        </w:rPr>
        <w:t>（采购文件公告期限届满之前收到采购文件的，以完</w:t>
      </w:r>
      <w:r>
        <w:rPr>
          <w:rFonts w:hint="eastAsia" w:ascii="宋体" w:hAnsi="宋体" w:eastAsia="宋体" w:cs="宋体"/>
          <w:strike w:val="0"/>
          <w:dstrike w:val="0"/>
          <w:color w:val="auto"/>
          <w:highlight w:val="none"/>
          <w:lang w:val="zh-CN"/>
        </w:rPr>
        <w:t>成获取采购文件申请后下载采购文件的时间为准）</w:t>
      </w:r>
      <w:r>
        <w:rPr>
          <w:rFonts w:hint="eastAsia" w:ascii="宋体" w:hAnsi="宋体" w:eastAsia="宋体" w:cs="宋体"/>
          <w:b w:val="0"/>
          <w:bCs/>
          <w:color w:val="auto"/>
          <w:sz w:val="22"/>
          <w:szCs w:val="22"/>
          <w:highlight w:val="none"/>
          <w:lang w:val="zh-CN"/>
        </w:rPr>
        <w:t>或者采购文件公告期限届满之日（公告发布后的第6个工作日）起7个工作日内</w:t>
      </w:r>
      <w:r>
        <w:rPr>
          <w:rFonts w:hint="eastAsia" w:ascii="宋体" w:hAnsi="宋体" w:eastAsia="宋体" w:cs="宋体"/>
          <w:b w:val="0"/>
          <w:bCs/>
          <w:color w:val="auto"/>
          <w:sz w:val="22"/>
          <w:szCs w:val="22"/>
          <w:highlight w:val="none"/>
          <w:lang w:val="en-US" w:eastAsia="zh-CN"/>
        </w:rPr>
        <w:t>提出</w:t>
      </w:r>
      <w:r>
        <w:rPr>
          <w:rFonts w:hint="eastAsia" w:ascii="宋体" w:hAnsi="宋体" w:eastAsia="宋体" w:cs="宋体"/>
          <w:b w:val="0"/>
          <w:bCs/>
          <w:color w:val="auto"/>
          <w:sz w:val="22"/>
          <w:szCs w:val="22"/>
          <w:highlight w:val="none"/>
          <w:lang w:val="zh-CN"/>
        </w:rPr>
        <w:t>。</w:t>
      </w:r>
    </w:p>
    <w:p w14:paraId="6FB8A862">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对采购过程提出质疑的，质疑期限为各采购程序环节结束之日起7个工作日内提出。</w:t>
      </w:r>
    </w:p>
    <w:p w14:paraId="27EBC38F">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对采购结果提出质疑的，质疑期限为</w:t>
      </w:r>
      <w:r>
        <w:rPr>
          <w:rFonts w:hint="eastAsia" w:ascii="宋体" w:hAnsi="宋体" w:eastAsia="宋体" w:cs="宋体"/>
          <w:b w:val="0"/>
          <w:bCs/>
          <w:color w:val="auto"/>
          <w:sz w:val="22"/>
          <w:szCs w:val="22"/>
          <w:highlight w:val="none"/>
          <w:lang w:val="en-US" w:eastAsia="zh-CN"/>
        </w:rPr>
        <w:t>采购结果公示期</w:t>
      </w:r>
      <w:r>
        <w:rPr>
          <w:rFonts w:hint="eastAsia" w:ascii="宋体" w:hAnsi="宋体" w:eastAsia="宋体" w:cs="宋体"/>
          <w:b w:val="0"/>
          <w:bCs/>
          <w:color w:val="auto"/>
          <w:sz w:val="22"/>
          <w:szCs w:val="22"/>
          <w:highlight w:val="none"/>
          <w:lang w:val="zh-CN"/>
        </w:rPr>
        <w:t>结束之日起7个工作日内提出</w:t>
      </w:r>
      <w:r>
        <w:rPr>
          <w:rFonts w:hint="eastAsia" w:ascii="宋体" w:hAnsi="宋体" w:eastAsia="宋体" w:cs="宋体"/>
          <w:b w:val="0"/>
          <w:bCs/>
          <w:color w:val="auto"/>
          <w:sz w:val="22"/>
          <w:szCs w:val="22"/>
          <w:highlight w:val="none"/>
          <w:lang w:val="zh-CN"/>
        </w:rPr>
        <w:t>。</w:t>
      </w:r>
    </w:p>
    <w:p w14:paraId="60149AA0">
      <w:pPr>
        <w:numPr>
          <w:ilvl w:val="0"/>
          <w:numId w:val="0"/>
        </w:numPr>
        <w:tabs>
          <w:tab w:val="left" w:pos="210"/>
        </w:tabs>
        <w:snapToGrid w:val="0"/>
        <w:spacing w:line="240" w:lineRule="auto"/>
        <w:ind w:left="402" w:left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zh-CN"/>
        </w:rPr>
        <w:t>）供应商提出质疑应当提交质疑函和必要的证明材料。质疑函应当包括下列内容：</w:t>
      </w:r>
    </w:p>
    <w:p w14:paraId="629280B6">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供应商的姓名或者名称、地址、邮编、联系人及联系电话；</w:t>
      </w:r>
    </w:p>
    <w:p w14:paraId="32FA676A">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质疑项目的名称、编号；</w:t>
      </w:r>
    </w:p>
    <w:p w14:paraId="1D157F70">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具体、明确的质疑事项和与质疑事项相关的请求；</w:t>
      </w:r>
    </w:p>
    <w:p w14:paraId="4BD43878">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事实依据；</w:t>
      </w:r>
    </w:p>
    <w:p w14:paraId="0AF483D5">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必要的法律依据；</w:t>
      </w:r>
    </w:p>
    <w:p w14:paraId="5188CD26">
      <w:pPr>
        <w:numPr>
          <w:ilvl w:val="3"/>
          <w:numId w:val="20"/>
        </w:numPr>
        <w:tabs>
          <w:tab w:val="left" w:pos="210"/>
          <w:tab w:val="left" w:pos="1050"/>
        </w:tabs>
        <w:snapToGrid w:val="0"/>
        <w:spacing w:line="240" w:lineRule="auto"/>
        <w:ind w:left="0" w:leftChars="0" w:firstLine="402" w:firstLineChars="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提出质疑的日期。</w:t>
      </w:r>
    </w:p>
    <w:p w14:paraId="64B7ED5F">
      <w:pPr>
        <w:numPr>
          <w:ilvl w:val="0"/>
          <w:numId w:val="0"/>
        </w:numPr>
        <w:tabs>
          <w:tab w:val="left" w:pos="210"/>
        </w:tabs>
        <w:snapToGrid w:val="0"/>
        <w:spacing w:line="240" w:lineRule="auto"/>
        <w:ind w:leftChars="0"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ACA0EA5">
      <w:pPr>
        <w:numPr>
          <w:ilvl w:val="0"/>
          <w:numId w:val="0"/>
        </w:numPr>
        <w:tabs>
          <w:tab w:val="left" w:pos="210"/>
          <w:tab w:val="left" w:pos="840"/>
        </w:tabs>
        <w:snapToGrid w:val="0"/>
        <w:spacing w:line="240" w:lineRule="auto"/>
        <w:ind w:firstLine="442" w:firstLineChars="200"/>
        <w:jc w:val="left"/>
        <w:outlineLvl w:val="2"/>
        <w:rPr>
          <w:rFonts w:hint="eastAsia" w:ascii="宋体" w:hAnsi="宋体" w:eastAsia="宋体" w:cs="宋体"/>
          <w:b/>
          <w:bCs w:val="0"/>
          <w:strike w:val="0"/>
          <w:dstrike w:val="0"/>
          <w:color w:val="auto"/>
          <w:sz w:val="22"/>
          <w:szCs w:val="22"/>
          <w:highlight w:val="none"/>
          <w:u w:val="single"/>
          <w:lang w:val="zh-CN"/>
        </w:rPr>
      </w:pPr>
      <w:r>
        <w:rPr>
          <w:rFonts w:hint="eastAsia" w:ascii="宋体" w:hAnsi="宋体" w:eastAsia="宋体" w:cs="宋体"/>
          <w:b/>
          <w:bCs w:val="0"/>
          <w:strike w:val="0"/>
          <w:dstrike w:val="0"/>
          <w:color w:val="auto"/>
          <w:sz w:val="22"/>
          <w:szCs w:val="22"/>
          <w:highlight w:val="none"/>
          <w:u w:val="single"/>
          <w:lang w:val="zh-CN"/>
        </w:rPr>
        <w:t>（</w:t>
      </w:r>
      <w:r>
        <w:rPr>
          <w:rFonts w:hint="eastAsia" w:ascii="宋体" w:hAnsi="宋体" w:eastAsia="宋体" w:cs="宋体"/>
          <w:b/>
          <w:bCs w:val="0"/>
          <w:strike w:val="0"/>
          <w:dstrike w:val="0"/>
          <w:color w:val="auto"/>
          <w:sz w:val="22"/>
          <w:szCs w:val="22"/>
          <w:highlight w:val="none"/>
          <w:u w:val="single"/>
          <w:lang w:val="en-US" w:eastAsia="zh-CN"/>
        </w:rPr>
        <w:t>4</w:t>
      </w:r>
      <w:r>
        <w:rPr>
          <w:rFonts w:hint="eastAsia" w:ascii="宋体" w:hAnsi="宋体" w:eastAsia="宋体" w:cs="宋体"/>
          <w:b/>
          <w:bCs w:val="0"/>
          <w:strike w:val="0"/>
          <w:dstrike w:val="0"/>
          <w:color w:val="auto"/>
          <w:sz w:val="22"/>
          <w:szCs w:val="22"/>
          <w:highlight w:val="none"/>
          <w:u w:val="single"/>
          <w:lang w:val="zh-CN"/>
        </w:rPr>
        <w:t>）对同一采购程序环节的质疑</w:t>
      </w:r>
      <w:r>
        <w:rPr>
          <w:rFonts w:hint="eastAsia" w:ascii="宋体" w:hAnsi="宋体" w:eastAsia="宋体" w:cs="宋体"/>
          <w:b/>
          <w:bCs w:val="0"/>
          <w:strike w:val="0"/>
          <w:dstrike w:val="0"/>
          <w:color w:val="auto"/>
          <w:sz w:val="22"/>
          <w:szCs w:val="22"/>
          <w:highlight w:val="none"/>
          <w:u w:val="single"/>
          <w:lang w:val="en-US" w:eastAsia="zh-CN"/>
        </w:rPr>
        <w:t>时</w:t>
      </w:r>
      <w:r>
        <w:rPr>
          <w:rFonts w:hint="eastAsia" w:ascii="宋体" w:hAnsi="宋体" w:eastAsia="宋体" w:cs="宋体"/>
          <w:b/>
          <w:bCs w:val="0"/>
          <w:strike w:val="0"/>
          <w:dstrike w:val="0"/>
          <w:color w:val="auto"/>
          <w:sz w:val="22"/>
          <w:szCs w:val="22"/>
          <w:highlight w:val="none"/>
          <w:u w:val="single"/>
          <w:lang w:val="zh-CN"/>
        </w:rPr>
        <w:t>，供应商须在法定质疑期内一次性提出，已经提出过质疑的投标供应商对同一采购程序环节不能提出新的质疑。</w:t>
      </w:r>
    </w:p>
    <w:p w14:paraId="7E057419">
      <w:pPr>
        <w:numPr>
          <w:ilvl w:val="0"/>
          <w:numId w:val="0"/>
        </w:numPr>
        <w:tabs>
          <w:tab w:val="left" w:pos="210"/>
          <w:tab w:val="left" w:pos="84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zh-CN"/>
        </w:rPr>
        <w:t>）采购人负责供应商质疑答复。采购人委托采购代理机构采购的，采购代理机构对委托授权范围内质疑事项作出答复。委托授权范围应当在采购代理协议中明确。</w:t>
      </w:r>
    </w:p>
    <w:p w14:paraId="5F3B7612">
      <w:pPr>
        <w:numPr>
          <w:ilvl w:val="0"/>
          <w:numId w:val="0"/>
        </w:numPr>
        <w:tabs>
          <w:tab w:val="left" w:pos="210"/>
          <w:tab w:val="left" w:pos="84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lang w:val="zh-CN"/>
        </w:rPr>
        <w:t>）采购人或者</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应当在收到供应商的书面质疑后七个工作日内作出答复</w:t>
      </w:r>
      <w:r>
        <w:rPr>
          <w:rFonts w:hint="eastAsia" w:ascii="宋体" w:hAnsi="宋体" w:eastAsia="宋体" w:cs="宋体"/>
          <w:b w:val="0"/>
          <w:bCs/>
          <w:strike w:val="0"/>
          <w:dstrike w:val="0"/>
          <w:color w:val="auto"/>
          <w:sz w:val="22"/>
          <w:szCs w:val="22"/>
          <w:highlight w:val="none"/>
          <w:lang w:val="zh-CN"/>
        </w:rPr>
        <w:t>，但答复的内容不得涉及商业秘密</w:t>
      </w:r>
      <w:r>
        <w:rPr>
          <w:rFonts w:hint="eastAsia" w:ascii="宋体" w:hAnsi="宋体" w:eastAsia="宋体" w:cs="宋体"/>
          <w:b w:val="0"/>
          <w:bCs/>
          <w:color w:val="auto"/>
          <w:sz w:val="22"/>
          <w:szCs w:val="22"/>
          <w:highlight w:val="none"/>
          <w:lang w:val="zh-CN"/>
        </w:rPr>
        <w:t>。</w:t>
      </w:r>
    </w:p>
    <w:p w14:paraId="005CDF34">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w:t>
      </w:r>
      <w:r>
        <w:rPr>
          <w:rFonts w:hint="eastAsia" w:ascii="宋体" w:hAnsi="宋体" w:eastAsia="宋体" w:cs="宋体"/>
          <w:highlight w:val="none"/>
          <w:lang w:val="en-US" w:eastAsia="zh-CN"/>
        </w:rPr>
        <w:t>7</w:t>
      </w:r>
      <w:r>
        <w:rPr>
          <w:rFonts w:hint="eastAsia" w:ascii="宋体" w:hAnsi="宋体" w:eastAsia="宋体" w:cs="宋体"/>
          <w:highlight w:val="none"/>
          <w:lang w:val="zh-CN"/>
        </w:rPr>
        <w:t>）采购人、采购代理机构认为供应商质疑不成立，或者成立但未对中标、成交结果构成影响的，继续开展采购活动；认为供应商质疑成立且影响或者可能影响中标、成交结果的，按照下列情况处理：</w:t>
      </w:r>
    </w:p>
    <w:p w14:paraId="4B112A5D">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①对采购文件提出的质疑，依法通过澄清或者修改可以继续开展采购活动的，澄清或者修改采购文件后继续开展采购活动；否则应当修改采购文件后重新开展采购活动。</w:t>
      </w:r>
    </w:p>
    <w:p w14:paraId="40A389FB">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②对采购过程、中标或者成交结果提出的质疑，合格供应商符合法定数量时，可以从合格的中标或者成交候选人中另行确定中标、成交供应商的，应当依法另行确定中标、成交供应商；否则应当重新开展采购活动。</w:t>
      </w:r>
    </w:p>
    <w:p w14:paraId="2E1E1DDD">
      <w:pPr>
        <w:numPr>
          <w:ilvl w:val="0"/>
          <w:numId w:val="0"/>
        </w:numPr>
        <w:tabs>
          <w:tab w:val="left" w:pos="210"/>
        </w:tabs>
        <w:snapToGrid w:val="0"/>
        <w:spacing w:line="240" w:lineRule="auto"/>
        <w:ind w:firstLine="420" w:firstLineChars="200"/>
        <w:jc w:val="left"/>
        <w:outlineLvl w:val="2"/>
        <w:rPr>
          <w:rFonts w:hint="eastAsia" w:ascii="宋体" w:hAnsi="宋体" w:eastAsia="宋体" w:cs="宋体"/>
          <w:highlight w:val="none"/>
          <w:lang w:val="zh-CN"/>
        </w:rPr>
      </w:pPr>
      <w:r>
        <w:rPr>
          <w:rFonts w:hint="eastAsia" w:ascii="宋体" w:hAnsi="宋体" w:eastAsia="宋体" w:cs="宋体"/>
          <w:highlight w:val="none"/>
          <w:lang w:val="zh-CN"/>
        </w:rPr>
        <w:t>③质疑答复导致中标、成交结果改变的，采购人或者采购代理机构应当将有关情况书面报告向采购人（集团）的内设监管职能部门。</w:t>
      </w:r>
    </w:p>
    <w:p w14:paraId="1DDF80CD">
      <w:pPr>
        <w:numPr>
          <w:ilvl w:val="0"/>
          <w:numId w:val="0"/>
        </w:numPr>
        <w:tabs>
          <w:tab w:val="left" w:pos="210"/>
        </w:tabs>
        <w:snapToGrid w:val="0"/>
        <w:spacing w:line="240" w:lineRule="auto"/>
        <w:ind w:left="400" w:leftChars="0"/>
        <w:jc w:val="left"/>
        <w:outlineLvl w:val="2"/>
        <w:rPr>
          <w:rFonts w:hint="eastAsia" w:ascii="宋体" w:hAnsi="宋体" w:eastAsia="宋体" w:cs="宋体"/>
          <w:b/>
          <w:bCs w:val="0"/>
          <w:color w:val="auto"/>
          <w:sz w:val="22"/>
          <w:szCs w:val="22"/>
          <w:highlight w:val="none"/>
          <w:lang w:val="zh-CN"/>
        </w:rPr>
      </w:pPr>
      <w:r>
        <w:rPr>
          <w:rFonts w:hint="eastAsia" w:ascii="宋体" w:hAnsi="宋体" w:eastAsia="宋体" w:cs="宋体"/>
          <w:b/>
          <w:bCs w:val="0"/>
          <w:color w:val="auto"/>
          <w:sz w:val="22"/>
          <w:szCs w:val="22"/>
          <w:highlight w:val="none"/>
          <w:lang w:val="en-US" w:eastAsia="zh-CN"/>
        </w:rPr>
        <w:t>2、</w:t>
      </w:r>
      <w:r>
        <w:rPr>
          <w:rFonts w:hint="eastAsia" w:ascii="宋体" w:hAnsi="宋体" w:eastAsia="宋体" w:cs="宋体"/>
          <w:b/>
          <w:bCs w:val="0"/>
          <w:color w:val="auto"/>
          <w:sz w:val="22"/>
          <w:szCs w:val="22"/>
          <w:highlight w:val="none"/>
          <w:lang w:val="zh-CN"/>
        </w:rPr>
        <w:t>供应商投诉</w:t>
      </w:r>
    </w:p>
    <w:p w14:paraId="661A8EC7">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lang w:val="zh-CN"/>
        </w:rPr>
        <w:t>）质疑供应商对采购人、</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的答复不满意或者采购人、</w:t>
      </w:r>
      <w:r>
        <w:rPr>
          <w:rFonts w:hint="eastAsia" w:ascii="宋体" w:hAnsi="宋体" w:eastAsia="宋体" w:cs="宋体"/>
          <w:b w:val="0"/>
          <w:bCs/>
          <w:color w:val="auto"/>
          <w:sz w:val="22"/>
          <w:szCs w:val="22"/>
          <w:highlight w:val="none"/>
          <w:lang w:val="zh-CN" w:eastAsia="zh-CN"/>
        </w:rPr>
        <w:t>采购代理机构</w:t>
      </w:r>
      <w:r>
        <w:rPr>
          <w:rFonts w:hint="eastAsia" w:ascii="宋体" w:hAnsi="宋体" w:eastAsia="宋体" w:cs="宋体"/>
          <w:b w:val="0"/>
          <w:bCs/>
          <w:color w:val="auto"/>
          <w:sz w:val="22"/>
          <w:szCs w:val="22"/>
          <w:highlight w:val="none"/>
          <w:lang w:val="zh-CN"/>
        </w:rPr>
        <w:t>未在规定的时间内作出答复的，可以在答复期满后</w:t>
      </w:r>
      <w:r>
        <w:rPr>
          <w:rFonts w:hint="eastAsia" w:ascii="宋体" w:hAnsi="宋体" w:eastAsia="宋体" w:cs="宋体"/>
          <w:b w:val="0"/>
          <w:bCs/>
          <w:color w:val="auto"/>
          <w:sz w:val="22"/>
          <w:szCs w:val="22"/>
          <w:highlight w:val="none"/>
          <w:lang w:val="en-US" w:eastAsia="zh-CN"/>
        </w:rPr>
        <w:t>15</w:t>
      </w:r>
      <w:r>
        <w:rPr>
          <w:rFonts w:hint="eastAsia" w:ascii="宋体" w:hAnsi="宋体" w:eastAsia="宋体" w:cs="宋体"/>
          <w:b w:val="0"/>
          <w:bCs/>
          <w:color w:val="auto"/>
          <w:sz w:val="22"/>
          <w:szCs w:val="22"/>
          <w:highlight w:val="none"/>
          <w:lang w:val="zh-CN"/>
        </w:rPr>
        <w:t>个工作日内向采购人（集团）的内设监管职能部门投诉。</w:t>
      </w:r>
    </w:p>
    <w:p w14:paraId="7C06B95C">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lang w:val="zh-CN"/>
        </w:rPr>
        <w:t>）采购人（集团）的内设监管职能部门负责对</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供应商反映的企业本部及所属企业在采购活动中出现的违法违规问题进行</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回复。</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供应商认为采购人（集团）的内设监管职能部门</w:t>
      </w:r>
      <w:r>
        <w:rPr>
          <w:rFonts w:hint="eastAsia" w:ascii="宋体" w:hAnsi="宋体" w:eastAsia="宋体" w:cs="宋体"/>
          <w:b w:val="0"/>
          <w:bCs/>
          <w:color w:val="auto"/>
          <w:sz w:val="22"/>
          <w:szCs w:val="22"/>
          <w:highlight w:val="none"/>
          <w:lang w:val="en-US" w:eastAsia="zh-CN"/>
        </w:rPr>
        <w:t>投诉</w:t>
      </w:r>
      <w:r>
        <w:rPr>
          <w:rFonts w:hint="eastAsia" w:ascii="宋体" w:hAnsi="宋体" w:eastAsia="宋体" w:cs="宋体"/>
          <w:b w:val="0"/>
          <w:bCs/>
          <w:color w:val="auto"/>
          <w:sz w:val="22"/>
          <w:szCs w:val="22"/>
          <w:highlight w:val="none"/>
          <w:lang w:val="zh-CN"/>
        </w:rPr>
        <w:t>回复处理结果不合法的，可以采购人或采购代理机构为对象依法向人民法院提起诉讼。</w:t>
      </w:r>
    </w:p>
    <w:p w14:paraId="647411E1">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lang w:val="zh-CN"/>
        </w:rPr>
        <w:t>）供应商投诉的事项不得超出已质疑事项的范围，基于质疑答复内容提出的投诉事项除外。</w:t>
      </w:r>
    </w:p>
    <w:p w14:paraId="11AA4581">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zh-CN"/>
        </w:rPr>
        <w:t>）供应商投诉应当有明确的请求和必要的证明材料。</w:t>
      </w:r>
    </w:p>
    <w:p w14:paraId="79E21068">
      <w:pPr>
        <w:numPr>
          <w:ilvl w:val="0"/>
          <w:numId w:val="0"/>
        </w:numPr>
        <w:tabs>
          <w:tab w:val="left" w:pos="210"/>
        </w:tabs>
        <w:snapToGrid w:val="0"/>
        <w:spacing w:line="240" w:lineRule="auto"/>
        <w:ind w:firstLine="440" w:firstLineChars="200"/>
        <w:jc w:val="left"/>
        <w:outlineLvl w:val="2"/>
        <w:rPr>
          <w:rFonts w:hint="eastAsia" w:ascii="宋体" w:hAnsi="宋体" w:eastAsia="宋体" w:cs="宋体"/>
          <w:b w:val="0"/>
          <w:bCs/>
          <w:sz w:val="22"/>
          <w:szCs w:val="22"/>
          <w:highlight w:val="none"/>
          <w:lang w:val="zh-CN"/>
        </w:rPr>
      </w:pPr>
      <w:r>
        <w:rPr>
          <w:rFonts w:hint="eastAsia" w:ascii="宋体" w:hAnsi="宋体" w:eastAsia="宋体" w:cs="宋体"/>
          <w:b w:val="0"/>
          <w:bCs/>
          <w:color w:val="auto"/>
          <w:sz w:val="22"/>
          <w:szCs w:val="22"/>
          <w:highlight w:val="none"/>
          <w:lang w:val="zh-CN"/>
        </w:rPr>
        <w:t>（</w:t>
      </w:r>
      <w:r>
        <w:rPr>
          <w:rFonts w:hint="eastAsia" w:ascii="宋体" w:hAnsi="宋体" w:eastAsia="宋体" w:cs="宋体"/>
          <w:b w:val="0"/>
          <w:bCs/>
          <w:color w:val="auto"/>
          <w:sz w:val="22"/>
          <w:szCs w:val="22"/>
          <w:highlight w:val="none"/>
          <w:lang w:val="en-US" w:eastAsia="zh-CN"/>
        </w:rPr>
        <w:t>5</w:t>
      </w:r>
      <w:r>
        <w:rPr>
          <w:rFonts w:hint="eastAsia" w:ascii="宋体" w:hAnsi="宋体" w:eastAsia="宋体" w:cs="宋体"/>
          <w:b w:val="0"/>
          <w:bCs/>
          <w:color w:val="auto"/>
          <w:sz w:val="22"/>
          <w:szCs w:val="22"/>
          <w:highlight w:val="none"/>
          <w:lang w:val="zh-CN"/>
        </w:rPr>
        <w:t>）以联合体形式参加采购活动的，其投诉应当由组成联合体的所有供应商共同提出</w:t>
      </w:r>
      <w:r>
        <w:rPr>
          <w:rFonts w:hint="eastAsia" w:ascii="宋体" w:hAnsi="宋体" w:eastAsia="宋体" w:cs="宋体"/>
          <w:b w:val="0"/>
          <w:bCs/>
          <w:sz w:val="22"/>
          <w:szCs w:val="22"/>
          <w:highlight w:val="none"/>
          <w:lang w:val="zh-CN"/>
        </w:rPr>
        <w:t>。</w:t>
      </w:r>
    </w:p>
    <w:p w14:paraId="50B881E3">
      <w:pPr>
        <w:ind w:firstLine="440" w:firstLineChars="200"/>
        <w:rPr>
          <w:rFonts w:hint="eastAsia" w:ascii="宋体" w:hAnsi="宋体" w:eastAsia="宋体" w:cs="宋体"/>
          <w:bCs/>
          <w:sz w:val="22"/>
        </w:rPr>
      </w:pPr>
      <w:r>
        <w:rPr>
          <w:rFonts w:hint="eastAsia" w:ascii="宋体" w:hAnsi="宋体" w:eastAsia="宋体" w:cs="宋体"/>
          <w:b w:val="0"/>
          <w:bCs/>
          <w:sz w:val="22"/>
          <w:szCs w:val="22"/>
          <w:highlight w:val="none"/>
          <w:lang w:val="zh-CN"/>
        </w:rPr>
        <w:t>（</w:t>
      </w:r>
      <w:r>
        <w:rPr>
          <w:rFonts w:hint="eastAsia" w:ascii="宋体" w:hAnsi="宋体" w:eastAsia="宋体" w:cs="宋体"/>
          <w:b w:val="0"/>
          <w:bCs/>
          <w:sz w:val="22"/>
          <w:szCs w:val="22"/>
          <w:highlight w:val="none"/>
          <w:lang w:val="en-US" w:eastAsia="zh-CN"/>
        </w:rPr>
        <w:t>6</w:t>
      </w:r>
      <w:r>
        <w:rPr>
          <w:rFonts w:hint="eastAsia" w:ascii="宋体" w:hAnsi="宋体" w:eastAsia="宋体" w:cs="宋体"/>
          <w:b w:val="0"/>
          <w:bCs/>
          <w:sz w:val="22"/>
          <w:szCs w:val="22"/>
          <w:highlight w:val="none"/>
          <w:lang w:val="zh-CN"/>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r>
        <w:rPr>
          <w:rFonts w:hint="eastAsia" w:ascii="宋体" w:hAnsi="宋体" w:eastAsia="宋体" w:cs="宋体"/>
          <w:b w:val="0"/>
          <w:bCs/>
          <w:sz w:val="22"/>
          <w:szCs w:val="22"/>
          <w:lang w:val="zh-CN"/>
        </w:rPr>
        <w:t>。</w:t>
      </w:r>
    </w:p>
    <w:p w14:paraId="53560153">
      <w:pPr>
        <w:pStyle w:val="3"/>
        <w:spacing w:before="0" w:beforeLines="-2147483648"/>
        <w:rPr>
          <w:rFonts w:hint="eastAsia" w:ascii="宋体" w:hAnsi="宋体" w:eastAsia="宋体" w:cs="宋体"/>
          <w:sz w:val="36"/>
          <w:szCs w:val="36"/>
        </w:rPr>
      </w:pPr>
      <w:r>
        <w:rPr>
          <w:rFonts w:hint="eastAsia" w:ascii="宋体" w:hAnsi="宋体" w:eastAsia="宋体" w:cs="宋体"/>
          <w:sz w:val="36"/>
          <w:szCs w:val="36"/>
        </w:rPr>
        <w:br w:type="page"/>
      </w:r>
      <w:bookmarkStart w:id="173" w:name="_Toc491780524"/>
      <w:r>
        <w:rPr>
          <w:rFonts w:hint="eastAsia" w:ascii="宋体" w:hAnsi="宋体" w:eastAsia="宋体" w:cs="宋体"/>
          <w:sz w:val="36"/>
          <w:szCs w:val="36"/>
        </w:rPr>
        <w:t>第二部分 合同条款</w:t>
      </w:r>
    </w:p>
    <w:p w14:paraId="2C1520FE">
      <w:pPr>
        <w:rPr>
          <w:rFonts w:hint="eastAsia" w:ascii="宋体" w:hAnsi="宋体" w:eastAsia="宋体" w:cs="宋体"/>
          <w:szCs w:val="21"/>
        </w:rPr>
      </w:pPr>
    </w:p>
    <w:p w14:paraId="33D5A76A">
      <w:pPr>
        <w:pStyle w:val="16"/>
        <w:snapToGrid w:val="0"/>
        <w:spacing w:line="24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说明：如合同双方同意，合同条款也可以适当修改。但合同条款的基本、核心内容应与本《合同条款》要求的内容相一致。该合同条款作为签订合同的条款主要内容，对乙方具有约束力。</w:t>
      </w:r>
    </w:p>
    <w:p w14:paraId="4B9ABCF2">
      <w:pPr>
        <w:pStyle w:val="16"/>
        <w:snapToGrid w:val="0"/>
        <w:spacing w:line="240" w:lineRule="auto"/>
        <w:rPr>
          <w:rFonts w:hint="eastAsia" w:ascii="宋体" w:hAnsi="宋体" w:eastAsia="宋体" w:cs="宋体"/>
          <w:b w:val="0"/>
          <w:sz w:val="21"/>
          <w:szCs w:val="21"/>
        </w:rPr>
      </w:pPr>
    </w:p>
    <w:p w14:paraId="6D85E1D8">
      <w:pPr>
        <w:pStyle w:val="16"/>
        <w:snapToGrid w:val="0"/>
        <w:spacing w:line="240" w:lineRule="auto"/>
        <w:jc w:val="center"/>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温州市燃气集团有限公司燃气客户服务实施合同</w:t>
      </w:r>
    </w:p>
    <w:p w14:paraId="2A6B5A10">
      <w:pPr>
        <w:pStyle w:val="16"/>
        <w:snapToGrid w:val="0"/>
        <w:spacing w:line="240" w:lineRule="auto"/>
        <w:outlineLvl w:val="0"/>
        <w:rPr>
          <w:rFonts w:hint="eastAsia" w:ascii="宋体" w:hAnsi="宋体" w:eastAsia="宋体" w:cs="宋体"/>
          <w:b/>
          <w:color w:val="auto"/>
          <w:sz w:val="21"/>
          <w:szCs w:val="21"/>
          <w:highlight w:val="none"/>
        </w:rPr>
      </w:pPr>
    </w:p>
    <w:p w14:paraId="75BC5BDF">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发包方：</w:t>
      </w:r>
      <w:r>
        <w:rPr>
          <w:rFonts w:hint="eastAsia" w:ascii="宋体" w:hAnsi="宋体" w:eastAsia="宋体" w:cs="宋体"/>
          <w:color w:val="auto"/>
          <w:sz w:val="21"/>
          <w:szCs w:val="21"/>
          <w:highlight w:val="none"/>
          <w:lang w:val="en-US" w:eastAsia="zh-CN"/>
        </w:rPr>
        <w:t xml:space="preserve">温州市燃气集团有限公司          </w:t>
      </w:r>
      <w:r>
        <w:rPr>
          <w:rFonts w:hint="eastAsia" w:ascii="宋体" w:hAnsi="宋体" w:eastAsia="宋体" w:cs="宋体"/>
          <w:color w:val="auto"/>
          <w:sz w:val="21"/>
          <w:szCs w:val="21"/>
          <w:highlight w:val="none"/>
        </w:rPr>
        <w:t>（以下简称甲方）</w:t>
      </w:r>
    </w:p>
    <w:p w14:paraId="31FD359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                                （以下简称乙方）</w:t>
      </w:r>
    </w:p>
    <w:p w14:paraId="1D022005">
      <w:pPr>
        <w:spacing w:line="240" w:lineRule="auto"/>
        <w:ind w:firstLine="420" w:firstLineChars="200"/>
        <w:rPr>
          <w:rFonts w:hint="eastAsia" w:ascii="宋体" w:hAnsi="宋体" w:eastAsia="宋体" w:cs="宋体"/>
          <w:color w:val="auto"/>
          <w:sz w:val="21"/>
          <w:szCs w:val="21"/>
          <w:highlight w:val="none"/>
        </w:rPr>
      </w:pPr>
    </w:p>
    <w:p w14:paraId="16B85F19">
      <w:pPr>
        <w:spacing w:line="24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业务发展需要，</w:t>
      </w:r>
      <w:r>
        <w:rPr>
          <w:rFonts w:hint="eastAsia" w:ascii="宋体" w:hAnsi="宋体" w:eastAsia="宋体" w:cs="宋体"/>
          <w:color w:val="auto"/>
          <w:sz w:val="21"/>
          <w:szCs w:val="21"/>
          <w:highlight w:val="none"/>
        </w:rPr>
        <w:t>甲方将温州市燃气</w:t>
      </w:r>
      <w:r>
        <w:rPr>
          <w:rFonts w:hint="eastAsia" w:ascii="宋体" w:hAnsi="宋体" w:eastAsia="宋体" w:cs="宋体"/>
          <w:color w:val="auto"/>
          <w:sz w:val="21"/>
          <w:szCs w:val="21"/>
          <w:highlight w:val="none"/>
          <w:lang w:val="en-US" w:eastAsia="zh-CN"/>
        </w:rPr>
        <w:t>集团</w:t>
      </w:r>
      <w:r>
        <w:rPr>
          <w:rFonts w:hint="eastAsia" w:ascii="宋体" w:hAnsi="宋体" w:eastAsia="宋体" w:cs="宋体"/>
          <w:color w:val="auto"/>
          <w:sz w:val="21"/>
          <w:szCs w:val="21"/>
          <w:highlight w:val="none"/>
        </w:rPr>
        <w:t>有限公司</w:t>
      </w:r>
      <w:r>
        <w:rPr>
          <w:rFonts w:hint="eastAsia" w:ascii="宋体" w:hAnsi="宋体" w:eastAsia="宋体" w:cs="宋体"/>
          <w:color w:val="auto"/>
          <w:sz w:val="21"/>
          <w:szCs w:val="21"/>
          <w:highlight w:val="none"/>
          <w:lang w:val="en-US" w:eastAsia="zh-CN"/>
        </w:rPr>
        <w:t>部分区域</w:t>
      </w:r>
      <w:r>
        <w:rPr>
          <w:rFonts w:hint="eastAsia" w:ascii="宋体" w:hAnsi="宋体" w:eastAsia="宋体" w:cs="宋体"/>
          <w:color w:val="auto"/>
          <w:kern w:val="2"/>
          <w:sz w:val="21"/>
          <w:szCs w:val="21"/>
          <w:highlight w:val="none"/>
          <w:lang w:eastAsia="zh-CN"/>
        </w:rPr>
        <w:t>抄表、安检、</w:t>
      </w:r>
      <w:r>
        <w:rPr>
          <w:rFonts w:hint="eastAsia" w:ascii="宋体" w:hAnsi="宋体" w:eastAsia="宋体" w:cs="宋体"/>
          <w:color w:val="auto"/>
          <w:kern w:val="2"/>
          <w:sz w:val="21"/>
          <w:szCs w:val="21"/>
          <w:highlight w:val="none"/>
          <w:lang w:val="en-US" w:eastAsia="zh-CN"/>
        </w:rPr>
        <w:t>通气</w:t>
      </w:r>
      <w:r>
        <w:rPr>
          <w:rFonts w:hint="eastAsia" w:ascii="宋体" w:hAnsi="宋体" w:eastAsia="宋体" w:cs="宋体"/>
          <w:color w:val="auto"/>
          <w:sz w:val="21"/>
          <w:szCs w:val="21"/>
          <w:highlight w:val="none"/>
          <w:lang w:val="en-US" w:eastAsia="zh-CN"/>
        </w:rPr>
        <w:t>等业务发</w:t>
      </w:r>
      <w:r>
        <w:rPr>
          <w:rFonts w:hint="eastAsia" w:ascii="宋体" w:hAnsi="宋体" w:eastAsia="宋体" w:cs="宋体"/>
          <w:color w:val="auto"/>
          <w:sz w:val="21"/>
          <w:szCs w:val="21"/>
          <w:highlight w:val="none"/>
        </w:rPr>
        <w:t>包给乙方，为了明确甲、乙双方的权利和义务，履行各自的职责，高效优质地完成服务内容，按照《中华人民共和国民法典》的有关规定，经甲乙双方在平等、自愿的基础上</w:t>
      </w:r>
      <w:r>
        <w:rPr>
          <w:rFonts w:hint="eastAsia" w:ascii="宋体" w:hAnsi="宋体" w:eastAsia="宋体" w:cs="宋体"/>
          <w:color w:val="auto"/>
          <w:sz w:val="21"/>
          <w:szCs w:val="21"/>
          <w:highlight w:val="none"/>
          <w:lang w:eastAsia="zh-CN"/>
        </w:rPr>
        <w:t>协商</w:t>
      </w:r>
      <w:r>
        <w:rPr>
          <w:rFonts w:hint="eastAsia" w:ascii="宋体" w:hAnsi="宋体" w:eastAsia="宋体" w:cs="宋体"/>
          <w:color w:val="auto"/>
          <w:sz w:val="21"/>
          <w:szCs w:val="21"/>
          <w:highlight w:val="none"/>
        </w:rPr>
        <w:t>一致，现签订服务承包合同。</w:t>
      </w:r>
    </w:p>
    <w:p w14:paraId="555EF7F9">
      <w:pPr>
        <w:pStyle w:val="3"/>
        <w:keepNext/>
        <w:keepLines w:val="0"/>
        <w:pageBreakBefore w:val="0"/>
        <w:widowControl w:val="0"/>
        <w:kinsoku/>
        <w:wordWrap w:val="0"/>
        <w:overflowPunct/>
        <w:topLinePunct w:val="0"/>
        <w:autoSpaceDE/>
        <w:autoSpaceDN/>
        <w:bidi w:val="0"/>
        <w:adjustRightInd/>
        <w:snapToGrid/>
        <w:ind w:firstLine="422" w:firstLineChars="200"/>
        <w:jc w:val="both"/>
        <w:textAlignment w:val="auto"/>
        <w:rPr>
          <w:rFonts w:hint="eastAsia" w:ascii="宋体" w:hAnsi="宋体" w:eastAsia="宋体" w:cs="宋体"/>
          <w:color w:val="auto"/>
        </w:rPr>
      </w:pPr>
      <w:r>
        <w:rPr>
          <w:rFonts w:hint="eastAsia" w:ascii="宋体" w:hAnsi="宋体" w:eastAsia="宋体" w:cs="宋体"/>
          <w:color w:val="auto"/>
          <w:sz w:val="21"/>
          <w:szCs w:val="21"/>
          <w:lang w:eastAsia="zh-CN"/>
        </w:rPr>
        <w:t>温州市燃气集团有限公司</w:t>
      </w:r>
      <w:r>
        <w:rPr>
          <w:rFonts w:hint="eastAsia" w:ascii="宋体" w:hAnsi="宋体" w:eastAsia="宋体" w:cs="宋体"/>
          <w:color w:val="auto"/>
          <w:sz w:val="21"/>
          <w:szCs w:val="21"/>
        </w:rPr>
        <w:t>的</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（项目名称、项目编号）  </w:t>
      </w:r>
      <w:r>
        <w:rPr>
          <w:rFonts w:hint="eastAsia" w:ascii="宋体" w:hAnsi="宋体" w:eastAsia="宋体" w:cs="宋体"/>
          <w:color w:val="auto"/>
          <w:sz w:val="21"/>
          <w:szCs w:val="21"/>
        </w:rPr>
        <w:t>在国内以公开招标方式进行采购，经评审确定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为中标入围人，双方根据《中华人民共和国民法典》和本项目的投标文件、采购文件及其</w:t>
      </w:r>
      <w:r>
        <w:rPr>
          <w:rFonts w:hint="eastAsia" w:ascii="宋体" w:hAnsi="宋体" w:eastAsia="宋体" w:cs="宋体"/>
          <w:color w:val="auto"/>
          <w:sz w:val="21"/>
          <w:szCs w:val="21"/>
          <w:lang w:val="en-US" w:eastAsia="zh-CN"/>
        </w:rPr>
        <w:t>投标</w:t>
      </w:r>
      <w:r>
        <w:rPr>
          <w:rFonts w:hint="eastAsia" w:ascii="宋体" w:hAnsi="宋体" w:eastAsia="宋体" w:cs="宋体"/>
          <w:color w:val="auto"/>
          <w:sz w:val="21"/>
          <w:szCs w:val="21"/>
        </w:rPr>
        <w:t>中的承诺，经双方协商，同意签订本合同，共同遵守。</w:t>
      </w:r>
    </w:p>
    <w:p w14:paraId="6C275838">
      <w:pPr>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一、服务内容：</w:t>
      </w:r>
    </w:p>
    <w:p w14:paraId="00788CB7">
      <w:pPr>
        <w:spacing w:line="240" w:lineRule="auto"/>
        <w:ind w:firstLine="525" w:firstLineChars="2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部分区域</w:t>
      </w:r>
      <w:r>
        <w:rPr>
          <w:rFonts w:hint="eastAsia" w:ascii="宋体" w:hAnsi="宋体" w:eastAsia="宋体" w:cs="宋体"/>
          <w:color w:val="auto"/>
          <w:kern w:val="2"/>
          <w:sz w:val="21"/>
          <w:szCs w:val="21"/>
          <w:highlight w:val="none"/>
          <w:lang w:eastAsia="zh-CN"/>
        </w:rPr>
        <w:t>抄表、安检、</w:t>
      </w:r>
      <w:r>
        <w:rPr>
          <w:rFonts w:hint="eastAsia" w:ascii="宋体" w:hAnsi="宋体" w:eastAsia="宋体" w:cs="宋体"/>
          <w:color w:val="auto"/>
          <w:kern w:val="2"/>
          <w:sz w:val="21"/>
          <w:szCs w:val="21"/>
          <w:highlight w:val="none"/>
          <w:lang w:val="en-US" w:eastAsia="zh-CN"/>
        </w:rPr>
        <w:t>通气</w:t>
      </w:r>
      <w:r>
        <w:rPr>
          <w:rFonts w:hint="eastAsia" w:ascii="宋体" w:hAnsi="宋体" w:eastAsia="宋体" w:cs="宋体"/>
          <w:color w:val="auto"/>
          <w:sz w:val="21"/>
          <w:szCs w:val="21"/>
          <w:highlight w:val="none"/>
          <w:lang w:val="en-US" w:eastAsia="zh-CN"/>
        </w:rPr>
        <w:t>等业务</w:t>
      </w:r>
      <w:r>
        <w:rPr>
          <w:rFonts w:hint="eastAsia" w:ascii="宋体" w:hAnsi="宋体" w:eastAsia="宋体" w:cs="宋体"/>
          <w:color w:val="auto"/>
          <w:sz w:val="21"/>
          <w:szCs w:val="21"/>
          <w:highlight w:val="none"/>
        </w:rPr>
        <w:t>发包给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按照甲方对应业务工作流程、制度以及考核</w:t>
      </w:r>
      <w:r>
        <w:rPr>
          <w:rFonts w:hint="eastAsia" w:ascii="宋体" w:hAnsi="宋体" w:eastAsia="宋体" w:cs="宋体"/>
          <w:color w:val="auto"/>
          <w:sz w:val="21"/>
          <w:szCs w:val="21"/>
          <w:highlight w:val="none"/>
        </w:rPr>
        <w:t>负责具体工作实施。工作内容包括但不限于：安排人员对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所辖</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范围的管道燃气居民和非居民客户开展安检、抄表、通气（不含非居民客户）、气表数据采集、气费催缴以及处理相关业务客户意见和投诉等等。</w:t>
      </w:r>
      <w:r>
        <w:rPr>
          <w:rFonts w:hint="eastAsia" w:ascii="宋体" w:hAnsi="宋体" w:eastAsia="宋体" w:cs="宋体"/>
          <w:color w:val="auto"/>
          <w:sz w:val="21"/>
          <w:szCs w:val="21"/>
          <w:highlight w:val="none"/>
          <w:lang w:val="en-US" w:eastAsia="zh-CN"/>
        </w:rPr>
        <w:t>具体服务内容如下：</w:t>
      </w:r>
    </w:p>
    <w:p w14:paraId="4C331388">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1、安检业务：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将安检相关工作发包给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乙方根据甲方工作流程和制度</w:t>
      </w:r>
      <w:r>
        <w:rPr>
          <w:rFonts w:hint="eastAsia" w:ascii="宋体" w:hAnsi="宋体" w:eastAsia="宋体" w:cs="宋体"/>
          <w:color w:val="auto"/>
          <w:sz w:val="21"/>
          <w:szCs w:val="21"/>
          <w:highlight w:val="none"/>
        </w:rPr>
        <w:t>负责具体工作实施。工作内容包括但不限于：安排人员对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所辖范围的管道燃气客户开展入户安检与</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rPr>
        <w:t>安检相关客户意见和投诉等。具体工作职责详见</w:t>
      </w:r>
      <w:r>
        <w:rPr>
          <w:rFonts w:hint="eastAsia" w:ascii="宋体" w:hAnsi="宋体" w:eastAsia="宋体" w:cs="宋体"/>
          <w:color w:val="auto"/>
          <w:sz w:val="21"/>
          <w:szCs w:val="21"/>
          <w:highlight w:val="none"/>
          <w:lang w:eastAsia="zh-CN"/>
        </w:rPr>
        <w:t>合同附件</w:t>
      </w:r>
      <w:r>
        <w:rPr>
          <w:rFonts w:hint="eastAsia" w:ascii="宋体" w:hAnsi="宋体" w:eastAsia="宋体" w:cs="宋体"/>
          <w:color w:val="auto"/>
          <w:sz w:val="21"/>
          <w:szCs w:val="21"/>
          <w:highlight w:val="none"/>
        </w:rPr>
        <w:t>。</w:t>
      </w:r>
    </w:p>
    <w:p w14:paraId="0F62A51C">
      <w:p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通气业务：甲方将通气相关工作发包给乙方，由乙方根据甲方工作流程和制度负责具体工作实施。工作内容包括但不限于：通气（包含波纹管推广与安装、橱柜打孔、更换旧尖嘴阀等内容）、再通气、气表复接、气表暂停、波纹管更换，处理通气业务的客户意见和投诉。</w:t>
      </w:r>
      <w:r>
        <w:rPr>
          <w:rFonts w:hint="eastAsia" w:ascii="宋体" w:hAnsi="宋体" w:eastAsia="宋体" w:cs="宋体"/>
          <w:sz w:val="21"/>
          <w:szCs w:val="21"/>
          <w:highlight w:val="none"/>
          <w:lang w:val="en-US" w:eastAsia="zh-CN"/>
        </w:rPr>
        <w:t>该项业务主体由</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lang w:val="en-US" w:eastAsia="zh-CN"/>
        </w:rPr>
        <w:t>通气验收员负责实施，</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lang w:val="en-US" w:eastAsia="zh-CN"/>
        </w:rPr>
        <w:t>仅在年底等业务暴增的特殊时期内派员开展。</w:t>
      </w:r>
      <w:r>
        <w:rPr>
          <w:rFonts w:hint="eastAsia" w:ascii="宋体" w:hAnsi="宋体" w:eastAsia="宋体" w:cs="宋体"/>
          <w:color w:val="auto"/>
          <w:sz w:val="21"/>
          <w:szCs w:val="21"/>
          <w:highlight w:val="none"/>
        </w:rPr>
        <w:t>具体工作职责详见</w:t>
      </w:r>
      <w:r>
        <w:rPr>
          <w:rFonts w:hint="eastAsia" w:ascii="宋体" w:hAnsi="宋体" w:eastAsia="宋体" w:cs="宋体"/>
          <w:color w:val="auto"/>
          <w:sz w:val="21"/>
          <w:szCs w:val="21"/>
          <w:highlight w:val="none"/>
          <w:lang w:eastAsia="zh-CN"/>
        </w:rPr>
        <w:t>合同附件</w:t>
      </w:r>
      <w:r>
        <w:rPr>
          <w:rFonts w:hint="eastAsia" w:ascii="宋体" w:hAnsi="宋体" w:eastAsia="宋体" w:cs="宋体"/>
          <w:color w:val="auto"/>
          <w:sz w:val="21"/>
          <w:szCs w:val="21"/>
          <w:highlight w:val="none"/>
        </w:rPr>
        <w:t>。</w:t>
      </w:r>
    </w:p>
    <w:p w14:paraId="4B3FDD3E">
      <w:pPr>
        <w:spacing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3、抄表业务：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将抄表相关工作发包给</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乙方根据甲方工作流程和制度</w:t>
      </w:r>
      <w:r>
        <w:rPr>
          <w:rFonts w:hint="eastAsia" w:ascii="宋体" w:hAnsi="宋体" w:eastAsia="宋体" w:cs="宋体"/>
          <w:color w:val="auto"/>
          <w:sz w:val="21"/>
          <w:szCs w:val="21"/>
          <w:highlight w:val="none"/>
        </w:rPr>
        <w:t>负责具体工作实施。工作内容包括但不限于：安排人员对普通表上门抄表、无线远传表数据采集、欠费客户催费、处理抄表方面客户意见和投诉等。具体工作职责详见</w:t>
      </w:r>
      <w:r>
        <w:rPr>
          <w:rFonts w:hint="eastAsia" w:ascii="宋体" w:hAnsi="宋体" w:eastAsia="宋体" w:cs="宋体"/>
          <w:color w:val="auto"/>
          <w:sz w:val="21"/>
          <w:szCs w:val="21"/>
          <w:highlight w:val="none"/>
          <w:lang w:eastAsia="zh-CN"/>
        </w:rPr>
        <w:t>合同附件</w:t>
      </w:r>
      <w:r>
        <w:rPr>
          <w:rFonts w:hint="eastAsia" w:ascii="宋体" w:hAnsi="宋体" w:eastAsia="宋体" w:cs="宋体"/>
          <w:color w:val="auto"/>
          <w:sz w:val="21"/>
          <w:szCs w:val="21"/>
          <w:highlight w:val="none"/>
        </w:rPr>
        <w:t>。</w:t>
      </w:r>
    </w:p>
    <w:p w14:paraId="76E6F329">
      <w:pPr>
        <w:spacing w:line="240" w:lineRule="auto"/>
        <w:rPr>
          <w:rFonts w:hint="eastAsia" w:ascii="宋体" w:hAnsi="宋体" w:eastAsia="宋体" w:cs="宋体"/>
          <w:b/>
          <w:bCs/>
          <w:color w:val="auto"/>
          <w:sz w:val="21"/>
          <w:szCs w:val="21"/>
          <w:highlight w:val="none"/>
          <w:lang w:val="en-US" w:eastAsia="zh-CN"/>
        </w:rPr>
      </w:pPr>
    </w:p>
    <w:p w14:paraId="75CB3893">
      <w:pPr>
        <w:spacing w:line="24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二、合同价格</w:t>
      </w:r>
    </w:p>
    <w:p w14:paraId="2A7689A5">
      <w:pPr>
        <w:pStyle w:val="16"/>
        <w:snapToGrid w:val="0"/>
        <w:spacing w:line="24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lang w:val="en-US" w:eastAsia="zh-CN"/>
        </w:rPr>
        <w:t>1、合同价格（</w:t>
      </w:r>
      <w:r>
        <w:rPr>
          <w:rFonts w:hint="eastAsia" w:ascii="宋体" w:hAnsi="宋体" w:eastAsia="宋体" w:cs="宋体"/>
          <w:b/>
          <w:bCs/>
          <w:sz w:val="21"/>
          <w:szCs w:val="21"/>
        </w:rPr>
        <w:t>金额单位：元</w:t>
      </w:r>
      <w:r>
        <w:rPr>
          <w:rFonts w:hint="eastAsia" w:ascii="宋体" w:hAnsi="宋体" w:eastAsia="宋体" w:cs="宋体"/>
          <w:b/>
          <w:bCs/>
          <w:sz w:val="21"/>
          <w:szCs w:val="21"/>
          <w:lang w:eastAsia="zh-CN"/>
        </w:rPr>
        <w:t>）</w:t>
      </w:r>
      <w:r>
        <w:rPr>
          <w:rFonts w:hint="eastAsia" w:ascii="宋体" w:hAnsi="宋体" w:eastAsia="宋体" w:cs="宋体"/>
          <w:b/>
          <w:bCs/>
          <w:sz w:val="21"/>
          <w:szCs w:val="21"/>
        </w:rPr>
        <w:t xml:space="preserve"> </w:t>
      </w:r>
    </w:p>
    <w:tbl>
      <w:tblPr>
        <w:tblStyle w:val="3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600"/>
        <w:gridCol w:w="1788"/>
        <w:gridCol w:w="1848"/>
        <w:gridCol w:w="1070"/>
        <w:gridCol w:w="1116"/>
        <w:gridCol w:w="2068"/>
      </w:tblGrid>
      <w:tr w14:paraId="78BA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66" w:type="dxa"/>
            <w:noWrap w:val="0"/>
            <w:vAlign w:val="center"/>
          </w:tcPr>
          <w:p w14:paraId="4276E1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序号</w:t>
            </w:r>
          </w:p>
        </w:tc>
        <w:tc>
          <w:tcPr>
            <w:tcW w:w="2388" w:type="dxa"/>
            <w:gridSpan w:val="2"/>
            <w:noWrap w:val="0"/>
            <w:vAlign w:val="center"/>
          </w:tcPr>
          <w:p w14:paraId="4EF56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服务内容</w:t>
            </w:r>
          </w:p>
        </w:tc>
        <w:tc>
          <w:tcPr>
            <w:tcW w:w="1848" w:type="dxa"/>
            <w:noWrap w:val="0"/>
            <w:vAlign w:val="center"/>
          </w:tcPr>
          <w:p w14:paraId="74F19F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最高限价</w:t>
            </w:r>
          </w:p>
        </w:tc>
        <w:tc>
          <w:tcPr>
            <w:tcW w:w="1070" w:type="dxa"/>
            <w:noWrap w:val="0"/>
            <w:vAlign w:val="center"/>
          </w:tcPr>
          <w:p w14:paraId="3A0B38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中标折扣系数</w:t>
            </w:r>
          </w:p>
        </w:tc>
        <w:tc>
          <w:tcPr>
            <w:tcW w:w="1116" w:type="dxa"/>
            <w:noWrap w:val="0"/>
            <w:vAlign w:val="center"/>
          </w:tcPr>
          <w:p w14:paraId="451042BB">
            <w:pPr>
              <w:pStyle w:val="1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8" w:firstLineChars="0"/>
              <w:jc w:val="center"/>
              <w:textAlignment w:val="auto"/>
              <w:rPr>
                <w:rFonts w:hint="eastAsia" w:ascii="宋体" w:hAnsi="宋体" w:eastAsia="宋体" w:cs="宋体"/>
                <w:b/>
                <w:sz w:val="18"/>
                <w:szCs w:val="18"/>
              </w:rPr>
            </w:pPr>
            <w:r>
              <w:rPr>
                <w:rFonts w:hint="eastAsia" w:ascii="宋体" w:hAnsi="宋体" w:eastAsia="宋体" w:cs="宋体"/>
                <w:b/>
                <w:sz w:val="18"/>
                <w:szCs w:val="18"/>
              </w:rPr>
              <w:t>综合单价（含税）</w:t>
            </w:r>
          </w:p>
        </w:tc>
        <w:tc>
          <w:tcPr>
            <w:tcW w:w="2068" w:type="dxa"/>
            <w:noWrap w:val="0"/>
            <w:vAlign w:val="center"/>
          </w:tcPr>
          <w:p w14:paraId="020ECB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sz w:val="18"/>
                <w:szCs w:val="18"/>
              </w:rPr>
            </w:pPr>
            <w:r>
              <w:rPr>
                <w:rFonts w:hint="eastAsia" w:ascii="宋体" w:hAnsi="宋体" w:eastAsia="宋体" w:cs="宋体"/>
                <w:b/>
                <w:sz w:val="18"/>
                <w:szCs w:val="18"/>
              </w:rPr>
              <w:t>备注</w:t>
            </w:r>
          </w:p>
        </w:tc>
      </w:tr>
      <w:tr w14:paraId="4C60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66" w:type="dxa"/>
            <w:noWrap w:val="0"/>
            <w:vAlign w:val="center"/>
          </w:tcPr>
          <w:p w14:paraId="71A23BB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1</w:t>
            </w:r>
          </w:p>
        </w:tc>
        <w:tc>
          <w:tcPr>
            <w:tcW w:w="2388" w:type="dxa"/>
            <w:gridSpan w:val="2"/>
            <w:noWrap w:val="0"/>
            <w:vAlign w:val="center"/>
          </w:tcPr>
          <w:p w14:paraId="7DB2B865">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sz w:val="18"/>
                <w:szCs w:val="18"/>
              </w:rPr>
              <w:t>安检业务服务</w:t>
            </w:r>
          </w:p>
        </w:tc>
        <w:tc>
          <w:tcPr>
            <w:tcW w:w="1848" w:type="dxa"/>
            <w:noWrap w:val="0"/>
            <w:vAlign w:val="center"/>
          </w:tcPr>
          <w:p w14:paraId="7DD9DE55">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u w:val="none"/>
              </w:rPr>
            </w:pPr>
            <w:r>
              <w:rPr>
                <w:rFonts w:hint="eastAsia" w:ascii="宋体" w:hAnsi="宋体" w:eastAsia="宋体" w:cs="宋体"/>
                <w:b w:val="0"/>
                <w:sz w:val="18"/>
                <w:szCs w:val="18"/>
                <w:u w:val="none"/>
                <w:lang w:val="en-US" w:eastAsia="zh-CN"/>
              </w:rPr>
              <w:t>14</w:t>
            </w:r>
            <w:r>
              <w:rPr>
                <w:rFonts w:hint="eastAsia" w:ascii="宋体" w:hAnsi="宋体" w:eastAsia="宋体" w:cs="宋体"/>
                <w:b w:val="0"/>
                <w:sz w:val="18"/>
                <w:szCs w:val="18"/>
                <w:u w:val="none"/>
              </w:rPr>
              <w:t>（元/</w:t>
            </w:r>
            <w:r>
              <w:rPr>
                <w:rFonts w:hint="eastAsia" w:ascii="宋体" w:hAnsi="宋体" w:eastAsia="宋体" w:cs="宋体"/>
                <w:b w:val="0"/>
                <w:sz w:val="18"/>
                <w:szCs w:val="18"/>
                <w:u w:val="none"/>
                <w:lang w:val="en-US" w:eastAsia="zh-CN"/>
              </w:rPr>
              <w:t>户·次</w:t>
            </w:r>
            <w:r>
              <w:rPr>
                <w:rFonts w:hint="eastAsia" w:ascii="宋体" w:hAnsi="宋体" w:eastAsia="宋体" w:cs="宋体"/>
                <w:b w:val="0"/>
                <w:sz w:val="18"/>
                <w:szCs w:val="18"/>
                <w:u w:val="none"/>
              </w:rPr>
              <w:t>）</w:t>
            </w:r>
          </w:p>
        </w:tc>
        <w:tc>
          <w:tcPr>
            <w:tcW w:w="1070" w:type="dxa"/>
            <w:vMerge w:val="restart"/>
            <w:noWrap w:val="0"/>
            <w:vAlign w:val="center"/>
          </w:tcPr>
          <w:p w14:paraId="6460D9D9">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sz w:val="18"/>
                <w:szCs w:val="18"/>
              </w:rPr>
            </w:pPr>
          </w:p>
        </w:tc>
        <w:tc>
          <w:tcPr>
            <w:tcW w:w="1116" w:type="dxa"/>
            <w:noWrap w:val="0"/>
            <w:vAlign w:val="center"/>
          </w:tcPr>
          <w:p w14:paraId="10623BD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c>
          <w:tcPr>
            <w:tcW w:w="2068" w:type="dxa"/>
            <w:noWrap w:val="0"/>
            <w:vAlign w:val="center"/>
          </w:tcPr>
          <w:p w14:paraId="3D0285E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color w:val="auto"/>
                <w:kern w:val="2"/>
                <w:sz w:val="18"/>
                <w:szCs w:val="18"/>
                <w:highlight w:val="none"/>
                <w:lang w:val="en-US" w:eastAsia="zh-CN" w:bidi="ar-SA"/>
              </w:rPr>
            </w:pPr>
          </w:p>
        </w:tc>
      </w:tr>
      <w:tr w14:paraId="60CE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66" w:type="dxa"/>
            <w:noWrap w:val="0"/>
            <w:vAlign w:val="center"/>
          </w:tcPr>
          <w:p w14:paraId="368A879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2</w:t>
            </w:r>
          </w:p>
        </w:tc>
        <w:tc>
          <w:tcPr>
            <w:tcW w:w="2388" w:type="dxa"/>
            <w:gridSpan w:val="2"/>
            <w:noWrap w:val="0"/>
            <w:vAlign w:val="center"/>
          </w:tcPr>
          <w:p w14:paraId="294DDE94">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sz w:val="18"/>
                <w:szCs w:val="18"/>
              </w:rPr>
              <w:t>通气业务服务</w:t>
            </w:r>
          </w:p>
        </w:tc>
        <w:tc>
          <w:tcPr>
            <w:tcW w:w="1848" w:type="dxa"/>
            <w:noWrap w:val="0"/>
            <w:vAlign w:val="center"/>
          </w:tcPr>
          <w:p w14:paraId="2B8FAE38">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u w:val="none"/>
              </w:rPr>
            </w:pPr>
            <w:r>
              <w:rPr>
                <w:rFonts w:hint="eastAsia" w:ascii="宋体" w:hAnsi="宋体" w:eastAsia="宋体" w:cs="宋体"/>
                <w:b w:val="0"/>
                <w:sz w:val="18"/>
                <w:szCs w:val="18"/>
                <w:u w:val="none"/>
                <w:lang w:val="en-US" w:eastAsia="zh-CN"/>
              </w:rPr>
              <w:t>36</w:t>
            </w:r>
            <w:r>
              <w:rPr>
                <w:rFonts w:hint="eastAsia" w:ascii="宋体" w:hAnsi="宋体" w:eastAsia="宋体" w:cs="宋体"/>
                <w:b w:val="0"/>
                <w:sz w:val="18"/>
                <w:szCs w:val="18"/>
                <w:u w:val="none"/>
              </w:rPr>
              <w:t>（元/</w:t>
            </w:r>
            <w:r>
              <w:rPr>
                <w:rFonts w:hint="eastAsia" w:ascii="宋体" w:hAnsi="宋体" w:eastAsia="宋体" w:cs="宋体"/>
                <w:b w:val="0"/>
                <w:sz w:val="18"/>
                <w:szCs w:val="18"/>
                <w:u w:val="none"/>
                <w:lang w:val="en-US" w:eastAsia="zh-CN"/>
              </w:rPr>
              <w:t>户·次</w:t>
            </w:r>
            <w:r>
              <w:rPr>
                <w:rFonts w:hint="eastAsia" w:ascii="宋体" w:hAnsi="宋体" w:eastAsia="宋体" w:cs="宋体"/>
                <w:b w:val="0"/>
                <w:sz w:val="18"/>
                <w:szCs w:val="18"/>
                <w:u w:val="none"/>
              </w:rPr>
              <w:t>）</w:t>
            </w:r>
          </w:p>
        </w:tc>
        <w:tc>
          <w:tcPr>
            <w:tcW w:w="1070" w:type="dxa"/>
            <w:vMerge w:val="continue"/>
            <w:noWrap w:val="0"/>
            <w:vAlign w:val="center"/>
          </w:tcPr>
          <w:p w14:paraId="20184D20">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sz w:val="18"/>
                <w:szCs w:val="18"/>
              </w:rPr>
            </w:pPr>
          </w:p>
        </w:tc>
        <w:tc>
          <w:tcPr>
            <w:tcW w:w="1116" w:type="dxa"/>
            <w:noWrap w:val="0"/>
            <w:vAlign w:val="center"/>
          </w:tcPr>
          <w:p w14:paraId="25B507E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c>
          <w:tcPr>
            <w:tcW w:w="2068" w:type="dxa"/>
            <w:noWrap w:val="0"/>
            <w:vAlign w:val="center"/>
          </w:tcPr>
          <w:p w14:paraId="732C0D8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color w:val="auto"/>
                <w:sz w:val="18"/>
                <w:szCs w:val="18"/>
                <w:highlight w:val="none"/>
                <w:lang w:val="zh-CN"/>
              </w:rPr>
            </w:pPr>
          </w:p>
        </w:tc>
      </w:tr>
      <w:tr w14:paraId="4AB2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vMerge w:val="restart"/>
            <w:noWrap w:val="0"/>
            <w:vAlign w:val="center"/>
          </w:tcPr>
          <w:p w14:paraId="6927389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sz w:val="18"/>
                <w:szCs w:val="18"/>
              </w:rPr>
              <w:t>3</w:t>
            </w:r>
          </w:p>
        </w:tc>
        <w:tc>
          <w:tcPr>
            <w:tcW w:w="600" w:type="dxa"/>
            <w:vMerge w:val="restart"/>
            <w:noWrap w:val="0"/>
            <w:vAlign w:val="center"/>
          </w:tcPr>
          <w:p w14:paraId="2ABE001F">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r>
              <w:rPr>
                <w:rFonts w:hint="eastAsia" w:ascii="宋体" w:hAnsi="宋体" w:eastAsia="宋体" w:cs="宋体"/>
                <w:b w:val="0"/>
                <w:sz w:val="18"/>
                <w:szCs w:val="18"/>
              </w:rPr>
              <w:t>抄表业务服务</w:t>
            </w:r>
          </w:p>
        </w:tc>
        <w:tc>
          <w:tcPr>
            <w:tcW w:w="1788" w:type="dxa"/>
            <w:noWrap w:val="0"/>
            <w:vAlign w:val="center"/>
          </w:tcPr>
          <w:p w14:paraId="7B85FF04">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eastAsia="宋体" w:cs="宋体"/>
                <w:b w:val="0"/>
                <w:sz w:val="18"/>
                <w:szCs w:val="18"/>
                <w:highlight w:val="none"/>
                <w:lang w:val="en-US" w:eastAsia="zh-CN"/>
              </w:rPr>
              <w:t>普通表</w:t>
            </w:r>
          </w:p>
        </w:tc>
        <w:tc>
          <w:tcPr>
            <w:tcW w:w="1848" w:type="dxa"/>
            <w:noWrap w:val="0"/>
            <w:vAlign w:val="center"/>
          </w:tcPr>
          <w:p w14:paraId="75B29E5D">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highlight w:val="none"/>
                <w:u w:val="none"/>
              </w:rPr>
            </w:pPr>
            <w:r>
              <w:rPr>
                <w:rFonts w:hint="eastAsia" w:ascii="宋体" w:hAnsi="宋体" w:eastAsia="宋体" w:cs="宋体"/>
                <w:b w:val="0"/>
                <w:sz w:val="18"/>
                <w:szCs w:val="18"/>
                <w:highlight w:val="none"/>
                <w:u w:val="none"/>
                <w:lang w:val="en-US" w:eastAsia="zh-CN"/>
              </w:rPr>
              <w:t>1.77</w:t>
            </w:r>
            <w:r>
              <w:rPr>
                <w:rFonts w:hint="eastAsia" w:ascii="宋体" w:hAnsi="宋体" w:eastAsia="宋体" w:cs="宋体"/>
                <w:b w:val="0"/>
                <w:sz w:val="18"/>
                <w:szCs w:val="18"/>
                <w:highlight w:val="none"/>
                <w:u w:val="none"/>
              </w:rPr>
              <w:t>（元/</w:t>
            </w:r>
            <w:r>
              <w:rPr>
                <w:rFonts w:hint="eastAsia" w:ascii="宋体" w:hAnsi="宋体" w:eastAsia="宋体" w:cs="宋体"/>
                <w:b w:val="0"/>
                <w:sz w:val="18"/>
                <w:szCs w:val="18"/>
                <w:highlight w:val="none"/>
                <w:u w:val="none"/>
                <w:lang w:val="en-US" w:eastAsia="zh-CN"/>
              </w:rPr>
              <w:t>户·次</w:t>
            </w:r>
            <w:r>
              <w:rPr>
                <w:rFonts w:hint="eastAsia" w:ascii="宋体" w:hAnsi="宋体" w:eastAsia="宋体" w:cs="宋体"/>
                <w:b w:val="0"/>
                <w:sz w:val="18"/>
                <w:szCs w:val="18"/>
                <w:highlight w:val="none"/>
                <w:u w:val="none"/>
              </w:rPr>
              <w:t>）</w:t>
            </w:r>
          </w:p>
        </w:tc>
        <w:tc>
          <w:tcPr>
            <w:tcW w:w="1070" w:type="dxa"/>
            <w:vMerge w:val="continue"/>
            <w:noWrap w:val="0"/>
            <w:vAlign w:val="center"/>
          </w:tcPr>
          <w:p w14:paraId="61D3644C">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sz w:val="18"/>
                <w:szCs w:val="18"/>
                <w:highlight w:val="none"/>
              </w:rPr>
            </w:pPr>
          </w:p>
        </w:tc>
        <w:tc>
          <w:tcPr>
            <w:tcW w:w="1116" w:type="dxa"/>
            <w:noWrap w:val="0"/>
            <w:vAlign w:val="center"/>
          </w:tcPr>
          <w:p w14:paraId="01FEFAF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c>
          <w:tcPr>
            <w:tcW w:w="2068" w:type="dxa"/>
            <w:noWrap w:val="0"/>
            <w:vAlign w:val="center"/>
          </w:tcPr>
          <w:p w14:paraId="16252CC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r>
      <w:tr w14:paraId="4C63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vMerge w:val="continue"/>
            <w:noWrap w:val="0"/>
            <w:vAlign w:val="center"/>
          </w:tcPr>
          <w:p w14:paraId="0EAB5E3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rPr>
            </w:pPr>
          </w:p>
        </w:tc>
        <w:tc>
          <w:tcPr>
            <w:tcW w:w="600" w:type="dxa"/>
            <w:vMerge w:val="continue"/>
            <w:noWrap w:val="0"/>
            <w:vAlign w:val="center"/>
          </w:tcPr>
          <w:p w14:paraId="35CF39DF">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rPr>
            </w:pPr>
          </w:p>
        </w:tc>
        <w:tc>
          <w:tcPr>
            <w:tcW w:w="1788" w:type="dxa"/>
            <w:noWrap w:val="0"/>
            <w:vAlign w:val="center"/>
          </w:tcPr>
          <w:p w14:paraId="5F38A501">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物联网表、恒芯远传表、微信自助抄表</w:t>
            </w:r>
          </w:p>
        </w:tc>
        <w:tc>
          <w:tcPr>
            <w:tcW w:w="1848" w:type="dxa"/>
            <w:noWrap w:val="0"/>
            <w:vAlign w:val="center"/>
          </w:tcPr>
          <w:p w14:paraId="1D83C514">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highlight w:val="none"/>
                <w:u w:val="none"/>
              </w:rPr>
            </w:pPr>
            <w:r>
              <w:rPr>
                <w:rFonts w:hint="eastAsia" w:ascii="宋体" w:hAnsi="宋体" w:eastAsia="宋体" w:cs="宋体"/>
                <w:b w:val="0"/>
                <w:sz w:val="18"/>
                <w:szCs w:val="18"/>
                <w:highlight w:val="none"/>
                <w:u w:val="none"/>
                <w:lang w:val="en-US" w:eastAsia="zh-CN"/>
              </w:rPr>
              <w:t>0.46</w:t>
            </w:r>
            <w:r>
              <w:rPr>
                <w:rFonts w:hint="eastAsia" w:ascii="宋体" w:hAnsi="宋体" w:eastAsia="宋体" w:cs="宋体"/>
                <w:b w:val="0"/>
                <w:sz w:val="18"/>
                <w:szCs w:val="18"/>
                <w:highlight w:val="none"/>
                <w:u w:val="none"/>
              </w:rPr>
              <w:t>（元/</w:t>
            </w:r>
            <w:r>
              <w:rPr>
                <w:rFonts w:hint="eastAsia" w:ascii="宋体" w:hAnsi="宋体" w:eastAsia="宋体" w:cs="宋体"/>
                <w:b w:val="0"/>
                <w:sz w:val="18"/>
                <w:szCs w:val="18"/>
                <w:highlight w:val="none"/>
                <w:u w:val="none"/>
                <w:lang w:val="en-US" w:eastAsia="zh-CN"/>
              </w:rPr>
              <w:t>户·次</w:t>
            </w:r>
            <w:r>
              <w:rPr>
                <w:rFonts w:hint="eastAsia" w:ascii="宋体" w:hAnsi="宋体" w:eastAsia="宋体" w:cs="宋体"/>
                <w:b w:val="0"/>
                <w:sz w:val="18"/>
                <w:szCs w:val="18"/>
                <w:highlight w:val="none"/>
                <w:u w:val="none"/>
              </w:rPr>
              <w:t>）</w:t>
            </w:r>
          </w:p>
        </w:tc>
        <w:tc>
          <w:tcPr>
            <w:tcW w:w="1070" w:type="dxa"/>
            <w:vMerge w:val="continue"/>
            <w:noWrap w:val="0"/>
            <w:vAlign w:val="center"/>
          </w:tcPr>
          <w:p w14:paraId="2B0CCAD8">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sz w:val="18"/>
                <w:szCs w:val="18"/>
                <w:highlight w:val="none"/>
              </w:rPr>
            </w:pPr>
          </w:p>
        </w:tc>
        <w:tc>
          <w:tcPr>
            <w:tcW w:w="1116" w:type="dxa"/>
            <w:noWrap w:val="0"/>
            <w:vAlign w:val="center"/>
          </w:tcPr>
          <w:p w14:paraId="6274BF5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c>
          <w:tcPr>
            <w:tcW w:w="2068" w:type="dxa"/>
            <w:noWrap w:val="0"/>
            <w:vAlign w:val="center"/>
          </w:tcPr>
          <w:p w14:paraId="407A2ED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r>
      <w:tr w14:paraId="07F2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noWrap w:val="0"/>
            <w:vAlign w:val="center"/>
          </w:tcPr>
          <w:p w14:paraId="5EA7932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2388" w:type="dxa"/>
            <w:gridSpan w:val="2"/>
            <w:noWrap w:val="0"/>
            <w:vAlign w:val="center"/>
          </w:tcPr>
          <w:p w14:paraId="3B2C7FB4">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eastAsia="宋体" w:cs="宋体"/>
                <w:b w:val="0"/>
                <w:sz w:val="18"/>
                <w:szCs w:val="18"/>
                <w:highlight w:val="none"/>
                <w:lang w:val="en-US" w:eastAsia="zh-CN"/>
              </w:rPr>
              <w:t>非居民</w:t>
            </w:r>
            <w:r>
              <w:rPr>
                <w:rFonts w:hint="eastAsia" w:ascii="宋体" w:hAnsi="宋体" w:eastAsia="宋体" w:cs="宋体"/>
                <w:b w:val="0"/>
                <w:sz w:val="18"/>
                <w:szCs w:val="18"/>
                <w:highlight w:val="none"/>
              </w:rPr>
              <w:t>安检业务服务</w:t>
            </w:r>
          </w:p>
        </w:tc>
        <w:tc>
          <w:tcPr>
            <w:tcW w:w="1848" w:type="dxa"/>
            <w:noWrap w:val="0"/>
            <w:vAlign w:val="center"/>
          </w:tcPr>
          <w:p w14:paraId="332EFB42">
            <w:pPr>
              <w:keepNext w:val="0"/>
              <w:keepLines w:val="0"/>
              <w:widowControl/>
              <w:suppressLineNumbers w:val="0"/>
              <w:spacing w:before="0" w:beforeAutospacing="0" w:after="0" w:afterAutospacing="0"/>
              <w:ind w:left="0" w:right="0"/>
              <w:jc w:val="center"/>
              <w:rPr>
                <w:rFonts w:hint="eastAsia" w:ascii="宋体" w:hAnsi="宋体" w:eastAsia="宋体" w:cs="宋体"/>
                <w:b w:val="0"/>
                <w:sz w:val="18"/>
                <w:szCs w:val="18"/>
                <w:highlight w:val="none"/>
                <w:u w:val="none"/>
                <w:lang w:val="en-US" w:eastAsia="zh-CN"/>
              </w:rPr>
            </w:pPr>
            <w:r>
              <w:rPr>
                <w:rFonts w:hint="eastAsia" w:ascii="宋体" w:hAnsi="宋体" w:eastAsia="宋体" w:cs="宋体"/>
                <w:b w:val="0"/>
                <w:sz w:val="18"/>
                <w:szCs w:val="18"/>
                <w:highlight w:val="none"/>
                <w:u w:val="none"/>
                <w:lang w:val="en-US" w:eastAsia="zh-CN"/>
              </w:rPr>
              <w:t>120</w:t>
            </w:r>
            <w:r>
              <w:rPr>
                <w:rFonts w:hint="eastAsia" w:ascii="宋体" w:hAnsi="宋体" w:eastAsia="宋体" w:cs="宋体"/>
                <w:b w:val="0"/>
                <w:sz w:val="18"/>
                <w:szCs w:val="18"/>
                <w:highlight w:val="none"/>
                <w:u w:val="none"/>
              </w:rPr>
              <w:t>（元/</w:t>
            </w:r>
            <w:r>
              <w:rPr>
                <w:rFonts w:hint="eastAsia" w:ascii="宋体" w:hAnsi="宋体" w:eastAsia="宋体" w:cs="宋体"/>
                <w:b w:val="0"/>
                <w:sz w:val="18"/>
                <w:szCs w:val="18"/>
                <w:highlight w:val="none"/>
                <w:u w:val="none"/>
                <w:lang w:val="en-US" w:eastAsia="zh-CN"/>
              </w:rPr>
              <w:t>户·次</w:t>
            </w:r>
            <w:r>
              <w:rPr>
                <w:rFonts w:hint="eastAsia" w:ascii="宋体" w:hAnsi="宋体" w:eastAsia="宋体" w:cs="宋体"/>
                <w:b w:val="0"/>
                <w:sz w:val="18"/>
                <w:szCs w:val="18"/>
                <w:highlight w:val="none"/>
                <w:u w:val="none"/>
              </w:rPr>
              <w:t>）</w:t>
            </w:r>
          </w:p>
        </w:tc>
        <w:tc>
          <w:tcPr>
            <w:tcW w:w="1070" w:type="dxa"/>
            <w:vMerge w:val="continue"/>
            <w:noWrap w:val="0"/>
            <w:vAlign w:val="center"/>
          </w:tcPr>
          <w:p w14:paraId="707C3497">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sz w:val="18"/>
                <w:szCs w:val="18"/>
                <w:highlight w:val="none"/>
              </w:rPr>
            </w:pPr>
          </w:p>
        </w:tc>
        <w:tc>
          <w:tcPr>
            <w:tcW w:w="1116" w:type="dxa"/>
            <w:noWrap w:val="0"/>
            <w:vAlign w:val="center"/>
          </w:tcPr>
          <w:p w14:paraId="1BEE25D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c>
          <w:tcPr>
            <w:tcW w:w="2068" w:type="dxa"/>
            <w:noWrap w:val="0"/>
            <w:vAlign w:val="center"/>
          </w:tcPr>
          <w:p w14:paraId="33035AF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r>
      <w:tr w14:paraId="2699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noWrap w:val="0"/>
            <w:vAlign w:val="center"/>
          </w:tcPr>
          <w:p w14:paraId="4D672AF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2388" w:type="dxa"/>
            <w:gridSpan w:val="2"/>
            <w:noWrap w:val="0"/>
            <w:vAlign w:val="center"/>
          </w:tcPr>
          <w:p w14:paraId="72648FA0">
            <w:pPr>
              <w:keepNext w:val="0"/>
              <w:keepLines w:val="0"/>
              <w:widowControl/>
              <w:suppressLineNumbers w:val="0"/>
              <w:spacing w:before="0" w:beforeAutospacing="0" w:after="0" w:afterAutospacing="0"/>
              <w:ind w:left="0" w:right="0"/>
              <w:jc w:val="center"/>
              <w:rPr>
                <w:rFonts w:hint="eastAsia" w:ascii="宋体" w:hAnsi="宋体" w:eastAsia="宋体" w:cs="宋体"/>
                <w:sz w:val="18"/>
                <w:szCs w:val="18"/>
                <w:highlight w:val="none"/>
              </w:rPr>
            </w:pPr>
            <w:r>
              <w:rPr>
                <w:rFonts w:hint="eastAsia" w:ascii="宋体" w:hAnsi="宋体" w:eastAsia="宋体" w:cs="宋体"/>
                <w:b w:val="0"/>
                <w:sz w:val="18"/>
                <w:szCs w:val="18"/>
                <w:highlight w:val="none"/>
                <w:lang w:val="en-US" w:eastAsia="zh-CN"/>
              </w:rPr>
              <w:t>非居民</w:t>
            </w:r>
            <w:r>
              <w:rPr>
                <w:rFonts w:hint="eastAsia" w:ascii="宋体" w:hAnsi="宋体" w:eastAsia="宋体" w:cs="宋体"/>
                <w:b w:val="0"/>
                <w:sz w:val="18"/>
                <w:szCs w:val="18"/>
                <w:highlight w:val="none"/>
              </w:rPr>
              <w:t>抄表业务服务</w:t>
            </w:r>
          </w:p>
        </w:tc>
        <w:tc>
          <w:tcPr>
            <w:tcW w:w="1848" w:type="dxa"/>
            <w:noWrap w:val="0"/>
            <w:vAlign w:val="center"/>
          </w:tcPr>
          <w:p w14:paraId="2FBFAD27">
            <w:pPr>
              <w:keepNext w:val="0"/>
              <w:keepLines w:val="0"/>
              <w:widowControl/>
              <w:suppressLineNumbers w:val="0"/>
              <w:spacing w:before="0" w:beforeAutospacing="0" w:after="0" w:afterAutospacing="0"/>
              <w:ind w:left="0" w:right="0"/>
              <w:jc w:val="center"/>
              <w:rPr>
                <w:rFonts w:hint="eastAsia" w:ascii="宋体" w:hAnsi="宋体" w:eastAsia="宋体" w:cs="宋体"/>
                <w:b w:val="0"/>
                <w:sz w:val="18"/>
                <w:szCs w:val="18"/>
                <w:highlight w:val="none"/>
                <w:u w:val="none"/>
                <w:lang w:val="en-US" w:eastAsia="zh-CN"/>
              </w:rPr>
            </w:pPr>
            <w:r>
              <w:rPr>
                <w:rFonts w:hint="eastAsia" w:ascii="宋体" w:hAnsi="宋体" w:eastAsia="宋体" w:cs="宋体"/>
                <w:b w:val="0"/>
                <w:sz w:val="18"/>
                <w:szCs w:val="18"/>
                <w:highlight w:val="none"/>
                <w:u w:val="none"/>
                <w:lang w:val="en-US" w:eastAsia="zh-CN"/>
              </w:rPr>
              <w:t>16</w:t>
            </w:r>
            <w:r>
              <w:rPr>
                <w:rFonts w:hint="eastAsia" w:ascii="宋体" w:hAnsi="宋体" w:eastAsia="宋体" w:cs="宋体"/>
                <w:b w:val="0"/>
                <w:sz w:val="18"/>
                <w:szCs w:val="18"/>
                <w:highlight w:val="none"/>
                <w:u w:val="none"/>
              </w:rPr>
              <w:t>（元/</w:t>
            </w:r>
            <w:r>
              <w:rPr>
                <w:rFonts w:hint="eastAsia" w:ascii="宋体" w:hAnsi="宋体" w:eastAsia="宋体" w:cs="宋体"/>
                <w:b w:val="0"/>
                <w:sz w:val="18"/>
                <w:szCs w:val="18"/>
                <w:highlight w:val="none"/>
                <w:u w:val="none"/>
                <w:lang w:val="en-US" w:eastAsia="zh-CN"/>
              </w:rPr>
              <w:t>户·次</w:t>
            </w:r>
            <w:r>
              <w:rPr>
                <w:rFonts w:hint="eastAsia" w:ascii="宋体" w:hAnsi="宋体" w:eastAsia="宋体" w:cs="宋体"/>
                <w:b w:val="0"/>
                <w:sz w:val="18"/>
                <w:szCs w:val="18"/>
                <w:highlight w:val="none"/>
                <w:u w:val="none"/>
              </w:rPr>
              <w:t>）</w:t>
            </w:r>
          </w:p>
        </w:tc>
        <w:tc>
          <w:tcPr>
            <w:tcW w:w="1070" w:type="dxa"/>
            <w:vMerge w:val="continue"/>
            <w:noWrap w:val="0"/>
            <w:vAlign w:val="center"/>
          </w:tcPr>
          <w:p w14:paraId="64B1052E">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sz w:val="18"/>
                <w:szCs w:val="18"/>
                <w:highlight w:val="none"/>
              </w:rPr>
            </w:pPr>
          </w:p>
        </w:tc>
        <w:tc>
          <w:tcPr>
            <w:tcW w:w="1116" w:type="dxa"/>
            <w:noWrap w:val="0"/>
            <w:vAlign w:val="center"/>
          </w:tcPr>
          <w:p w14:paraId="76B73D3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c>
          <w:tcPr>
            <w:tcW w:w="2068" w:type="dxa"/>
            <w:noWrap w:val="0"/>
            <w:vAlign w:val="center"/>
          </w:tcPr>
          <w:p w14:paraId="233FAB0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 w:val="18"/>
                <w:szCs w:val="18"/>
              </w:rPr>
            </w:pPr>
          </w:p>
        </w:tc>
      </w:tr>
      <w:tr w14:paraId="3EBC7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8956" w:type="dxa"/>
            <w:gridSpan w:val="7"/>
            <w:noWrap w:val="0"/>
            <w:vAlign w:val="center"/>
          </w:tcPr>
          <w:p w14:paraId="564797FB">
            <w:pPr>
              <w:keepNext w:val="0"/>
              <w:keepLines w:val="0"/>
              <w:suppressLineNumbers w:val="0"/>
              <w:adjustRightInd w:val="0"/>
              <w:snapToGrid w:val="0"/>
              <w:spacing w:before="0" w:beforeAutospacing="0" w:after="0" w:afterAutospacing="0"/>
              <w:ind w:left="0" w:right="0"/>
              <w:jc w:val="both"/>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注：</w:t>
            </w:r>
          </w:p>
          <w:p w14:paraId="263AD5FA">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1）</w:t>
            </w:r>
            <w:r>
              <w:rPr>
                <w:rFonts w:hint="eastAsia" w:ascii="宋体" w:hAnsi="宋体" w:eastAsia="宋体" w:cs="宋体"/>
                <w:b/>
                <w:bCs/>
                <w:sz w:val="18"/>
                <w:szCs w:val="18"/>
                <w:highlight w:val="none"/>
              </w:rPr>
              <w:t>某类服务项目的综合单价 = 中标折扣系数 × 该类服务项目最高限价</w:t>
            </w:r>
            <w:r>
              <w:rPr>
                <w:rFonts w:hint="eastAsia" w:ascii="宋体" w:hAnsi="宋体" w:eastAsia="宋体" w:cs="宋体"/>
                <w:b/>
                <w:bCs/>
                <w:sz w:val="18"/>
                <w:szCs w:val="18"/>
                <w:highlight w:val="none"/>
                <w:lang w:eastAsia="zh-CN"/>
              </w:rPr>
              <w:t>；</w:t>
            </w:r>
          </w:p>
          <w:p w14:paraId="2C6AE0A4">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2）中标折扣系数按照采购文件附件五“中标折扣系数承诺函”规定执行，并在中标入围通知书中明确。</w:t>
            </w:r>
          </w:p>
          <w:p w14:paraId="44E19D0E">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3）本合同采用固定综合单价合同，结算以实际服务量进行结算。</w:t>
            </w:r>
          </w:p>
          <w:p w14:paraId="5ADA24D3">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4）甲方中标折扣系数，以及本项目实际合同价计算方法均在合同规定的期限内保持不变，结算以实际项目发生量进行结算。</w:t>
            </w:r>
          </w:p>
          <w:p w14:paraId="0CEB4F23">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5）任务分配：</w:t>
            </w:r>
          </w:p>
          <w:p w14:paraId="4BADECED">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（1）本项目乙方为3家，乙方业务分配量原则上为合同实际总额的</w:t>
            </w:r>
            <w:r>
              <w:rPr>
                <w:rFonts w:hint="eastAsia" w:ascii="宋体" w:hAnsi="宋体" w:eastAsia="宋体" w:cs="宋体"/>
                <w:b/>
                <w:sz w:val="18"/>
                <w:szCs w:val="18"/>
                <w:highlight w:val="none"/>
                <w:u w:val="single"/>
                <w:lang w:val="en-US" w:eastAsia="zh-CN"/>
              </w:rPr>
              <w:t xml:space="preserve">       </w:t>
            </w:r>
            <w:r>
              <w:rPr>
                <w:rFonts w:hint="eastAsia" w:ascii="宋体" w:hAnsi="宋体" w:eastAsia="宋体" w:cs="宋体"/>
                <w:b/>
                <w:sz w:val="18"/>
                <w:szCs w:val="18"/>
                <w:highlight w:val="none"/>
                <w:lang w:val="en-US" w:eastAsia="zh-CN"/>
              </w:rPr>
              <w:t>%。</w:t>
            </w:r>
          </w:p>
          <w:p w14:paraId="37B54D10">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（2）如乙方实际服务质量、用户评价一般或较差，甚至给甲方造成不良影响的，除按合同进行处罚外，甲方可以减少其后续任务分配量，直至终止合同。</w:t>
            </w:r>
          </w:p>
          <w:p w14:paraId="5882E8A0">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（3）如某乙方实际服务质量、用户评价明显优于其他乙方（包括不仅限于有突出表现，给甲方</w:t>
            </w:r>
            <w:r>
              <w:rPr>
                <w:rFonts w:hint="eastAsia" w:ascii="宋体" w:hAnsi="宋体" w:eastAsia="宋体" w:cs="宋体"/>
                <w:b/>
                <w:bCs/>
                <w:strike w:val="0"/>
                <w:dstrike w:val="0"/>
                <w:color w:val="auto"/>
                <w:kern w:val="0"/>
                <w:sz w:val="18"/>
                <w:szCs w:val="18"/>
                <w:highlight w:val="none"/>
                <w:lang w:val="en-US" w:eastAsia="zh-CN" w:bidi="ar-SA"/>
              </w:rPr>
              <w:t>带来实实在在经济效益、社会效益等好处，</w:t>
            </w:r>
            <w:r>
              <w:rPr>
                <w:rFonts w:hint="eastAsia" w:ascii="宋体" w:hAnsi="宋体" w:eastAsia="宋体" w:cs="宋体"/>
                <w:b/>
                <w:sz w:val="18"/>
                <w:szCs w:val="18"/>
                <w:highlight w:val="none"/>
                <w:lang w:val="en-US" w:eastAsia="zh-CN"/>
              </w:rPr>
              <w:t>获得官方媒体、居民社区、政府部门正面曝光，为甲方争光的），甲方审核属实，经</w:t>
            </w:r>
            <w:r>
              <w:rPr>
                <w:rFonts w:hint="eastAsia" w:ascii="宋体" w:hAnsi="宋体" w:cs="宋体"/>
                <w:b/>
                <w:sz w:val="18"/>
                <w:szCs w:val="18"/>
                <w:highlight w:val="none"/>
                <w:lang w:val="en-US" w:eastAsia="zh-CN"/>
              </w:rPr>
              <w:t>甲方</w:t>
            </w:r>
            <w:r>
              <w:rPr>
                <w:rFonts w:hint="eastAsia" w:ascii="宋体" w:hAnsi="宋体" w:eastAsia="宋体" w:cs="宋体"/>
                <w:b/>
                <w:sz w:val="18"/>
                <w:szCs w:val="18"/>
                <w:highlight w:val="none"/>
                <w:lang w:val="en-US" w:eastAsia="zh-CN"/>
              </w:rPr>
              <w:t>会议批准后，有权对该乙方实行业务分配量倾斜政策，加大其后续任务分配量，包括不仅限于突破实际总额的41%的份额；</w:t>
            </w:r>
          </w:p>
          <w:p w14:paraId="47FA5700">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6）具体派单：</w:t>
            </w:r>
          </w:p>
          <w:p w14:paraId="3CFA4DD5">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乙方（各入围单位）需无条件配合甲方任务分配，否则视为自动放弃，甲方按照本合同第六条规定对乙方进行处罚，直至取消其中标入围资格。</w:t>
            </w:r>
          </w:p>
          <w:p w14:paraId="40D85045">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lang w:val="en-US" w:eastAsia="zh-CN"/>
              </w:rPr>
              <w:t>7）其他：</w:t>
            </w:r>
            <w:r>
              <w:rPr>
                <w:rFonts w:hint="eastAsia" w:ascii="宋体" w:hAnsi="宋体" w:eastAsia="宋体" w:cs="宋体"/>
                <w:b/>
                <w:sz w:val="18"/>
                <w:szCs w:val="18"/>
                <w:highlight w:val="none"/>
                <w:u w:val="single"/>
                <w:lang w:val="en-US" w:eastAsia="zh-CN"/>
              </w:rPr>
              <w:t>每年服务次数要求，按采购文件及甲方要求执行</w:t>
            </w:r>
            <w:r>
              <w:rPr>
                <w:rFonts w:hint="eastAsia" w:ascii="宋体" w:hAnsi="宋体" w:eastAsia="宋体" w:cs="宋体"/>
                <w:b/>
                <w:sz w:val="18"/>
                <w:szCs w:val="18"/>
                <w:highlight w:val="none"/>
                <w:lang w:val="en-US" w:eastAsia="zh-CN"/>
              </w:rPr>
              <w:t>。</w:t>
            </w:r>
          </w:p>
          <w:p w14:paraId="7498CEAE">
            <w:pPr>
              <w:pStyle w:val="3"/>
              <w:keepLines w:val="0"/>
              <w:suppressLineNumbers w:val="0"/>
              <w:spacing w:before="0" w:beforeAutospacing="0" w:after="0" w:afterAutospacing="0"/>
              <w:ind w:left="0" w:right="0"/>
              <w:rPr>
                <w:rFonts w:hint="eastAsia" w:ascii="宋体" w:hAnsi="宋体" w:eastAsia="宋体" w:cs="宋体"/>
                <w:highlight w:val="none"/>
                <w:lang w:val="en-US" w:eastAsia="zh-CN"/>
              </w:rPr>
            </w:pPr>
          </w:p>
        </w:tc>
      </w:tr>
      <w:tr w14:paraId="62BE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8956" w:type="dxa"/>
            <w:gridSpan w:val="7"/>
            <w:noWrap w:val="0"/>
            <w:vAlign w:val="center"/>
          </w:tcPr>
          <w:p w14:paraId="6CC91C4C">
            <w:pPr>
              <w:keepNext w:val="0"/>
              <w:keepLines w:val="0"/>
              <w:suppressLineNumbers w:val="0"/>
              <w:spacing w:before="0" w:beforeAutospacing="0" w:after="0" w:afterAutospacing="0"/>
              <w:ind w:left="0" w:right="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1、第一合同年度乙方各项业务量</w:t>
            </w:r>
            <w:r>
              <w:rPr>
                <w:rFonts w:hint="eastAsia" w:ascii="宋体" w:hAnsi="宋体" w:eastAsia="宋体" w:cs="宋体"/>
                <w:b/>
                <w:bCs/>
                <w:color w:val="auto"/>
                <w:sz w:val="18"/>
                <w:szCs w:val="18"/>
                <w:highlight w:val="none"/>
              </w:rPr>
              <w:t>分配原则：</w:t>
            </w:r>
          </w:p>
          <w:p w14:paraId="0AB96D44">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rPr>
              <w:t>原则上综合得分排名第一的</w:t>
            </w:r>
            <w:r>
              <w:rPr>
                <w:rFonts w:hint="eastAsia" w:ascii="宋体" w:hAnsi="宋体" w:eastAsia="宋体" w:cs="宋体"/>
                <w:b/>
                <w:bCs/>
                <w:color w:val="auto"/>
                <w:sz w:val="18"/>
                <w:szCs w:val="18"/>
                <w:highlight w:val="none"/>
                <w:lang w:val="en-US" w:eastAsia="zh-CN"/>
              </w:rPr>
              <w:t>乙方业务分配量为各项业务年度总量的</w:t>
            </w:r>
            <w:r>
              <w:rPr>
                <w:rFonts w:hint="eastAsia" w:ascii="宋体" w:hAnsi="宋体" w:eastAsia="宋体" w:cs="宋体"/>
                <w:b/>
                <w:bCs/>
                <w:color w:val="auto"/>
                <w:sz w:val="18"/>
                <w:szCs w:val="18"/>
                <w:highlight w:val="none"/>
              </w:rPr>
              <w:t>4</w:t>
            </w: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rPr>
              <w:t>%，综合得分排名第二的</w:t>
            </w:r>
            <w:r>
              <w:rPr>
                <w:rFonts w:hint="eastAsia" w:ascii="宋体" w:hAnsi="宋体" w:eastAsia="宋体" w:cs="宋体"/>
                <w:b/>
                <w:bCs/>
                <w:color w:val="auto"/>
                <w:sz w:val="18"/>
                <w:szCs w:val="18"/>
                <w:highlight w:val="none"/>
                <w:lang w:val="en-US" w:eastAsia="zh-CN"/>
              </w:rPr>
              <w:t>乙方业务分配量为33</w:t>
            </w:r>
            <w:r>
              <w:rPr>
                <w:rFonts w:hint="eastAsia" w:ascii="宋体" w:hAnsi="宋体" w:eastAsia="宋体" w:cs="宋体"/>
                <w:b/>
                <w:bCs/>
                <w:color w:val="auto"/>
                <w:sz w:val="18"/>
                <w:szCs w:val="18"/>
                <w:highlight w:val="none"/>
              </w:rPr>
              <w:t>%，综合得分排名第三的</w:t>
            </w:r>
            <w:r>
              <w:rPr>
                <w:rFonts w:hint="eastAsia" w:ascii="宋体" w:hAnsi="宋体" w:eastAsia="宋体" w:cs="宋体"/>
                <w:b/>
                <w:bCs/>
                <w:color w:val="auto"/>
                <w:sz w:val="18"/>
                <w:szCs w:val="18"/>
                <w:highlight w:val="none"/>
                <w:lang w:val="en-US" w:eastAsia="zh-CN"/>
              </w:rPr>
              <w:t>乙方</w:t>
            </w:r>
            <w:r>
              <w:rPr>
                <w:rFonts w:hint="eastAsia" w:ascii="宋体" w:hAnsi="宋体" w:eastAsia="宋体" w:cs="宋体"/>
                <w:b/>
                <w:bCs/>
                <w:color w:val="auto"/>
                <w:sz w:val="18"/>
                <w:szCs w:val="18"/>
                <w:highlight w:val="none"/>
              </w:rPr>
              <w:t>业务分配量为</w:t>
            </w:r>
            <w:r>
              <w:rPr>
                <w:rFonts w:hint="eastAsia" w:ascii="宋体" w:hAnsi="宋体" w:eastAsia="宋体" w:cs="宋体"/>
                <w:b/>
                <w:bCs/>
                <w:color w:val="auto"/>
                <w:sz w:val="18"/>
                <w:szCs w:val="18"/>
                <w:highlight w:val="none"/>
                <w:lang w:val="en-US" w:eastAsia="zh-CN"/>
              </w:rPr>
              <w:t>26</w:t>
            </w:r>
            <w:r>
              <w:rPr>
                <w:rFonts w:hint="eastAsia" w:ascii="宋体" w:hAnsi="宋体" w:eastAsia="宋体" w:cs="宋体"/>
                <w:b/>
                <w:bCs/>
                <w:color w:val="auto"/>
                <w:sz w:val="18"/>
                <w:szCs w:val="18"/>
                <w:highlight w:val="none"/>
              </w:rPr>
              <w:t>%。</w:t>
            </w:r>
          </w:p>
          <w:p w14:paraId="7FDFD097">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如最终中标如为人为2家时，原则上综合得分排名第一的中标入围供应商业务分配量为各项业务年度总量的60%，综合得分排名第二的中标供应商业务分配量为40%。</w:t>
            </w:r>
          </w:p>
          <w:p w14:paraId="32B937AB">
            <w:pPr>
              <w:keepNext w:val="0"/>
              <w:keepLines w:val="0"/>
              <w:suppressLineNumbers w:val="0"/>
              <w:spacing w:before="0" w:beforeAutospacing="0" w:after="0" w:afterAutospacing="0"/>
              <w:ind w:left="0" w:right="0" w:firstLine="361" w:firstLineChars="200"/>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（2）各乙方</w:t>
            </w:r>
            <w:r>
              <w:rPr>
                <w:rFonts w:hint="eastAsia" w:ascii="宋体" w:hAnsi="宋体" w:eastAsia="宋体" w:cs="宋体"/>
                <w:b/>
                <w:bCs/>
                <w:color w:val="auto"/>
                <w:sz w:val="18"/>
                <w:szCs w:val="18"/>
                <w:highlight w:val="none"/>
              </w:rPr>
              <w:t>的实际</w:t>
            </w:r>
            <w:r>
              <w:rPr>
                <w:rFonts w:hint="eastAsia" w:ascii="宋体" w:hAnsi="宋体" w:eastAsia="宋体" w:cs="宋体"/>
                <w:b/>
                <w:bCs/>
                <w:color w:val="auto"/>
                <w:sz w:val="18"/>
                <w:szCs w:val="18"/>
                <w:highlight w:val="none"/>
                <w:lang w:val="en-US" w:eastAsia="zh-CN"/>
              </w:rPr>
              <w:t>合同</w:t>
            </w:r>
            <w:r>
              <w:rPr>
                <w:rFonts w:hint="eastAsia" w:ascii="宋体" w:hAnsi="宋体" w:eastAsia="宋体" w:cs="宋体"/>
                <w:b/>
                <w:bCs/>
                <w:color w:val="auto"/>
                <w:sz w:val="18"/>
                <w:szCs w:val="18"/>
                <w:highlight w:val="none"/>
              </w:rPr>
              <w:t>价</w:t>
            </w:r>
            <w:r>
              <w:rPr>
                <w:rFonts w:hint="eastAsia" w:ascii="宋体" w:hAnsi="宋体" w:eastAsia="宋体" w:cs="宋体"/>
                <w:b/>
                <w:bCs/>
                <w:color w:val="auto"/>
                <w:sz w:val="18"/>
                <w:szCs w:val="18"/>
                <w:highlight w:val="none"/>
                <w:lang w:val="en-US" w:eastAsia="zh-CN"/>
              </w:rPr>
              <w:t>见本表</w:t>
            </w:r>
            <w:r>
              <w:rPr>
                <w:rFonts w:hint="eastAsia" w:ascii="宋体" w:hAnsi="宋体" w:eastAsia="宋体" w:cs="宋体"/>
                <w:b/>
                <w:bCs/>
                <w:color w:val="auto"/>
                <w:sz w:val="18"/>
                <w:szCs w:val="18"/>
                <w:highlight w:val="none"/>
              </w:rPr>
              <w:t>。</w:t>
            </w:r>
          </w:p>
          <w:p w14:paraId="1AA2710A">
            <w:pPr>
              <w:pStyle w:val="3"/>
              <w:keepLines w:val="0"/>
              <w:suppressLineNumbers w:val="0"/>
              <w:spacing w:before="0" w:beforeAutospacing="0" w:after="0" w:afterAutospacing="0"/>
              <w:ind w:left="0" w:right="0"/>
              <w:jc w:val="both"/>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2、第二合同年度起，根据上一年度各乙方年度考核排名情况，当年分配按上述业务分配原则规定进行分配业务。</w:t>
            </w:r>
          </w:p>
          <w:p w14:paraId="54049CEE">
            <w:pPr>
              <w:pStyle w:val="3"/>
              <w:keepLines w:val="0"/>
              <w:suppressLineNumbers w:val="0"/>
              <w:spacing w:before="0" w:beforeAutospacing="0" w:after="0" w:afterAutospacing="0"/>
              <w:ind w:left="0" w:right="0"/>
              <w:jc w:val="both"/>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3、各乙方在本合同年度执行过程中，因乙方违约或者甲方考核时，被甲方暂停业务或者减少业务量分配，因此造成该乙方当年业务分配比例的减少，甲方不承担任何责任。</w:t>
            </w:r>
          </w:p>
        </w:tc>
      </w:tr>
    </w:tbl>
    <w:p w14:paraId="67E9F02D">
      <w:pPr>
        <w:adjustRightInd w:val="0"/>
        <w:snapToGrid w:val="0"/>
        <w:ind w:firstLine="420" w:firstLineChars="200"/>
        <w:jc w:val="both"/>
        <w:rPr>
          <w:rFonts w:hint="eastAsia" w:ascii="宋体" w:hAnsi="宋体" w:eastAsia="宋体" w:cs="宋体"/>
          <w:b w:val="0"/>
          <w:bCs w:val="0"/>
          <w:kern w:val="0"/>
          <w:sz w:val="21"/>
          <w:szCs w:val="21"/>
          <w:lang w:val="en-US" w:eastAsia="zh-CN" w:bidi="ar-SA"/>
        </w:rPr>
      </w:pPr>
    </w:p>
    <w:p w14:paraId="6F1B002C">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0"/>
          <w:sz w:val="21"/>
          <w:szCs w:val="21"/>
          <w:lang w:val="en-US" w:eastAsia="zh-CN" w:bidi="ar-SA"/>
        </w:rPr>
        <w:t>2、本合同中标折扣系数、上表中规定的各综合</w:t>
      </w:r>
      <w:r>
        <w:rPr>
          <w:rFonts w:hint="eastAsia" w:ascii="宋体" w:hAnsi="宋体" w:eastAsia="宋体" w:cs="宋体"/>
          <w:b w:val="0"/>
          <w:bCs w:val="0"/>
          <w:sz w:val="21"/>
          <w:szCs w:val="21"/>
          <w:lang w:val="en-US" w:eastAsia="zh-CN"/>
        </w:rPr>
        <w:t>单价均包括在承包区域内提供服务所需的一切人员工资、奖金、节日加班费及延误加班费、餐费、各种社会保险、培训、通讯、住宿与交通、工作服、管理费用、税费、利润以及完成合同所需的一切本身和不可或缺的所有工作开支、政策性文件</w:t>
      </w:r>
      <w:r>
        <w:rPr>
          <w:rFonts w:hint="eastAsia" w:ascii="宋体" w:hAnsi="宋体" w:eastAsia="宋体" w:cs="宋体"/>
          <w:b w:val="0"/>
          <w:bCs w:val="0"/>
          <w:sz w:val="21"/>
          <w:szCs w:val="21"/>
          <w:highlight w:val="none"/>
          <w:lang w:val="en-US" w:eastAsia="zh-CN"/>
        </w:rPr>
        <w:t>规定及合同包含的所有风险、责任等各项全部费用并承担一切风险责任。</w:t>
      </w:r>
    </w:p>
    <w:p w14:paraId="44B7E4A7">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乙方为完成服务工作所需的日常工具、安全防护、车辆等交通工具使用及其折旧费用、材料搬运、安全文明等费用也包含在中标折扣系数和该各综合单价中。</w:t>
      </w:r>
    </w:p>
    <w:p w14:paraId="0464B801">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乙方认为为完成本合同、采购文件规定的承包内容所需发生的直接成本、间接成本、利润、税金、政策性文件规定的费用等一切费用均应计入合同价格；凡未列入的，将被认为均已包含在合同价格中，今后不得以任何理由追加或调整。</w:t>
      </w:r>
    </w:p>
    <w:p w14:paraId="2D439DC3">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3、恒芯远传表（有线、无线）数据采集、NB-lot物联网表数据采集、上门核查、催费、客户意见工单处理、投诉处理不再另行重复计费。</w:t>
      </w:r>
    </w:p>
    <w:p w14:paraId="5CC1E78E">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4、抄表业务中估抄、物联网表、恒芯远传表、微信自助抄表用气量为0方的不再另行付费。</w:t>
      </w:r>
    </w:p>
    <w:p w14:paraId="4E1A5C48">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5、付款方式</w:t>
      </w:r>
    </w:p>
    <w:p w14:paraId="049D9432">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5.1履约担保的金额：</w:t>
      </w:r>
    </w:p>
    <w:p w14:paraId="39784210">
      <w:pPr>
        <w:pStyle w:val="12"/>
        <w:spacing w:after="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（1）乙方在</w:t>
      </w:r>
      <w:r>
        <w:rPr>
          <w:rFonts w:hint="eastAsia" w:ascii="宋体" w:hAnsi="宋体" w:eastAsia="宋体" w:cs="宋体"/>
          <w:kern w:val="0"/>
          <w:szCs w:val="21"/>
          <w:highlight w:val="none"/>
          <w:lang w:val="en-US" w:eastAsia="zh-CN"/>
        </w:rPr>
        <w:t>合同签订前7</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内</w:t>
      </w:r>
      <w:r>
        <w:rPr>
          <w:rFonts w:hint="eastAsia" w:ascii="宋体" w:hAnsi="宋体" w:eastAsia="宋体" w:cs="宋体"/>
          <w:kern w:val="0"/>
          <w:szCs w:val="21"/>
          <w:highlight w:val="none"/>
        </w:rPr>
        <w:t>须向甲方提交</w:t>
      </w:r>
      <w:r>
        <w:rPr>
          <w:rFonts w:hint="eastAsia" w:ascii="宋体" w:hAnsi="宋体" w:eastAsia="宋体" w:cs="宋体"/>
          <w:kern w:val="0"/>
          <w:szCs w:val="21"/>
          <w:highlight w:val="none"/>
          <w:lang w:val="en-US" w:eastAsia="zh-CN"/>
        </w:rPr>
        <w:t>人民币30万元</w:t>
      </w:r>
      <w:r>
        <w:rPr>
          <w:rFonts w:hint="eastAsia" w:ascii="宋体" w:hAnsi="宋体" w:eastAsia="宋体" w:cs="宋体"/>
          <w:kern w:val="0"/>
          <w:szCs w:val="21"/>
          <w:highlight w:val="none"/>
        </w:rPr>
        <w:t>整的履约保证金。要求以银行转账或电汇方式提交，否则甲方有权视乙方行为违约而拒签合同。</w:t>
      </w:r>
    </w:p>
    <w:p w14:paraId="1F44FC1D">
      <w:pPr>
        <w:pStyle w:val="12"/>
        <w:spacing w:after="0"/>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2）履约保证金用于补偿甲方因乙方不能履行其合同义务而蒙受的损失。履约保证金自合同签订之日起至合同结束止有效。甲方按合同约定罚没（扣除）乙方履约保证金后，乙方应在7日内补齐应缴履约保证金，否则视作乙方违约。</w:t>
      </w:r>
    </w:p>
    <w:p w14:paraId="4813D16F">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Cs w:val="21"/>
          <w:highlight w:val="none"/>
        </w:rPr>
        <w:t>（3）</w:t>
      </w:r>
      <w:r>
        <w:rPr>
          <w:rFonts w:hint="eastAsia" w:ascii="宋体" w:hAnsi="宋体" w:eastAsia="宋体" w:cs="宋体"/>
          <w:kern w:val="0"/>
          <w:szCs w:val="21"/>
          <w:highlight w:val="none"/>
          <w:lang w:val="en-US" w:eastAsia="zh-CN"/>
        </w:rPr>
        <w:t>合同</w:t>
      </w:r>
      <w:r>
        <w:rPr>
          <w:rFonts w:hint="eastAsia" w:ascii="宋体" w:hAnsi="宋体" w:eastAsia="宋体" w:cs="宋体"/>
          <w:kern w:val="0"/>
          <w:szCs w:val="21"/>
          <w:highlight w:val="none"/>
        </w:rPr>
        <w:t>有效期满后，经甲方确认核实，乙方</w:t>
      </w:r>
      <w:r>
        <w:rPr>
          <w:rFonts w:hint="eastAsia" w:ascii="宋体" w:hAnsi="宋体" w:eastAsia="宋体" w:cs="宋体"/>
          <w:kern w:val="0"/>
          <w:szCs w:val="21"/>
          <w:highlight w:val="none"/>
          <w:lang w:val="en-US" w:eastAsia="zh-CN"/>
        </w:rPr>
        <w:t>服务</w:t>
      </w:r>
      <w:r>
        <w:rPr>
          <w:rFonts w:hint="eastAsia" w:ascii="宋体" w:hAnsi="宋体" w:eastAsia="宋体" w:cs="宋体"/>
          <w:kern w:val="0"/>
          <w:szCs w:val="21"/>
          <w:highlight w:val="none"/>
        </w:rPr>
        <w:t>缺陷已经处理好，不存在其他遗留</w:t>
      </w:r>
      <w:r>
        <w:rPr>
          <w:rFonts w:hint="eastAsia" w:ascii="宋体" w:hAnsi="宋体" w:eastAsia="宋体" w:cs="宋体"/>
          <w:kern w:val="0"/>
          <w:szCs w:val="21"/>
          <w:highlight w:val="none"/>
          <w:lang w:val="en-US" w:eastAsia="zh-CN"/>
        </w:rPr>
        <w:t>服务</w:t>
      </w:r>
      <w:r>
        <w:rPr>
          <w:rFonts w:hint="eastAsia" w:ascii="宋体" w:hAnsi="宋体" w:eastAsia="宋体" w:cs="宋体"/>
          <w:kern w:val="0"/>
          <w:szCs w:val="21"/>
          <w:highlight w:val="none"/>
        </w:rPr>
        <w:t>问题的，甲方收到乙方通知后15日内无息退还</w:t>
      </w:r>
      <w:r>
        <w:rPr>
          <w:rFonts w:hint="eastAsia" w:ascii="宋体" w:hAnsi="宋体" w:eastAsia="宋体" w:cs="宋体"/>
          <w:kern w:val="0"/>
          <w:szCs w:val="21"/>
          <w:highlight w:val="none"/>
          <w:lang w:val="en-US" w:eastAsia="zh-CN"/>
        </w:rPr>
        <w:t>履约保证金</w:t>
      </w:r>
      <w:r>
        <w:rPr>
          <w:rFonts w:hint="eastAsia" w:ascii="宋体" w:hAnsi="宋体" w:eastAsia="宋体" w:cs="宋体"/>
          <w:kern w:val="0"/>
          <w:szCs w:val="21"/>
          <w:highlight w:val="none"/>
        </w:rPr>
        <w:t>。</w:t>
      </w:r>
    </w:p>
    <w:p w14:paraId="53495157">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5.2合同款支付：</w:t>
      </w:r>
    </w:p>
    <w:p w14:paraId="78C15E55">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（1）服务费由甲方按季度支付。乙方每季度开始之日起的5日内向甲方提供上季度经甲方确认的服务费全额增值税专用发票；甲方在收到发票后20日内，向乙方一次性付清上季度服务费。</w:t>
      </w:r>
    </w:p>
    <w:p w14:paraId="3920E7F6">
      <w:pPr>
        <w:adjustRightInd w:val="0"/>
        <w:snapToGrid w:val="0"/>
        <w:ind w:firstLine="420" w:firstLineChars="200"/>
        <w:jc w:val="both"/>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（2）乙方应提供正式全额增值税专用发票（含税，税率要求为6%），在合同履行期间，如国家税率政策调整，则根据国家政策调整执行。</w:t>
      </w:r>
    </w:p>
    <w:p w14:paraId="510AF177">
      <w:pPr>
        <w:adjustRightInd w:val="0"/>
        <w:snapToGrid w:val="0"/>
        <w:ind w:firstLine="420" w:firstLineChars="200"/>
        <w:jc w:val="both"/>
        <w:rPr>
          <w:rFonts w:hint="eastAsia" w:ascii="宋体" w:hAnsi="宋体" w:eastAsia="宋体" w:cs="宋体"/>
          <w:highlight w:val="none"/>
          <w:lang w:val="en-US" w:eastAsia="zh-CN"/>
        </w:rPr>
      </w:pPr>
      <w:r>
        <w:rPr>
          <w:rFonts w:hint="eastAsia" w:ascii="宋体" w:hAnsi="宋体" w:eastAsia="宋体" w:cs="宋体"/>
          <w:b w:val="0"/>
          <w:bCs w:val="0"/>
          <w:sz w:val="21"/>
          <w:szCs w:val="21"/>
          <w:highlight w:val="none"/>
          <w:lang w:val="en-US" w:eastAsia="zh-CN"/>
        </w:rPr>
        <w:t>6、在本合同履约完成后根据实际完成的业务量一次性结清剩余服务费用。</w:t>
      </w:r>
    </w:p>
    <w:p w14:paraId="44D09AC0">
      <w:pPr>
        <w:pStyle w:val="16"/>
        <w:rPr>
          <w:rFonts w:hint="eastAsia" w:ascii="宋体" w:hAnsi="宋体" w:eastAsia="宋体" w:cs="宋体"/>
          <w:b w:val="0"/>
          <w:bCs w:val="0"/>
          <w:highlight w:val="none"/>
        </w:rPr>
      </w:pPr>
    </w:p>
    <w:p w14:paraId="2F4106AD">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三、承包期限</w:t>
      </w:r>
    </w:p>
    <w:p w14:paraId="4068E884">
      <w:pPr>
        <w:pStyle w:val="12"/>
        <w:spacing w:after="0" w:line="240" w:lineRule="auto"/>
        <w:ind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b w:val="0"/>
          <w:sz w:val="21"/>
          <w:szCs w:val="21"/>
          <w:highlight w:val="none"/>
          <w:lang w:eastAsia="zh-CN"/>
        </w:rPr>
        <w:t>本项目合同期限1年，有效期从202</w:t>
      </w:r>
      <w:r>
        <w:rPr>
          <w:rFonts w:hint="eastAsia" w:ascii="宋体" w:hAnsi="宋体" w:eastAsia="宋体" w:cs="宋体"/>
          <w:b w:val="0"/>
          <w:sz w:val="21"/>
          <w:szCs w:val="21"/>
          <w:highlight w:val="none"/>
          <w:lang w:val="en-US" w:eastAsia="zh-CN"/>
        </w:rPr>
        <w:t>4</w:t>
      </w:r>
      <w:r>
        <w:rPr>
          <w:rFonts w:hint="eastAsia" w:ascii="宋体" w:hAnsi="宋体" w:eastAsia="宋体" w:cs="宋体"/>
          <w:b w:val="0"/>
          <w:sz w:val="21"/>
          <w:szCs w:val="21"/>
          <w:highlight w:val="none"/>
          <w:lang w:eastAsia="zh-CN"/>
        </w:rPr>
        <w:t>年  月   日 ～ 202</w:t>
      </w:r>
      <w:r>
        <w:rPr>
          <w:rFonts w:hint="eastAsia" w:ascii="宋体" w:hAnsi="宋体" w:eastAsia="宋体" w:cs="宋体"/>
          <w:b w:val="0"/>
          <w:sz w:val="21"/>
          <w:szCs w:val="21"/>
          <w:highlight w:val="none"/>
          <w:lang w:val="en-US" w:eastAsia="zh-CN"/>
        </w:rPr>
        <w:t>5</w:t>
      </w:r>
      <w:r>
        <w:rPr>
          <w:rFonts w:hint="eastAsia" w:ascii="宋体" w:hAnsi="宋体" w:eastAsia="宋体" w:cs="宋体"/>
          <w:b w:val="0"/>
          <w:sz w:val="21"/>
          <w:szCs w:val="21"/>
          <w:highlight w:val="none"/>
          <w:lang w:eastAsia="zh-CN"/>
        </w:rPr>
        <w:t>年  月   日止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气费催收顺延一个月。</w:t>
      </w:r>
    </w:p>
    <w:p w14:paraId="36B5CC5A">
      <w:pPr>
        <w:pStyle w:val="12"/>
        <w:spacing w:after="0" w:line="240" w:lineRule="auto"/>
        <w:ind w:firstLine="420" w:firstLineChars="200"/>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val="en-US" w:eastAsia="zh-CN"/>
        </w:rPr>
        <w:t>2、</w:t>
      </w:r>
      <w:r>
        <w:rPr>
          <w:rFonts w:hint="eastAsia" w:ascii="宋体" w:hAnsi="宋体" w:eastAsia="宋体" w:cs="宋体"/>
          <w:b w:val="0"/>
          <w:sz w:val="21"/>
          <w:szCs w:val="21"/>
          <w:highlight w:val="none"/>
          <w:lang w:eastAsia="zh-CN"/>
        </w:rPr>
        <w:t>乙方入围期限为3年，合同采用1+1+1年模式，一年一签</w:t>
      </w:r>
      <w:r>
        <w:rPr>
          <w:rFonts w:hint="eastAsia" w:ascii="宋体" w:hAnsi="宋体" w:eastAsia="宋体" w:cs="宋体"/>
          <w:highlight w:val="none"/>
          <w:lang w:eastAsia="zh-CN"/>
        </w:rPr>
        <w:t>，</w:t>
      </w:r>
      <w:r>
        <w:rPr>
          <w:rFonts w:hint="eastAsia" w:ascii="宋体" w:hAnsi="宋体" w:eastAsia="宋体" w:cs="宋体"/>
          <w:b/>
          <w:bCs/>
          <w:sz w:val="21"/>
          <w:szCs w:val="21"/>
          <w:highlight w:val="none"/>
          <w:lang w:eastAsia="zh-CN"/>
        </w:rPr>
        <w:t>续签合同的服务内容、要求和单价不变</w:t>
      </w:r>
      <w:r>
        <w:rPr>
          <w:rFonts w:hint="eastAsia" w:ascii="宋体" w:hAnsi="宋体" w:eastAsia="宋体" w:cs="宋体"/>
          <w:b w:val="0"/>
          <w:sz w:val="21"/>
          <w:szCs w:val="21"/>
          <w:highlight w:val="none"/>
          <w:lang w:eastAsia="zh-CN"/>
        </w:rPr>
        <w:t>。</w:t>
      </w:r>
    </w:p>
    <w:p w14:paraId="723DE54C">
      <w:pPr>
        <w:pStyle w:val="12"/>
        <w:spacing w:after="0" w:line="240" w:lineRule="auto"/>
        <w:ind w:firstLine="420" w:firstLineChars="200"/>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val="en-US" w:eastAsia="zh-CN"/>
        </w:rPr>
        <w:t>3、一年</w:t>
      </w:r>
      <w:r>
        <w:rPr>
          <w:rFonts w:hint="eastAsia" w:ascii="宋体" w:hAnsi="宋体" w:eastAsia="宋体" w:cs="宋体"/>
          <w:b w:val="0"/>
          <w:sz w:val="21"/>
          <w:szCs w:val="21"/>
          <w:highlight w:val="none"/>
          <w:lang w:eastAsia="zh-CN"/>
        </w:rPr>
        <w:t>合同到期后（也可视情况提前1-2月），由甲方对乙方进行履约验收（见合同附件</w:t>
      </w:r>
      <w:r>
        <w:rPr>
          <w:rFonts w:hint="eastAsia" w:ascii="宋体" w:hAnsi="宋体" w:eastAsia="宋体" w:cs="宋体"/>
          <w:b w:val="0"/>
          <w:sz w:val="21"/>
          <w:szCs w:val="21"/>
          <w:highlight w:val="none"/>
          <w:lang w:val="en-US" w:eastAsia="zh-CN"/>
        </w:rPr>
        <w:t>1《</w:t>
      </w:r>
      <w:r>
        <w:rPr>
          <w:rFonts w:hint="eastAsia" w:ascii="宋体" w:hAnsi="宋体" w:eastAsia="宋体" w:cs="宋体"/>
          <w:color w:val="auto"/>
          <w:highlight w:val="none"/>
          <w:lang w:val="en-US" w:eastAsia="zh-CN"/>
        </w:rPr>
        <w:t>考核管理办法</w:t>
      </w:r>
      <w:r>
        <w:rPr>
          <w:rFonts w:hint="eastAsia" w:ascii="宋体" w:hAnsi="宋体" w:eastAsia="宋体" w:cs="宋体"/>
          <w:b w:val="0"/>
          <w:sz w:val="21"/>
          <w:szCs w:val="21"/>
          <w:highlight w:val="none"/>
          <w:lang w:val="en-US" w:eastAsia="zh-CN"/>
        </w:rPr>
        <w:t>》及本合同第六条违约条款、第八条合同终止的规定</w:t>
      </w:r>
      <w:r>
        <w:rPr>
          <w:rFonts w:hint="eastAsia" w:ascii="宋体" w:hAnsi="宋体" w:eastAsia="宋体" w:cs="宋体"/>
          <w:b w:val="0"/>
          <w:sz w:val="21"/>
          <w:szCs w:val="21"/>
          <w:highlight w:val="none"/>
          <w:lang w:eastAsia="zh-CN"/>
        </w:rPr>
        <w:t>），</w:t>
      </w:r>
      <w:r>
        <w:rPr>
          <w:rFonts w:hint="eastAsia" w:ascii="宋体" w:hAnsi="宋体" w:eastAsia="宋体" w:cs="宋体"/>
          <w:b w:val="0"/>
          <w:sz w:val="21"/>
          <w:szCs w:val="21"/>
          <w:highlight w:val="none"/>
          <w:lang w:val="en-US" w:eastAsia="zh-CN"/>
        </w:rPr>
        <w:t>符合要求的</w:t>
      </w:r>
      <w:r>
        <w:rPr>
          <w:rFonts w:hint="eastAsia" w:ascii="宋体" w:hAnsi="宋体" w:eastAsia="宋体" w:cs="宋体"/>
          <w:b w:val="0"/>
          <w:sz w:val="21"/>
          <w:szCs w:val="21"/>
          <w:highlight w:val="none"/>
          <w:lang w:eastAsia="zh-CN"/>
        </w:rPr>
        <w:t>，如</w:t>
      </w:r>
      <w:r>
        <w:rPr>
          <w:rFonts w:hint="eastAsia" w:ascii="宋体" w:hAnsi="宋体" w:eastAsia="宋体" w:cs="宋体"/>
          <w:b w:val="0"/>
          <w:sz w:val="21"/>
          <w:szCs w:val="21"/>
          <w:highlight w:val="none"/>
          <w:lang w:val="en-US" w:eastAsia="zh-CN"/>
        </w:rPr>
        <w:t>甲方</w:t>
      </w:r>
      <w:r>
        <w:rPr>
          <w:rFonts w:hint="eastAsia" w:ascii="宋体" w:hAnsi="宋体" w:eastAsia="宋体" w:cs="宋体"/>
          <w:b w:val="0"/>
          <w:sz w:val="21"/>
          <w:szCs w:val="21"/>
          <w:highlight w:val="none"/>
          <w:lang w:eastAsia="zh-CN"/>
        </w:rPr>
        <w:t>需要且</w:t>
      </w:r>
      <w:r>
        <w:rPr>
          <w:rFonts w:hint="eastAsia" w:ascii="宋体" w:hAnsi="宋体" w:eastAsia="宋体" w:cs="宋体"/>
          <w:b w:val="0"/>
          <w:sz w:val="21"/>
          <w:szCs w:val="21"/>
          <w:highlight w:val="none"/>
          <w:lang w:val="en-US" w:eastAsia="zh-CN"/>
        </w:rPr>
        <w:t>乙方</w:t>
      </w:r>
      <w:r>
        <w:rPr>
          <w:rFonts w:hint="eastAsia" w:ascii="宋体" w:hAnsi="宋体" w:eastAsia="宋体" w:cs="宋体"/>
          <w:b w:val="0"/>
          <w:sz w:val="21"/>
          <w:szCs w:val="21"/>
          <w:highlight w:val="none"/>
          <w:lang w:eastAsia="zh-CN"/>
        </w:rPr>
        <w:t>提出申请，经甲方与乙方双方同意可以续签一年，最多续签两次</w:t>
      </w:r>
      <w:r>
        <w:rPr>
          <w:rFonts w:hint="eastAsia" w:ascii="宋体" w:hAnsi="宋体" w:eastAsia="宋体" w:cs="宋体"/>
          <w:b/>
          <w:bCs/>
          <w:sz w:val="21"/>
          <w:szCs w:val="21"/>
          <w:highlight w:val="none"/>
          <w:lang w:eastAsia="zh-CN"/>
        </w:rPr>
        <w:t>。</w:t>
      </w:r>
      <w:r>
        <w:rPr>
          <w:rFonts w:hint="eastAsia" w:ascii="宋体" w:hAnsi="宋体" w:eastAsia="宋体" w:cs="宋体"/>
          <w:b w:val="0"/>
          <w:sz w:val="21"/>
          <w:szCs w:val="21"/>
          <w:highlight w:val="none"/>
          <w:lang w:eastAsia="zh-CN"/>
        </w:rPr>
        <w:t>即使具备续签条件，甲方仍有权不续签。</w:t>
      </w:r>
    </w:p>
    <w:p w14:paraId="71A8A964">
      <w:pPr>
        <w:pStyle w:val="12"/>
        <w:spacing w:after="0" w:line="240" w:lineRule="auto"/>
        <w:ind w:firstLine="420" w:firstLineChars="200"/>
        <w:rPr>
          <w:rFonts w:hint="eastAsia" w:ascii="宋体" w:hAnsi="宋体" w:eastAsia="宋体" w:cs="宋体"/>
          <w:strike w:val="0"/>
          <w:dstrike w:val="0"/>
          <w:color w:val="auto"/>
          <w:sz w:val="21"/>
          <w:szCs w:val="21"/>
          <w:highlight w:val="none"/>
          <w:u w:val="none"/>
          <w:lang w:val="en-US" w:eastAsia="zh-CN"/>
        </w:rPr>
      </w:pPr>
      <w:r>
        <w:rPr>
          <w:rFonts w:hint="eastAsia" w:ascii="宋体" w:hAnsi="宋体" w:eastAsia="宋体" w:cs="宋体"/>
          <w:strike w:val="0"/>
          <w:dstrike w:val="0"/>
          <w:color w:val="auto"/>
          <w:sz w:val="21"/>
          <w:szCs w:val="21"/>
          <w:highlight w:val="none"/>
          <w:u w:val="none"/>
          <w:lang w:val="en-US" w:eastAsia="zh-CN"/>
        </w:rPr>
        <w:t>4、乙方已充分考虑因续签或不续签可能存在的各种风险因素、成本支出情况等，并无条件接受甲方的最终决定。</w:t>
      </w:r>
    </w:p>
    <w:p w14:paraId="3DA341C8">
      <w:pPr>
        <w:pStyle w:val="12"/>
        <w:spacing w:after="0" w:line="240" w:lineRule="auto"/>
        <w:ind w:firstLine="420" w:firstLineChars="200"/>
        <w:rPr>
          <w:rFonts w:hint="eastAsia" w:ascii="宋体" w:hAnsi="宋体" w:eastAsia="宋体" w:cs="宋体"/>
          <w:strike w:val="0"/>
          <w:dstrike w:val="0"/>
          <w:color w:val="auto"/>
          <w:sz w:val="21"/>
          <w:szCs w:val="21"/>
          <w:highlight w:val="none"/>
          <w:u w:val="none"/>
          <w:lang w:val="en-US" w:eastAsia="zh-CN"/>
        </w:rPr>
      </w:pPr>
      <w:r>
        <w:rPr>
          <w:rFonts w:hint="eastAsia" w:ascii="宋体" w:hAnsi="宋体" w:eastAsia="宋体" w:cs="宋体"/>
          <w:strike w:val="0"/>
          <w:dstrike w:val="0"/>
          <w:color w:val="auto"/>
          <w:sz w:val="21"/>
          <w:szCs w:val="21"/>
          <w:highlight w:val="none"/>
          <w:u w:val="none"/>
          <w:lang w:val="en-US" w:eastAsia="zh-CN"/>
        </w:rPr>
        <w:t>5、项目实施过程中如因乙方履约原因造成合同终止或考核不合格导致续签合同供应商数量不能满足工作需要的；或因工作需要需另行增补维养库供应商数量的，甲方有权根据实际情况结合本次采购结果依次递补至所需数量，也可另行组织供应商选定。</w:t>
      </w:r>
    </w:p>
    <w:p w14:paraId="7691435E">
      <w:pPr>
        <w:pStyle w:val="12"/>
        <w:spacing w:after="0" w:line="240" w:lineRule="auto"/>
        <w:ind w:firstLine="420" w:firstLineChars="200"/>
        <w:rPr>
          <w:rFonts w:hint="eastAsia" w:ascii="宋体" w:hAnsi="宋体" w:eastAsia="宋体" w:cs="宋体"/>
          <w:strike w:val="0"/>
          <w:dstrike w:val="0"/>
          <w:color w:val="auto"/>
          <w:sz w:val="21"/>
          <w:szCs w:val="21"/>
          <w:highlight w:val="none"/>
          <w:u w:val="single"/>
          <w:lang w:val="en-US" w:eastAsia="zh-CN"/>
        </w:rPr>
      </w:pPr>
      <w:r>
        <w:rPr>
          <w:rFonts w:hint="eastAsia" w:ascii="宋体" w:hAnsi="宋体" w:eastAsia="宋体" w:cs="宋体"/>
          <w:strike w:val="0"/>
          <w:dstrike w:val="0"/>
          <w:color w:val="auto"/>
          <w:sz w:val="21"/>
          <w:szCs w:val="21"/>
          <w:highlight w:val="none"/>
          <w:u w:val="single"/>
          <w:lang w:val="en-US" w:eastAsia="zh-CN"/>
        </w:rPr>
        <w:t>6、合同结束后（也可视情况提前1-2月），甲方均根据上述第三条第3款规定，</w:t>
      </w:r>
      <w:r>
        <w:rPr>
          <w:rFonts w:hint="eastAsia" w:ascii="宋体" w:hAnsi="宋体" w:eastAsia="宋体" w:cs="宋体"/>
          <w:b w:val="0"/>
          <w:sz w:val="21"/>
          <w:szCs w:val="21"/>
          <w:highlight w:val="none"/>
          <w:lang w:val="en-US" w:eastAsia="zh-CN"/>
        </w:rPr>
        <w:t>与考核合格的乙方续签下一期续约合同。</w:t>
      </w:r>
    </w:p>
    <w:p w14:paraId="7E05234B">
      <w:pPr>
        <w:spacing w:line="24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strike w:val="0"/>
          <w:dstrike w:val="0"/>
          <w:color w:val="auto"/>
          <w:sz w:val="21"/>
          <w:szCs w:val="21"/>
          <w:highlight w:val="none"/>
          <w:u w:val="single"/>
          <w:lang w:val="en-US" w:eastAsia="zh-CN"/>
        </w:rPr>
        <w:t>7、</w:t>
      </w:r>
      <w:r>
        <w:rPr>
          <w:rFonts w:hint="eastAsia" w:ascii="宋体" w:hAnsi="宋体" w:eastAsia="宋体" w:cs="宋体"/>
          <w:strike w:val="0"/>
          <w:dstrike w:val="0"/>
          <w:color w:val="auto"/>
          <w:kern w:val="0"/>
          <w:sz w:val="21"/>
          <w:szCs w:val="21"/>
          <w:highlight w:val="none"/>
          <w:u w:val="single"/>
          <w:lang w:val="en-US" w:eastAsia="zh-CN"/>
        </w:rPr>
        <w:t>各分项合同</w:t>
      </w:r>
      <w:r>
        <w:rPr>
          <w:rFonts w:hint="eastAsia" w:ascii="宋体" w:hAnsi="宋体" w:eastAsia="宋体" w:cs="宋体"/>
          <w:strike w:val="0"/>
          <w:dstrike w:val="0"/>
          <w:color w:val="auto"/>
          <w:sz w:val="21"/>
          <w:szCs w:val="21"/>
          <w:highlight w:val="none"/>
          <w:u w:val="single"/>
          <w:lang w:val="en-US" w:eastAsia="zh-CN"/>
        </w:rPr>
        <w:t>供应商（各乙方）收到甲方下达的工作任务单后，2小时内到甲方处对接，具体完工时间及要求以各甲方通知为准。</w:t>
      </w:r>
    </w:p>
    <w:p w14:paraId="03D60CAC">
      <w:pPr>
        <w:pStyle w:val="16"/>
        <w:rPr>
          <w:rFonts w:hint="eastAsia" w:ascii="宋体" w:hAnsi="宋体" w:eastAsia="宋体" w:cs="宋体"/>
          <w:highlight w:val="none"/>
        </w:rPr>
      </w:pPr>
    </w:p>
    <w:p w14:paraId="002DABD6">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四、服务外包区域范围 </w:t>
      </w:r>
    </w:p>
    <w:p w14:paraId="3E8F9A7F">
      <w:pPr>
        <w:autoSpaceDE w:val="0"/>
        <w:autoSpaceDN w:val="0"/>
        <w:adjustRightInd w:val="0"/>
        <w:spacing w:line="24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温州市燃气</w:t>
      </w:r>
      <w:r>
        <w:rPr>
          <w:rFonts w:hint="eastAsia" w:ascii="宋体" w:hAnsi="宋体" w:eastAsia="宋体" w:cs="宋体"/>
          <w:color w:val="auto"/>
          <w:sz w:val="21"/>
          <w:szCs w:val="21"/>
          <w:highlight w:val="none"/>
          <w:lang w:val="en-US" w:eastAsia="zh-CN"/>
        </w:rPr>
        <w:t>集团</w:t>
      </w:r>
      <w:r>
        <w:rPr>
          <w:rFonts w:hint="eastAsia" w:ascii="宋体" w:hAnsi="宋体" w:eastAsia="宋体" w:cs="宋体"/>
          <w:color w:val="auto"/>
          <w:sz w:val="21"/>
          <w:szCs w:val="21"/>
          <w:highlight w:val="none"/>
        </w:rPr>
        <w:t>有限公司特许经营许可的</w:t>
      </w:r>
      <w:r>
        <w:rPr>
          <w:rFonts w:hint="eastAsia" w:ascii="宋体" w:hAnsi="宋体" w:eastAsia="宋体" w:cs="宋体"/>
          <w:color w:val="auto"/>
          <w:sz w:val="21"/>
          <w:szCs w:val="21"/>
          <w:highlight w:val="none"/>
          <w:lang w:val="en-US" w:eastAsia="zh-CN"/>
        </w:rPr>
        <w:t>部分</w:t>
      </w:r>
      <w:r>
        <w:rPr>
          <w:rFonts w:hint="eastAsia" w:ascii="宋体" w:hAnsi="宋体" w:eastAsia="宋体" w:cs="宋体"/>
          <w:color w:val="auto"/>
          <w:sz w:val="21"/>
          <w:szCs w:val="21"/>
          <w:highlight w:val="none"/>
        </w:rPr>
        <w:t>客户</w:t>
      </w:r>
      <w:r>
        <w:rPr>
          <w:rFonts w:hint="eastAsia" w:ascii="宋体" w:hAnsi="宋体" w:eastAsia="宋体" w:cs="宋体"/>
          <w:color w:val="auto"/>
          <w:kern w:val="2"/>
          <w:sz w:val="21"/>
          <w:szCs w:val="21"/>
          <w:highlight w:val="none"/>
          <w:lang w:eastAsia="zh-CN"/>
        </w:rPr>
        <w:t>抄表、安检、</w:t>
      </w:r>
      <w:r>
        <w:rPr>
          <w:rFonts w:hint="eastAsia" w:ascii="宋体" w:hAnsi="宋体" w:eastAsia="宋体" w:cs="宋体"/>
          <w:color w:val="auto"/>
          <w:kern w:val="2"/>
          <w:sz w:val="21"/>
          <w:szCs w:val="21"/>
          <w:highlight w:val="none"/>
          <w:lang w:val="en-US" w:eastAsia="zh-CN"/>
        </w:rPr>
        <w:t>通气</w:t>
      </w:r>
      <w:r>
        <w:rPr>
          <w:rFonts w:hint="eastAsia" w:ascii="宋体" w:hAnsi="宋体" w:eastAsia="宋体" w:cs="宋体"/>
          <w:color w:val="auto"/>
          <w:sz w:val="21"/>
          <w:szCs w:val="21"/>
          <w:highlight w:val="none"/>
        </w:rPr>
        <w:t>业务</w:t>
      </w:r>
      <w:r>
        <w:rPr>
          <w:rFonts w:hint="eastAsia" w:ascii="宋体" w:hAnsi="宋体" w:eastAsia="宋体" w:cs="宋体"/>
          <w:color w:val="auto"/>
          <w:sz w:val="21"/>
          <w:szCs w:val="21"/>
          <w:highlight w:val="none"/>
          <w:lang w:val="en-US" w:eastAsia="zh-CN"/>
        </w:rPr>
        <w:t>，</w:t>
      </w:r>
      <w:r>
        <w:rPr>
          <w:rFonts w:hint="eastAsia" w:ascii="宋体" w:hAnsi="宋体" w:cs="宋体"/>
          <w:sz w:val="21"/>
          <w:szCs w:val="21"/>
          <w:highlight w:val="none"/>
          <w:lang w:val="en-US" w:eastAsia="zh-CN"/>
        </w:rPr>
        <w:t>通气</w:t>
      </w:r>
      <w:r>
        <w:rPr>
          <w:rFonts w:hint="eastAsia" w:ascii="宋体" w:hAnsi="宋体" w:eastAsia="宋体" w:cs="宋体"/>
          <w:sz w:val="21"/>
          <w:szCs w:val="21"/>
          <w:highlight w:val="none"/>
          <w:lang w:val="en-US" w:eastAsia="zh-CN"/>
        </w:rPr>
        <w:t>业务主体由</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lang w:val="en-US" w:eastAsia="zh-CN"/>
        </w:rPr>
        <w:t>通气验收员负责实施，</w:t>
      </w:r>
      <w:r>
        <w:rPr>
          <w:rFonts w:hint="eastAsia" w:ascii="宋体" w:hAnsi="宋体" w:cs="宋体"/>
          <w:sz w:val="21"/>
          <w:szCs w:val="21"/>
          <w:highlight w:val="none"/>
          <w:lang w:val="en-US" w:eastAsia="zh-CN"/>
        </w:rPr>
        <w:t>乙方</w:t>
      </w:r>
      <w:r>
        <w:rPr>
          <w:rFonts w:hint="eastAsia" w:ascii="宋体" w:hAnsi="宋体" w:eastAsia="宋体" w:cs="宋体"/>
          <w:sz w:val="21"/>
          <w:szCs w:val="21"/>
          <w:highlight w:val="none"/>
          <w:lang w:val="en-US" w:eastAsia="zh-CN"/>
        </w:rPr>
        <w:t>仅在年底等业务暴增的特殊时期内派员开展。</w:t>
      </w:r>
      <w:r>
        <w:rPr>
          <w:rFonts w:hint="eastAsia" w:ascii="宋体" w:hAnsi="宋体" w:eastAsia="宋体" w:cs="宋体"/>
          <w:color w:val="auto"/>
          <w:sz w:val="21"/>
          <w:szCs w:val="21"/>
          <w:highlight w:val="none"/>
          <w:lang w:val="en-US" w:eastAsia="zh-CN"/>
        </w:rPr>
        <w:t>具体明细详见附件2。</w:t>
      </w:r>
    </w:p>
    <w:p w14:paraId="78FDCE3A">
      <w:pPr>
        <w:spacing w:line="240" w:lineRule="auto"/>
        <w:ind w:left="142"/>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注：在服务期内新增的居民客户全部纳入服务范围。</w:t>
      </w:r>
    </w:p>
    <w:p w14:paraId="316B0684">
      <w:pPr>
        <w:spacing w:line="240" w:lineRule="auto"/>
        <w:rPr>
          <w:rFonts w:hint="eastAsia" w:ascii="宋体" w:hAnsi="宋体" w:eastAsia="宋体" w:cs="宋体"/>
          <w:b/>
          <w:bCs/>
          <w:color w:val="auto"/>
          <w:sz w:val="21"/>
          <w:szCs w:val="21"/>
          <w:highlight w:val="none"/>
        </w:rPr>
      </w:pPr>
    </w:p>
    <w:p w14:paraId="75C93659">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、权利和义务</w:t>
      </w:r>
    </w:p>
    <w:p w14:paraId="393BE69C">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（一）甲方的权利和义务 </w:t>
      </w:r>
    </w:p>
    <w:p w14:paraId="5DCA73C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1、甲方应</w:t>
      </w:r>
      <w:r>
        <w:rPr>
          <w:rFonts w:hint="eastAsia" w:ascii="宋体" w:hAnsi="宋体" w:eastAsia="宋体" w:cs="宋体"/>
          <w:b w:val="0"/>
          <w:bCs w:val="0"/>
          <w:color w:val="auto"/>
          <w:kern w:val="0"/>
          <w:sz w:val="21"/>
          <w:szCs w:val="21"/>
          <w:highlight w:val="none"/>
          <w:lang w:eastAsia="zh-CN"/>
        </w:rPr>
        <w:t>按合同约定支付服务费用。</w:t>
      </w:r>
    </w:p>
    <w:p w14:paraId="28F505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2、甲方提供服务质量标准、作业规范及考核办法。</w:t>
      </w:r>
      <w:r>
        <w:rPr>
          <w:rFonts w:hint="eastAsia" w:ascii="宋体" w:hAnsi="宋体" w:eastAsia="宋体" w:cs="宋体"/>
          <w:b w:val="0"/>
          <w:bCs w:val="0"/>
          <w:color w:val="auto"/>
          <w:kern w:val="0"/>
          <w:sz w:val="21"/>
          <w:szCs w:val="21"/>
          <w:highlight w:val="none"/>
          <w:lang w:eastAsia="zh-CN"/>
        </w:rPr>
        <w:t>定期对乙方工作质量进行抽查，</w:t>
      </w:r>
      <w:r>
        <w:rPr>
          <w:rFonts w:hint="eastAsia" w:ascii="宋体" w:hAnsi="宋体" w:eastAsia="宋体" w:cs="宋体"/>
          <w:b w:val="0"/>
          <w:bCs w:val="0"/>
          <w:color w:val="auto"/>
          <w:kern w:val="0"/>
          <w:sz w:val="21"/>
          <w:szCs w:val="21"/>
          <w:highlight w:val="none"/>
          <w:lang w:val="en-US" w:eastAsia="zh-CN"/>
        </w:rPr>
        <w:t>上岗前</w:t>
      </w:r>
      <w:r>
        <w:rPr>
          <w:rFonts w:hint="eastAsia" w:ascii="宋体" w:hAnsi="宋体" w:eastAsia="宋体" w:cs="宋体"/>
          <w:b w:val="0"/>
          <w:bCs w:val="0"/>
          <w:color w:val="auto"/>
          <w:kern w:val="0"/>
          <w:sz w:val="21"/>
          <w:szCs w:val="21"/>
          <w:highlight w:val="none"/>
          <w:lang w:eastAsia="zh-CN"/>
        </w:rPr>
        <w:t>对</w:t>
      </w:r>
      <w:r>
        <w:rPr>
          <w:rFonts w:hint="eastAsia" w:ascii="宋体" w:hAnsi="宋体" w:eastAsia="宋体" w:cs="宋体"/>
          <w:b w:val="0"/>
          <w:bCs w:val="0"/>
          <w:color w:val="auto"/>
          <w:kern w:val="0"/>
          <w:sz w:val="21"/>
          <w:szCs w:val="21"/>
          <w:highlight w:val="none"/>
          <w:lang w:val="en-US" w:eastAsia="zh-CN"/>
        </w:rPr>
        <w:t>乙方员工</w:t>
      </w:r>
      <w:r>
        <w:rPr>
          <w:rFonts w:hint="eastAsia" w:ascii="宋体" w:hAnsi="宋体" w:eastAsia="宋体" w:cs="宋体"/>
          <w:b w:val="0"/>
          <w:bCs w:val="0"/>
          <w:color w:val="auto"/>
          <w:kern w:val="0"/>
          <w:sz w:val="21"/>
          <w:szCs w:val="21"/>
          <w:highlight w:val="none"/>
          <w:lang w:eastAsia="zh-CN"/>
        </w:rPr>
        <w:t>进行考核，并将考核情况及时和乙方沟通，若发现乙方服务工作存在问题，甲方向乙方发出《整改通知单》，乙方须按《整改通知单》要求在规定时间内完成整改，甲方以此作为考核依据之一。若考核不达标甲方可在支付给乙方的服务费中作相应扣罚。</w:t>
      </w:r>
    </w:p>
    <w:p w14:paraId="6E3D7CD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eastAsia="zh-CN"/>
        </w:rPr>
        <w:t>根据业务开展需要，组织对乙方工作组成员进行工作交底和培训。</w:t>
      </w:r>
    </w:p>
    <w:p w14:paraId="1A8788A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lang w:eastAsia="zh-CN"/>
        </w:rPr>
        <w:t>甲方发现乙方工作组成员不服从管理、不听从指挥或工作不称职等，有权要求更换工作组成员，乙方应予以配合。</w:t>
      </w:r>
    </w:p>
    <w:p w14:paraId="0F31827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eastAsia="zh-CN"/>
        </w:rPr>
        <w:t>甲方指定的业务管理人员连同乙方管理人员对业务开展进行管理，并根据实际情况指导抄表、安检等业务工作。</w:t>
      </w:r>
    </w:p>
    <w:p w14:paraId="35657CE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eastAsia="zh-CN"/>
        </w:rPr>
        <w:t>每月组织乙方及乙方外包工作组成员召开不少于一次工作会议。发现问题随时召集乙方及乙方外包人员召开会议。</w:t>
      </w:r>
    </w:p>
    <w:p w14:paraId="535E8C96">
      <w:pPr>
        <w:pStyle w:val="16"/>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7、对乙方服务人员的管理：</w:t>
      </w:r>
    </w:p>
    <w:p w14:paraId="0C970B74">
      <w:pPr>
        <w:numPr>
          <w:ilvl w:val="0"/>
          <w:numId w:val="21"/>
        </w:numPr>
        <w:spacing w:line="240" w:lineRule="auto"/>
        <w:ind w:left="845" w:leftChars="0" w:hanging="425" w:firstLineChars="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甲方有权向乙方提出服务的具体要求，同时有权根据服务的具体情况和工作进展的情况，提出增减服务人员的要求，乙方应无条件配合。</w:t>
      </w:r>
    </w:p>
    <w:p w14:paraId="67D865CA">
      <w:pPr>
        <w:numPr>
          <w:ilvl w:val="0"/>
          <w:numId w:val="21"/>
        </w:numPr>
        <w:spacing w:line="240" w:lineRule="auto"/>
        <w:ind w:left="845" w:leftChars="0" w:hanging="425" w:firstLineChars="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甲方有权向乙方推荐合格服务人员，有权根据实际情况、考核情况，要求乙方剔除不符合要求的服务人员</w:t>
      </w:r>
      <w:r>
        <w:rPr>
          <w:rFonts w:hint="eastAsia" w:ascii="宋体" w:hAnsi="宋体" w:eastAsia="宋体" w:cs="宋体"/>
          <w:color w:val="auto"/>
        </w:rPr>
        <w:t>，乙方应无条件配合</w:t>
      </w:r>
      <w:r>
        <w:rPr>
          <w:rFonts w:hint="eastAsia" w:ascii="宋体" w:hAnsi="宋体" w:eastAsia="宋体" w:cs="宋体"/>
          <w:color w:val="auto"/>
          <w:sz w:val="22"/>
          <w:highlight w:val="none"/>
          <w:lang w:val="en-US" w:eastAsia="zh-CN"/>
        </w:rPr>
        <w:t>。</w:t>
      </w:r>
    </w:p>
    <w:p w14:paraId="1A6ACBBC">
      <w:pPr>
        <w:numPr>
          <w:ilvl w:val="0"/>
          <w:numId w:val="21"/>
        </w:numPr>
        <w:spacing w:line="240" w:lineRule="auto"/>
        <w:ind w:left="845" w:leftChars="0" w:hanging="425" w:firstLineChars="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甲方有权对乙方的服务人员管理提出意见和建议。</w:t>
      </w:r>
    </w:p>
    <w:p w14:paraId="6E11AADD">
      <w:pPr>
        <w:numPr>
          <w:ilvl w:val="0"/>
          <w:numId w:val="21"/>
        </w:numPr>
        <w:spacing w:line="240" w:lineRule="auto"/>
        <w:ind w:left="845" w:leftChars="0" w:hanging="425" w:firstLineChars="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甲方有权要求乙方服务人员遵守甲方的各项规章制度。在把各项规章制度告知服务人员后，有权按《劳动合同法》等规定，对违反各项规章制度的服务人员进行教育、批评、退回。</w:t>
      </w:r>
    </w:p>
    <w:p w14:paraId="0463B8D5">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（二）乙方的权利和义务</w:t>
      </w:r>
    </w:p>
    <w:p w14:paraId="20373241">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sz w:val="21"/>
          <w:szCs w:val="21"/>
          <w:highlight w:val="none"/>
        </w:rPr>
        <w:t>乙方不得将承接的项目任务转包或分包给其他单位或个人。不得以任何借口违反相关服务准则和安全、质量、进度控制标准，降低</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w:t>
      </w:r>
    </w:p>
    <w:p w14:paraId="37B04FCB">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保证工作组成员队伍的稳定性，</w:t>
      </w:r>
      <w:r>
        <w:rPr>
          <w:rFonts w:hint="eastAsia" w:ascii="宋体" w:hAnsi="宋体" w:eastAsia="宋体" w:cs="宋体"/>
          <w:color w:val="auto"/>
          <w:sz w:val="22"/>
          <w:highlight w:val="none"/>
          <w:lang w:eastAsia="zh-CN"/>
        </w:rPr>
        <w:t>乙方</w:t>
      </w:r>
      <w:r>
        <w:rPr>
          <w:rFonts w:hint="eastAsia" w:ascii="宋体" w:hAnsi="宋体" w:eastAsia="宋体" w:cs="宋体"/>
          <w:color w:val="auto"/>
          <w:sz w:val="22"/>
          <w:highlight w:val="none"/>
        </w:rPr>
        <w:t>根据</w:t>
      </w:r>
      <w:r>
        <w:rPr>
          <w:rFonts w:hint="eastAsia" w:ascii="宋体" w:hAnsi="宋体" w:eastAsia="宋体" w:cs="宋体"/>
          <w:color w:val="auto"/>
          <w:sz w:val="22"/>
          <w:highlight w:val="none"/>
          <w:lang w:eastAsia="zh-CN"/>
        </w:rPr>
        <w:t>甲方</w:t>
      </w:r>
      <w:r>
        <w:rPr>
          <w:rFonts w:hint="eastAsia" w:ascii="宋体" w:hAnsi="宋体" w:eastAsia="宋体" w:cs="宋体"/>
          <w:color w:val="auto"/>
          <w:sz w:val="22"/>
          <w:highlight w:val="none"/>
        </w:rPr>
        <w:t>提出的实际需求，</w:t>
      </w:r>
      <w:r>
        <w:rPr>
          <w:rFonts w:hint="eastAsia" w:ascii="宋体" w:hAnsi="宋体" w:eastAsia="宋体" w:cs="宋体"/>
          <w:color w:val="auto"/>
          <w:sz w:val="22"/>
          <w:highlight w:val="none"/>
          <w:lang w:val="en-US" w:eastAsia="zh-CN"/>
        </w:rPr>
        <w:t>配备合格的服务</w:t>
      </w:r>
      <w:r>
        <w:rPr>
          <w:rFonts w:hint="eastAsia" w:ascii="宋体" w:hAnsi="宋体" w:eastAsia="宋体" w:cs="宋体"/>
          <w:color w:val="auto"/>
          <w:sz w:val="22"/>
          <w:highlight w:val="none"/>
        </w:rPr>
        <w:t>人员；</w:t>
      </w:r>
      <w:r>
        <w:rPr>
          <w:rFonts w:hint="eastAsia" w:ascii="宋体" w:hAnsi="宋体" w:eastAsia="宋体" w:cs="宋体"/>
          <w:color w:val="auto"/>
          <w:sz w:val="22"/>
          <w:highlight w:val="none"/>
          <w:lang w:eastAsia="zh-CN"/>
        </w:rPr>
        <w:t>乙方</w:t>
      </w:r>
      <w:r>
        <w:rPr>
          <w:rFonts w:hint="eastAsia" w:ascii="宋体" w:hAnsi="宋体" w:eastAsia="宋体" w:cs="宋体"/>
          <w:color w:val="auto"/>
          <w:sz w:val="22"/>
          <w:highlight w:val="none"/>
        </w:rPr>
        <w:t>需保证</w:t>
      </w:r>
      <w:r>
        <w:rPr>
          <w:rFonts w:hint="eastAsia" w:ascii="宋体" w:hAnsi="宋体" w:eastAsia="宋体" w:cs="宋体"/>
          <w:color w:val="auto"/>
          <w:sz w:val="22"/>
          <w:highlight w:val="none"/>
          <w:lang w:val="en-US" w:eastAsia="zh-CN"/>
        </w:rPr>
        <w:t>服务</w:t>
      </w:r>
      <w:r>
        <w:rPr>
          <w:rFonts w:hint="eastAsia" w:ascii="宋体" w:hAnsi="宋体" w:eastAsia="宋体" w:cs="宋体"/>
          <w:color w:val="auto"/>
          <w:sz w:val="22"/>
          <w:highlight w:val="none"/>
        </w:rPr>
        <w:t>人员满足</w:t>
      </w:r>
      <w:r>
        <w:rPr>
          <w:rFonts w:hint="eastAsia" w:ascii="宋体" w:hAnsi="宋体" w:eastAsia="宋体" w:cs="宋体"/>
          <w:color w:val="auto"/>
          <w:sz w:val="22"/>
          <w:highlight w:val="none"/>
          <w:lang w:eastAsia="zh-CN"/>
        </w:rPr>
        <w:t>甲方</w:t>
      </w:r>
      <w:r>
        <w:rPr>
          <w:rFonts w:hint="eastAsia" w:ascii="宋体" w:hAnsi="宋体" w:eastAsia="宋体" w:cs="宋体"/>
          <w:color w:val="auto"/>
          <w:sz w:val="22"/>
          <w:highlight w:val="none"/>
        </w:rPr>
        <w:t>的实际需求并具备相应的</w:t>
      </w:r>
      <w:r>
        <w:rPr>
          <w:rFonts w:hint="eastAsia" w:ascii="宋体" w:hAnsi="宋体" w:eastAsia="宋体" w:cs="宋体"/>
          <w:color w:val="auto"/>
          <w:sz w:val="22"/>
          <w:highlight w:val="none"/>
          <w:lang w:val="en-US" w:eastAsia="zh-CN"/>
        </w:rPr>
        <w:t>技术能力</w:t>
      </w:r>
      <w:r>
        <w:rPr>
          <w:rFonts w:hint="eastAsia" w:ascii="宋体" w:hAnsi="宋体" w:eastAsia="宋体" w:cs="宋体"/>
          <w:color w:val="auto"/>
          <w:sz w:val="22"/>
          <w:highlight w:val="none"/>
        </w:rPr>
        <w:t>和应有的素质要求；</w:t>
      </w:r>
      <w:r>
        <w:rPr>
          <w:rFonts w:hint="eastAsia" w:ascii="宋体" w:hAnsi="宋体" w:eastAsia="宋体" w:cs="宋体"/>
          <w:b w:val="0"/>
          <w:bCs w:val="0"/>
          <w:color w:val="auto"/>
          <w:kern w:val="0"/>
          <w:sz w:val="21"/>
          <w:szCs w:val="21"/>
          <w:highlight w:val="none"/>
          <w:lang w:eastAsia="zh-CN"/>
        </w:rPr>
        <w:t>要求派驻工作组成员身体健康，品行良好，无不良行为，</w:t>
      </w:r>
      <w:r>
        <w:rPr>
          <w:rFonts w:hint="eastAsia" w:ascii="宋体" w:hAnsi="宋体" w:eastAsia="宋体" w:cs="宋体"/>
          <w:b w:val="0"/>
          <w:bCs w:val="0"/>
          <w:color w:val="auto"/>
          <w:kern w:val="0"/>
          <w:sz w:val="21"/>
          <w:szCs w:val="21"/>
          <w:highlight w:val="none"/>
          <w:lang w:val="en-US" w:eastAsia="zh-CN"/>
        </w:rPr>
        <w:t>无不良嗜好</w:t>
      </w:r>
      <w:r>
        <w:rPr>
          <w:rFonts w:hint="eastAsia" w:ascii="宋体" w:hAnsi="宋体" w:eastAsia="宋体" w:cs="宋体"/>
          <w:b w:val="0"/>
          <w:bCs w:val="0"/>
          <w:color w:val="auto"/>
          <w:kern w:val="0"/>
          <w:sz w:val="21"/>
          <w:szCs w:val="21"/>
          <w:highlight w:val="none"/>
          <w:lang w:eastAsia="zh-CN"/>
        </w:rPr>
        <w:t>，无犯罪记录</w:t>
      </w:r>
      <w:r>
        <w:rPr>
          <w:rFonts w:hint="eastAsia" w:ascii="宋体" w:hAnsi="宋体" w:eastAsia="宋体" w:cs="宋体"/>
          <w:color w:val="auto"/>
          <w:lang w:eastAsia="zh-CN"/>
        </w:rPr>
        <w:t>，能熟练使用智能手机，有较强的工作责任感。</w:t>
      </w:r>
    </w:p>
    <w:p w14:paraId="221D57E1">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乙方必须合法用工，乙方服务人员的劳动人事关系归属乙方，乙方应保证与服务人员签订劳动合同，建立合法规范的劳动关系，乙方负责服务人员的所有的人事、劳资、工伤保险等办理工作；并负责服务人员薪酬发放等方面的管理工作，乙方应严格按照劳动法律法规的有关规定保护服务人员的合法权益。乙方要向甲方提供服务人员真实准确的花名册，经甲方审核、考评合格后进行备案，以便双方协调管理。</w:t>
      </w:r>
    </w:p>
    <w:p w14:paraId="61BF70C9">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乙方负责处理服务人员提出的劳动争议、劳动仲裁、工伤处理、调解、诉讼等各项事宜。</w:t>
      </w:r>
    </w:p>
    <w:p w14:paraId="0E13AAD1">
      <w:pPr>
        <w:keepNext w:val="0"/>
        <w:keepLines w:val="0"/>
        <w:pageBreakBefore w:val="0"/>
        <w:widowControl w:val="0"/>
        <w:numPr>
          <w:ilvl w:val="0"/>
          <w:numId w:val="22"/>
        </w:numPr>
        <w:kinsoku/>
        <w:wordWrap/>
        <w:overflowPunct/>
        <w:topLinePunct w:val="0"/>
        <w:bidi w:val="0"/>
        <w:snapToGrid/>
        <w:spacing w:line="240" w:lineRule="auto"/>
        <w:ind w:firstLine="422" w:firstLineChars="200"/>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乙方必须配置不少于</w:t>
      </w:r>
      <w:r>
        <w:rPr>
          <w:rFonts w:hint="eastAsia" w:ascii="宋体" w:hAnsi="宋体" w:eastAsia="宋体" w:cs="宋体"/>
          <w:color w:val="auto"/>
          <w:lang w:val="en-US" w:eastAsia="zh-CN"/>
        </w:rPr>
        <w:t>二</w:t>
      </w:r>
      <w:r>
        <w:rPr>
          <w:rFonts w:hint="eastAsia" w:ascii="宋体" w:hAnsi="宋体" w:eastAsia="宋体" w:cs="宋体"/>
          <w:b/>
          <w:bCs/>
          <w:color w:val="auto"/>
          <w:kern w:val="0"/>
          <w:sz w:val="21"/>
          <w:szCs w:val="21"/>
          <w:highlight w:val="none"/>
          <w:lang w:eastAsia="zh-CN"/>
        </w:rPr>
        <w:t>名常驻管理人员负责</w:t>
      </w:r>
      <w:r>
        <w:rPr>
          <w:rFonts w:hint="eastAsia" w:ascii="宋体" w:hAnsi="宋体" w:eastAsia="宋体" w:cs="宋体"/>
          <w:b/>
          <w:bCs/>
          <w:color w:val="auto"/>
          <w:kern w:val="0"/>
          <w:sz w:val="21"/>
          <w:szCs w:val="21"/>
          <w:highlight w:val="none"/>
          <w:lang w:val="en-US" w:eastAsia="zh-CN"/>
        </w:rPr>
        <w:t>业务</w:t>
      </w:r>
      <w:r>
        <w:rPr>
          <w:rFonts w:hint="eastAsia" w:ascii="宋体" w:hAnsi="宋体" w:eastAsia="宋体" w:cs="宋体"/>
          <w:b/>
          <w:bCs/>
          <w:color w:val="auto"/>
          <w:kern w:val="0"/>
          <w:sz w:val="21"/>
          <w:szCs w:val="21"/>
          <w:highlight w:val="none"/>
          <w:lang w:eastAsia="zh-CN"/>
        </w:rPr>
        <w:t>的日常管理，跟进处理</w:t>
      </w:r>
      <w:r>
        <w:rPr>
          <w:rFonts w:hint="eastAsia" w:ascii="宋体" w:hAnsi="宋体" w:eastAsia="宋体" w:cs="宋体"/>
          <w:b/>
          <w:bCs/>
          <w:color w:val="auto"/>
          <w:kern w:val="0"/>
          <w:sz w:val="21"/>
          <w:szCs w:val="21"/>
          <w:highlight w:val="none"/>
          <w:lang w:val="en-US" w:eastAsia="zh-CN"/>
        </w:rPr>
        <w:t>责任</w:t>
      </w:r>
      <w:r>
        <w:rPr>
          <w:rFonts w:hint="eastAsia" w:ascii="宋体" w:hAnsi="宋体" w:eastAsia="宋体" w:cs="宋体"/>
          <w:b/>
          <w:bCs/>
          <w:color w:val="auto"/>
          <w:kern w:val="0"/>
          <w:sz w:val="21"/>
          <w:szCs w:val="21"/>
          <w:highlight w:val="none"/>
          <w:lang w:eastAsia="zh-CN"/>
        </w:rPr>
        <w:t>区域业务服务相关事宜，</w:t>
      </w:r>
      <w:r>
        <w:rPr>
          <w:rFonts w:hint="eastAsia" w:ascii="宋体" w:hAnsi="宋体" w:eastAsia="宋体" w:cs="宋体"/>
          <w:color w:val="auto"/>
        </w:rPr>
        <w:t>配置一名管理人员驻点至甲方指定的办公场所，配合日常业务的管理。</w:t>
      </w:r>
    </w:p>
    <w:p w14:paraId="25DB5970">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rPr>
        <w:t>乙方</w:t>
      </w:r>
      <w:r>
        <w:rPr>
          <w:rFonts w:hint="eastAsia" w:ascii="宋体" w:hAnsi="宋体" w:eastAsia="宋体" w:cs="宋体"/>
          <w:color w:val="auto"/>
          <w:lang w:val="en-US" w:eastAsia="zh-CN"/>
        </w:rPr>
        <w:t>须按甲方要求</w:t>
      </w:r>
      <w:r>
        <w:rPr>
          <w:rFonts w:hint="eastAsia" w:ascii="宋体" w:hAnsi="宋体" w:eastAsia="宋体" w:cs="宋体"/>
          <w:color w:val="auto"/>
        </w:rPr>
        <w:t>指派专人负责</w:t>
      </w:r>
      <w:r>
        <w:rPr>
          <w:rFonts w:hint="eastAsia" w:ascii="宋体" w:hAnsi="宋体" w:eastAsia="宋体" w:cs="宋体"/>
          <w:color w:val="auto"/>
          <w:lang w:val="en-US" w:eastAsia="zh-CN"/>
        </w:rPr>
        <w:t>对与服务</w:t>
      </w:r>
      <w:r>
        <w:rPr>
          <w:rFonts w:hint="eastAsia" w:ascii="宋体" w:hAnsi="宋体" w:eastAsia="宋体" w:cs="宋体"/>
          <w:color w:val="auto"/>
        </w:rPr>
        <w:t>相关</w:t>
      </w:r>
      <w:r>
        <w:rPr>
          <w:rFonts w:hint="eastAsia" w:ascii="宋体" w:hAnsi="宋体" w:eastAsia="宋体" w:cs="宋体"/>
          <w:color w:val="auto"/>
          <w:lang w:val="en-US" w:eastAsia="zh-CN"/>
        </w:rPr>
        <w:t>的</w:t>
      </w:r>
      <w:r>
        <w:rPr>
          <w:rFonts w:hint="eastAsia" w:ascii="宋体" w:hAnsi="宋体" w:eastAsia="宋体" w:cs="宋体"/>
          <w:color w:val="auto"/>
        </w:rPr>
        <w:t>资料</w:t>
      </w:r>
      <w:r>
        <w:rPr>
          <w:rFonts w:hint="eastAsia" w:ascii="宋体" w:hAnsi="宋体" w:eastAsia="宋体" w:cs="宋体"/>
          <w:color w:val="auto"/>
          <w:lang w:val="en-US" w:eastAsia="zh-CN"/>
        </w:rPr>
        <w:t>进行</w:t>
      </w:r>
      <w:r>
        <w:rPr>
          <w:rFonts w:hint="eastAsia" w:ascii="宋体" w:hAnsi="宋体" w:eastAsia="宋体" w:cs="宋体"/>
          <w:color w:val="auto"/>
        </w:rPr>
        <w:t>整理、归档、上传及备案移交等工作。乙方必须根据甲方的要求及时完成</w:t>
      </w:r>
      <w:r>
        <w:rPr>
          <w:rFonts w:hint="eastAsia" w:ascii="宋体" w:hAnsi="宋体" w:eastAsia="宋体" w:cs="宋体"/>
          <w:color w:val="auto"/>
          <w:lang w:val="en-US" w:eastAsia="zh-CN"/>
        </w:rPr>
        <w:t>项目</w:t>
      </w:r>
      <w:r>
        <w:rPr>
          <w:rFonts w:hint="eastAsia" w:ascii="宋体" w:hAnsi="宋体" w:eastAsia="宋体" w:cs="宋体"/>
          <w:color w:val="auto"/>
        </w:rPr>
        <w:t>结算，并接受甲方的日常管理</w:t>
      </w:r>
      <w:r>
        <w:rPr>
          <w:rFonts w:hint="eastAsia" w:ascii="宋体" w:hAnsi="宋体" w:eastAsia="宋体" w:cs="宋体"/>
          <w:color w:val="auto"/>
          <w:lang w:eastAsia="zh-CN"/>
        </w:rPr>
        <w:t>。</w:t>
      </w:r>
    </w:p>
    <w:p w14:paraId="7BAA649A">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 xml:space="preserve">对派驻工作组成员进行上岗前培训，使其具备所需的工作能力，培训的相关资料需报甲方备案。 </w:t>
      </w:r>
      <w:r>
        <w:rPr>
          <w:rFonts w:hint="eastAsia" w:ascii="宋体" w:hAnsi="宋体" w:cs="宋体"/>
          <w:b w:val="0"/>
          <w:bCs w:val="0"/>
          <w:color w:val="auto"/>
          <w:kern w:val="0"/>
          <w:sz w:val="21"/>
          <w:szCs w:val="21"/>
          <w:highlight w:val="none"/>
          <w:lang w:val="en-US" w:eastAsia="zh-CN"/>
        </w:rPr>
        <w:t>配合甲方安排，工作组成员考取温州地区燃气从业资格证，并支付考取证书培训、考核等相关费用。</w:t>
      </w:r>
    </w:p>
    <w:p w14:paraId="5244FA78">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乙方和派驻工作组成员须服从甲方的相关管理和工作安排。</w:t>
      </w:r>
    </w:p>
    <w:p w14:paraId="14171D63">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乙方须遵守甲方相关制度和规程，服务质量标准和作业规范符合《采购文件》及甲方的各项规定。</w:t>
      </w:r>
      <w:r>
        <w:rPr>
          <w:rFonts w:hint="eastAsia" w:ascii="宋体" w:hAnsi="宋体" w:eastAsia="宋体" w:cs="宋体"/>
          <w:b w:val="0"/>
          <w:bCs w:val="0"/>
          <w:color w:val="auto"/>
          <w:kern w:val="0"/>
          <w:sz w:val="21"/>
          <w:szCs w:val="21"/>
          <w:highlight w:val="none"/>
          <w:lang w:val="en-US" w:eastAsia="zh-CN"/>
        </w:rPr>
        <w:t>乙方须</w:t>
      </w:r>
      <w:r>
        <w:rPr>
          <w:rFonts w:hint="eastAsia" w:ascii="宋体" w:hAnsi="宋体" w:eastAsia="宋体" w:cs="宋体"/>
          <w:b w:val="0"/>
          <w:bCs w:val="0"/>
          <w:color w:val="auto"/>
          <w:kern w:val="0"/>
          <w:sz w:val="21"/>
          <w:szCs w:val="21"/>
          <w:highlight w:val="none"/>
          <w:lang w:eastAsia="zh-CN"/>
        </w:rPr>
        <w:t>接受甲方对工作质量的抽查监督和考核，</w:t>
      </w:r>
      <w:r>
        <w:rPr>
          <w:rFonts w:hint="eastAsia" w:ascii="宋体" w:hAnsi="宋体" w:eastAsia="宋体" w:cs="宋体"/>
          <w:b w:val="0"/>
          <w:bCs w:val="0"/>
          <w:color w:val="auto"/>
          <w:kern w:val="0"/>
          <w:sz w:val="21"/>
          <w:szCs w:val="21"/>
          <w:highlight w:val="none"/>
          <w:lang w:val="en-US" w:eastAsia="zh-CN"/>
        </w:rPr>
        <w:t>服从甲方管理</w:t>
      </w:r>
      <w:r>
        <w:rPr>
          <w:rFonts w:hint="eastAsia" w:ascii="宋体" w:hAnsi="宋体" w:eastAsia="宋体" w:cs="宋体"/>
          <w:b w:val="0"/>
          <w:bCs w:val="0"/>
          <w:color w:val="auto"/>
          <w:kern w:val="0"/>
          <w:sz w:val="21"/>
          <w:szCs w:val="21"/>
          <w:highlight w:val="none"/>
          <w:lang w:eastAsia="zh-CN"/>
        </w:rPr>
        <w:t>，对甲方抽查发现的质量问题进行书面确认。</w:t>
      </w:r>
    </w:p>
    <w:p w14:paraId="7080CEBF">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需在温州市设置办公点（或项目部），接受甲方管理人员对管辖区域内</w:t>
      </w:r>
      <w:r>
        <w:rPr>
          <w:rFonts w:hint="eastAsia" w:ascii="宋体" w:hAnsi="宋体" w:eastAsia="宋体" w:cs="宋体"/>
          <w:color w:val="auto"/>
          <w:kern w:val="2"/>
          <w:sz w:val="21"/>
          <w:szCs w:val="21"/>
          <w:highlight w:val="none"/>
          <w:lang w:eastAsia="zh-CN"/>
        </w:rPr>
        <w:t>抄表、安检、</w:t>
      </w:r>
      <w:r>
        <w:rPr>
          <w:rFonts w:hint="eastAsia" w:ascii="宋体" w:hAnsi="宋体" w:eastAsia="宋体" w:cs="宋体"/>
          <w:color w:val="auto"/>
          <w:kern w:val="2"/>
          <w:sz w:val="21"/>
          <w:szCs w:val="21"/>
          <w:highlight w:val="none"/>
          <w:lang w:val="en-US" w:eastAsia="zh-CN"/>
        </w:rPr>
        <w:t>通气</w:t>
      </w:r>
      <w:r>
        <w:rPr>
          <w:rFonts w:hint="eastAsia" w:ascii="宋体" w:hAnsi="宋体" w:eastAsia="宋体" w:cs="宋体"/>
          <w:b w:val="0"/>
          <w:bCs w:val="0"/>
          <w:color w:val="auto"/>
          <w:kern w:val="0"/>
          <w:sz w:val="21"/>
          <w:szCs w:val="21"/>
          <w:highlight w:val="none"/>
          <w:lang w:eastAsia="zh-CN"/>
        </w:rPr>
        <w:t xml:space="preserve">等所有外包业务工作进行监督和管理，及时向甲方管理人员汇报工作情况，并按甲方的要求及时调整、改善工作的质量，发现问题及时报告甲方。 </w:t>
      </w:r>
    </w:p>
    <w:p w14:paraId="45A69A83">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负责对工作组成员的安全管理，</w:t>
      </w:r>
      <w:r>
        <w:rPr>
          <w:rFonts w:hint="eastAsia" w:ascii="宋体" w:hAnsi="宋体" w:eastAsia="宋体" w:cs="宋体"/>
          <w:color w:val="auto"/>
          <w:kern w:val="0"/>
          <w:sz w:val="21"/>
          <w:szCs w:val="21"/>
          <w:highlight w:val="none"/>
        </w:rPr>
        <w:t>为从事</w:t>
      </w:r>
      <w:r>
        <w:rPr>
          <w:rFonts w:hint="eastAsia" w:ascii="宋体" w:hAnsi="宋体" w:eastAsia="宋体" w:cs="宋体"/>
          <w:color w:val="auto"/>
          <w:kern w:val="0"/>
          <w:sz w:val="21"/>
          <w:szCs w:val="21"/>
          <w:highlight w:val="none"/>
          <w:lang w:val="en-US" w:eastAsia="zh-CN"/>
        </w:rPr>
        <w:t>工作</w:t>
      </w:r>
      <w:r>
        <w:rPr>
          <w:rFonts w:hint="eastAsia" w:ascii="宋体" w:hAnsi="宋体" w:eastAsia="宋体" w:cs="宋体"/>
          <w:color w:val="auto"/>
          <w:kern w:val="0"/>
          <w:sz w:val="21"/>
          <w:szCs w:val="21"/>
          <w:highlight w:val="none"/>
        </w:rPr>
        <w:t>的人员办理意外伤害保险</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按照甲方要求</w:t>
      </w:r>
      <w:r>
        <w:rPr>
          <w:rFonts w:hint="eastAsia" w:ascii="宋体" w:hAnsi="宋体" w:cs="宋体"/>
          <w:color w:val="auto"/>
          <w:kern w:val="0"/>
          <w:sz w:val="21"/>
          <w:szCs w:val="21"/>
          <w:highlight w:val="none"/>
          <w:lang w:val="en-US" w:eastAsia="zh-CN"/>
        </w:rPr>
        <w:t>购买温州地区保险公司销售的</w:t>
      </w:r>
      <w:r>
        <w:rPr>
          <w:rFonts w:hint="eastAsia" w:ascii="宋体" w:hAnsi="宋体" w:eastAsia="宋体" w:cs="宋体"/>
          <w:color w:val="auto"/>
          <w:kern w:val="0"/>
          <w:sz w:val="21"/>
          <w:szCs w:val="21"/>
          <w:highlight w:val="none"/>
          <w:lang w:val="en-US" w:eastAsia="zh-CN"/>
        </w:rPr>
        <w:t>公众责任险，</w:t>
      </w:r>
      <w:r>
        <w:rPr>
          <w:rFonts w:hint="eastAsia" w:ascii="宋体" w:hAnsi="宋体" w:eastAsia="宋体" w:cs="宋体"/>
          <w:b w:val="0"/>
          <w:bCs w:val="0"/>
          <w:color w:val="auto"/>
          <w:kern w:val="0"/>
          <w:sz w:val="21"/>
          <w:szCs w:val="21"/>
          <w:highlight w:val="none"/>
          <w:lang w:eastAsia="zh-CN"/>
        </w:rPr>
        <w:t>承担安全管理责任，保证安全投入，防止安全事故的发生。如工作组成员</w:t>
      </w:r>
      <w:r>
        <w:rPr>
          <w:rFonts w:hint="eastAsia" w:ascii="宋体" w:hAnsi="宋体" w:eastAsia="宋体" w:cs="宋体"/>
          <w:b w:val="0"/>
          <w:bCs w:val="0"/>
          <w:color w:val="auto"/>
          <w:kern w:val="0"/>
          <w:sz w:val="21"/>
          <w:szCs w:val="21"/>
          <w:highlight w:val="none"/>
          <w:lang w:val="en-US" w:eastAsia="zh-CN"/>
        </w:rPr>
        <w:t>在</w:t>
      </w:r>
      <w:r>
        <w:rPr>
          <w:rFonts w:hint="eastAsia" w:ascii="宋体" w:hAnsi="宋体" w:eastAsia="宋体" w:cs="宋体"/>
          <w:b w:val="0"/>
          <w:bCs w:val="0"/>
          <w:color w:val="auto"/>
          <w:kern w:val="0"/>
          <w:sz w:val="21"/>
          <w:szCs w:val="21"/>
          <w:highlight w:val="none"/>
          <w:lang w:eastAsia="zh-CN"/>
        </w:rPr>
        <w:t>从事合同范围内业务时出现</w:t>
      </w:r>
      <w:r>
        <w:rPr>
          <w:rFonts w:hint="eastAsia" w:ascii="宋体" w:hAnsi="宋体" w:eastAsia="宋体" w:cs="宋体"/>
          <w:b w:val="0"/>
          <w:bCs w:val="0"/>
          <w:color w:val="auto"/>
          <w:kern w:val="0"/>
          <w:sz w:val="21"/>
          <w:szCs w:val="21"/>
          <w:highlight w:val="none"/>
          <w:lang w:val="en-US" w:eastAsia="zh-CN"/>
        </w:rPr>
        <w:t>人身</w:t>
      </w:r>
      <w:r>
        <w:rPr>
          <w:rFonts w:hint="eastAsia" w:ascii="宋体" w:hAnsi="宋体" w:eastAsia="宋体" w:cs="宋体"/>
          <w:b w:val="0"/>
          <w:bCs w:val="0"/>
          <w:color w:val="auto"/>
          <w:kern w:val="0"/>
          <w:sz w:val="21"/>
          <w:szCs w:val="21"/>
          <w:highlight w:val="none"/>
          <w:lang w:eastAsia="zh-CN"/>
        </w:rPr>
        <w:t>安全、</w:t>
      </w:r>
      <w:r>
        <w:rPr>
          <w:rFonts w:hint="eastAsia" w:ascii="宋体" w:hAnsi="宋体" w:eastAsia="宋体" w:cs="宋体"/>
          <w:b w:val="0"/>
          <w:bCs w:val="0"/>
          <w:color w:val="auto"/>
          <w:kern w:val="0"/>
          <w:sz w:val="21"/>
          <w:szCs w:val="21"/>
          <w:highlight w:val="none"/>
          <w:lang w:val="en-US" w:eastAsia="zh-CN"/>
        </w:rPr>
        <w:t>财产损失、民事纠纷、社会</w:t>
      </w:r>
      <w:r>
        <w:rPr>
          <w:rFonts w:hint="eastAsia" w:ascii="宋体" w:hAnsi="宋体" w:eastAsia="宋体" w:cs="宋体"/>
          <w:b w:val="0"/>
          <w:bCs w:val="0"/>
          <w:color w:val="auto"/>
          <w:kern w:val="0"/>
          <w:sz w:val="21"/>
          <w:szCs w:val="21"/>
          <w:highlight w:val="none"/>
          <w:lang w:eastAsia="zh-CN"/>
        </w:rPr>
        <w:t>治安</w:t>
      </w:r>
      <w:r>
        <w:rPr>
          <w:rFonts w:hint="eastAsia" w:ascii="宋体" w:hAnsi="宋体" w:eastAsia="宋体" w:cs="宋体"/>
          <w:b w:val="0"/>
          <w:bCs w:val="0"/>
          <w:color w:val="auto"/>
          <w:kern w:val="0"/>
          <w:sz w:val="21"/>
          <w:szCs w:val="21"/>
          <w:highlight w:val="none"/>
          <w:lang w:val="en-US" w:eastAsia="zh-CN"/>
        </w:rPr>
        <w:t>事件</w:t>
      </w:r>
      <w:r>
        <w:rPr>
          <w:rFonts w:hint="eastAsia" w:ascii="宋体" w:hAnsi="宋体" w:eastAsia="宋体" w:cs="宋体"/>
          <w:b w:val="0"/>
          <w:bCs w:val="0"/>
          <w:color w:val="auto"/>
          <w:kern w:val="0"/>
          <w:sz w:val="21"/>
          <w:szCs w:val="21"/>
          <w:highlight w:val="none"/>
          <w:lang w:eastAsia="zh-CN"/>
        </w:rPr>
        <w:t>、刑事等责任事故，</w:t>
      </w:r>
      <w:r>
        <w:rPr>
          <w:rFonts w:hint="eastAsia" w:ascii="宋体" w:hAnsi="宋体" w:eastAsia="宋体" w:cs="宋体"/>
          <w:b w:val="0"/>
          <w:bCs w:val="0"/>
          <w:color w:val="auto"/>
          <w:kern w:val="0"/>
          <w:sz w:val="21"/>
          <w:szCs w:val="21"/>
          <w:highlight w:val="none"/>
          <w:lang w:val="en-US" w:eastAsia="zh-CN"/>
        </w:rPr>
        <w:t>包括</w:t>
      </w:r>
      <w:r>
        <w:rPr>
          <w:rFonts w:hint="eastAsia" w:ascii="宋体" w:hAnsi="宋体" w:eastAsia="宋体" w:cs="宋体"/>
          <w:color w:val="auto"/>
          <w:szCs w:val="21"/>
          <w:highlight w:val="none"/>
        </w:rPr>
        <w:t>导致</w:t>
      </w:r>
      <w:r>
        <w:rPr>
          <w:rFonts w:hint="eastAsia" w:ascii="宋体" w:hAnsi="宋体" w:eastAsia="宋体" w:cs="宋体"/>
          <w:color w:val="auto"/>
          <w:szCs w:val="21"/>
          <w:highlight w:val="none"/>
          <w:lang w:val="en-US" w:eastAsia="zh-CN"/>
        </w:rPr>
        <w:t>乙方及其他第三方</w:t>
      </w:r>
      <w:r>
        <w:rPr>
          <w:rFonts w:hint="eastAsia" w:ascii="宋体" w:hAnsi="宋体" w:eastAsia="宋体" w:cs="宋体"/>
          <w:color w:val="auto"/>
          <w:szCs w:val="21"/>
          <w:highlight w:val="none"/>
        </w:rPr>
        <w:t>一切经济损失</w:t>
      </w:r>
      <w:r>
        <w:rPr>
          <w:rFonts w:hint="eastAsia" w:ascii="宋体" w:hAnsi="宋体" w:eastAsia="宋体" w:cs="宋体"/>
          <w:color w:val="auto"/>
          <w:szCs w:val="21"/>
          <w:highlight w:val="none"/>
          <w:lang w:val="en-US" w:eastAsia="zh-CN"/>
        </w:rPr>
        <w:t>的</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乙方</w:t>
      </w:r>
      <w:r>
        <w:rPr>
          <w:rFonts w:hint="eastAsia" w:ascii="宋体" w:hAnsi="宋体" w:eastAsia="宋体" w:cs="宋体"/>
          <w:b w:val="0"/>
          <w:bCs w:val="0"/>
          <w:color w:val="auto"/>
          <w:kern w:val="0"/>
          <w:sz w:val="21"/>
          <w:szCs w:val="21"/>
          <w:highlight w:val="none"/>
          <w:lang w:eastAsia="zh-CN"/>
        </w:rPr>
        <w:t>应积极及时处置，并承担</w:t>
      </w:r>
      <w:r>
        <w:rPr>
          <w:rFonts w:hint="eastAsia" w:ascii="宋体" w:hAnsi="宋体" w:eastAsia="宋体" w:cs="宋体"/>
          <w:b w:val="0"/>
          <w:bCs w:val="0"/>
          <w:color w:val="auto"/>
          <w:kern w:val="0"/>
          <w:sz w:val="21"/>
          <w:szCs w:val="21"/>
          <w:highlight w:val="none"/>
          <w:lang w:val="en-US" w:eastAsia="zh-CN"/>
        </w:rPr>
        <w:t>相应</w:t>
      </w:r>
      <w:r>
        <w:rPr>
          <w:rFonts w:hint="eastAsia" w:ascii="宋体" w:hAnsi="宋体" w:eastAsia="宋体" w:cs="宋体"/>
          <w:b w:val="0"/>
          <w:bCs w:val="0"/>
          <w:color w:val="auto"/>
          <w:kern w:val="0"/>
          <w:sz w:val="21"/>
          <w:szCs w:val="21"/>
          <w:highlight w:val="none"/>
          <w:lang w:eastAsia="zh-CN"/>
        </w:rPr>
        <w:t>安全及经济赔偿责任。</w:t>
      </w:r>
    </w:p>
    <w:p w14:paraId="03AB4AD3">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乙方必须对甲方的用户资料进行保护和保密，不得出现丢失、损坏、泄露等情况，如经发现，乙方需负责承担甲方因此造成的所有损失。</w:t>
      </w:r>
    </w:p>
    <w:p w14:paraId="5E6B4011">
      <w:pPr>
        <w:keepNext w:val="0"/>
        <w:keepLines w:val="0"/>
        <w:pageBreakBefore w:val="0"/>
        <w:widowControl w:val="0"/>
        <w:numPr>
          <w:ilvl w:val="0"/>
          <w:numId w:val="22"/>
        </w:numPr>
        <w:kinsoku/>
        <w:wordWrap/>
        <w:overflowPunct/>
        <w:topLinePunct w:val="0"/>
        <w:bidi w:val="0"/>
        <w:snapToGrid/>
        <w:spacing w:line="240" w:lineRule="auto"/>
        <w:ind w:firstLine="44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sz w:val="22"/>
          <w:highlight w:val="none"/>
        </w:rPr>
        <w:t>乙方应遵守甲方制定的有关燃气客户服务外包供应商库的各项管理规章制度</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保障</w:t>
      </w:r>
      <w:r>
        <w:rPr>
          <w:rFonts w:hint="eastAsia" w:ascii="宋体" w:hAnsi="宋体" w:eastAsia="宋体" w:cs="宋体"/>
          <w:color w:val="auto"/>
          <w:sz w:val="22"/>
          <w:highlight w:val="none"/>
          <w:lang w:eastAsia="zh-CN"/>
        </w:rPr>
        <w:t>甲方</w:t>
      </w:r>
      <w:r>
        <w:rPr>
          <w:rFonts w:hint="eastAsia" w:ascii="宋体" w:hAnsi="宋体" w:eastAsia="宋体" w:cs="宋体"/>
          <w:color w:val="auto"/>
          <w:sz w:val="22"/>
          <w:highlight w:val="none"/>
        </w:rPr>
        <w:t>的合法权益，维护</w:t>
      </w:r>
      <w:r>
        <w:rPr>
          <w:rFonts w:hint="eastAsia" w:ascii="宋体" w:hAnsi="宋体" w:eastAsia="宋体" w:cs="宋体"/>
          <w:color w:val="auto"/>
          <w:sz w:val="22"/>
          <w:highlight w:val="none"/>
          <w:lang w:eastAsia="zh-CN"/>
        </w:rPr>
        <w:t>甲方</w:t>
      </w:r>
      <w:r>
        <w:rPr>
          <w:rFonts w:hint="eastAsia" w:ascii="宋体" w:hAnsi="宋体" w:eastAsia="宋体" w:cs="宋体"/>
          <w:color w:val="auto"/>
          <w:sz w:val="22"/>
          <w:highlight w:val="none"/>
        </w:rPr>
        <w:t>的利益和社会声誉</w:t>
      </w:r>
      <w:r>
        <w:rPr>
          <w:rFonts w:hint="eastAsia" w:ascii="宋体" w:hAnsi="宋体" w:eastAsia="宋体" w:cs="宋体"/>
          <w:color w:val="auto"/>
          <w:sz w:val="22"/>
          <w:highlight w:val="none"/>
          <w:lang w:eastAsia="zh-CN"/>
        </w:rPr>
        <w:t>，如发生违章、违规操作等情况导致</w:t>
      </w:r>
      <w:r>
        <w:rPr>
          <w:rFonts w:hint="eastAsia" w:ascii="宋体" w:hAnsi="宋体" w:cs="宋体"/>
          <w:color w:val="auto"/>
          <w:sz w:val="22"/>
          <w:highlight w:val="none"/>
          <w:lang w:val="en-US" w:eastAsia="zh-CN"/>
        </w:rPr>
        <w:t>受到</w:t>
      </w:r>
      <w:r>
        <w:rPr>
          <w:rFonts w:hint="eastAsia" w:ascii="宋体" w:hAnsi="宋体" w:eastAsia="宋体" w:cs="宋体"/>
          <w:color w:val="auto"/>
          <w:sz w:val="22"/>
          <w:highlight w:val="none"/>
          <w:lang w:eastAsia="zh-CN"/>
        </w:rPr>
        <w:t>上级主管部门、行业主管部门等部门处罚的，均由乙方负责，并承担全部费用</w:t>
      </w:r>
      <w:r>
        <w:rPr>
          <w:rFonts w:hint="eastAsia" w:ascii="宋体" w:hAnsi="宋体" w:eastAsia="宋体" w:cs="宋体"/>
          <w:color w:val="auto"/>
          <w:sz w:val="22"/>
          <w:highlight w:val="none"/>
        </w:rPr>
        <w:t>。</w:t>
      </w:r>
    </w:p>
    <w:p w14:paraId="21C685E0">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因乙方的原因造成甲方负面影响，比如投诉、媒体曝光等，视情节严重性，对乙方进行处罚：</w:t>
      </w:r>
    </w:p>
    <w:p w14:paraId="3A054A42">
      <w:pPr>
        <w:keepNext w:val="0"/>
        <w:keepLines w:val="0"/>
        <w:pageBreakBefore w:val="0"/>
        <w:widowControl w:val="0"/>
        <w:numPr>
          <w:ilvl w:val="0"/>
          <w:numId w:val="0"/>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）被投诉、自媒体曝光等，经调查情况属实，损害甲方声誉、造成</w:t>
      </w:r>
      <w:r>
        <w:rPr>
          <w:rFonts w:hint="eastAsia" w:ascii="宋体" w:hAnsi="宋体" w:cs="宋体"/>
          <w:b w:val="0"/>
          <w:bCs w:val="0"/>
          <w:color w:val="auto"/>
          <w:kern w:val="0"/>
          <w:sz w:val="21"/>
          <w:szCs w:val="21"/>
          <w:highlight w:val="none"/>
          <w:lang w:val="en-US" w:eastAsia="zh-CN"/>
        </w:rPr>
        <w:t>不良</w:t>
      </w:r>
      <w:r>
        <w:rPr>
          <w:rFonts w:hint="eastAsia" w:ascii="宋体" w:hAnsi="宋体" w:eastAsia="宋体" w:cs="宋体"/>
          <w:b w:val="0"/>
          <w:bCs w:val="0"/>
          <w:color w:val="auto"/>
          <w:kern w:val="0"/>
          <w:sz w:val="21"/>
          <w:szCs w:val="21"/>
          <w:highlight w:val="none"/>
          <w:lang w:eastAsia="zh-CN"/>
        </w:rPr>
        <w:t>影响的，视情节严重性，对乙方处以</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eastAsia="zh-CN"/>
        </w:rPr>
        <w:t>000-10000元的罚款，同时乙方应积极消除因此造成的负面影响。</w:t>
      </w:r>
    </w:p>
    <w:p w14:paraId="66BCAC4A">
      <w:pPr>
        <w:keepNext w:val="0"/>
        <w:keepLines w:val="0"/>
        <w:pageBreakBefore w:val="0"/>
        <w:widowControl w:val="0"/>
        <w:numPr>
          <w:ilvl w:val="0"/>
          <w:numId w:val="0"/>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eastAsia="zh-CN"/>
        </w:rPr>
        <w:t>）情节严重（如被官方媒体曝光，造成恶劣影响、甲方因此收到相关行政部门批评、处罚）的，乙方须支付3</w:t>
      </w:r>
      <w:r>
        <w:rPr>
          <w:rFonts w:hint="eastAsia" w:ascii="宋体" w:hAnsi="宋体" w:cs="宋体"/>
          <w:b w:val="0"/>
          <w:bCs w:val="0"/>
          <w:color w:val="auto"/>
          <w:kern w:val="0"/>
          <w:sz w:val="21"/>
          <w:szCs w:val="21"/>
          <w:highlight w:val="none"/>
          <w:lang w:val="en-US" w:eastAsia="zh-CN"/>
        </w:rPr>
        <w:t>万</w:t>
      </w:r>
      <w:r>
        <w:rPr>
          <w:rFonts w:hint="eastAsia" w:ascii="宋体" w:hAnsi="宋体" w:eastAsia="宋体" w:cs="宋体"/>
          <w:b w:val="0"/>
          <w:bCs w:val="0"/>
          <w:color w:val="auto"/>
          <w:kern w:val="0"/>
          <w:sz w:val="21"/>
          <w:szCs w:val="21"/>
          <w:highlight w:val="none"/>
          <w:lang w:eastAsia="zh-CN"/>
        </w:rPr>
        <w:t>-5万元的</w:t>
      </w:r>
      <w:r>
        <w:rPr>
          <w:rFonts w:hint="eastAsia" w:ascii="宋体" w:hAnsi="宋体" w:eastAsia="宋体" w:cs="宋体"/>
          <w:b w:val="0"/>
          <w:bCs w:val="0"/>
          <w:color w:val="auto"/>
          <w:kern w:val="0"/>
          <w:sz w:val="21"/>
          <w:szCs w:val="21"/>
          <w:highlight w:val="none"/>
          <w:lang w:val="en-US" w:eastAsia="zh-CN"/>
        </w:rPr>
        <w:t>罚款</w:t>
      </w:r>
      <w:r>
        <w:rPr>
          <w:rFonts w:hint="eastAsia" w:ascii="宋体" w:hAnsi="宋体" w:eastAsia="宋体" w:cs="宋体"/>
          <w:b w:val="0"/>
          <w:bCs w:val="0"/>
          <w:color w:val="auto"/>
          <w:kern w:val="0"/>
          <w:sz w:val="21"/>
          <w:szCs w:val="21"/>
          <w:highlight w:val="none"/>
          <w:lang w:eastAsia="zh-CN"/>
        </w:rPr>
        <w:t>；因乙方的原因使甲方受到相关行政部门的处罚，则乙方还须支付2倍罚金的违约金给受损的甲方。</w:t>
      </w:r>
    </w:p>
    <w:p w14:paraId="5036C81D">
      <w:pPr>
        <w:keepNext w:val="0"/>
        <w:keepLines w:val="0"/>
        <w:pageBreakBefore w:val="0"/>
        <w:widowControl w:val="0"/>
        <w:numPr>
          <w:ilvl w:val="0"/>
          <w:numId w:val="22"/>
        </w:numPr>
        <w:kinsoku/>
        <w:wordWrap/>
        <w:overflowPunct/>
        <w:topLinePunct w:val="0"/>
        <w:bidi w:val="0"/>
        <w:snapToGrid/>
        <w:spacing w:line="240" w:lineRule="auto"/>
        <w:ind w:firstLine="422"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cs="宋体"/>
          <w:b/>
          <w:bCs/>
          <w:sz w:val="21"/>
          <w:szCs w:val="21"/>
          <w:highlight w:val="none"/>
          <w:lang w:val="en-US" w:eastAsia="zh-CN"/>
        </w:rPr>
        <w:t>未经甲方允许，</w:t>
      </w:r>
      <w:r>
        <w:rPr>
          <w:rFonts w:hint="eastAsia" w:ascii="宋体" w:hAnsi="宋体" w:eastAsia="宋体" w:cs="宋体"/>
          <w:b w:val="0"/>
          <w:bCs w:val="0"/>
          <w:color w:val="auto"/>
          <w:kern w:val="0"/>
          <w:sz w:val="21"/>
          <w:szCs w:val="21"/>
          <w:highlight w:val="none"/>
          <w:lang w:eastAsia="zh-CN"/>
        </w:rPr>
        <w:t>乙方</w:t>
      </w:r>
      <w:r>
        <w:rPr>
          <w:rFonts w:hint="eastAsia" w:ascii="宋体" w:hAnsi="宋体" w:cs="宋体"/>
          <w:b/>
          <w:bCs/>
          <w:sz w:val="21"/>
          <w:szCs w:val="21"/>
          <w:highlight w:val="none"/>
          <w:lang w:val="en-US" w:eastAsia="zh-CN"/>
        </w:rPr>
        <w:t>不得借用甲方名义开展本项目无关的业务；</w:t>
      </w:r>
      <w:r>
        <w:rPr>
          <w:rFonts w:hint="eastAsia" w:ascii="宋体" w:hAnsi="宋体" w:eastAsia="宋体" w:cs="宋体"/>
          <w:b w:val="0"/>
          <w:bCs w:val="0"/>
          <w:color w:val="auto"/>
          <w:kern w:val="0"/>
          <w:sz w:val="21"/>
          <w:szCs w:val="21"/>
          <w:highlight w:val="none"/>
          <w:lang w:eastAsia="zh-CN"/>
        </w:rPr>
        <w:t>不得在甲方场所从事与双方合作无关的其他事务</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eastAsia="zh-CN"/>
        </w:rPr>
        <w:t>不得利用甲方的名义为乙方进行广告宣传</w:t>
      </w:r>
      <w:r>
        <w:rPr>
          <w:rFonts w:hint="eastAsia" w:ascii="宋体" w:hAnsi="宋体" w:cs="宋体"/>
          <w:b w:val="0"/>
          <w:bCs w:val="0"/>
          <w:color w:val="auto"/>
          <w:kern w:val="0"/>
          <w:sz w:val="21"/>
          <w:szCs w:val="21"/>
          <w:highlight w:val="none"/>
          <w:lang w:eastAsia="zh-CN"/>
        </w:rPr>
        <w:t>；</w:t>
      </w:r>
      <w:r>
        <w:rPr>
          <w:rFonts w:hint="eastAsia" w:ascii="宋体" w:hAnsi="宋体" w:eastAsia="宋体" w:cs="宋体"/>
          <w:b w:val="0"/>
          <w:bCs w:val="0"/>
          <w:color w:val="auto"/>
          <w:kern w:val="0"/>
          <w:sz w:val="21"/>
          <w:szCs w:val="21"/>
          <w:highlight w:val="none"/>
          <w:lang w:eastAsia="zh-CN"/>
        </w:rPr>
        <w:t>不得以任何方式发布与甲方有关的宣传广告资料。</w:t>
      </w:r>
    </w:p>
    <w:p w14:paraId="2409794D">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合同期满后，乙方要做好</w:t>
      </w:r>
      <w:r>
        <w:rPr>
          <w:rFonts w:hint="eastAsia" w:ascii="宋体" w:hAnsi="宋体" w:eastAsia="宋体" w:cs="宋体"/>
          <w:b w:val="0"/>
          <w:bCs w:val="0"/>
          <w:color w:val="auto"/>
          <w:kern w:val="0"/>
          <w:sz w:val="21"/>
          <w:szCs w:val="21"/>
          <w:highlight w:val="none"/>
          <w:lang w:val="en-US" w:eastAsia="zh-CN"/>
        </w:rPr>
        <w:t>工作区域业务</w:t>
      </w:r>
      <w:r>
        <w:rPr>
          <w:rFonts w:hint="eastAsia" w:ascii="宋体" w:hAnsi="宋体" w:eastAsia="宋体" w:cs="宋体"/>
          <w:b w:val="0"/>
          <w:bCs w:val="0"/>
          <w:color w:val="auto"/>
          <w:kern w:val="0"/>
          <w:sz w:val="21"/>
          <w:szCs w:val="21"/>
          <w:highlight w:val="none"/>
          <w:lang w:eastAsia="zh-CN"/>
        </w:rPr>
        <w:t xml:space="preserve">的交接手续。 </w:t>
      </w:r>
    </w:p>
    <w:p w14:paraId="39A2CF73">
      <w:pPr>
        <w:keepNext w:val="0"/>
        <w:keepLines w:val="0"/>
        <w:pageBreakBefore w:val="0"/>
        <w:widowControl w:val="0"/>
        <w:numPr>
          <w:ilvl w:val="0"/>
          <w:numId w:val="22"/>
        </w:numPr>
        <w:kinsoku/>
        <w:wordWrap/>
        <w:overflowPunct/>
        <w:topLinePunct w:val="0"/>
        <w:bidi w:val="0"/>
        <w:snapToGrid/>
        <w:spacing w:line="24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服从甲方因管理制度调整而调整的</w:t>
      </w:r>
      <w:r>
        <w:rPr>
          <w:rFonts w:hint="eastAsia" w:ascii="宋体" w:hAnsi="宋体" w:eastAsia="宋体" w:cs="宋体"/>
          <w:b w:val="0"/>
          <w:bCs w:val="0"/>
          <w:color w:val="auto"/>
          <w:kern w:val="0"/>
          <w:sz w:val="21"/>
          <w:szCs w:val="21"/>
          <w:highlight w:val="none"/>
          <w:lang w:val="en-US" w:eastAsia="zh-CN"/>
        </w:rPr>
        <w:t>业务</w:t>
      </w:r>
      <w:r>
        <w:rPr>
          <w:rFonts w:hint="eastAsia" w:ascii="宋体" w:hAnsi="宋体" w:eastAsia="宋体" w:cs="宋体"/>
          <w:b w:val="0"/>
          <w:bCs w:val="0"/>
          <w:color w:val="auto"/>
          <w:kern w:val="0"/>
          <w:sz w:val="21"/>
          <w:szCs w:val="21"/>
          <w:highlight w:val="none"/>
          <w:lang w:eastAsia="zh-CN"/>
        </w:rPr>
        <w:t>管理流程、制度和考核办法。</w:t>
      </w:r>
    </w:p>
    <w:p w14:paraId="71D5EAAB">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lang w:eastAsia="zh-CN"/>
        </w:rPr>
      </w:pPr>
    </w:p>
    <w:p w14:paraId="513DB71D">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、违约责任</w:t>
      </w:r>
    </w:p>
    <w:p w14:paraId="1D68BFF2">
      <w:pPr>
        <w:numPr>
          <w:ilvl w:val="0"/>
          <w:numId w:val="0"/>
        </w:numPr>
        <w:spacing w:line="240" w:lineRule="auto"/>
        <w:ind w:firstLine="420" w:firstLineChars="200"/>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乙方如出现</w:t>
      </w:r>
      <w:r>
        <w:rPr>
          <w:rFonts w:hint="eastAsia" w:ascii="宋体" w:hAnsi="宋体" w:eastAsia="宋体" w:cs="宋体"/>
          <w:bCs/>
          <w:color w:val="auto"/>
          <w:sz w:val="21"/>
          <w:szCs w:val="21"/>
          <w:highlight w:val="none"/>
          <w:lang w:val="en-US" w:eastAsia="zh-CN"/>
        </w:rPr>
        <w:t>不服从甲方分配任务</w:t>
      </w:r>
      <w:r>
        <w:rPr>
          <w:rFonts w:hint="eastAsia" w:ascii="宋体" w:hAnsi="宋体" w:cs="宋体"/>
          <w:bCs/>
          <w:color w:val="auto"/>
          <w:sz w:val="21"/>
          <w:szCs w:val="21"/>
          <w:highlight w:val="none"/>
          <w:lang w:val="en-US" w:eastAsia="zh-CN"/>
        </w:rPr>
        <w:t>、</w:t>
      </w:r>
      <w:r>
        <w:rPr>
          <w:rFonts w:ascii="PingFangSC-Medium" w:hAnsi="PingFangSC-Medium" w:eastAsia="PingFangSC-Medium" w:cs="PingFangSC-Medium"/>
          <w:i w:val="0"/>
          <w:iCs w:val="0"/>
          <w:caps w:val="0"/>
          <w:color w:val="303133"/>
          <w:spacing w:val="0"/>
          <w:sz w:val="21"/>
          <w:szCs w:val="21"/>
          <w:shd w:val="clear" w:fill="FFFFFF"/>
        </w:rPr>
        <w:t> </w:t>
      </w:r>
      <w:r>
        <w:rPr>
          <w:rFonts w:hint="default" w:ascii="PingFangSC-Medium" w:hAnsi="PingFangSC-Medium" w:eastAsia="PingFangSC-Medium" w:cs="PingFangSC-Medium"/>
          <w:i w:val="0"/>
          <w:iCs w:val="0"/>
          <w:caps w:val="0"/>
          <w:color w:val="303133"/>
          <w:spacing w:val="0"/>
          <w:sz w:val="21"/>
          <w:szCs w:val="21"/>
          <w:shd w:val="clear" w:fill="FFFFFF"/>
        </w:rPr>
        <w:t>转包或分包</w:t>
      </w:r>
      <w:r>
        <w:rPr>
          <w:rFonts w:hint="eastAsia" w:ascii="宋体" w:hAnsi="宋体" w:eastAsia="宋体" w:cs="宋体"/>
          <w:bCs/>
          <w:color w:val="auto"/>
          <w:sz w:val="21"/>
          <w:szCs w:val="21"/>
          <w:highlight w:val="none"/>
          <w:lang w:val="en-US" w:eastAsia="zh-CN"/>
        </w:rPr>
        <w:t>等违规</w:t>
      </w:r>
      <w:r>
        <w:rPr>
          <w:rFonts w:hint="eastAsia" w:ascii="宋体" w:hAnsi="宋体" w:eastAsia="宋体" w:cs="宋体"/>
          <w:bCs/>
          <w:color w:val="auto"/>
          <w:sz w:val="21"/>
          <w:szCs w:val="21"/>
          <w:highlight w:val="none"/>
        </w:rPr>
        <w:t>的行为，第一次扣除</w:t>
      </w:r>
      <w:r>
        <w:rPr>
          <w:rFonts w:hint="eastAsia" w:ascii="宋体" w:hAnsi="宋体" w:eastAsia="宋体" w:cs="宋体"/>
          <w:bCs/>
          <w:color w:val="auto"/>
          <w:sz w:val="21"/>
          <w:szCs w:val="21"/>
          <w:highlight w:val="none"/>
          <w:lang w:val="en-US" w:eastAsia="zh-CN"/>
        </w:rPr>
        <w:t>50</w:t>
      </w:r>
      <w:r>
        <w:rPr>
          <w:rFonts w:hint="eastAsia" w:ascii="宋体" w:hAnsi="宋体" w:eastAsia="宋体" w:cs="宋体"/>
          <w:bCs/>
          <w:color w:val="auto"/>
          <w:sz w:val="21"/>
          <w:szCs w:val="21"/>
          <w:highlight w:val="none"/>
        </w:rPr>
        <w:t>00元履约保证金</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并暂停乙方三个月业务分派量；</w:t>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rPr>
        <w:t>次扣除</w:t>
      </w:r>
      <w:r>
        <w:rPr>
          <w:rFonts w:hint="eastAsia" w:ascii="宋体" w:hAnsi="宋体" w:eastAsia="宋体" w:cs="宋体"/>
          <w:bCs/>
          <w:color w:val="auto"/>
          <w:sz w:val="21"/>
          <w:szCs w:val="21"/>
          <w:highlight w:val="none"/>
          <w:lang w:val="en-US" w:eastAsia="zh-CN"/>
        </w:rPr>
        <w:t>30</w:t>
      </w:r>
      <w:r>
        <w:rPr>
          <w:rFonts w:hint="eastAsia" w:ascii="宋体" w:hAnsi="宋体" w:eastAsia="宋体" w:cs="宋体"/>
          <w:bCs/>
          <w:color w:val="auto"/>
          <w:sz w:val="21"/>
          <w:szCs w:val="21"/>
          <w:highlight w:val="none"/>
        </w:rPr>
        <w:t>000元履约保证金，</w:t>
      </w:r>
      <w:r>
        <w:rPr>
          <w:rFonts w:hint="eastAsia" w:ascii="宋体" w:hAnsi="宋体" w:eastAsia="宋体" w:cs="宋体"/>
          <w:bCs/>
          <w:color w:val="auto"/>
          <w:sz w:val="21"/>
          <w:szCs w:val="21"/>
          <w:highlight w:val="none"/>
          <w:lang w:val="en-US" w:eastAsia="zh-CN"/>
        </w:rPr>
        <w:t>并有权终止合同，甲方无需承担任何违约责任</w:t>
      </w:r>
      <w:r>
        <w:rPr>
          <w:rFonts w:hint="eastAsia" w:ascii="宋体" w:hAnsi="宋体" w:eastAsia="宋体" w:cs="宋体"/>
          <w:bCs/>
          <w:color w:val="auto"/>
          <w:sz w:val="21"/>
          <w:szCs w:val="21"/>
          <w:highlight w:val="none"/>
        </w:rPr>
        <w:t>。如果违约金不能弥补乙方违约对甲方造成的损失，乙方还需另行支付相应的赔偿费用</w:t>
      </w:r>
      <w:r>
        <w:rPr>
          <w:rFonts w:hint="eastAsia" w:ascii="宋体" w:hAnsi="宋体" w:eastAsia="宋体" w:cs="宋体"/>
          <w:bCs/>
          <w:color w:val="auto"/>
          <w:sz w:val="21"/>
          <w:szCs w:val="21"/>
          <w:highlight w:val="none"/>
          <w:lang w:eastAsia="zh-CN"/>
        </w:rPr>
        <w:t>。</w:t>
      </w:r>
    </w:p>
    <w:p w14:paraId="40EE4909">
      <w:pPr>
        <w:numPr>
          <w:ilvl w:val="0"/>
          <w:numId w:val="0"/>
        </w:numPr>
        <w:spacing w:line="240" w:lineRule="auto"/>
        <w:ind w:firstLine="420" w:firstLineChars="200"/>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rPr>
        <w:t>2</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lang w:val="en-US" w:eastAsia="zh-CN"/>
        </w:rPr>
        <w:t>获得</w:t>
      </w:r>
      <w:r>
        <w:rPr>
          <w:rFonts w:hint="eastAsia" w:ascii="宋体" w:hAnsi="宋体" w:eastAsia="宋体" w:cs="宋体"/>
          <w:bCs/>
          <w:color w:val="auto"/>
          <w:sz w:val="21"/>
          <w:szCs w:val="21"/>
          <w:highlight w:val="none"/>
        </w:rPr>
        <w:t>单项项目</w:t>
      </w:r>
      <w:r>
        <w:rPr>
          <w:rFonts w:hint="eastAsia" w:ascii="宋体" w:hAnsi="宋体" w:eastAsia="宋体" w:cs="宋体"/>
          <w:bCs/>
          <w:color w:val="auto"/>
          <w:sz w:val="21"/>
          <w:szCs w:val="21"/>
          <w:highlight w:val="none"/>
          <w:lang w:val="en-US" w:eastAsia="zh-CN"/>
        </w:rPr>
        <w:t>分配任务</w:t>
      </w:r>
      <w:r>
        <w:rPr>
          <w:rFonts w:hint="eastAsia" w:ascii="宋体" w:hAnsi="宋体" w:eastAsia="宋体" w:cs="宋体"/>
          <w:bCs/>
          <w:color w:val="auto"/>
          <w:sz w:val="21"/>
          <w:szCs w:val="21"/>
          <w:highlight w:val="none"/>
        </w:rPr>
        <w:t>后无故放弃</w:t>
      </w:r>
      <w:r>
        <w:rPr>
          <w:rFonts w:hint="eastAsia" w:ascii="宋体" w:hAnsi="宋体" w:eastAsia="宋体" w:cs="宋体"/>
          <w:bCs/>
          <w:color w:val="auto"/>
          <w:sz w:val="21"/>
          <w:szCs w:val="21"/>
          <w:highlight w:val="none"/>
          <w:lang w:val="en-US" w:eastAsia="zh-CN"/>
        </w:rPr>
        <w:t>承接</w:t>
      </w:r>
      <w:r>
        <w:rPr>
          <w:rFonts w:hint="eastAsia" w:ascii="宋体" w:hAnsi="宋体" w:eastAsia="宋体" w:cs="宋体"/>
          <w:bCs/>
          <w:color w:val="auto"/>
          <w:sz w:val="21"/>
          <w:szCs w:val="21"/>
          <w:highlight w:val="none"/>
        </w:rPr>
        <w:t>资格、不按规定签订合同、或</w:t>
      </w: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个工作日内未与甲方签订</w:t>
      </w:r>
      <w:r>
        <w:rPr>
          <w:rFonts w:hint="eastAsia" w:ascii="宋体" w:hAnsi="宋体" w:eastAsia="宋体" w:cs="宋体"/>
          <w:bCs/>
          <w:color w:val="auto"/>
          <w:sz w:val="21"/>
          <w:szCs w:val="21"/>
          <w:highlight w:val="none"/>
          <w:lang w:val="en-US" w:eastAsia="zh-CN"/>
        </w:rPr>
        <w:t>分派</w:t>
      </w:r>
      <w:r>
        <w:rPr>
          <w:rFonts w:hint="eastAsia" w:ascii="宋体" w:hAnsi="宋体" w:eastAsia="宋体" w:cs="宋体"/>
          <w:bCs/>
          <w:color w:val="auto"/>
          <w:sz w:val="21"/>
          <w:szCs w:val="21"/>
          <w:highlight w:val="none"/>
        </w:rPr>
        <w:t>合同的，每次扣除</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0000元履约保证</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以上情况发生两次的，除扣除乙方履约保证金外，甲方有权终止合同，无需承担任何违约责任</w:t>
      </w:r>
      <w:r>
        <w:rPr>
          <w:rFonts w:hint="eastAsia" w:ascii="宋体" w:hAnsi="宋体" w:eastAsia="宋体" w:cs="宋体"/>
          <w:bCs/>
          <w:color w:val="auto"/>
          <w:sz w:val="21"/>
          <w:szCs w:val="21"/>
          <w:highlight w:val="none"/>
        </w:rPr>
        <w:t>。如果违约金不能弥补乙方违约对甲方造成的损失，乙方还需另行支付相应的赔偿费用</w:t>
      </w:r>
      <w:r>
        <w:rPr>
          <w:rFonts w:hint="eastAsia" w:ascii="宋体" w:hAnsi="宋体" w:eastAsia="宋体" w:cs="宋体"/>
          <w:bCs/>
          <w:color w:val="auto"/>
          <w:sz w:val="21"/>
          <w:szCs w:val="21"/>
          <w:highlight w:val="none"/>
          <w:lang w:eastAsia="zh-CN"/>
        </w:rPr>
        <w:t>。</w:t>
      </w:r>
    </w:p>
    <w:p w14:paraId="0B49A61D">
      <w:pPr>
        <w:numPr>
          <w:ilvl w:val="0"/>
          <w:numId w:val="0"/>
        </w:numPr>
        <w:spacing w:line="240" w:lineRule="auto"/>
        <w:ind w:firstLine="420" w:firstLineChars="200"/>
        <w:outlineLvl w:val="9"/>
        <w:rPr>
          <w:rFonts w:hint="eastAsia" w:ascii="宋体" w:hAnsi="宋体" w:eastAsia="宋体" w:cs="宋体"/>
          <w:color w:val="auto"/>
          <w:highlight w:val="none"/>
          <w:lang w:eastAsia="zh-CN"/>
        </w:rPr>
      </w:pPr>
      <w:r>
        <w:rPr>
          <w:rFonts w:hint="eastAsia" w:ascii="宋体" w:hAnsi="宋体" w:eastAsia="宋体" w:cs="宋体"/>
          <w:b w:val="0"/>
          <w:bCs/>
          <w:color w:val="000000"/>
          <w:sz w:val="21"/>
          <w:szCs w:val="21"/>
          <w:highlight w:val="none"/>
          <w:lang w:val="en-US" w:eastAsia="zh-CN"/>
        </w:rPr>
        <w:t>3、</w:t>
      </w:r>
      <w:r>
        <w:rPr>
          <w:rFonts w:hint="eastAsia" w:ascii="宋体" w:hAnsi="宋体" w:eastAsia="宋体" w:cs="宋体"/>
          <w:b w:val="0"/>
          <w:bCs/>
          <w:color w:val="000000"/>
          <w:sz w:val="21"/>
          <w:szCs w:val="21"/>
          <w:highlight w:val="none"/>
        </w:rPr>
        <w:t>乙方在服务过程中达不到甲方的要求和标准（见采购文件</w:t>
      </w:r>
      <w:r>
        <w:rPr>
          <w:rFonts w:hint="eastAsia" w:ascii="宋体" w:hAnsi="宋体" w:eastAsia="宋体" w:cs="宋体"/>
          <w:b w:val="0"/>
          <w:bCs/>
          <w:color w:val="000000"/>
          <w:sz w:val="21"/>
          <w:szCs w:val="21"/>
          <w:highlight w:val="none"/>
          <w:lang w:val="en-US" w:eastAsia="zh-CN"/>
        </w:rPr>
        <w:t>等甲方相关</w:t>
      </w:r>
      <w:r>
        <w:rPr>
          <w:rFonts w:hint="eastAsia" w:ascii="宋体" w:hAnsi="宋体" w:eastAsia="宋体" w:cs="宋体"/>
          <w:b w:val="0"/>
          <w:bCs/>
          <w:color w:val="000000"/>
          <w:sz w:val="21"/>
          <w:szCs w:val="21"/>
          <w:highlight w:val="none"/>
        </w:rPr>
        <w:t>规定），视为乙方违约，根据甲方的考核办法进行扣罚，并要求乙方进行整改直至符合要求为止；同一问题累计三次，甲方有权视情况终止</w:t>
      </w:r>
      <w:r>
        <w:rPr>
          <w:rFonts w:hint="eastAsia" w:ascii="宋体" w:hAnsi="宋体" w:eastAsia="宋体" w:cs="宋体"/>
          <w:b w:val="0"/>
          <w:bCs/>
          <w:color w:val="000000"/>
          <w:sz w:val="21"/>
          <w:szCs w:val="21"/>
          <w:highlight w:val="none"/>
          <w:lang w:val="en-US" w:eastAsia="zh-CN"/>
        </w:rPr>
        <w:t>合同</w:t>
      </w:r>
      <w:r>
        <w:rPr>
          <w:rFonts w:hint="eastAsia" w:ascii="宋体" w:hAnsi="宋体" w:eastAsia="宋体" w:cs="宋体"/>
          <w:b w:val="0"/>
          <w:bCs/>
          <w:color w:val="000000"/>
          <w:sz w:val="21"/>
          <w:szCs w:val="21"/>
          <w:highlight w:val="none"/>
        </w:rPr>
        <w:t>并要求乙</w:t>
      </w:r>
      <w:r>
        <w:rPr>
          <w:rFonts w:hint="eastAsia" w:ascii="宋体" w:hAnsi="宋体" w:eastAsia="宋体" w:cs="宋体"/>
          <w:b w:val="0"/>
          <w:bCs/>
          <w:color w:val="auto"/>
          <w:sz w:val="21"/>
          <w:szCs w:val="21"/>
          <w:highlight w:val="none"/>
        </w:rPr>
        <w:t>方支付违约金，如果违约金不能弥补乙方违约对甲方造成的损失，乙方还需</w:t>
      </w:r>
      <w:r>
        <w:rPr>
          <w:rFonts w:hint="eastAsia" w:ascii="宋体" w:hAnsi="宋体" w:eastAsia="宋体" w:cs="宋体"/>
          <w:b w:val="0"/>
          <w:bCs/>
          <w:color w:val="auto"/>
          <w:sz w:val="21"/>
          <w:szCs w:val="21"/>
          <w:highlight w:val="none"/>
        </w:rPr>
        <w:t>另行支付相应的赔偿费用</w:t>
      </w:r>
      <w:r>
        <w:rPr>
          <w:rFonts w:hint="eastAsia" w:ascii="宋体" w:hAnsi="宋体" w:eastAsia="宋体" w:cs="宋体"/>
          <w:b w:val="0"/>
          <w:bCs/>
          <w:color w:val="auto"/>
          <w:sz w:val="21"/>
          <w:szCs w:val="21"/>
          <w:highlight w:val="none"/>
          <w:lang w:eastAsia="zh-CN"/>
        </w:rPr>
        <w:t>。</w:t>
      </w:r>
    </w:p>
    <w:p w14:paraId="48210AD6">
      <w:pPr>
        <w:spacing w:line="240" w:lineRule="auto"/>
        <w:ind w:firstLine="420" w:firstLineChars="200"/>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乙方单个考核年度出现合同附件1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highlight w:val="none"/>
          <w:lang w:val="en-US" w:eastAsia="zh-CN"/>
        </w:rPr>
        <w:t>考核管理办法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规定的问题时，按照</w:t>
      </w:r>
      <w:r>
        <w:rPr>
          <w:rFonts w:hint="eastAsia" w:ascii="宋体" w:hAnsi="宋体" w:eastAsia="宋体" w:cs="宋体"/>
          <w:bCs/>
          <w:color w:val="auto"/>
          <w:sz w:val="21"/>
          <w:szCs w:val="21"/>
          <w:highlight w:val="none"/>
        </w:rPr>
        <w:t>合同附件1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highlight w:val="none"/>
          <w:lang w:val="en-US" w:eastAsia="zh-CN"/>
        </w:rPr>
        <w:t>考核管理办法</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对乙方进行处罚</w:t>
      </w:r>
      <w:r>
        <w:rPr>
          <w:rFonts w:hint="eastAsia" w:ascii="宋体" w:hAnsi="宋体" w:eastAsia="宋体" w:cs="宋体"/>
          <w:bCs/>
          <w:color w:val="auto"/>
          <w:sz w:val="21"/>
          <w:szCs w:val="21"/>
          <w:highlight w:val="none"/>
        </w:rPr>
        <w:t>。</w:t>
      </w:r>
    </w:p>
    <w:p w14:paraId="404CD0BF">
      <w:pPr>
        <w:spacing w:line="24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 w:val="0"/>
          <w:bCs/>
          <w:color w:val="auto"/>
          <w:sz w:val="21"/>
          <w:szCs w:val="21"/>
          <w:highlight w:val="none"/>
        </w:rPr>
        <w:t>项目负责人</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常驻管理人员等主要</w:t>
      </w:r>
      <w:r>
        <w:rPr>
          <w:rFonts w:hint="eastAsia" w:ascii="宋体" w:hAnsi="宋体" w:eastAsia="宋体" w:cs="宋体"/>
          <w:b w:val="0"/>
          <w:bCs/>
          <w:color w:val="auto"/>
          <w:sz w:val="21"/>
          <w:szCs w:val="21"/>
          <w:highlight w:val="none"/>
        </w:rPr>
        <w:t>参与人员</w:t>
      </w:r>
      <w:r>
        <w:rPr>
          <w:rFonts w:hint="eastAsia" w:ascii="宋体" w:hAnsi="宋体" w:eastAsia="宋体" w:cs="宋体"/>
          <w:b w:val="0"/>
          <w:bCs/>
          <w:color w:val="auto"/>
          <w:sz w:val="21"/>
          <w:szCs w:val="21"/>
          <w:highlight w:val="none"/>
          <w:lang w:val="en-US" w:eastAsia="zh-CN"/>
        </w:rPr>
        <w:t>须</w:t>
      </w:r>
      <w:r>
        <w:rPr>
          <w:rFonts w:hint="eastAsia" w:ascii="宋体" w:hAnsi="宋体" w:eastAsia="宋体" w:cs="宋体"/>
          <w:b w:val="0"/>
          <w:bCs/>
          <w:color w:val="auto"/>
          <w:sz w:val="21"/>
          <w:szCs w:val="21"/>
          <w:highlight w:val="none"/>
        </w:rPr>
        <w:t>与</w:t>
      </w:r>
      <w:r>
        <w:rPr>
          <w:rFonts w:hint="eastAsia" w:ascii="宋体" w:hAnsi="宋体" w:eastAsia="宋体" w:cs="宋体"/>
          <w:b w:val="0"/>
          <w:bCs/>
          <w:color w:val="auto"/>
          <w:sz w:val="21"/>
          <w:szCs w:val="21"/>
          <w:highlight w:val="none"/>
          <w:lang w:val="en-US" w:eastAsia="zh-CN"/>
        </w:rPr>
        <w:t>乙方</w:t>
      </w:r>
      <w:r>
        <w:rPr>
          <w:rFonts w:hint="eastAsia" w:ascii="宋体" w:hAnsi="宋体" w:eastAsia="宋体" w:cs="宋体"/>
          <w:b w:val="0"/>
          <w:bCs/>
          <w:color w:val="auto"/>
          <w:sz w:val="21"/>
          <w:szCs w:val="21"/>
          <w:highlight w:val="none"/>
        </w:rPr>
        <w:t>投标文件一致，人员更换需经过甲方书面同意。</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保证经甲方确认的</w:t>
      </w:r>
      <w:r>
        <w:rPr>
          <w:rFonts w:hint="eastAsia" w:ascii="宋体" w:hAnsi="宋体" w:eastAsia="宋体" w:cs="宋体"/>
          <w:color w:val="auto"/>
          <w:sz w:val="21"/>
          <w:szCs w:val="21"/>
          <w:highlight w:val="none"/>
          <w:lang w:val="en-US" w:eastAsia="zh-CN"/>
        </w:rPr>
        <w:t>常驻</w:t>
      </w:r>
      <w:r>
        <w:rPr>
          <w:rFonts w:hint="eastAsia" w:ascii="宋体" w:hAnsi="宋体" w:eastAsia="宋体" w:cs="宋体"/>
          <w:color w:val="auto"/>
          <w:sz w:val="21"/>
          <w:szCs w:val="21"/>
          <w:highlight w:val="none"/>
        </w:rPr>
        <w:t>管理人员的现场到位率</w:t>
      </w:r>
      <w:r>
        <w:rPr>
          <w:rFonts w:hint="eastAsia" w:ascii="宋体" w:hAnsi="宋体" w:eastAsia="宋体" w:cs="宋体"/>
          <w:color w:val="auto"/>
          <w:sz w:val="21"/>
          <w:szCs w:val="21"/>
          <w:highlight w:val="none"/>
          <w:lang w:val="en-US" w:eastAsia="zh-CN"/>
        </w:rPr>
        <w:t>满足甲方要求。</w:t>
      </w:r>
      <w:r>
        <w:rPr>
          <w:rFonts w:hint="eastAsia" w:ascii="宋体" w:hAnsi="宋体" w:eastAsia="宋体" w:cs="宋体"/>
          <w:bCs/>
          <w:color w:val="auto"/>
          <w:sz w:val="21"/>
          <w:szCs w:val="21"/>
          <w:highlight w:val="none"/>
        </w:rPr>
        <w:t>乙方未经甲方同意擅自更换</w:t>
      </w:r>
      <w:r>
        <w:rPr>
          <w:rFonts w:hint="eastAsia" w:ascii="宋体" w:hAnsi="宋体" w:eastAsia="宋体" w:cs="宋体"/>
          <w:bCs/>
          <w:color w:val="auto"/>
          <w:sz w:val="21"/>
          <w:szCs w:val="21"/>
          <w:highlight w:val="none"/>
          <w:lang w:val="en-US" w:eastAsia="zh-CN"/>
        </w:rPr>
        <w:t>常驻管理</w:t>
      </w:r>
      <w:r>
        <w:rPr>
          <w:rFonts w:hint="eastAsia" w:ascii="宋体" w:hAnsi="宋体" w:eastAsia="宋体" w:cs="宋体"/>
          <w:bCs/>
          <w:color w:val="auto"/>
          <w:sz w:val="21"/>
          <w:szCs w:val="21"/>
          <w:highlight w:val="none"/>
        </w:rPr>
        <w:t>人员等人员，每人次扣除</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000元履约保证金。</w:t>
      </w:r>
    </w:p>
    <w:p w14:paraId="59B2D993">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color w:val="auto"/>
          <w:sz w:val="21"/>
          <w:szCs w:val="21"/>
          <w:highlight w:val="none"/>
        </w:rPr>
        <w:t xml:space="preserve">因乙方责任造成甲方经济损失的，乙方应对甲方作出合理赔偿或由乙方修复或甲方修复乙方支付修复费用。 </w:t>
      </w:r>
    </w:p>
    <w:p w14:paraId="55D5A8FC">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、因乙方人员因监守自盗、玩忽职守等原因，造成甲方经济或财物损失的，除由公安机关依法追究当事人刑事责任外，乙方还应向甲方赔偿所有损失。</w:t>
      </w:r>
    </w:p>
    <w:p w14:paraId="354D3968">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非居民抄表及催费业务，普通表</w:t>
      </w:r>
      <w:r>
        <w:rPr>
          <w:rFonts w:hint="eastAsia" w:ascii="宋体" w:hAnsi="宋体" w:cs="宋体"/>
          <w:color w:val="auto"/>
          <w:sz w:val="21"/>
          <w:szCs w:val="21"/>
          <w:highlight w:val="none"/>
          <w:lang w:val="en-US" w:eastAsia="zh-CN"/>
        </w:rPr>
        <w:t>抄表开展率100%，</w:t>
      </w:r>
      <w:r>
        <w:rPr>
          <w:rFonts w:hint="eastAsia" w:ascii="宋体" w:hAnsi="宋体" w:eastAsia="宋体" w:cs="宋体"/>
          <w:color w:val="auto"/>
          <w:sz w:val="21"/>
          <w:szCs w:val="21"/>
          <w:highlight w:val="none"/>
          <w:lang w:val="en-US" w:eastAsia="zh-CN"/>
        </w:rPr>
        <w:t>月度实抄率100%，</w:t>
      </w:r>
      <w:r>
        <w:rPr>
          <w:rFonts w:hint="eastAsia" w:ascii="宋体" w:hAnsi="宋体" w:eastAsia="宋体" w:cs="宋体"/>
          <w:color w:val="auto"/>
          <w:sz w:val="21"/>
          <w:szCs w:val="21"/>
          <w:highlight w:val="none"/>
        </w:rPr>
        <w:t>年度资金回</w:t>
      </w:r>
      <w:r>
        <w:rPr>
          <w:rFonts w:hint="eastAsia" w:ascii="宋体" w:hAnsi="宋体" w:eastAsia="宋体" w:cs="宋体"/>
          <w:color w:val="auto"/>
          <w:sz w:val="21"/>
          <w:szCs w:val="21"/>
          <w:highlight w:val="none"/>
          <w:lang w:val="en-US" w:eastAsia="zh-CN"/>
        </w:rPr>
        <w:t>笼率100%（恶意逃气除外）；非居民安检业务，</w:t>
      </w:r>
      <w:r>
        <w:rPr>
          <w:rFonts w:hint="eastAsia" w:ascii="宋体" w:hAnsi="宋体" w:cs="宋体"/>
          <w:color w:val="auto"/>
          <w:sz w:val="21"/>
          <w:szCs w:val="21"/>
          <w:highlight w:val="none"/>
          <w:lang w:val="en-US" w:eastAsia="zh-CN"/>
        </w:rPr>
        <w:t>安检开展率100%，</w:t>
      </w:r>
      <w:r>
        <w:rPr>
          <w:rFonts w:hint="eastAsia" w:ascii="宋体" w:hAnsi="宋体" w:eastAsia="宋体" w:cs="宋体"/>
          <w:color w:val="auto"/>
          <w:sz w:val="21"/>
          <w:szCs w:val="21"/>
          <w:highlight w:val="none"/>
          <w:lang w:val="en-US" w:eastAsia="zh-CN"/>
        </w:rPr>
        <w:t>半年非居民安检入户率100%；居民抄表及催费业务，普通表</w:t>
      </w:r>
      <w:r>
        <w:rPr>
          <w:rFonts w:hint="eastAsia" w:ascii="宋体" w:hAnsi="宋体" w:cs="宋体"/>
          <w:color w:val="auto"/>
          <w:sz w:val="21"/>
          <w:szCs w:val="21"/>
          <w:highlight w:val="none"/>
          <w:lang w:val="en-US" w:eastAsia="zh-CN"/>
        </w:rPr>
        <w:t>抄表和恒芯远传表数据采集开展率100%，月度</w:t>
      </w:r>
      <w:r>
        <w:rPr>
          <w:rFonts w:hint="eastAsia" w:ascii="宋体" w:hAnsi="宋体" w:eastAsia="宋体" w:cs="宋体"/>
          <w:color w:val="auto"/>
          <w:sz w:val="21"/>
          <w:szCs w:val="21"/>
          <w:highlight w:val="none"/>
          <w:lang w:val="en-US" w:eastAsia="zh-CN"/>
        </w:rPr>
        <w:t>入户实抄率不低于50%，</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年度资金回笼率</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居民安检业务，</w:t>
      </w:r>
      <w:r>
        <w:rPr>
          <w:rFonts w:hint="eastAsia" w:ascii="宋体" w:hAnsi="宋体" w:cs="宋体"/>
          <w:color w:val="auto"/>
          <w:sz w:val="21"/>
          <w:szCs w:val="21"/>
          <w:highlight w:val="none"/>
          <w:lang w:val="en-US" w:eastAsia="zh-CN"/>
        </w:rPr>
        <w:t>安检开展率100%，月、</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rPr>
        <w:t>居民安检入户率</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%；以上指标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达标，</w:t>
      </w:r>
      <w:r>
        <w:rPr>
          <w:rFonts w:hint="eastAsia" w:ascii="宋体" w:hAnsi="宋体" w:eastAsia="宋体" w:cs="宋体"/>
          <w:color w:val="auto"/>
          <w:sz w:val="21"/>
          <w:szCs w:val="21"/>
          <w:highlight w:val="none"/>
          <w:lang w:val="en-US" w:eastAsia="zh-CN"/>
        </w:rPr>
        <w:t>每项</w:t>
      </w:r>
      <w:r>
        <w:rPr>
          <w:rFonts w:hint="eastAsia" w:ascii="宋体" w:hAnsi="宋体" w:eastAsia="宋体" w:cs="宋体"/>
          <w:color w:val="auto"/>
          <w:sz w:val="21"/>
          <w:szCs w:val="21"/>
          <w:highlight w:val="none"/>
        </w:rPr>
        <w:t>扣罚履约保证金的25%。</w:t>
      </w:r>
    </w:p>
    <w:p w14:paraId="0B6A7419">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 xml:space="preserve">、在合同实施过程中，若乙方不能及时服务或服务质量存在缺陷，则甲方有权停止乙方的服务资格。 </w:t>
      </w:r>
    </w:p>
    <w:p w14:paraId="70D929C6">
      <w:pPr>
        <w:pStyle w:val="12"/>
        <w:spacing w:after="0"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乙方以任何理由在服务期限内解除框架协议扣除</w:t>
      </w:r>
      <w:r>
        <w:rPr>
          <w:rFonts w:hint="eastAsia" w:ascii="宋体" w:hAnsi="宋体" w:eastAsia="宋体" w:cs="宋体"/>
          <w:bCs/>
          <w:color w:val="auto"/>
          <w:sz w:val="21"/>
          <w:szCs w:val="21"/>
          <w:highlight w:val="none"/>
          <w:lang w:val="en-US" w:eastAsia="zh-CN"/>
        </w:rPr>
        <w:t>全部</w:t>
      </w:r>
      <w:r>
        <w:rPr>
          <w:rFonts w:hint="eastAsia" w:ascii="宋体" w:hAnsi="宋体" w:eastAsia="宋体" w:cs="宋体"/>
          <w:bCs/>
          <w:color w:val="auto"/>
          <w:sz w:val="21"/>
          <w:szCs w:val="21"/>
          <w:highlight w:val="none"/>
        </w:rPr>
        <w:t>履约保证金。</w:t>
      </w:r>
    </w:p>
    <w:p w14:paraId="4C4E9510">
      <w:pPr>
        <w:spacing w:line="24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color w:val="auto"/>
          <w:sz w:val="21"/>
          <w:szCs w:val="21"/>
          <w:highlight w:val="none"/>
        </w:rPr>
        <w:t>其它违约责任按《中华人民共和国民法典》处理。</w:t>
      </w:r>
    </w:p>
    <w:p w14:paraId="278B1235">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jc w:val="left"/>
        <w:textAlignment w:val="auto"/>
        <w:rPr>
          <w:rFonts w:hint="eastAsia" w:ascii="宋体" w:hAnsi="宋体" w:eastAsia="宋体" w:cs="宋体"/>
          <w:b/>
          <w:bCs/>
          <w:color w:val="auto"/>
          <w:sz w:val="21"/>
          <w:szCs w:val="21"/>
          <w:highlight w:val="none"/>
          <w:lang w:eastAsia="zh-CN"/>
        </w:rPr>
      </w:pPr>
    </w:p>
    <w:p w14:paraId="6E0D15A3">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、争议的解决</w:t>
      </w:r>
    </w:p>
    <w:p w14:paraId="65E62422">
      <w:pPr>
        <w:keepNext w:val="0"/>
        <w:keepLines w:val="0"/>
        <w:pageBreakBefore w:val="0"/>
        <w:widowControl w:val="0"/>
        <w:kinsoku/>
        <w:wordWrap/>
        <w:overflowPunct/>
        <w:topLinePunct w:val="0"/>
        <w:bidi w:val="0"/>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sz w:val="21"/>
          <w:szCs w:val="21"/>
          <w:highlight w:val="none"/>
        </w:rPr>
        <w:t>在履行合同过程中出现新情况，双方可以协商对本合同进行修改或补充，并达成补充协议。补充协议与本合同具有相同的法律效力。因本合同产生的纠纷，双方应友好协商，协商不成的，可向温州市鹿城区人民法院提起诉讼。</w:t>
      </w:r>
    </w:p>
    <w:p w14:paraId="65F9F869">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lang w:eastAsia="zh-CN"/>
        </w:rPr>
      </w:pPr>
    </w:p>
    <w:p w14:paraId="5D995744">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、不可抗力</w:t>
      </w:r>
    </w:p>
    <w:p w14:paraId="4F676B06">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1、因不可抗力事件，致使一方延期或不能履行其在本协议项下的义务，则受不可抗力影响的一方应立即通知另一方，并在其后十五日内提供证明文件，说明其延期或不能履行本协议义务的原因。 </w:t>
      </w:r>
    </w:p>
    <w:p w14:paraId="0F1F682F">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2、在取得有关机构的不可抗力证明或双方谅解确认后，根据情况可部分或全部免于承担违约责任。声明不可抗力的一方立即采取措施尽量减少或消除不可抗力事件的影响。</w:t>
      </w:r>
    </w:p>
    <w:p w14:paraId="4FA60E73">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rPr>
      </w:pPr>
    </w:p>
    <w:p w14:paraId="65FEFF58">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、税费</w:t>
      </w:r>
    </w:p>
    <w:p w14:paraId="2704F65F">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在中国境内、外发生的与本合同执行有关的一切税费均由乙方负担。</w:t>
      </w:r>
    </w:p>
    <w:p w14:paraId="19CDCEF4">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rPr>
      </w:pPr>
    </w:p>
    <w:p w14:paraId="43DE9A27">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十、其它</w:t>
      </w:r>
    </w:p>
    <w:p w14:paraId="2B91332D">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本合同所有附件为合同的有效组成部分，与本合同具有同等法律效力。 </w:t>
      </w:r>
    </w:p>
    <w:p w14:paraId="1F6CF986">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在执行本合同的过程中，所有经双方签署确认的文件（包括会议纪要、补充协议、往来信函）即成为本合同的有效组成部分。</w:t>
      </w:r>
    </w:p>
    <w:p w14:paraId="78C0C4C6">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如一方地址、电话、传真号码有变更，应在变更当日内书面通知对方，否则，应承担相应责任。  </w:t>
      </w:r>
    </w:p>
    <w:p w14:paraId="0A2642BD">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除甲方事先书面同意外，乙方不得部分或全部转让其应履行的合同项下的义务。 </w:t>
      </w:r>
    </w:p>
    <w:p w14:paraId="27D584DF">
      <w:pPr>
        <w:spacing w:line="240" w:lineRule="auto"/>
        <w:rPr>
          <w:rFonts w:hint="eastAsia" w:ascii="宋体" w:hAnsi="宋体" w:eastAsia="宋体" w:cs="宋体"/>
          <w:b/>
          <w:bCs/>
          <w:color w:val="auto"/>
          <w:sz w:val="21"/>
          <w:szCs w:val="21"/>
          <w:highlight w:val="none"/>
        </w:rPr>
      </w:pPr>
    </w:p>
    <w:p w14:paraId="3995F43E">
      <w:pPr>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、补充协议</w:t>
      </w:r>
    </w:p>
    <w:p w14:paraId="2FE8FB62">
      <w:pPr>
        <w:autoSpaceDE w:val="0"/>
        <w:autoSpaceDN w:val="0"/>
        <w:adjustRightIn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合同未尽事宜，合同当事人另行签订补充协议，补充协议是合同的组成部分。</w:t>
      </w:r>
    </w:p>
    <w:p w14:paraId="719CE952">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随</w:t>
      </w:r>
      <w:r>
        <w:rPr>
          <w:rFonts w:hint="eastAsia" w:ascii="宋体" w:hAnsi="宋体" w:eastAsia="宋体" w:cs="宋体"/>
          <w:color w:val="auto"/>
          <w:sz w:val="21"/>
          <w:szCs w:val="21"/>
          <w:highlight w:val="none"/>
        </w:rPr>
        <w:t>合同生效及终止</w:t>
      </w:r>
      <w:r>
        <w:rPr>
          <w:rFonts w:hint="eastAsia" w:ascii="宋体" w:hAnsi="宋体" w:eastAsia="宋体" w:cs="宋体"/>
          <w:color w:val="auto"/>
          <w:sz w:val="21"/>
          <w:szCs w:val="21"/>
          <w:highlight w:val="none"/>
          <w:lang w:eastAsia="zh-CN"/>
        </w:rPr>
        <w:t>。</w:t>
      </w:r>
    </w:p>
    <w:p w14:paraId="183B0F3F">
      <w:pPr>
        <w:spacing w:before="156" w:beforeLines="50" w:line="240" w:lineRule="auto"/>
        <w:rPr>
          <w:rFonts w:hint="eastAsia" w:ascii="宋体" w:hAnsi="宋体" w:eastAsia="宋体" w:cs="宋体"/>
          <w:b/>
          <w:bCs/>
          <w:color w:val="auto"/>
          <w:sz w:val="21"/>
          <w:szCs w:val="21"/>
          <w:highlight w:val="none"/>
        </w:rPr>
      </w:pPr>
    </w:p>
    <w:p w14:paraId="1D0A4912">
      <w:pPr>
        <w:spacing w:before="156" w:beforeLines="50"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、合同生效</w:t>
      </w:r>
      <w:r>
        <w:rPr>
          <w:rFonts w:hint="eastAsia" w:ascii="宋体" w:hAnsi="宋体" w:eastAsia="宋体" w:cs="宋体"/>
          <w:b/>
          <w:bCs/>
          <w:color w:val="auto"/>
          <w:sz w:val="21"/>
          <w:szCs w:val="21"/>
          <w:highlight w:val="none"/>
          <w:lang w:eastAsia="zh-CN"/>
        </w:rPr>
        <w:t>：</w:t>
      </w:r>
    </w:p>
    <w:p w14:paraId="14C0ACE1">
      <w:pPr>
        <w:pStyle w:val="16"/>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、本合同经</w:t>
      </w:r>
      <w:r>
        <w:rPr>
          <w:rFonts w:hint="eastAsia" w:ascii="宋体" w:hAnsi="宋体" w:eastAsia="宋体" w:cs="宋体"/>
          <w:color w:val="auto"/>
          <w:sz w:val="21"/>
          <w:szCs w:val="21"/>
          <w:highlight w:val="none"/>
          <w:lang w:val="en-US" w:eastAsia="zh-CN"/>
        </w:rPr>
        <w:t>甲乙双方</w:t>
      </w:r>
      <w:r>
        <w:rPr>
          <w:rFonts w:hint="eastAsia" w:ascii="宋体" w:hAnsi="宋体" w:eastAsia="宋体" w:cs="宋体"/>
          <w:color w:val="auto"/>
          <w:sz w:val="21"/>
          <w:szCs w:val="21"/>
          <w:highlight w:val="none"/>
        </w:rPr>
        <w:t>法定代表人或其委托人签字并加盖双方公章后生效。</w:t>
      </w:r>
    </w:p>
    <w:p w14:paraId="074820BA">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、本合同一式六份，双方各执叁份，具有同等法律效力，自双方签字盖章后生效。</w:t>
      </w:r>
    </w:p>
    <w:p w14:paraId="59CFC094">
      <w:pPr>
        <w:pStyle w:val="3"/>
        <w:spacing w:line="240" w:lineRule="auto"/>
        <w:jc w:val="both"/>
        <w:rPr>
          <w:rFonts w:hint="eastAsia" w:ascii="宋体" w:hAnsi="宋体" w:eastAsia="宋体" w:cs="宋体"/>
          <w:color w:val="auto"/>
          <w:sz w:val="21"/>
          <w:szCs w:val="21"/>
          <w:highlight w:val="none"/>
        </w:rPr>
      </w:pPr>
    </w:p>
    <w:tbl>
      <w:tblPr>
        <w:tblStyle w:val="34"/>
        <w:tblW w:w="9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8"/>
        <w:gridCol w:w="4598"/>
      </w:tblGrid>
      <w:tr w14:paraId="6850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98" w:type="dxa"/>
            <w:noWrap w:val="0"/>
            <w:vAlign w:val="top"/>
          </w:tcPr>
          <w:p w14:paraId="0DF145AE">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222369B0">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甲方(</w:t>
            </w:r>
            <w:r>
              <w:rPr>
                <w:rFonts w:hint="eastAsia" w:ascii="宋体" w:hAnsi="宋体" w:eastAsia="宋体" w:cs="宋体"/>
                <w:b w:val="0"/>
                <w:i w:val="0"/>
                <w:caps w:val="0"/>
                <w:color w:val="auto"/>
                <w:spacing w:val="0"/>
                <w:w w:val="100"/>
                <w:sz w:val="21"/>
                <w:szCs w:val="21"/>
                <w:highlight w:val="none"/>
                <w:lang w:eastAsia="zh-CN"/>
              </w:rPr>
              <w:t>盖</w:t>
            </w:r>
            <w:r>
              <w:rPr>
                <w:rFonts w:hint="eastAsia" w:ascii="宋体" w:hAnsi="宋体" w:eastAsia="宋体" w:cs="宋体"/>
                <w:b w:val="0"/>
                <w:i w:val="0"/>
                <w:caps w:val="0"/>
                <w:color w:val="auto"/>
                <w:spacing w:val="0"/>
                <w:w w:val="100"/>
                <w:sz w:val="21"/>
                <w:szCs w:val="21"/>
                <w:highlight w:val="none"/>
                <w:lang w:val="en-US" w:eastAsia="zh-CN"/>
              </w:rPr>
              <w:t>公</w:t>
            </w:r>
            <w:r>
              <w:rPr>
                <w:rFonts w:hint="eastAsia" w:ascii="宋体" w:hAnsi="宋体" w:eastAsia="宋体" w:cs="宋体"/>
                <w:b w:val="0"/>
                <w:i w:val="0"/>
                <w:caps w:val="0"/>
                <w:color w:val="auto"/>
                <w:spacing w:val="0"/>
                <w:w w:val="100"/>
                <w:sz w:val="21"/>
                <w:szCs w:val="21"/>
                <w:highlight w:val="none"/>
              </w:rPr>
              <w:t xml:space="preserve">章)： </w:t>
            </w:r>
          </w:p>
          <w:p w14:paraId="33CEEA09">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7A8F00B4">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全权</w:t>
            </w:r>
            <w:r>
              <w:rPr>
                <w:rFonts w:hint="eastAsia" w:ascii="宋体" w:hAnsi="宋体" w:eastAsia="宋体" w:cs="宋体"/>
                <w:b w:val="0"/>
                <w:i w:val="0"/>
                <w:caps w:val="0"/>
                <w:color w:val="auto"/>
                <w:spacing w:val="0"/>
                <w:w w:val="100"/>
                <w:sz w:val="21"/>
                <w:szCs w:val="21"/>
                <w:highlight w:val="none"/>
              </w:rPr>
              <w:t>代表</w:t>
            </w:r>
            <w:r>
              <w:rPr>
                <w:rFonts w:hint="eastAsia" w:ascii="宋体" w:hAnsi="宋体" w:eastAsia="宋体" w:cs="宋体"/>
                <w:b w:val="0"/>
                <w:i w:val="0"/>
                <w:caps w:val="0"/>
                <w:color w:val="auto"/>
                <w:spacing w:val="0"/>
                <w:w w:val="100"/>
                <w:sz w:val="21"/>
                <w:szCs w:val="21"/>
                <w:highlight w:val="none"/>
                <w:lang w:eastAsia="zh-CN"/>
              </w:rPr>
              <w:t>（签字或盖章）</w:t>
            </w:r>
            <w:r>
              <w:rPr>
                <w:rFonts w:hint="eastAsia" w:ascii="宋体" w:hAnsi="宋体" w:eastAsia="宋体" w:cs="宋体"/>
                <w:b w:val="0"/>
                <w:i w:val="0"/>
                <w:caps w:val="0"/>
                <w:color w:val="auto"/>
                <w:spacing w:val="0"/>
                <w:w w:val="100"/>
                <w:sz w:val="21"/>
                <w:szCs w:val="21"/>
                <w:highlight w:val="none"/>
              </w:rPr>
              <w:t>：</w:t>
            </w:r>
          </w:p>
          <w:p w14:paraId="662FAD36">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p>
          <w:p w14:paraId="1C57F610">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日期：</w:t>
            </w:r>
          </w:p>
        </w:tc>
        <w:tc>
          <w:tcPr>
            <w:tcW w:w="4598" w:type="dxa"/>
            <w:noWrap w:val="0"/>
            <w:vAlign w:val="top"/>
          </w:tcPr>
          <w:p w14:paraId="496AB066">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lang w:val="en-US" w:eastAsia="zh-CN"/>
              </w:rPr>
            </w:pPr>
          </w:p>
          <w:p w14:paraId="67015E9A">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乙方</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eastAsia="zh-CN"/>
              </w:rPr>
              <w:t>盖</w:t>
            </w:r>
            <w:r>
              <w:rPr>
                <w:rFonts w:hint="eastAsia" w:ascii="宋体" w:hAnsi="宋体" w:eastAsia="宋体" w:cs="宋体"/>
                <w:b w:val="0"/>
                <w:i w:val="0"/>
                <w:caps w:val="0"/>
                <w:color w:val="auto"/>
                <w:spacing w:val="0"/>
                <w:w w:val="100"/>
                <w:sz w:val="21"/>
                <w:szCs w:val="21"/>
                <w:highlight w:val="none"/>
                <w:lang w:val="en-US" w:eastAsia="zh-CN"/>
              </w:rPr>
              <w:t>公</w:t>
            </w:r>
            <w:r>
              <w:rPr>
                <w:rFonts w:hint="eastAsia" w:ascii="宋体" w:hAnsi="宋体" w:eastAsia="宋体" w:cs="宋体"/>
                <w:b w:val="0"/>
                <w:i w:val="0"/>
                <w:caps w:val="0"/>
                <w:color w:val="auto"/>
                <w:spacing w:val="0"/>
                <w:w w:val="100"/>
                <w:sz w:val="21"/>
                <w:szCs w:val="21"/>
                <w:highlight w:val="none"/>
              </w:rPr>
              <w:t xml:space="preserve">章)： </w:t>
            </w:r>
          </w:p>
          <w:p w14:paraId="328C8707">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6E350155">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全权</w:t>
            </w:r>
            <w:r>
              <w:rPr>
                <w:rFonts w:hint="eastAsia" w:ascii="宋体" w:hAnsi="宋体" w:eastAsia="宋体" w:cs="宋体"/>
                <w:b w:val="0"/>
                <w:i w:val="0"/>
                <w:caps w:val="0"/>
                <w:color w:val="auto"/>
                <w:spacing w:val="0"/>
                <w:w w:val="100"/>
                <w:sz w:val="21"/>
                <w:szCs w:val="21"/>
                <w:highlight w:val="none"/>
              </w:rPr>
              <w:t>代表</w:t>
            </w:r>
            <w:r>
              <w:rPr>
                <w:rFonts w:hint="eastAsia" w:ascii="宋体" w:hAnsi="宋体" w:eastAsia="宋体" w:cs="宋体"/>
                <w:b w:val="0"/>
                <w:i w:val="0"/>
                <w:caps w:val="0"/>
                <w:color w:val="auto"/>
                <w:spacing w:val="0"/>
                <w:w w:val="100"/>
                <w:sz w:val="21"/>
                <w:szCs w:val="21"/>
                <w:highlight w:val="none"/>
                <w:lang w:eastAsia="zh-CN"/>
              </w:rPr>
              <w:t>（签字或盖章）</w:t>
            </w:r>
            <w:r>
              <w:rPr>
                <w:rFonts w:hint="eastAsia" w:ascii="宋体" w:hAnsi="宋体" w:eastAsia="宋体" w:cs="宋体"/>
                <w:b w:val="0"/>
                <w:i w:val="0"/>
                <w:caps w:val="0"/>
                <w:color w:val="auto"/>
                <w:spacing w:val="0"/>
                <w:w w:val="100"/>
                <w:sz w:val="21"/>
                <w:szCs w:val="21"/>
                <w:highlight w:val="none"/>
              </w:rPr>
              <w:t>：</w:t>
            </w:r>
          </w:p>
          <w:p w14:paraId="4DF38D00">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p>
          <w:p w14:paraId="59D8F6DB">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日期</w:t>
            </w:r>
          </w:p>
        </w:tc>
      </w:tr>
    </w:tbl>
    <w:p w14:paraId="71F4E9BC">
      <w:pPr>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7A3391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1"/>
          <w:szCs w:val="21"/>
          <w:highlight w:val="none"/>
        </w:rPr>
        <w:sectPr>
          <w:footerReference r:id="rId3" w:type="default"/>
          <w:pgSz w:w="11906" w:h="16838"/>
          <w:pgMar w:top="1474" w:right="1417" w:bottom="1417" w:left="1417" w:header="737" w:footer="737"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color w:val="auto"/>
          <w:sz w:val="21"/>
          <w:szCs w:val="21"/>
          <w:highlight w:val="none"/>
        </w:rPr>
        <w:br w:type="page"/>
      </w:r>
    </w:p>
    <w:p w14:paraId="7FBBF3B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合同附件1：</w:t>
      </w:r>
    </w:p>
    <w:bookmarkEnd w:id="163"/>
    <w:bookmarkEnd w:id="164"/>
    <w:bookmarkEnd w:id="165"/>
    <w:bookmarkEnd w:id="166"/>
    <w:bookmarkEnd w:id="167"/>
    <w:bookmarkEnd w:id="168"/>
    <w:bookmarkEnd w:id="169"/>
    <w:bookmarkEnd w:id="170"/>
    <w:bookmarkEnd w:id="171"/>
    <w:bookmarkEnd w:id="172"/>
    <w:bookmarkEnd w:id="173"/>
    <w:p w14:paraId="11C2D075">
      <w:pPr>
        <w:pStyle w:val="4"/>
        <w:bidi w:val="0"/>
        <w:jc w:val="center"/>
        <w:rPr>
          <w:rFonts w:hint="eastAsia" w:ascii="宋体" w:hAnsi="宋体" w:eastAsia="宋体" w:cs="宋体"/>
          <w:color w:val="auto"/>
          <w:highlight w:val="none"/>
          <w:lang w:val="en-US" w:eastAsia="zh-CN"/>
        </w:rPr>
      </w:pPr>
      <w:bookmarkStart w:id="174" w:name="_Toc227489895"/>
      <w:bookmarkStart w:id="175" w:name="_Toc216667828"/>
      <w:bookmarkStart w:id="176" w:name="_Toc223717612"/>
      <w:bookmarkStart w:id="177" w:name="_Toc223933229"/>
      <w:bookmarkStart w:id="178" w:name="_Toc227057041"/>
      <w:bookmarkStart w:id="179" w:name="_Toc215415538"/>
      <w:bookmarkStart w:id="180" w:name="_Toc227056854"/>
      <w:bookmarkStart w:id="181" w:name="_Toc219538621"/>
      <w:bookmarkStart w:id="182" w:name="_Toc218041734"/>
      <w:bookmarkStart w:id="183" w:name="_Toc217460693"/>
      <w:bookmarkStart w:id="184" w:name="_Toc491780525"/>
      <w:r>
        <w:rPr>
          <w:rFonts w:hint="eastAsia" w:ascii="宋体" w:hAnsi="宋体" w:eastAsia="宋体" w:cs="宋体"/>
          <w:color w:val="auto"/>
          <w:highlight w:val="none"/>
          <w:lang w:val="en-US" w:eastAsia="zh-CN"/>
        </w:rPr>
        <w:t>温州市燃气集团有限公司上门服务考核管理办法</w:t>
      </w:r>
    </w:p>
    <w:p w14:paraId="00546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为进一步加强上门服务质量，保障客户</w:t>
      </w:r>
      <w:r>
        <w:rPr>
          <w:rFonts w:hint="eastAsia" w:ascii="宋体" w:hAnsi="宋体" w:eastAsia="宋体" w:cs="宋体"/>
          <w:color w:val="auto"/>
          <w:kern w:val="2"/>
          <w:sz w:val="24"/>
          <w:szCs w:val="24"/>
          <w:highlight w:val="none"/>
          <w:lang w:eastAsia="zh-CN"/>
        </w:rPr>
        <w:t>抄表、安检、</w:t>
      </w:r>
      <w:r>
        <w:rPr>
          <w:rFonts w:hint="eastAsia" w:ascii="宋体" w:hAnsi="宋体" w:eastAsia="宋体" w:cs="宋体"/>
          <w:color w:val="auto"/>
          <w:kern w:val="2"/>
          <w:sz w:val="24"/>
          <w:szCs w:val="24"/>
          <w:highlight w:val="none"/>
          <w:lang w:val="en-US" w:eastAsia="zh-CN"/>
        </w:rPr>
        <w:t>通气</w:t>
      </w:r>
      <w:r>
        <w:rPr>
          <w:rFonts w:hint="eastAsia" w:ascii="宋体" w:hAnsi="宋体" w:eastAsia="宋体" w:cs="宋体"/>
          <w:color w:val="auto"/>
          <w:sz w:val="24"/>
          <w:szCs w:val="24"/>
          <w:highlight w:val="none"/>
          <w:lang w:val="en-US" w:eastAsia="zh-CN"/>
        </w:rPr>
        <w:t>业务等上门服务工作的正常开展，充分调动</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的工作积极性和严谨性，强化</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的监督与管理，保障各项规章制度执行落实到位，根据公司考核管理办法要求，结合工作实际情况，特制定本考核管理办法。</w:t>
      </w:r>
    </w:p>
    <w:p w14:paraId="56A60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一、考核对象</w:t>
      </w:r>
    </w:p>
    <w:p w14:paraId="0252D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承接温州市燃气集团有限公司上门服务（</w:t>
      </w:r>
      <w:r>
        <w:rPr>
          <w:rFonts w:hint="eastAsia" w:ascii="宋体" w:hAnsi="宋体" w:eastAsia="宋体" w:cs="宋体"/>
          <w:color w:val="auto"/>
          <w:kern w:val="2"/>
          <w:sz w:val="24"/>
          <w:szCs w:val="24"/>
          <w:highlight w:val="none"/>
          <w:lang w:eastAsia="zh-CN"/>
        </w:rPr>
        <w:t>抄表、安检、</w:t>
      </w:r>
      <w:r>
        <w:rPr>
          <w:rFonts w:hint="eastAsia" w:ascii="宋体" w:hAnsi="宋体" w:eastAsia="宋体" w:cs="宋体"/>
          <w:color w:val="auto"/>
          <w:kern w:val="2"/>
          <w:sz w:val="24"/>
          <w:szCs w:val="24"/>
          <w:highlight w:val="none"/>
          <w:lang w:val="en-US" w:eastAsia="zh-CN"/>
        </w:rPr>
        <w:t>通气</w:t>
      </w:r>
      <w:r>
        <w:rPr>
          <w:rFonts w:hint="eastAsia" w:ascii="宋体" w:hAnsi="宋体" w:eastAsia="宋体" w:cs="宋体"/>
          <w:color w:val="auto"/>
          <w:sz w:val="24"/>
          <w:szCs w:val="24"/>
          <w:highlight w:val="none"/>
          <w:lang w:val="en-US" w:eastAsia="zh-CN"/>
        </w:rPr>
        <w:t>）单位。</w:t>
      </w:r>
    </w:p>
    <w:p w14:paraId="4D181F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二、</w:t>
      </w:r>
      <w:r>
        <w:rPr>
          <w:rFonts w:hint="eastAsia" w:ascii="宋体" w:hAnsi="宋体" w:eastAsia="宋体" w:cs="宋体"/>
          <w:color w:val="auto"/>
          <w:sz w:val="24"/>
          <w:szCs w:val="24"/>
          <w:highlight w:val="none"/>
          <w:lang w:val="en-US" w:eastAsia="zh-CN"/>
        </w:rPr>
        <w:t>适用范围</w:t>
      </w:r>
    </w:p>
    <w:p w14:paraId="1A7CBD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本办法适用所有参与上门（</w:t>
      </w:r>
      <w:r>
        <w:rPr>
          <w:rFonts w:hint="eastAsia" w:ascii="宋体" w:hAnsi="宋体" w:eastAsia="宋体" w:cs="宋体"/>
          <w:color w:val="auto"/>
          <w:kern w:val="2"/>
          <w:sz w:val="24"/>
          <w:szCs w:val="24"/>
          <w:highlight w:val="none"/>
          <w:lang w:eastAsia="zh-CN"/>
        </w:rPr>
        <w:t>抄表、安检、</w:t>
      </w:r>
      <w:r>
        <w:rPr>
          <w:rFonts w:hint="eastAsia" w:ascii="宋体" w:hAnsi="宋体" w:eastAsia="宋体" w:cs="宋体"/>
          <w:color w:val="auto"/>
          <w:kern w:val="2"/>
          <w:sz w:val="24"/>
          <w:szCs w:val="24"/>
          <w:highlight w:val="none"/>
          <w:lang w:val="en-US" w:eastAsia="zh-CN"/>
        </w:rPr>
        <w:t>通气</w:t>
      </w:r>
      <w:r>
        <w:rPr>
          <w:rFonts w:hint="eastAsia" w:ascii="宋体" w:hAnsi="宋体" w:eastAsia="宋体" w:cs="宋体"/>
          <w:color w:val="auto"/>
          <w:sz w:val="24"/>
          <w:szCs w:val="24"/>
          <w:highlight w:val="none"/>
          <w:lang w:val="en-US" w:eastAsia="zh-CN"/>
        </w:rPr>
        <w:t>）相关服务。</w:t>
      </w:r>
    </w:p>
    <w:p w14:paraId="2549C6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三、</w:t>
      </w:r>
      <w:r>
        <w:rPr>
          <w:rFonts w:hint="eastAsia" w:ascii="宋体" w:hAnsi="宋体" w:eastAsia="宋体" w:cs="宋体"/>
          <w:color w:val="auto"/>
          <w:sz w:val="24"/>
          <w:szCs w:val="24"/>
          <w:highlight w:val="none"/>
          <w:lang w:val="en-US" w:eastAsia="zh-CN"/>
        </w:rPr>
        <w:t>奖惩措施</w:t>
      </w:r>
    </w:p>
    <w:p w14:paraId="53097B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温州市燃气集团有限公司责任部室通过书面形式将奖惩确认单发送至</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。经双方确认后，</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应在收到奖惩确认单的10日内到温州市燃气集团有限公司计划财务部缴纳处罚费用（未如期缴纳处罚费用，不予结算承包业务款），奖励可抵扣罚款。</w:t>
      </w:r>
      <w:r>
        <w:rPr>
          <w:rFonts w:hint="eastAsia" w:ascii="宋体" w:hAnsi="宋体" w:cs="宋体"/>
          <w:color w:val="auto"/>
          <w:sz w:val="24"/>
          <w:szCs w:val="24"/>
          <w:highlight w:val="none"/>
          <w:lang w:val="en-US" w:eastAsia="zh-CN"/>
        </w:rPr>
        <w:t>中标单位</w:t>
      </w:r>
      <w:r>
        <w:rPr>
          <w:rFonts w:hint="eastAsia" w:ascii="宋体" w:hAnsi="宋体" w:eastAsia="宋体" w:cs="宋体"/>
          <w:color w:val="auto"/>
          <w:sz w:val="24"/>
          <w:szCs w:val="24"/>
          <w:highlight w:val="none"/>
          <w:lang w:val="en-US" w:eastAsia="zh-CN"/>
        </w:rPr>
        <w:t>应将缴纳后的收据扫描件发送一份至温州市燃气集团有限公司责任部室留底备案。</w:t>
      </w:r>
    </w:p>
    <w:p w14:paraId="34993D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四、</w:t>
      </w:r>
      <w:r>
        <w:rPr>
          <w:rFonts w:hint="eastAsia" w:ascii="宋体" w:hAnsi="宋体" w:eastAsia="宋体" w:cs="宋体"/>
          <w:color w:val="auto"/>
          <w:sz w:val="24"/>
          <w:szCs w:val="24"/>
          <w:highlight w:val="none"/>
          <w:lang w:val="en-US" w:eastAsia="zh-CN"/>
        </w:rPr>
        <w:t>考核细则</w:t>
      </w:r>
    </w:p>
    <w:p w14:paraId="1A71376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BF19DE4">
      <w:pPr>
        <w:pStyle w:val="3"/>
        <w:numPr>
          <w:ilvl w:val="0"/>
          <w:numId w:val="23"/>
        </w:num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考核扣罚细则</w:t>
      </w:r>
    </w:p>
    <w:p w14:paraId="3D50A426">
      <w:pPr>
        <w:rPr>
          <w:rFonts w:hint="eastAsia" w:ascii="宋体" w:hAnsi="宋体" w:eastAsia="宋体" w:cs="宋体"/>
          <w:color w:val="auto"/>
          <w:highlight w:val="none"/>
          <w:lang w:val="en-US" w:eastAsia="zh-CN"/>
        </w:rPr>
      </w:pPr>
    </w:p>
    <w:tbl>
      <w:tblPr>
        <w:tblStyle w:val="33"/>
        <w:tblW w:w="505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89"/>
        <w:gridCol w:w="5079"/>
        <w:gridCol w:w="1283"/>
        <w:gridCol w:w="3063"/>
        <w:gridCol w:w="1425"/>
        <w:gridCol w:w="2797"/>
      </w:tblGrid>
      <w:tr w14:paraId="35E2E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025BE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771" w:type="pct"/>
            <w:tcBorders>
              <w:tl2br w:val="nil"/>
              <w:tr2bl w:val="nil"/>
            </w:tcBorders>
            <w:shd w:val="clear" w:color="auto" w:fill="auto"/>
            <w:noWrap/>
            <w:vAlign w:val="center"/>
          </w:tcPr>
          <w:p w14:paraId="46392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一次考核细则</w:t>
            </w:r>
          </w:p>
        </w:tc>
        <w:tc>
          <w:tcPr>
            <w:tcW w:w="447" w:type="pct"/>
            <w:tcBorders>
              <w:tl2br w:val="nil"/>
              <w:tr2bl w:val="nil"/>
            </w:tcBorders>
            <w:shd w:val="clear" w:color="auto" w:fill="auto"/>
            <w:noWrap/>
            <w:vAlign w:val="center"/>
          </w:tcPr>
          <w:p w14:paraId="7E00A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罚款金额或处罚措施</w:t>
            </w:r>
          </w:p>
        </w:tc>
        <w:tc>
          <w:tcPr>
            <w:tcW w:w="1068" w:type="pct"/>
            <w:tcBorders>
              <w:tl2br w:val="nil"/>
              <w:tr2bl w:val="nil"/>
            </w:tcBorders>
            <w:shd w:val="clear" w:color="auto" w:fill="auto"/>
            <w:noWrap/>
            <w:vAlign w:val="center"/>
          </w:tcPr>
          <w:p w14:paraId="4FAFD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二次考核细则</w:t>
            </w:r>
          </w:p>
        </w:tc>
        <w:tc>
          <w:tcPr>
            <w:tcW w:w="497" w:type="pct"/>
            <w:tcBorders>
              <w:tl2br w:val="nil"/>
              <w:tr2bl w:val="nil"/>
            </w:tcBorders>
            <w:shd w:val="clear" w:color="auto" w:fill="auto"/>
            <w:noWrap/>
            <w:vAlign w:val="center"/>
          </w:tcPr>
          <w:p w14:paraId="5B578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罚款金额或处罚措施</w:t>
            </w:r>
          </w:p>
        </w:tc>
        <w:tc>
          <w:tcPr>
            <w:tcW w:w="975" w:type="pct"/>
            <w:tcBorders>
              <w:tl2br w:val="nil"/>
              <w:tr2bl w:val="nil"/>
            </w:tcBorders>
            <w:shd w:val="clear" w:color="auto" w:fill="auto"/>
            <w:noWrap/>
            <w:vAlign w:val="center"/>
          </w:tcPr>
          <w:p w14:paraId="09D24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57142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1A065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771" w:type="pct"/>
            <w:tcBorders>
              <w:tl2br w:val="nil"/>
              <w:tr2bl w:val="nil"/>
            </w:tcBorders>
            <w:shd w:val="clear" w:color="auto" w:fill="auto"/>
            <w:noWrap/>
            <w:vAlign w:val="center"/>
          </w:tcPr>
          <w:p w14:paraId="32357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安检中存在的隐患未发现或未在安检单和客服系统上做好记录</w:t>
            </w:r>
          </w:p>
        </w:tc>
        <w:tc>
          <w:tcPr>
            <w:tcW w:w="447" w:type="pct"/>
            <w:tcBorders>
              <w:tl2br w:val="nil"/>
              <w:tr2bl w:val="nil"/>
            </w:tcBorders>
            <w:shd w:val="clear" w:color="auto" w:fill="auto"/>
            <w:noWrap/>
            <w:vAlign w:val="center"/>
          </w:tcPr>
          <w:p w14:paraId="56F54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500元/户</w:t>
            </w:r>
          </w:p>
        </w:tc>
        <w:tc>
          <w:tcPr>
            <w:tcW w:w="1068" w:type="pct"/>
            <w:tcBorders>
              <w:tl2br w:val="nil"/>
              <w:tr2bl w:val="nil"/>
            </w:tcBorders>
            <w:shd w:val="clear" w:color="auto" w:fill="auto"/>
            <w:noWrap/>
            <w:vAlign w:val="center"/>
          </w:tcPr>
          <w:p w14:paraId="199D3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37B35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1000元/户</w:t>
            </w:r>
          </w:p>
        </w:tc>
        <w:tc>
          <w:tcPr>
            <w:tcW w:w="975" w:type="pct"/>
            <w:tcBorders>
              <w:tl2br w:val="nil"/>
              <w:tr2bl w:val="nil"/>
            </w:tcBorders>
            <w:shd w:val="clear" w:color="auto" w:fill="auto"/>
            <w:noWrap/>
            <w:vAlign w:val="center"/>
          </w:tcPr>
          <w:p w14:paraId="7D66743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3C36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4A7A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771" w:type="pct"/>
            <w:tcBorders>
              <w:tl2br w:val="nil"/>
              <w:tr2bl w:val="nil"/>
            </w:tcBorders>
            <w:shd w:val="clear" w:color="auto" w:fill="auto"/>
            <w:noWrap/>
            <w:vAlign w:val="center"/>
          </w:tcPr>
          <w:p w14:paraId="05ADD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户内安检（含临时安检业务）取证照片拍照不全、拍照不清晰无法判断和表读数拍照模糊</w:t>
            </w:r>
          </w:p>
        </w:tc>
        <w:tc>
          <w:tcPr>
            <w:tcW w:w="447" w:type="pct"/>
            <w:tcBorders>
              <w:tl2br w:val="nil"/>
              <w:tr2bl w:val="nil"/>
            </w:tcBorders>
            <w:shd w:val="clear" w:color="auto" w:fill="auto"/>
            <w:noWrap/>
            <w:vAlign w:val="center"/>
          </w:tcPr>
          <w:p w14:paraId="1B265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50元/户</w:t>
            </w:r>
          </w:p>
        </w:tc>
        <w:tc>
          <w:tcPr>
            <w:tcW w:w="1068" w:type="pct"/>
            <w:tcBorders>
              <w:tl2br w:val="nil"/>
              <w:tr2bl w:val="nil"/>
            </w:tcBorders>
            <w:shd w:val="clear" w:color="auto" w:fill="auto"/>
            <w:noWrap/>
            <w:vAlign w:val="center"/>
          </w:tcPr>
          <w:p w14:paraId="4042A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本月内，再次发生或督促后规定时间内未重新取证上、拖拉</w:t>
            </w:r>
          </w:p>
        </w:tc>
        <w:tc>
          <w:tcPr>
            <w:tcW w:w="497" w:type="pct"/>
            <w:tcBorders>
              <w:tl2br w:val="nil"/>
              <w:tr2bl w:val="nil"/>
            </w:tcBorders>
            <w:shd w:val="clear" w:color="auto" w:fill="auto"/>
            <w:noWrap/>
            <w:vAlign w:val="center"/>
          </w:tcPr>
          <w:p w14:paraId="4585F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975" w:type="pct"/>
            <w:tcBorders>
              <w:tl2br w:val="nil"/>
              <w:tr2bl w:val="nil"/>
            </w:tcBorders>
            <w:shd w:val="clear" w:color="auto" w:fill="auto"/>
            <w:noWrap/>
            <w:vAlign w:val="center"/>
          </w:tcPr>
          <w:p w14:paraId="4525E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未整改，未反馈将按天数，累计扣罚，每户每迟1天扣100元</w:t>
            </w:r>
          </w:p>
        </w:tc>
      </w:tr>
      <w:tr w14:paraId="17090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58562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771" w:type="pct"/>
            <w:tcBorders>
              <w:tl2br w:val="nil"/>
              <w:tr2bl w:val="nil"/>
            </w:tcBorders>
            <w:shd w:val="clear" w:color="auto" w:fill="auto"/>
            <w:noWrap/>
            <w:vAlign w:val="center"/>
          </w:tcPr>
          <w:p w14:paraId="7CBBD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临时安检业务未在3个工作日内完成（除与客户已协商好时间的）</w:t>
            </w:r>
          </w:p>
        </w:tc>
        <w:tc>
          <w:tcPr>
            <w:tcW w:w="447" w:type="pct"/>
            <w:tcBorders>
              <w:tl2br w:val="nil"/>
              <w:tr2bl w:val="nil"/>
            </w:tcBorders>
            <w:shd w:val="clear" w:color="auto" w:fill="auto"/>
            <w:noWrap/>
            <w:vAlign w:val="center"/>
          </w:tcPr>
          <w:p w14:paraId="4AC1C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200元/户</w:t>
            </w:r>
          </w:p>
        </w:tc>
        <w:tc>
          <w:tcPr>
            <w:tcW w:w="1068" w:type="pct"/>
            <w:tcBorders>
              <w:tl2br w:val="nil"/>
              <w:tr2bl w:val="nil"/>
            </w:tcBorders>
            <w:shd w:val="clear" w:color="auto" w:fill="auto"/>
            <w:noWrap/>
            <w:vAlign w:val="center"/>
          </w:tcPr>
          <w:p w14:paraId="7431B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督促后在甲方要求时间内仍未执行、拖拉</w:t>
            </w:r>
          </w:p>
        </w:tc>
        <w:tc>
          <w:tcPr>
            <w:tcW w:w="497" w:type="pct"/>
            <w:tcBorders>
              <w:tl2br w:val="nil"/>
              <w:tr2bl w:val="nil"/>
            </w:tcBorders>
            <w:shd w:val="clear" w:color="auto" w:fill="auto"/>
            <w:noWrap/>
            <w:vAlign w:val="center"/>
          </w:tcPr>
          <w:p w14:paraId="46056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500元/户</w:t>
            </w:r>
          </w:p>
        </w:tc>
        <w:tc>
          <w:tcPr>
            <w:tcW w:w="975" w:type="pct"/>
            <w:tcBorders>
              <w:tl2br w:val="nil"/>
              <w:tr2bl w:val="nil"/>
            </w:tcBorders>
            <w:shd w:val="clear" w:color="auto" w:fill="auto"/>
            <w:noWrap/>
            <w:vAlign w:val="center"/>
          </w:tcPr>
          <w:p w14:paraId="342B7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延迟累计扣罚，每户每迟1天500元</w:t>
            </w:r>
          </w:p>
        </w:tc>
      </w:tr>
      <w:tr w14:paraId="35AA0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E312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771" w:type="pct"/>
            <w:tcBorders>
              <w:tl2br w:val="nil"/>
              <w:tr2bl w:val="nil"/>
            </w:tcBorders>
            <w:shd w:val="clear" w:color="auto" w:fill="auto"/>
            <w:noWrap/>
            <w:vAlign w:val="center"/>
          </w:tcPr>
          <w:p w14:paraId="7E13B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非居民半年度入户安检率未达到100%；居民每月入户安检率未达到90.23%</w:t>
            </w:r>
          </w:p>
        </w:tc>
        <w:tc>
          <w:tcPr>
            <w:tcW w:w="447" w:type="pct"/>
            <w:tcBorders>
              <w:tl2br w:val="nil"/>
              <w:tr2bl w:val="nil"/>
            </w:tcBorders>
            <w:shd w:val="clear" w:color="auto" w:fill="auto"/>
            <w:noWrap/>
            <w:vAlign w:val="center"/>
          </w:tcPr>
          <w:p w14:paraId="1E603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10000元/次</w:t>
            </w:r>
          </w:p>
        </w:tc>
        <w:tc>
          <w:tcPr>
            <w:tcW w:w="1068" w:type="pct"/>
            <w:tcBorders>
              <w:tl2br w:val="nil"/>
              <w:tr2bl w:val="nil"/>
            </w:tcBorders>
            <w:shd w:val="clear" w:color="auto" w:fill="auto"/>
            <w:noWrap/>
            <w:vAlign w:val="center"/>
          </w:tcPr>
          <w:p w14:paraId="74E1C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再次发生</w:t>
            </w:r>
          </w:p>
        </w:tc>
        <w:tc>
          <w:tcPr>
            <w:tcW w:w="497" w:type="pct"/>
            <w:tcBorders>
              <w:tl2br w:val="nil"/>
              <w:tr2bl w:val="nil"/>
            </w:tcBorders>
            <w:shd w:val="clear" w:color="auto" w:fill="auto"/>
            <w:noWrap/>
            <w:vAlign w:val="center"/>
          </w:tcPr>
          <w:p w14:paraId="7DA6D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停工</w:t>
            </w:r>
          </w:p>
        </w:tc>
        <w:tc>
          <w:tcPr>
            <w:tcW w:w="975" w:type="pct"/>
            <w:tcBorders>
              <w:tl2br w:val="nil"/>
              <w:tr2bl w:val="nil"/>
            </w:tcBorders>
            <w:shd w:val="clear" w:color="auto" w:fill="auto"/>
            <w:noWrap/>
            <w:vAlign w:val="center"/>
          </w:tcPr>
          <w:p w14:paraId="4B7E9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考核指标根据甲方要求进行调整</w:t>
            </w:r>
          </w:p>
        </w:tc>
      </w:tr>
      <w:tr w14:paraId="63A40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74A06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771" w:type="pct"/>
            <w:tcBorders>
              <w:tl2br w:val="nil"/>
              <w:tr2bl w:val="nil"/>
            </w:tcBorders>
            <w:shd w:val="clear" w:color="auto" w:fill="auto"/>
            <w:noWrap/>
            <w:vAlign w:val="center"/>
          </w:tcPr>
          <w:p w14:paraId="62AFF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未在规定时间内完成月度安检基准量</w:t>
            </w:r>
          </w:p>
        </w:tc>
        <w:tc>
          <w:tcPr>
            <w:tcW w:w="447" w:type="pct"/>
            <w:tcBorders>
              <w:tl2br w:val="nil"/>
              <w:tr2bl w:val="nil"/>
            </w:tcBorders>
            <w:shd w:val="clear" w:color="auto" w:fill="auto"/>
            <w:noWrap/>
            <w:vAlign w:val="center"/>
          </w:tcPr>
          <w:p w14:paraId="50408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5000元/次</w:t>
            </w:r>
          </w:p>
        </w:tc>
        <w:tc>
          <w:tcPr>
            <w:tcW w:w="1068" w:type="pct"/>
            <w:tcBorders>
              <w:tl2br w:val="nil"/>
              <w:tr2bl w:val="nil"/>
            </w:tcBorders>
            <w:shd w:val="clear" w:color="auto" w:fill="auto"/>
            <w:noWrap/>
            <w:vAlign w:val="center"/>
          </w:tcPr>
          <w:p w14:paraId="0BEFB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再次发生</w:t>
            </w:r>
          </w:p>
        </w:tc>
        <w:tc>
          <w:tcPr>
            <w:tcW w:w="497" w:type="pct"/>
            <w:tcBorders>
              <w:tl2br w:val="nil"/>
              <w:tr2bl w:val="nil"/>
            </w:tcBorders>
            <w:shd w:val="clear" w:color="auto" w:fill="auto"/>
            <w:noWrap/>
            <w:vAlign w:val="center"/>
          </w:tcPr>
          <w:p w14:paraId="2A913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10000元/次</w:t>
            </w:r>
          </w:p>
        </w:tc>
        <w:tc>
          <w:tcPr>
            <w:tcW w:w="975" w:type="pct"/>
            <w:tcBorders>
              <w:tl2br w:val="nil"/>
              <w:tr2bl w:val="nil"/>
            </w:tcBorders>
            <w:shd w:val="clear" w:color="auto" w:fill="auto"/>
            <w:noWrap/>
            <w:vAlign w:val="center"/>
          </w:tcPr>
          <w:p w14:paraId="268AF19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D74D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9EEA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771" w:type="pct"/>
            <w:tcBorders>
              <w:tl2br w:val="nil"/>
              <w:tr2bl w:val="nil"/>
            </w:tcBorders>
            <w:shd w:val="clear" w:color="auto" w:fill="auto"/>
            <w:noWrap/>
            <w:vAlign w:val="center"/>
          </w:tcPr>
          <w:p w14:paraId="68902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月安检计划安排表临时变动未提前报备</w:t>
            </w:r>
          </w:p>
        </w:tc>
        <w:tc>
          <w:tcPr>
            <w:tcW w:w="447" w:type="pct"/>
            <w:tcBorders>
              <w:tl2br w:val="nil"/>
              <w:tr2bl w:val="nil"/>
            </w:tcBorders>
            <w:shd w:val="clear" w:color="auto" w:fill="auto"/>
            <w:noWrap/>
            <w:vAlign w:val="center"/>
          </w:tcPr>
          <w:p w14:paraId="185A6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100元/次</w:t>
            </w:r>
          </w:p>
        </w:tc>
        <w:tc>
          <w:tcPr>
            <w:tcW w:w="1068" w:type="pct"/>
            <w:tcBorders>
              <w:tl2br w:val="nil"/>
              <w:tr2bl w:val="nil"/>
            </w:tcBorders>
            <w:shd w:val="clear" w:color="auto" w:fill="auto"/>
            <w:noWrap/>
            <w:vAlign w:val="center"/>
          </w:tcPr>
          <w:p w14:paraId="2416D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本月内，再次发生或经督促后仍未执行、拖拉</w:t>
            </w:r>
          </w:p>
        </w:tc>
        <w:tc>
          <w:tcPr>
            <w:tcW w:w="497" w:type="pct"/>
            <w:tcBorders>
              <w:tl2br w:val="nil"/>
              <w:tr2bl w:val="nil"/>
            </w:tcBorders>
            <w:shd w:val="clear" w:color="auto" w:fill="auto"/>
            <w:noWrap/>
            <w:vAlign w:val="center"/>
          </w:tcPr>
          <w:p w14:paraId="133D1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200元/次</w:t>
            </w:r>
          </w:p>
        </w:tc>
        <w:tc>
          <w:tcPr>
            <w:tcW w:w="975" w:type="pct"/>
            <w:tcBorders>
              <w:tl2br w:val="nil"/>
              <w:tr2bl w:val="nil"/>
            </w:tcBorders>
            <w:shd w:val="clear" w:color="auto" w:fill="auto"/>
            <w:noWrap/>
            <w:vAlign w:val="center"/>
          </w:tcPr>
          <w:p w14:paraId="4ACD2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延迟累计扣罚，每迟1天200元</w:t>
            </w:r>
          </w:p>
        </w:tc>
      </w:tr>
      <w:tr w14:paraId="41295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205F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771" w:type="pct"/>
            <w:tcBorders>
              <w:tl2br w:val="nil"/>
              <w:tr2bl w:val="nil"/>
            </w:tcBorders>
            <w:shd w:val="clear" w:color="auto" w:fill="auto"/>
            <w:noWrap/>
            <w:vAlign w:val="center"/>
          </w:tcPr>
          <w:p w14:paraId="2C69C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安检、通气人员没有相关作业证或过期（户内检修工证等）仍进行作业</w:t>
            </w:r>
          </w:p>
        </w:tc>
        <w:tc>
          <w:tcPr>
            <w:tcW w:w="447" w:type="pct"/>
            <w:tcBorders>
              <w:tl2br w:val="nil"/>
              <w:tr2bl w:val="nil"/>
            </w:tcBorders>
            <w:shd w:val="clear" w:color="auto" w:fill="auto"/>
            <w:noWrap/>
            <w:vAlign w:val="center"/>
          </w:tcPr>
          <w:p w14:paraId="60A9A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5000元/次</w:t>
            </w:r>
          </w:p>
        </w:tc>
        <w:tc>
          <w:tcPr>
            <w:tcW w:w="1068" w:type="pct"/>
            <w:tcBorders>
              <w:tl2br w:val="nil"/>
              <w:tr2bl w:val="nil"/>
            </w:tcBorders>
            <w:shd w:val="clear" w:color="auto" w:fill="auto"/>
            <w:noWrap/>
            <w:vAlign w:val="center"/>
          </w:tcPr>
          <w:p w14:paraId="6F30D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0A2F4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10000元/次</w:t>
            </w:r>
          </w:p>
        </w:tc>
        <w:tc>
          <w:tcPr>
            <w:tcW w:w="975" w:type="pct"/>
            <w:tcBorders>
              <w:tl2br w:val="nil"/>
              <w:tr2bl w:val="nil"/>
            </w:tcBorders>
            <w:shd w:val="clear" w:color="auto" w:fill="auto"/>
            <w:noWrap/>
            <w:vAlign w:val="center"/>
          </w:tcPr>
          <w:p w14:paraId="4C8DDB0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0D20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389ED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771" w:type="pct"/>
            <w:tcBorders>
              <w:tl2br w:val="nil"/>
              <w:tr2bl w:val="nil"/>
            </w:tcBorders>
            <w:shd w:val="clear" w:color="auto" w:fill="auto"/>
            <w:noWrap/>
            <w:vAlign w:val="center"/>
          </w:tcPr>
          <w:p w14:paraId="7ABA4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通气相关费用未每天按时上交审核</w:t>
            </w:r>
          </w:p>
        </w:tc>
        <w:tc>
          <w:tcPr>
            <w:tcW w:w="447" w:type="pct"/>
            <w:tcBorders>
              <w:tl2br w:val="nil"/>
              <w:tr2bl w:val="nil"/>
            </w:tcBorders>
            <w:shd w:val="clear" w:color="auto" w:fill="auto"/>
            <w:noWrap/>
            <w:vAlign w:val="center"/>
          </w:tcPr>
          <w:p w14:paraId="14A68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500元/次</w:t>
            </w:r>
          </w:p>
        </w:tc>
        <w:tc>
          <w:tcPr>
            <w:tcW w:w="1068" w:type="pct"/>
            <w:tcBorders>
              <w:tl2br w:val="nil"/>
              <w:tr2bl w:val="nil"/>
            </w:tcBorders>
            <w:shd w:val="clear" w:color="auto" w:fill="auto"/>
            <w:noWrap/>
            <w:vAlign w:val="center"/>
          </w:tcPr>
          <w:p w14:paraId="4E687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2BF9A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停工</w:t>
            </w:r>
          </w:p>
        </w:tc>
        <w:tc>
          <w:tcPr>
            <w:tcW w:w="975" w:type="pct"/>
            <w:tcBorders>
              <w:tl2br w:val="nil"/>
              <w:tr2bl w:val="nil"/>
            </w:tcBorders>
            <w:shd w:val="clear" w:color="auto" w:fill="auto"/>
            <w:noWrap/>
            <w:vAlign w:val="center"/>
          </w:tcPr>
          <w:p w14:paraId="2CDA6E5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6239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DA65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771" w:type="pct"/>
            <w:tcBorders>
              <w:tl2br w:val="nil"/>
              <w:tr2bl w:val="nil"/>
            </w:tcBorders>
            <w:shd w:val="clear" w:color="auto" w:fill="auto"/>
            <w:noWrap/>
            <w:vAlign w:val="center"/>
          </w:tcPr>
          <w:p w14:paraId="28317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上门服务中如发现私自复接管道、新通气时气表读数异常等情况信息未及时如实上报</w:t>
            </w:r>
          </w:p>
        </w:tc>
        <w:tc>
          <w:tcPr>
            <w:tcW w:w="447" w:type="pct"/>
            <w:tcBorders>
              <w:tl2br w:val="nil"/>
              <w:tr2bl w:val="nil"/>
            </w:tcBorders>
            <w:shd w:val="clear" w:color="auto" w:fill="auto"/>
            <w:noWrap/>
            <w:vAlign w:val="center"/>
          </w:tcPr>
          <w:p w14:paraId="00C82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500元/户</w:t>
            </w:r>
          </w:p>
        </w:tc>
        <w:tc>
          <w:tcPr>
            <w:tcW w:w="1068" w:type="pct"/>
            <w:tcBorders>
              <w:tl2br w:val="nil"/>
              <w:tr2bl w:val="nil"/>
            </w:tcBorders>
            <w:shd w:val="clear" w:color="auto" w:fill="auto"/>
            <w:noWrap/>
            <w:vAlign w:val="center"/>
          </w:tcPr>
          <w:p w14:paraId="6CB87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3EF54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1000元/户</w:t>
            </w:r>
          </w:p>
        </w:tc>
        <w:tc>
          <w:tcPr>
            <w:tcW w:w="975" w:type="pct"/>
            <w:tcBorders>
              <w:tl2br w:val="nil"/>
              <w:tr2bl w:val="nil"/>
            </w:tcBorders>
            <w:shd w:val="clear" w:color="auto" w:fill="auto"/>
            <w:noWrap/>
            <w:vAlign w:val="center"/>
          </w:tcPr>
          <w:p w14:paraId="01EA3D0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6C46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2E4F5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771" w:type="pct"/>
            <w:tcBorders>
              <w:tl2br w:val="nil"/>
              <w:tr2bl w:val="nil"/>
            </w:tcBorders>
            <w:shd w:val="clear" w:color="auto" w:fill="auto"/>
            <w:noWrap/>
            <w:vAlign w:val="center"/>
          </w:tcPr>
          <w:p w14:paraId="03A42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通气时（含二次通气、气表复接、波纹管更换等业务）未试压、未用肥皂水查漏或查漏不到位。</w:t>
            </w:r>
          </w:p>
        </w:tc>
        <w:tc>
          <w:tcPr>
            <w:tcW w:w="447" w:type="pct"/>
            <w:tcBorders>
              <w:tl2br w:val="nil"/>
              <w:tr2bl w:val="nil"/>
            </w:tcBorders>
            <w:shd w:val="clear" w:color="auto" w:fill="auto"/>
            <w:noWrap/>
            <w:vAlign w:val="center"/>
          </w:tcPr>
          <w:p w14:paraId="0E9B0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5000元/次</w:t>
            </w:r>
          </w:p>
        </w:tc>
        <w:tc>
          <w:tcPr>
            <w:tcW w:w="1068" w:type="pct"/>
            <w:tcBorders>
              <w:tl2br w:val="nil"/>
              <w:tr2bl w:val="nil"/>
            </w:tcBorders>
            <w:shd w:val="clear" w:color="auto" w:fill="auto"/>
            <w:noWrap/>
            <w:vAlign w:val="center"/>
          </w:tcPr>
          <w:p w14:paraId="1D38D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5FA8B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停工</w:t>
            </w:r>
          </w:p>
        </w:tc>
        <w:tc>
          <w:tcPr>
            <w:tcW w:w="975" w:type="pct"/>
            <w:tcBorders>
              <w:tl2br w:val="nil"/>
              <w:tr2bl w:val="nil"/>
            </w:tcBorders>
            <w:shd w:val="clear" w:color="auto" w:fill="auto"/>
            <w:noWrap/>
            <w:vAlign w:val="center"/>
          </w:tcPr>
          <w:p w14:paraId="5D1D81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53D5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36E0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771" w:type="pct"/>
            <w:tcBorders>
              <w:tl2br w:val="nil"/>
              <w:tr2bl w:val="nil"/>
            </w:tcBorders>
            <w:shd w:val="clear" w:color="auto" w:fill="auto"/>
            <w:noWrap/>
            <w:vAlign w:val="center"/>
          </w:tcPr>
          <w:p w14:paraId="5E0CB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抄表工作中出现同一用户连续两次需要修改数据</w:t>
            </w:r>
          </w:p>
        </w:tc>
        <w:tc>
          <w:tcPr>
            <w:tcW w:w="447" w:type="pct"/>
            <w:tcBorders>
              <w:tl2br w:val="nil"/>
              <w:tr2bl w:val="nil"/>
            </w:tcBorders>
            <w:shd w:val="clear" w:color="auto" w:fill="auto"/>
            <w:noWrap/>
            <w:vAlign w:val="center"/>
          </w:tcPr>
          <w:p w14:paraId="4B2F0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1068" w:type="pct"/>
            <w:tcBorders>
              <w:tl2br w:val="nil"/>
              <w:tr2bl w:val="nil"/>
            </w:tcBorders>
            <w:shd w:val="clear" w:color="auto" w:fill="auto"/>
            <w:noWrap/>
            <w:vAlign w:val="center"/>
          </w:tcPr>
          <w:p w14:paraId="62115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73279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200元/户</w:t>
            </w:r>
          </w:p>
        </w:tc>
        <w:tc>
          <w:tcPr>
            <w:tcW w:w="975" w:type="pct"/>
            <w:tcBorders>
              <w:tl2br w:val="nil"/>
              <w:tr2bl w:val="nil"/>
            </w:tcBorders>
            <w:shd w:val="clear" w:color="auto" w:fill="auto"/>
            <w:noWrap/>
            <w:vAlign w:val="center"/>
          </w:tcPr>
          <w:p w14:paraId="240890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C373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75D2D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771" w:type="pct"/>
            <w:tcBorders>
              <w:tl2br w:val="nil"/>
              <w:tr2bl w:val="nil"/>
            </w:tcBorders>
            <w:shd w:val="clear" w:color="auto" w:fill="auto"/>
            <w:noWrap/>
            <w:vAlign w:val="center"/>
          </w:tcPr>
          <w:p w14:paraId="2EA08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发现气表实际读数与气表记录明显异常、不符未上报</w:t>
            </w:r>
          </w:p>
        </w:tc>
        <w:tc>
          <w:tcPr>
            <w:tcW w:w="447" w:type="pct"/>
            <w:tcBorders>
              <w:tl2br w:val="nil"/>
              <w:tr2bl w:val="nil"/>
            </w:tcBorders>
            <w:shd w:val="clear" w:color="auto" w:fill="auto"/>
            <w:noWrap/>
            <w:vAlign w:val="center"/>
          </w:tcPr>
          <w:p w14:paraId="39689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1068" w:type="pct"/>
            <w:tcBorders>
              <w:tl2br w:val="nil"/>
              <w:tr2bl w:val="nil"/>
            </w:tcBorders>
            <w:shd w:val="clear" w:color="auto" w:fill="auto"/>
            <w:noWrap/>
            <w:vAlign w:val="center"/>
          </w:tcPr>
          <w:p w14:paraId="78D0A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3000F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200元/户</w:t>
            </w:r>
          </w:p>
        </w:tc>
        <w:tc>
          <w:tcPr>
            <w:tcW w:w="975" w:type="pct"/>
            <w:tcBorders>
              <w:tl2br w:val="nil"/>
              <w:tr2bl w:val="nil"/>
            </w:tcBorders>
            <w:shd w:val="clear" w:color="auto" w:fill="auto"/>
            <w:noWrap/>
            <w:vAlign w:val="center"/>
          </w:tcPr>
          <w:p w14:paraId="1FA753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C01A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6191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771" w:type="pct"/>
            <w:tcBorders>
              <w:tl2br w:val="nil"/>
              <w:tr2bl w:val="nil"/>
            </w:tcBorders>
            <w:shd w:val="clear" w:color="auto" w:fill="auto"/>
            <w:noWrap/>
            <w:vAlign w:val="center"/>
          </w:tcPr>
          <w:p w14:paraId="04D30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每两次抄表周期未入户实抄表一次以上</w:t>
            </w:r>
          </w:p>
        </w:tc>
        <w:tc>
          <w:tcPr>
            <w:tcW w:w="447" w:type="pct"/>
            <w:tcBorders>
              <w:tl2br w:val="nil"/>
              <w:tr2bl w:val="nil"/>
            </w:tcBorders>
            <w:shd w:val="clear" w:color="auto" w:fill="auto"/>
            <w:noWrap/>
            <w:vAlign w:val="center"/>
          </w:tcPr>
          <w:p w14:paraId="065D3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50元/户</w:t>
            </w:r>
          </w:p>
        </w:tc>
        <w:tc>
          <w:tcPr>
            <w:tcW w:w="1068" w:type="pct"/>
            <w:tcBorders>
              <w:tl2br w:val="nil"/>
              <w:tr2bl w:val="nil"/>
            </w:tcBorders>
            <w:shd w:val="clear" w:color="auto" w:fill="auto"/>
            <w:noWrap/>
            <w:vAlign w:val="center"/>
          </w:tcPr>
          <w:p w14:paraId="4258D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pct"/>
            <w:tcBorders>
              <w:tl2br w:val="nil"/>
              <w:tr2bl w:val="nil"/>
            </w:tcBorders>
            <w:shd w:val="clear" w:color="auto" w:fill="auto"/>
            <w:noWrap/>
            <w:vAlign w:val="center"/>
          </w:tcPr>
          <w:p w14:paraId="286B9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975" w:type="pct"/>
            <w:tcBorders>
              <w:tl2br w:val="nil"/>
              <w:tr2bl w:val="nil"/>
            </w:tcBorders>
            <w:shd w:val="clear" w:color="auto" w:fill="auto"/>
            <w:noWrap/>
            <w:vAlign w:val="center"/>
          </w:tcPr>
          <w:p w14:paraId="0BFF9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提供物业证明或2份不同时间段的门锁单加上联系用户的记录不作处罚</w:t>
            </w:r>
          </w:p>
        </w:tc>
      </w:tr>
      <w:tr w14:paraId="2186F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5BB21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771" w:type="pct"/>
            <w:tcBorders>
              <w:tl2br w:val="nil"/>
              <w:tr2bl w:val="nil"/>
            </w:tcBorders>
            <w:shd w:val="clear" w:color="auto" w:fill="auto"/>
            <w:noWrap/>
            <w:vAlign w:val="center"/>
          </w:tcPr>
          <w:p w14:paraId="2B9AC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每月15日前未采集完成当月需上门采集的远传表数据</w:t>
            </w:r>
          </w:p>
        </w:tc>
        <w:tc>
          <w:tcPr>
            <w:tcW w:w="447" w:type="pct"/>
            <w:tcBorders>
              <w:tl2br w:val="nil"/>
              <w:tr2bl w:val="nil"/>
            </w:tcBorders>
            <w:shd w:val="clear" w:color="auto" w:fill="auto"/>
            <w:noWrap/>
            <w:vAlign w:val="center"/>
          </w:tcPr>
          <w:p w14:paraId="7EFE6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2000元/次</w:t>
            </w:r>
          </w:p>
        </w:tc>
        <w:tc>
          <w:tcPr>
            <w:tcW w:w="1068" w:type="pct"/>
            <w:tcBorders>
              <w:tl2br w:val="nil"/>
              <w:tr2bl w:val="nil"/>
            </w:tcBorders>
            <w:shd w:val="clear" w:color="auto" w:fill="auto"/>
            <w:noWrap/>
            <w:vAlign w:val="center"/>
          </w:tcPr>
          <w:p w14:paraId="79C69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182FF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5000元/次</w:t>
            </w:r>
          </w:p>
        </w:tc>
        <w:tc>
          <w:tcPr>
            <w:tcW w:w="975" w:type="pct"/>
            <w:tcBorders>
              <w:tl2br w:val="nil"/>
              <w:tr2bl w:val="nil"/>
            </w:tcBorders>
            <w:shd w:val="clear" w:color="auto" w:fill="auto"/>
            <w:noWrap/>
            <w:vAlign w:val="center"/>
          </w:tcPr>
          <w:p w14:paraId="64AB00A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6B51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3CAFD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771" w:type="pct"/>
            <w:tcBorders>
              <w:tl2br w:val="nil"/>
              <w:tr2bl w:val="nil"/>
            </w:tcBorders>
            <w:shd w:val="clear" w:color="auto" w:fill="auto"/>
            <w:noWrap/>
            <w:vAlign w:val="center"/>
          </w:tcPr>
          <w:p w14:paraId="79B7A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每月15日前未完成粘贴《欠费催缴通知书》和《缴费提醒书》</w:t>
            </w:r>
          </w:p>
        </w:tc>
        <w:tc>
          <w:tcPr>
            <w:tcW w:w="447" w:type="pct"/>
            <w:tcBorders>
              <w:tl2br w:val="nil"/>
              <w:tr2bl w:val="nil"/>
            </w:tcBorders>
            <w:shd w:val="clear" w:color="auto" w:fill="auto"/>
            <w:noWrap/>
            <w:vAlign w:val="center"/>
          </w:tcPr>
          <w:p w14:paraId="08E22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1000元/次</w:t>
            </w:r>
          </w:p>
        </w:tc>
        <w:tc>
          <w:tcPr>
            <w:tcW w:w="1068" w:type="pct"/>
            <w:tcBorders>
              <w:tl2br w:val="nil"/>
              <w:tr2bl w:val="nil"/>
            </w:tcBorders>
            <w:shd w:val="clear" w:color="auto" w:fill="auto"/>
            <w:noWrap/>
            <w:vAlign w:val="center"/>
          </w:tcPr>
          <w:p w14:paraId="450E8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本年度再次发生</w:t>
            </w:r>
          </w:p>
        </w:tc>
        <w:tc>
          <w:tcPr>
            <w:tcW w:w="497" w:type="pct"/>
            <w:tcBorders>
              <w:tl2br w:val="nil"/>
              <w:tr2bl w:val="nil"/>
            </w:tcBorders>
            <w:shd w:val="clear" w:color="auto" w:fill="auto"/>
            <w:noWrap/>
            <w:vAlign w:val="center"/>
          </w:tcPr>
          <w:p w14:paraId="45C0A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2000元/次</w:t>
            </w:r>
          </w:p>
        </w:tc>
        <w:tc>
          <w:tcPr>
            <w:tcW w:w="975" w:type="pct"/>
            <w:tcBorders>
              <w:tl2br w:val="nil"/>
              <w:tr2bl w:val="nil"/>
            </w:tcBorders>
            <w:shd w:val="clear" w:color="auto" w:fill="auto"/>
            <w:noWrap/>
            <w:vAlign w:val="center"/>
          </w:tcPr>
          <w:p w14:paraId="71516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遇到节假日顺延</w:t>
            </w:r>
          </w:p>
        </w:tc>
      </w:tr>
      <w:tr w14:paraId="1A63A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36103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771" w:type="pct"/>
            <w:tcBorders>
              <w:tl2br w:val="nil"/>
              <w:tr2bl w:val="nil"/>
            </w:tcBorders>
            <w:shd w:val="clear" w:color="auto" w:fill="auto"/>
            <w:noWrap/>
            <w:vAlign w:val="center"/>
          </w:tcPr>
          <w:p w14:paraId="62557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非居民客户每月10日前抄表率及实抄率未达到100%；居民客户每月抄表率未达到100%，实抄率未达到50%</w:t>
            </w:r>
          </w:p>
        </w:tc>
        <w:tc>
          <w:tcPr>
            <w:tcW w:w="447" w:type="pct"/>
            <w:tcBorders>
              <w:tl2br w:val="nil"/>
              <w:tr2bl w:val="nil"/>
            </w:tcBorders>
            <w:shd w:val="clear" w:color="auto" w:fill="auto"/>
            <w:noWrap/>
            <w:vAlign w:val="center"/>
          </w:tcPr>
          <w:p w14:paraId="6A8A3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5000元/次</w:t>
            </w:r>
          </w:p>
        </w:tc>
        <w:tc>
          <w:tcPr>
            <w:tcW w:w="1068" w:type="pct"/>
            <w:tcBorders>
              <w:tl2br w:val="nil"/>
              <w:tr2bl w:val="nil"/>
            </w:tcBorders>
            <w:shd w:val="clear" w:color="auto" w:fill="auto"/>
            <w:noWrap/>
            <w:vAlign w:val="center"/>
          </w:tcPr>
          <w:p w14:paraId="307DB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再次发生</w:t>
            </w:r>
          </w:p>
        </w:tc>
        <w:tc>
          <w:tcPr>
            <w:tcW w:w="497" w:type="pct"/>
            <w:tcBorders>
              <w:tl2br w:val="nil"/>
              <w:tr2bl w:val="nil"/>
            </w:tcBorders>
            <w:shd w:val="clear" w:color="auto" w:fill="auto"/>
            <w:noWrap/>
            <w:vAlign w:val="center"/>
          </w:tcPr>
          <w:p w14:paraId="181D7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停工</w:t>
            </w:r>
          </w:p>
        </w:tc>
        <w:tc>
          <w:tcPr>
            <w:tcW w:w="975" w:type="pct"/>
            <w:tcBorders>
              <w:tl2br w:val="nil"/>
              <w:tr2bl w:val="nil"/>
            </w:tcBorders>
            <w:shd w:val="clear" w:color="auto" w:fill="auto"/>
            <w:noWrap/>
            <w:vAlign w:val="center"/>
          </w:tcPr>
          <w:p w14:paraId="4E99B00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96C4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56DA4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771" w:type="pct"/>
            <w:tcBorders>
              <w:tl2br w:val="nil"/>
              <w:tr2bl w:val="nil"/>
            </w:tcBorders>
            <w:shd w:val="clear" w:color="auto" w:fill="auto"/>
            <w:noWrap/>
            <w:vAlign w:val="center"/>
          </w:tcPr>
          <w:p w14:paraId="3C0AD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非居民客户气费每月资金回笼率未达到100%（恶意逃气除外）；居民客户气费每月资金回笼率未达到99.23%以上</w:t>
            </w:r>
          </w:p>
        </w:tc>
        <w:tc>
          <w:tcPr>
            <w:tcW w:w="447" w:type="pct"/>
            <w:tcBorders>
              <w:tl2br w:val="nil"/>
              <w:tr2bl w:val="nil"/>
            </w:tcBorders>
            <w:shd w:val="clear" w:color="auto" w:fill="auto"/>
            <w:noWrap/>
            <w:vAlign w:val="center"/>
          </w:tcPr>
          <w:p w14:paraId="1C4E5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10000元/次</w:t>
            </w:r>
          </w:p>
        </w:tc>
        <w:tc>
          <w:tcPr>
            <w:tcW w:w="1068" w:type="pct"/>
            <w:tcBorders>
              <w:tl2br w:val="nil"/>
              <w:tr2bl w:val="nil"/>
            </w:tcBorders>
            <w:shd w:val="clear" w:color="auto" w:fill="auto"/>
            <w:noWrap/>
            <w:vAlign w:val="center"/>
          </w:tcPr>
          <w:p w14:paraId="3FB23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再次发生</w:t>
            </w:r>
          </w:p>
        </w:tc>
        <w:tc>
          <w:tcPr>
            <w:tcW w:w="497" w:type="pct"/>
            <w:tcBorders>
              <w:tl2br w:val="nil"/>
              <w:tr2bl w:val="nil"/>
            </w:tcBorders>
            <w:shd w:val="clear" w:color="auto" w:fill="auto"/>
            <w:noWrap/>
            <w:vAlign w:val="center"/>
          </w:tcPr>
          <w:p w14:paraId="5542B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停工</w:t>
            </w:r>
          </w:p>
        </w:tc>
        <w:tc>
          <w:tcPr>
            <w:tcW w:w="975" w:type="pct"/>
            <w:tcBorders>
              <w:tl2br w:val="nil"/>
              <w:tr2bl w:val="nil"/>
            </w:tcBorders>
            <w:shd w:val="clear" w:color="auto" w:fill="auto"/>
            <w:noWrap/>
            <w:vAlign w:val="center"/>
          </w:tcPr>
          <w:p w14:paraId="3FAD5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考核指标根据甲方要求进行调整</w:t>
            </w:r>
          </w:p>
        </w:tc>
      </w:tr>
      <w:tr w14:paraId="2BAFD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7DBD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771" w:type="pct"/>
            <w:tcBorders>
              <w:tl2br w:val="nil"/>
              <w:tr2bl w:val="nil"/>
            </w:tcBorders>
            <w:shd w:val="clear" w:color="auto" w:fill="auto"/>
            <w:noWrap/>
            <w:vAlign w:val="center"/>
          </w:tcPr>
          <w:p w14:paraId="5AA7B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欠费停气封表资料收集、取证不完整、不及时或不准确</w:t>
            </w:r>
          </w:p>
        </w:tc>
        <w:tc>
          <w:tcPr>
            <w:tcW w:w="447" w:type="pct"/>
            <w:tcBorders>
              <w:tl2br w:val="nil"/>
              <w:tr2bl w:val="nil"/>
            </w:tcBorders>
            <w:shd w:val="clear" w:color="auto" w:fill="auto"/>
            <w:noWrap/>
            <w:vAlign w:val="center"/>
          </w:tcPr>
          <w:p w14:paraId="529F3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200元/次</w:t>
            </w:r>
          </w:p>
        </w:tc>
        <w:tc>
          <w:tcPr>
            <w:tcW w:w="1068" w:type="pct"/>
            <w:tcBorders>
              <w:tl2br w:val="nil"/>
              <w:tr2bl w:val="nil"/>
            </w:tcBorders>
            <w:shd w:val="clear" w:color="auto" w:fill="auto"/>
            <w:noWrap/>
            <w:vAlign w:val="center"/>
          </w:tcPr>
          <w:p w14:paraId="7F839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75F87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500元/次</w:t>
            </w:r>
          </w:p>
        </w:tc>
        <w:tc>
          <w:tcPr>
            <w:tcW w:w="975" w:type="pct"/>
            <w:tcBorders>
              <w:tl2br w:val="nil"/>
              <w:tr2bl w:val="nil"/>
            </w:tcBorders>
            <w:shd w:val="clear" w:color="auto" w:fill="auto"/>
            <w:noWrap/>
            <w:vAlign w:val="center"/>
          </w:tcPr>
          <w:p w14:paraId="0FC0E50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A306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06F4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771" w:type="pct"/>
            <w:tcBorders>
              <w:tl2br w:val="nil"/>
              <w:tr2bl w:val="nil"/>
            </w:tcBorders>
            <w:shd w:val="clear" w:color="auto" w:fill="auto"/>
            <w:noWrap/>
            <w:vAlign w:val="center"/>
          </w:tcPr>
          <w:p w14:paraId="0CE61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未能遵守客户提出的实抄、不能估抄类等要求</w:t>
            </w:r>
          </w:p>
        </w:tc>
        <w:tc>
          <w:tcPr>
            <w:tcW w:w="447" w:type="pct"/>
            <w:tcBorders>
              <w:tl2br w:val="nil"/>
              <w:tr2bl w:val="nil"/>
            </w:tcBorders>
            <w:shd w:val="clear" w:color="auto" w:fill="auto"/>
            <w:noWrap/>
            <w:vAlign w:val="center"/>
          </w:tcPr>
          <w:p w14:paraId="4E47D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100元/次</w:t>
            </w:r>
          </w:p>
        </w:tc>
        <w:tc>
          <w:tcPr>
            <w:tcW w:w="1068" w:type="pct"/>
            <w:tcBorders>
              <w:tl2br w:val="nil"/>
              <w:tr2bl w:val="nil"/>
            </w:tcBorders>
            <w:shd w:val="clear" w:color="auto" w:fill="auto"/>
            <w:noWrap/>
            <w:vAlign w:val="center"/>
          </w:tcPr>
          <w:p w14:paraId="6C020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48E84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200元/次</w:t>
            </w:r>
          </w:p>
        </w:tc>
        <w:tc>
          <w:tcPr>
            <w:tcW w:w="975" w:type="pct"/>
            <w:tcBorders>
              <w:tl2br w:val="nil"/>
              <w:tr2bl w:val="nil"/>
            </w:tcBorders>
            <w:shd w:val="clear" w:color="auto" w:fill="auto"/>
            <w:noWrap/>
            <w:vAlign w:val="center"/>
          </w:tcPr>
          <w:p w14:paraId="00D52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与客户沟通同意后可再重新操作估抄。</w:t>
            </w:r>
          </w:p>
        </w:tc>
      </w:tr>
      <w:tr w14:paraId="768A2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1C042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771" w:type="pct"/>
            <w:tcBorders>
              <w:tl2br w:val="nil"/>
              <w:tr2bl w:val="nil"/>
            </w:tcBorders>
            <w:shd w:val="clear" w:color="auto" w:fill="auto"/>
            <w:noWrap/>
            <w:vAlign w:val="center"/>
          </w:tcPr>
          <w:p w14:paraId="0E100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在非居民客户气价调整时，未在规定时间完成对调价客户的抄表工作</w:t>
            </w:r>
          </w:p>
        </w:tc>
        <w:tc>
          <w:tcPr>
            <w:tcW w:w="447" w:type="pct"/>
            <w:tcBorders>
              <w:tl2br w:val="nil"/>
              <w:tr2bl w:val="nil"/>
            </w:tcBorders>
            <w:shd w:val="clear" w:color="auto" w:fill="auto"/>
            <w:noWrap/>
            <w:vAlign w:val="center"/>
          </w:tcPr>
          <w:p w14:paraId="2119D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1068" w:type="pct"/>
            <w:tcBorders>
              <w:tl2br w:val="nil"/>
              <w:tr2bl w:val="nil"/>
            </w:tcBorders>
            <w:shd w:val="clear" w:color="auto" w:fill="auto"/>
            <w:noWrap/>
            <w:vAlign w:val="center"/>
          </w:tcPr>
          <w:p w14:paraId="5DC9D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pct"/>
            <w:tcBorders>
              <w:tl2br w:val="nil"/>
              <w:tr2bl w:val="nil"/>
            </w:tcBorders>
            <w:shd w:val="clear" w:color="auto" w:fill="auto"/>
            <w:noWrap/>
            <w:vAlign w:val="center"/>
          </w:tcPr>
          <w:p w14:paraId="1AAC5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975" w:type="pct"/>
            <w:tcBorders>
              <w:tl2br w:val="nil"/>
              <w:tr2bl w:val="nil"/>
            </w:tcBorders>
            <w:shd w:val="clear" w:color="auto" w:fill="auto"/>
            <w:noWrap/>
            <w:vAlign w:val="center"/>
          </w:tcPr>
          <w:p w14:paraId="7A2D8B7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B2FC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757F8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771" w:type="pct"/>
            <w:tcBorders>
              <w:tl2br w:val="nil"/>
              <w:tr2bl w:val="nil"/>
            </w:tcBorders>
            <w:shd w:val="clear" w:color="auto" w:fill="auto"/>
            <w:noWrap/>
            <w:vAlign w:val="center"/>
          </w:tcPr>
          <w:p w14:paraId="7FACA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安检、通气（含二次通气、气表复接、波纹管更换等业务）后三个月内发现漏气，经核实属于工作不到位</w:t>
            </w:r>
          </w:p>
        </w:tc>
        <w:tc>
          <w:tcPr>
            <w:tcW w:w="447" w:type="pct"/>
            <w:tcBorders>
              <w:tl2br w:val="nil"/>
              <w:tr2bl w:val="nil"/>
            </w:tcBorders>
            <w:shd w:val="clear" w:color="auto" w:fill="auto"/>
            <w:noWrap/>
            <w:vAlign w:val="center"/>
          </w:tcPr>
          <w:p w14:paraId="16CFD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5000元/户</w:t>
            </w:r>
          </w:p>
        </w:tc>
        <w:tc>
          <w:tcPr>
            <w:tcW w:w="1068" w:type="pct"/>
            <w:tcBorders>
              <w:tl2br w:val="nil"/>
              <w:tr2bl w:val="nil"/>
            </w:tcBorders>
            <w:shd w:val="clear" w:color="auto" w:fill="auto"/>
            <w:noWrap/>
            <w:vAlign w:val="center"/>
          </w:tcPr>
          <w:p w14:paraId="52540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473FD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10000元/户</w:t>
            </w:r>
          </w:p>
        </w:tc>
        <w:tc>
          <w:tcPr>
            <w:tcW w:w="975" w:type="pct"/>
            <w:tcBorders>
              <w:tl2br w:val="nil"/>
              <w:tr2bl w:val="nil"/>
            </w:tcBorders>
            <w:shd w:val="clear" w:color="auto" w:fill="auto"/>
            <w:noWrap/>
            <w:vAlign w:val="center"/>
          </w:tcPr>
          <w:p w14:paraId="0628850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98E9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B1A0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771" w:type="pct"/>
            <w:tcBorders>
              <w:tl2br w:val="nil"/>
              <w:tr2bl w:val="nil"/>
            </w:tcBorders>
            <w:shd w:val="clear" w:color="auto" w:fill="auto"/>
            <w:noWrap/>
            <w:vAlign w:val="center"/>
          </w:tcPr>
          <w:p w14:paraId="18A23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上门服务中产生客户投诉，经核实为有效投诉（客户撤诉）</w:t>
            </w:r>
          </w:p>
        </w:tc>
        <w:tc>
          <w:tcPr>
            <w:tcW w:w="447" w:type="pct"/>
            <w:tcBorders>
              <w:tl2br w:val="nil"/>
              <w:tr2bl w:val="nil"/>
            </w:tcBorders>
            <w:shd w:val="clear" w:color="auto" w:fill="auto"/>
            <w:noWrap/>
            <w:vAlign w:val="center"/>
          </w:tcPr>
          <w:p w14:paraId="53311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1068" w:type="pct"/>
            <w:tcBorders>
              <w:tl2br w:val="nil"/>
              <w:tr2bl w:val="nil"/>
            </w:tcBorders>
            <w:shd w:val="clear" w:color="auto" w:fill="auto"/>
            <w:noWrap/>
            <w:vAlign w:val="center"/>
          </w:tcPr>
          <w:p w14:paraId="30330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578F5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500元/户</w:t>
            </w:r>
          </w:p>
        </w:tc>
        <w:tc>
          <w:tcPr>
            <w:tcW w:w="975" w:type="pct"/>
            <w:tcBorders>
              <w:tl2br w:val="nil"/>
              <w:tr2bl w:val="nil"/>
            </w:tcBorders>
            <w:shd w:val="clear" w:color="auto" w:fill="auto"/>
            <w:noWrap/>
            <w:vAlign w:val="center"/>
          </w:tcPr>
          <w:p w14:paraId="1983B2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lang w:val="en-US" w:eastAsia="zh-CN"/>
              </w:rPr>
              <w:t>若政府主管单位处罚或媒体负面报道加重处罚</w:t>
            </w:r>
          </w:p>
        </w:tc>
      </w:tr>
      <w:tr w14:paraId="718F3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022FF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23</w:t>
            </w:r>
          </w:p>
        </w:tc>
        <w:tc>
          <w:tcPr>
            <w:tcW w:w="1771" w:type="pct"/>
            <w:tcBorders>
              <w:tl2br w:val="nil"/>
              <w:tr2bl w:val="nil"/>
            </w:tcBorders>
            <w:shd w:val="clear" w:color="auto" w:fill="auto"/>
            <w:noWrap/>
            <w:vAlign w:val="center"/>
          </w:tcPr>
          <w:p w14:paraId="22725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上门服务中产生客户投诉，经核实为有效投诉</w:t>
            </w:r>
          </w:p>
        </w:tc>
        <w:tc>
          <w:tcPr>
            <w:tcW w:w="447" w:type="pct"/>
            <w:tcBorders>
              <w:tl2br w:val="nil"/>
              <w:tr2bl w:val="nil"/>
            </w:tcBorders>
            <w:shd w:val="clear" w:color="auto" w:fill="auto"/>
            <w:noWrap/>
            <w:vAlign w:val="center"/>
          </w:tcPr>
          <w:p w14:paraId="60EC0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1000元/户</w:t>
            </w:r>
          </w:p>
        </w:tc>
        <w:tc>
          <w:tcPr>
            <w:tcW w:w="1068" w:type="pct"/>
            <w:tcBorders>
              <w:tl2br w:val="nil"/>
              <w:tr2bl w:val="nil"/>
            </w:tcBorders>
            <w:shd w:val="clear" w:color="auto" w:fill="auto"/>
            <w:noWrap/>
            <w:vAlign w:val="center"/>
          </w:tcPr>
          <w:p w14:paraId="7A2E7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527F1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2000元/户</w:t>
            </w:r>
          </w:p>
        </w:tc>
        <w:tc>
          <w:tcPr>
            <w:tcW w:w="975" w:type="pct"/>
            <w:tcBorders>
              <w:tl2br w:val="nil"/>
              <w:tr2bl w:val="nil"/>
            </w:tcBorders>
            <w:shd w:val="clear" w:color="auto" w:fill="auto"/>
            <w:noWrap/>
            <w:vAlign w:val="center"/>
          </w:tcPr>
          <w:p w14:paraId="6188DE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若政府主管单位处罚或媒体负面报道加重处罚</w:t>
            </w:r>
          </w:p>
        </w:tc>
      </w:tr>
      <w:tr w14:paraId="5BA0E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EB15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24</w:t>
            </w:r>
          </w:p>
        </w:tc>
        <w:tc>
          <w:tcPr>
            <w:tcW w:w="1771" w:type="pct"/>
            <w:tcBorders>
              <w:tl2br w:val="nil"/>
              <w:tr2bl w:val="nil"/>
            </w:tcBorders>
            <w:shd w:val="clear" w:color="auto" w:fill="auto"/>
            <w:noWrap/>
            <w:vAlign w:val="center"/>
          </w:tcPr>
          <w:p w14:paraId="1BCF9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抄表、安检、通气工作中出现弄虚作假行为</w:t>
            </w:r>
          </w:p>
        </w:tc>
        <w:tc>
          <w:tcPr>
            <w:tcW w:w="447" w:type="pct"/>
            <w:tcBorders>
              <w:tl2br w:val="nil"/>
              <w:tr2bl w:val="nil"/>
            </w:tcBorders>
            <w:shd w:val="clear" w:color="auto" w:fill="auto"/>
            <w:noWrap/>
            <w:vAlign w:val="center"/>
          </w:tcPr>
          <w:p w14:paraId="5570C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5000元/次</w:t>
            </w:r>
          </w:p>
        </w:tc>
        <w:tc>
          <w:tcPr>
            <w:tcW w:w="1068" w:type="pct"/>
            <w:tcBorders>
              <w:tl2br w:val="nil"/>
              <w:tr2bl w:val="nil"/>
            </w:tcBorders>
            <w:shd w:val="clear" w:color="auto" w:fill="auto"/>
            <w:noWrap/>
            <w:vAlign w:val="center"/>
          </w:tcPr>
          <w:p w14:paraId="1E7F7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5E750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停工</w:t>
            </w:r>
          </w:p>
        </w:tc>
        <w:tc>
          <w:tcPr>
            <w:tcW w:w="975" w:type="pct"/>
            <w:tcBorders>
              <w:tl2br w:val="nil"/>
              <w:tr2bl w:val="nil"/>
            </w:tcBorders>
            <w:shd w:val="clear" w:color="auto" w:fill="auto"/>
            <w:noWrap/>
            <w:vAlign w:val="center"/>
          </w:tcPr>
          <w:p w14:paraId="1D9344C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688AE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3C952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25</w:t>
            </w:r>
          </w:p>
        </w:tc>
        <w:tc>
          <w:tcPr>
            <w:tcW w:w="1771" w:type="pct"/>
            <w:tcBorders>
              <w:tl2br w:val="nil"/>
              <w:tr2bl w:val="nil"/>
            </w:tcBorders>
            <w:shd w:val="clear" w:color="auto" w:fill="auto"/>
            <w:noWrap/>
            <w:vAlign w:val="center"/>
          </w:tcPr>
          <w:p w14:paraId="5E420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抄表、安检、通气（含二次通气、气表复接、波纹管更换等业务）等业务未按规定流程、制度操作</w:t>
            </w:r>
          </w:p>
        </w:tc>
        <w:tc>
          <w:tcPr>
            <w:tcW w:w="447" w:type="pct"/>
            <w:tcBorders>
              <w:tl2br w:val="nil"/>
              <w:tr2bl w:val="nil"/>
            </w:tcBorders>
            <w:shd w:val="clear" w:color="auto" w:fill="auto"/>
            <w:noWrap/>
            <w:vAlign w:val="center"/>
          </w:tcPr>
          <w:p w14:paraId="45054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500元/次</w:t>
            </w:r>
          </w:p>
        </w:tc>
        <w:tc>
          <w:tcPr>
            <w:tcW w:w="1068" w:type="pct"/>
            <w:tcBorders>
              <w:tl2br w:val="nil"/>
              <w:tr2bl w:val="nil"/>
            </w:tcBorders>
            <w:shd w:val="clear" w:color="auto" w:fill="auto"/>
            <w:noWrap/>
            <w:vAlign w:val="center"/>
          </w:tcPr>
          <w:p w14:paraId="1E1EF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0E364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1000元/次</w:t>
            </w:r>
          </w:p>
        </w:tc>
        <w:tc>
          <w:tcPr>
            <w:tcW w:w="975" w:type="pct"/>
            <w:tcBorders>
              <w:tl2br w:val="nil"/>
              <w:tr2bl w:val="nil"/>
            </w:tcBorders>
            <w:shd w:val="clear" w:color="auto" w:fill="auto"/>
            <w:noWrap/>
            <w:vAlign w:val="center"/>
          </w:tcPr>
          <w:p w14:paraId="68EC0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未整改、未反馈将按天数，累计扣罚，每户1天扣100元</w:t>
            </w:r>
          </w:p>
        </w:tc>
      </w:tr>
      <w:tr w14:paraId="01392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5E2C1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26</w:t>
            </w:r>
          </w:p>
        </w:tc>
        <w:tc>
          <w:tcPr>
            <w:tcW w:w="1771" w:type="pct"/>
            <w:tcBorders>
              <w:tl2br w:val="nil"/>
              <w:tr2bl w:val="nil"/>
            </w:tcBorders>
            <w:shd w:val="clear" w:color="auto" w:fill="auto"/>
            <w:noWrap/>
            <w:vAlign w:val="center"/>
          </w:tcPr>
          <w:p w14:paraId="5AE16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发现上门服务中出现抽烟等不安全或不文明现象</w:t>
            </w:r>
          </w:p>
        </w:tc>
        <w:tc>
          <w:tcPr>
            <w:tcW w:w="447" w:type="pct"/>
            <w:tcBorders>
              <w:tl2br w:val="nil"/>
              <w:tr2bl w:val="nil"/>
            </w:tcBorders>
            <w:shd w:val="clear" w:color="auto" w:fill="auto"/>
            <w:noWrap/>
            <w:vAlign w:val="center"/>
          </w:tcPr>
          <w:p w14:paraId="7C8AC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200元/次</w:t>
            </w:r>
          </w:p>
        </w:tc>
        <w:tc>
          <w:tcPr>
            <w:tcW w:w="1068" w:type="pct"/>
            <w:tcBorders>
              <w:tl2br w:val="nil"/>
              <w:tr2bl w:val="nil"/>
            </w:tcBorders>
            <w:shd w:val="clear" w:color="auto" w:fill="auto"/>
            <w:noWrap/>
            <w:vAlign w:val="center"/>
          </w:tcPr>
          <w:p w14:paraId="7A147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4628F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400元/次</w:t>
            </w:r>
          </w:p>
        </w:tc>
        <w:tc>
          <w:tcPr>
            <w:tcW w:w="975" w:type="pct"/>
            <w:tcBorders>
              <w:tl2br w:val="nil"/>
              <w:tr2bl w:val="nil"/>
            </w:tcBorders>
            <w:shd w:val="clear" w:color="auto" w:fill="auto"/>
            <w:noWrap/>
            <w:vAlign w:val="center"/>
          </w:tcPr>
          <w:p w14:paraId="3B536D8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4BA40C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7445B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27</w:t>
            </w:r>
          </w:p>
        </w:tc>
        <w:tc>
          <w:tcPr>
            <w:tcW w:w="1771" w:type="pct"/>
            <w:tcBorders>
              <w:tl2br w:val="nil"/>
              <w:tr2bl w:val="nil"/>
            </w:tcBorders>
            <w:shd w:val="clear" w:color="auto" w:fill="auto"/>
            <w:noWrap/>
            <w:vAlign w:val="center"/>
          </w:tcPr>
          <w:p w14:paraId="70AC0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color w:val="auto"/>
                <w:sz w:val="21"/>
                <w:szCs w:val="21"/>
                <w:highlight w:val="none"/>
                <w:lang w:val="en-US" w:eastAsia="zh-CN"/>
              </w:rPr>
              <w:t>未经允许，借用甲方名义开展本项目无关的业务</w:t>
            </w:r>
          </w:p>
        </w:tc>
        <w:tc>
          <w:tcPr>
            <w:tcW w:w="447" w:type="pct"/>
            <w:tcBorders>
              <w:tl2br w:val="nil"/>
              <w:tr2bl w:val="nil"/>
            </w:tcBorders>
            <w:shd w:val="clear" w:color="auto" w:fill="auto"/>
            <w:noWrap/>
            <w:vAlign w:val="center"/>
          </w:tcPr>
          <w:p w14:paraId="5C624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5000元/次</w:t>
            </w:r>
          </w:p>
        </w:tc>
        <w:tc>
          <w:tcPr>
            <w:tcW w:w="1068" w:type="pct"/>
            <w:tcBorders>
              <w:tl2br w:val="nil"/>
              <w:tr2bl w:val="nil"/>
            </w:tcBorders>
            <w:shd w:val="clear" w:color="auto" w:fill="auto"/>
            <w:noWrap/>
            <w:vAlign w:val="center"/>
          </w:tcPr>
          <w:p w14:paraId="019E0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再次发生</w:t>
            </w:r>
          </w:p>
        </w:tc>
        <w:tc>
          <w:tcPr>
            <w:tcW w:w="497" w:type="pct"/>
            <w:tcBorders>
              <w:tl2br w:val="nil"/>
              <w:tr2bl w:val="nil"/>
            </w:tcBorders>
            <w:shd w:val="clear" w:color="auto" w:fill="auto"/>
            <w:noWrap/>
            <w:vAlign w:val="center"/>
          </w:tcPr>
          <w:p w14:paraId="78CC7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10000元/次</w:t>
            </w:r>
          </w:p>
        </w:tc>
        <w:tc>
          <w:tcPr>
            <w:tcW w:w="975" w:type="pct"/>
            <w:tcBorders>
              <w:tl2br w:val="nil"/>
              <w:tr2bl w:val="nil"/>
            </w:tcBorders>
            <w:shd w:val="clear" w:color="auto" w:fill="auto"/>
            <w:noWrap/>
            <w:vAlign w:val="center"/>
          </w:tcPr>
          <w:p w14:paraId="7A43AF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CE26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0AA9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28</w:t>
            </w:r>
          </w:p>
        </w:tc>
        <w:tc>
          <w:tcPr>
            <w:tcW w:w="1771" w:type="pct"/>
            <w:tcBorders>
              <w:tl2br w:val="nil"/>
              <w:tr2bl w:val="nil"/>
            </w:tcBorders>
            <w:shd w:val="clear" w:color="auto" w:fill="auto"/>
            <w:noWrap/>
            <w:vAlign w:val="center"/>
          </w:tcPr>
          <w:p w14:paraId="69D4C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拒绝或故意推脱配合抄表、安检、通气跟查等监督抽查工作</w:t>
            </w:r>
          </w:p>
        </w:tc>
        <w:tc>
          <w:tcPr>
            <w:tcW w:w="447" w:type="pct"/>
            <w:tcBorders>
              <w:tl2br w:val="nil"/>
              <w:tr2bl w:val="nil"/>
            </w:tcBorders>
            <w:shd w:val="clear" w:color="auto" w:fill="auto"/>
            <w:noWrap/>
            <w:vAlign w:val="center"/>
          </w:tcPr>
          <w:p w14:paraId="7A2A7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1000元/次</w:t>
            </w:r>
          </w:p>
        </w:tc>
        <w:tc>
          <w:tcPr>
            <w:tcW w:w="1068" w:type="pct"/>
            <w:tcBorders>
              <w:tl2br w:val="nil"/>
              <w:tr2bl w:val="nil"/>
            </w:tcBorders>
            <w:shd w:val="clear" w:color="auto" w:fill="auto"/>
            <w:noWrap/>
            <w:vAlign w:val="center"/>
          </w:tcPr>
          <w:p w14:paraId="13A36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3F051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2000元/次</w:t>
            </w:r>
          </w:p>
        </w:tc>
        <w:tc>
          <w:tcPr>
            <w:tcW w:w="975" w:type="pct"/>
            <w:tcBorders>
              <w:tl2br w:val="nil"/>
              <w:tr2bl w:val="nil"/>
            </w:tcBorders>
            <w:shd w:val="clear" w:color="auto" w:fill="auto"/>
            <w:noWrap/>
            <w:vAlign w:val="center"/>
          </w:tcPr>
          <w:p w14:paraId="32DE5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按次数扣罚</w:t>
            </w:r>
          </w:p>
        </w:tc>
      </w:tr>
      <w:tr w14:paraId="65F35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3C72B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29</w:t>
            </w:r>
          </w:p>
        </w:tc>
        <w:tc>
          <w:tcPr>
            <w:tcW w:w="1771" w:type="pct"/>
            <w:tcBorders>
              <w:tl2br w:val="nil"/>
              <w:tr2bl w:val="nil"/>
            </w:tcBorders>
            <w:shd w:val="clear" w:color="auto" w:fill="auto"/>
            <w:noWrap/>
            <w:vAlign w:val="center"/>
          </w:tcPr>
          <w:p w14:paraId="4FE70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上报的满意度回访数据因不符合规定要求导致出现不满意件</w:t>
            </w:r>
          </w:p>
        </w:tc>
        <w:tc>
          <w:tcPr>
            <w:tcW w:w="447" w:type="pct"/>
            <w:tcBorders>
              <w:tl2br w:val="nil"/>
              <w:tr2bl w:val="nil"/>
            </w:tcBorders>
            <w:shd w:val="clear" w:color="auto" w:fill="auto"/>
            <w:noWrap/>
            <w:vAlign w:val="center"/>
          </w:tcPr>
          <w:p w14:paraId="2E0C1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5000元/户</w:t>
            </w:r>
          </w:p>
        </w:tc>
        <w:tc>
          <w:tcPr>
            <w:tcW w:w="1068" w:type="pct"/>
            <w:tcBorders>
              <w:tl2br w:val="nil"/>
              <w:tr2bl w:val="nil"/>
            </w:tcBorders>
            <w:shd w:val="clear" w:color="auto" w:fill="auto"/>
            <w:noWrap/>
            <w:vAlign w:val="center"/>
          </w:tcPr>
          <w:p w14:paraId="4A7D9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再次发生</w:t>
            </w:r>
          </w:p>
        </w:tc>
        <w:tc>
          <w:tcPr>
            <w:tcW w:w="497" w:type="pct"/>
            <w:tcBorders>
              <w:tl2br w:val="nil"/>
              <w:tr2bl w:val="nil"/>
            </w:tcBorders>
            <w:shd w:val="clear" w:color="auto" w:fill="auto"/>
            <w:noWrap/>
            <w:vAlign w:val="center"/>
          </w:tcPr>
          <w:p w14:paraId="2D4D6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10000元/户</w:t>
            </w:r>
          </w:p>
        </w:tc>
        <w:tc>
          <w:tcPr>
            <w:tcW w:w="975" w:type="pct"/>
            <w:tcBorders>
              <w:tl2br w:val="nil"/>
              <w:tr2bl w:val="nil"/>
            </w:tcBorders>
            <w:shd w:val="clear" w:color="auto" w:fill="auto"/>
            <w:noWrap/>
            <w:vAlign w:val="center"/>
          </w:tcPr>
          <w:p w14:paraId="297B23C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FDC3A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0A682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c>
          <w:tcPr>
            <w:tcW w:w="1771" w:type="pct"/>
            <w:tcBorders>
              <w:tl2br w:val="nil"/>
              <w:tr2bl w:val="nil"/>
            </w:tcBorders>
            <w:shd w:val="clear" w:color="auto" w:fill="auto"/>
            <w:noWrap/>
            <w:vAlign w:val="center"/>
          </w:tcPr>
          <w:p w14:paraId="515AF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上门服务过程中发现未及时上报停、坏表、泄漏和客户私自开通用气等信息</w:t>
            </w:r>
          </w:p>
        </w:tc>
        <w:tc>
          <w:tcPr>
            <w:tcW w:w="447" w:type="pct"/>
            <w:tcBorders>
              <w:tl2br w:val="nil"/>
              <w:tr2bl w:val="nil"/>
            </w:tcBorders>
            <w:shd w:val="clear" w:color="auto" w:fill="auto"/>
            <w:noWrap/>
            <w:vAlign w:val="center"/>
          </w:tcPr>
          <w:p w14:paraId="271CD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50元/户</w:t>
            </w:r>
          </w:p>
        </w:tc>
        <w:tc>
          <w:tcPr>
            <w:tcW w:w="1068" w:type="pct"/>
            <w:tcBorders>
              <w:tl2br w:val="nil"/>
              <w:tr2bl w:val="nil"/>
            </w:tcBorders>
            <w:shd w:val="clear" w:color="auto" w:fill="auto"/>
            <w:noWrap/>
            <w:vAlign w:val="center"/>
          </w:tcPr>
          <w:p w14:paraId="2E2BE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7A711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975" w:type="pct"/>
            <w:tcBorders>
              <w:tl2br w:val="nil"/>
              <w:tr2bl w:val="nil"/>
            </w:tcBorders>
            <w:shd w:val="clear" w:color="auto" w:fill="auto"/>
            <w:noWrap/>
            <w:vAlign w:val="center"/>
          </w:tcPr>
          <w:p w14:paraId="4851F01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9CBD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02817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c>
          <w:tcPr>
            <w:tcW w:w="1771" w:type="pct"/>
            <w:tcBorders>
              <w:tl2br w:val="nil"/>
              <w:tr2bl w:val="nil"/>
            </w:tcBorders>
            <w:shd w:val="clear" w:color="auto" w:fill="auto"/>
            <w:noWrap/>
            <w:vAlign w:val="center"/>
          </w:tcPr>
          <w:p w14:paraId="69A89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上门服务完成后未按要求向客户进行安全宣传</w:t>
            </w:r>
          </w:p>
        </w:tc>
        <w:tc>
          <w:tcPr>
            <w:tcW w:w="447" w:type="pct"/>
            <w:tcBorders>
              <w:tl2br w:val="nil"/>
              <w:tr2bl w:val="nil"/>
            </w:tcBorders>
            <w:shd w:val="clear" w:color="auto" w:fill="auto"/>
            <w:noWrap/>
            <w:vAlign w:val="center"/>
          </w:tcPr>
          <w:p w14:paraId="2F67F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50元/户</w:t>
            </w:r>
          </w:p>
        </w:tc>
        <w:tc>
          <w:tcPr>
            <w:tcW w:w="1068" w:type="pct"/>
            <w:tcBorders>
              <w:tl2br w:val="nil"/>
              <w:tr2bl w:val="nil"/>
            </w:tcBorders>
            <w:shd w:val="clear" w:color="auto" w:fill="auto"/>
            <w:noWrap/>
            <w:vAlign w:val="center"/>
          </w:tcPr>
          <w:p w14:paraId="34739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15AB0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975" w:type="pct"/>
            <w:tcBorders>
              <w:tl2br w:val="nil"/>
              <w:tr2bl w:val="nil"/>
            </w:tcBorders>
            <w:shd w:val="clear" w:color="auto" w:fill="auto"/>
            <w:noWrap/>
            <w:vAlign w:val="center"/>
          </w:tcPr>
          <w:p w14:paraId="4D6038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6010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0EE32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32</w:t>
            </w:r>
          </w:p>
        </w:tc>
        <w:tc>
          <w:tcPr>
            <w:tcW w:w="1771" w:type="pct"/>
            <w:tcBorders>
              <w:tl2br w:val="nil"/>
              <w:tr2bl w:val="nil"/>
            </w:tcBorders>
            <w:shd w:val="clear" w:color="auto" w:fill="auto"/>
            <w:noWrap/>
            <w:vAlign w:val="center"/>
          </w:tcPr>
          <w:p w14:paraId="05DAB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上门服务业务（除与客户已协商好时间的）未在业务承诺时间内完成</w:t>
            </w:r>
          </w:p>
        </w:tc>
        <w:tc>
          <w:tcPr>
            <w:tcW w:w="447" w:type="pct"/>
            <w:tcBorders>
              <w:tl2br w:val="nil"/>
              <w:tr2bl w:val="nil"/>
            </w:tcBorders>
            <w:shd w:val="clear" w:color="auto" w:fill="auto"/>
            <w:noWrap/>
            <w:vAlign w:val="center"/>
          </w:tcPr>
          <w:p w14:paraId="6FC76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2000元/户</w:t>
            </w:r>
          </w:p>
        </w:tc>
        <w:tc>
          <w:tcPr>
            <w:tcW w:w="1068" w:type="pct"/>
            <w:tcBorders>
              <w:tl2br w:val="nil"/>
              <w:tr2bl w:val="nil"/>
            </w:tcBorders>
            <w:shd w:val="clear" w:color="auto" w:fill="auto"/>
            <w:noWrap/>
            <w:vAlign w:val="center"/>
          </w:tcPr>
          <w:p w14:paraId="494DF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本月内，再次发生。督促后在甲方要求时间内仍未执行、拖拉</w:t>
            </w:r>
          </w:p>
        </w:tc>
        <w:tc>
          <w:tcPr>
            <w:tcW w:w="497" w:type="pct"/>
            <w:tcBorders>
              <w:tl2br w:val="nil"/>
              <w:tr2bl w:val="nil"/>
            </w:tcBorders>
            <w:shd w:val="clear" w:color="auto" w:fill="auto"/>
            <w:noWrap/>
            <w:vAlign w:val="center"/>
          </w:tcPr>
          <w:p w14:paraId="18E8A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4000元/户</w:t>
            </w:r>
          </w:p>
        </w:tc>
        <w:tc>
          <w:tcPr>
            <w:tcW w:w="975" w:type="pct"/>
            <w:tcBorders>
              <w:tl2br w:val="nil"/>
              <w:tr2bl w:val="nil"/>
            </w:tcBorders>
            <w:shd w:val="clear" w:color="auto" w:fill="auto"/>
            <w:noWrap/>
            <w:vAlign w:val="center"/>
          </w:tcPr>
          <w:p w14:paraId="5C554DC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55C64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7BDCE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c>
          <w:tcPr>
            <w:tcW w:w="1771" w:type="pct"/>
            <w:tcBorders>
              <w:tl2br w:val="nil"/>
              <w:tr2bl w:val="nil"/>
            </w:tcBorders>
            <w:shd w:val="clear" w:color="auto" w:fill="auto"/>
            <w:noWrap/>
            <w:vAlign w:val="center"/>
          </w:tcPr>
          <w:p w14:paraId="0A03F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上门服务中发现泄漏未当场移交甲方110处警人员或移交前未做好现场监护和交接</w:t>
            </w:r>
          </w:p>
        </w:tc>
        <w:tc>
          <w:tcPr>
            <w:tcW w:w="447" w:type="pct"/>
            <w:tcBorders>
              <w:tl2br w:val="nil"/>
              <w:tr2bl w:val="nil"/>
            </w:tcBorders>
            <w:shd w:val="clear" w:color="auto" w:fill="auto"/>
            <w:noWrap/>
            <w:vAlign w:val="center"/>
          </w:tcPr>
          <w:p w14:paraId="7A116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500元/户</w:t>
            </w:r>
          </w:p>
        </w:tc>
        <w:tc>
          <w:tcPr>
            <w:tcW w:w="1068" w:type="pct"/>
            <w:tcBorders>
              <w:tl2br w:val="nil"/>
              <w:tr2bl w:val="nil"/>
            </w:tcBorders>
            <w:shd w:val="clear" w:color="auto" w:fill="auto"/>
            <w:noWrap/>
            <w:vAlign w:val="center"/>
          </w:tcPr>
          <w:p w14:paraId="22F51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406BF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1000元/户</w:t>
            </w:r>
          </w:p>
        </w:tc>
        <w:tc>
          <w:tcPr>
            <w:tcW w:w="975" w:type="pct"/>
            <w:tcBorders>
              <w:tl2br w:val="nil"/>
              <w:tr2bl w:val="nil"/>
            </w:tcBorders>
            <w:shd w:val="clear" w:color="auto" w:fill="auto"/>
            <w:noWrap/>
            <w:vAlign w:val="center"/>
          </w:tcPr>
          <w:p w14:paraId="74F8C0A6">
            <w:pPr>
              <w:keepNext w:val="0"/>
              <w:keepLines w:val="0"/>
              <w:suppressLineNumbers w:val="0"/>
              <w:spacing w:before="0" w:beforeAutospacing="0" w:after="0" w:afterAutospacing="0"/>
              <w:ind w:left="0" w:right="0"/>
              <w:jc w:val="center"/>
              <w:rPr>
                <w:rFonts w:hint="eastAsia" w:ascii="宋体" w:hAnsi="宋体" w:eastAsia="宋体" w:cs="宋体"/>
                <w:i w:val="0"/>
                <w:iCs w:val="0"/>
                <w:strike/>
                <w:color w:val="auto"/>
                <w:sz w:val="18"/>
                <w:szCs w:val="18"/>
                <w:highlight w:val="none"/>
              </w:rPr>
            </w:pPr>
          </w:p>
        </w:tc>
      </w:tr>
      <w:tr w14:paraId="7D204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AABA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34</w:t>
            </w:r>
          </w:p>
        </w:tc>
        <w:tc>
          <w:tcPr>
            <w:tcW w:w="1771" w:type="pct"/>
            <w:tcBorders>
              <w:tl2br w:val="nil"/>
              <w:tr2bl w:val="nil"/>
            </w:tcBorders>
            <w:shd w:val="clear" w:color="auto" w:fill="auto"/>
            <w:noWrap/>
            <w:vAlign w:val="center"/>
          </w:tcPr>
          <w:p w14:paraId="6DE4A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上门服务中未对系统中缺失或有误的客户联系号码进行更新上传</w:t>
            </w:r>
          </w:p>
        </w:tc>
        <w:tc>
          <w:tcPr>
            <w:tcW w:w="447" w:type="pct"/>
            <w:tcBorders>
              <w:tl2br w:val="nil"/>
              <w:tr2bl w:val="nil"/>
            </w:tcBorders>
            <w:shd w:val="clear" w:color="auto" w:fill="auto"/>
            <w:noWrap/>
            <w:vAlign w:val="center"/>
          </w:tcPr>
          <w:p w14:paraId="7557F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50元/户</w:t>
            </w:r>
          </w:p>
        </w:tc>
        <w:tc>
          <w:tcPr>
            <w:tcW w:w="1068" w:type="pct"/>
            <w:tcBorders>
              <w:tl2br w:val="nil"/>
              <w:tr2bl w:val="nil"/>
            </w:tcBorders>
            <w:shd w:val="clear" w:color="auto" w:fill="auto"/>
            <w:noWrap/>
            <w:vAlign w:val="center"/>
          </w:tcPr>
          <w:p w14:paraId="4E1C7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01140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975" w:type="pct"/>
            <w:tcBorders>
              <w:tl2br w:val="nil"/>
              <w:tr2bl w:val="nil"/>
            </w:tcBorders>
            <w:shd w:val="clear" w:color="auto" w:fill="auto"/>
            <w:noWrap/>
            <w:vAlign w:val="center"/>
          </w:tcPr>
          <w:p w14:paraId="05425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按户数扣罚</w:t>
            </w:r>
          </w:p>
        </w:tc>
      </w:tr>
      <w:tr w14:paraId="11696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17CA4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35</w:t>
            </w:r>
          </w:p>
        </w:tc>
        <w:tc>
          <w:tcPr>
            <w:tcW w:w="1771" w:type="pct"/>
            <w:tcBorders>
              <w:tl2br w:val="nil"/>
              <w:tr2bl w:val="nil"/>
            </w:tcBorders>
            <w:shd w:val="clear" w:color="auto" w:fill="auto"/>
            <w:noWrap/>
            <w:vAlign w:val="center"/>
          </w:tcPr>
          <w:p w14:paraId="62055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上门服务中遇到自己不确定的问题，自作主张，乱回复引起违规后果</w:t>
            </w:r>
          </w:p>
        </w:tc>
        <w:tc>
          <w:tcPr>
            <w:tcW w:w="447" w:type="pct"/>
            <w:tcBorders>
              <w:tl2br w:val="nil"/>
              <w:tr2bl w:val="nil"/>
            </w:tcBorders>
            <w:shd w:val="clear" w:color="auto" w:fill="auto"/>
            <w:noWrap/>
            <w:vAlign w:val="center"/>
          </w:tcPr>
          <w:p w14:paraId="37E3F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300元/次</w:t>
            </w:r>
          </w:p>
        </w:tc>
        <w:tc>
          <w:tcPr>
            <w:tcW w:w="1068" w:type="pct"/>
            <w:tcBorders>
              <w:tl2br w:val="nil"/>
              <w:tr2bl w:val="nil"/>
            </w:tcBorders>
            <w:shd w:val="clear" w:color="auto" w:fill="auto"/>
            <w:noWrap/>
            <w:vAlign w:val="center"/>
          </w:tcPr>
          <w:p w14:paraId="21693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002FB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500元/次</w:t>
            </w:r>
          </w:p>
        </w:tc>
        <w:tc>
          <w:tcPr>
            <w:tcW w:w="975" w:type="pct"/>
            <w:tcBorders>
              <w:tl2br w:val="nil"/>
              <w:tr2bl w:val="nil"/>
            </w:tcBorders>
            <w:shd w:val="clear" w:color="auto" w:fill="auto"/>
            <w:noWrap/>
            <w:vAlign w:val="center"/>
          </w:tcPr>
          <w:p w14:paraId="2BFA7D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074D7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21207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36</w:t>
            </w:r>
          </w:p>
        </w:tc>
        <w:tc>
          <w:tcPr>
            <w:tcW w:w="1771" w:type="pct"/>
            <w:tcBorders>
              <w:tl2br w:val="nil"/>
              <w:tr2bl w:val="nil"/>
            </w:tcBorders>
            <w:shd w:val="clear" w:color="auto" w:fill="auto"/>
            <w:noWrap/>
            <w:vAlign w:val="center"/>
          </w:tcPr>
          <w:p w14:paraId="1E464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上门通气中发现用户气表读数异常而没有将信息反馈给管理班组而擅自予以开通的</w:t>
            </w:r>
          </w:p>
        </w:tc>
        <w:tc>
          <w:tcPr>
            <w:tcW w:w="447" w:type="pct"/>
            <w:tcBorders>
              <w:tl2br w:val="nil"/>
              <w:tr2bl w:val="nil"/>
            </w:tcBorders>
            <w:shd w:val="clear" w:color="auto" w:fill="auto"/>
            <w:noWrap/>
            <w:vAlign w:val="center"/>
          </w:tcPr>
          <w:p w14:paraId="77599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200元/户</w:t>
            </w:r>
          </w:p>
        </w:tc>
        <w:tc>
          <w:tcPr>
            <w:tcW w:w="1068" w:type="pct"/>
            <w:tcBorders>
              <w:tl2br w:val="nil"/>
              <w:tr2bl w:val="nil"/>
            </w:tcBorders>
            <w:shd w:val="clear" w:color="auto" w:fill="auto"/>
            <w:noWrap/>
            <w:vAlign w:val="center"/>
          </w:tcPr>
          <w:p w14:paraId="1FF74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78C44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1000元/户</w:t>
            </w:r>
          </w:p>
        </w:tc>
        <w:tc>
          <w:tcPr>
            <w:tcW w:w="975" w:type="pct"/>
            <w:tcBorders>
              <w:tl2br w:val="nil"/>
              <w:tr2bl w:val="nil"/>
            </w:tcBorders>
            <w:shd w:val="clear" w:color="auto" w:fill="auto"/>
            <w:noWrap/>
            <w:vAlign w:val="center"/>
          </w:tcPr>
          <w:p w14:paraId="7236906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31AE9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57AE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w:t>
            </w:r>
          </w:p>
        </w:tc>
        <w:tc>
          <w:tcPr>
            <w:tcW w:w="1771" w:type="pct"/>
            <w:tcBorders>
              <w:tl2br w:val="nil"/>
              <w:tr2bl w:val="nil"/>
            </w:tcBorders>
            <w:shd w:val="clear" w:color="auto" w:fill="auto"/>
            <w:noWrap/>
            <w:vAlign w:val="center"/>
          </w:tcPr>
          <w:p w14:paraId="01F54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上门业务施工中未按要求穿戴工作服、工作牌、劳动防护用品（戴鞋套、护目镜、口罩等）</w:t>
            </w:r>
          </w:p>
        </w:tc>
        <w:tc>
          <w:tcPr>
            <w:tcW w:w="447" w:type="pct"/>
            <w:tcBorders>
              <w:tl2br w:val="nil"/>
              <w:tr2bl w:val="nil"/>
            </w:tcBorders>
            <w:shd w:val="clear" w:color="auto" w:fill="auto"/>
            <w:noWrap/>
            <w:vAlign w:val="center"/>
          </w:tcPr>
          <w:p w14:paraId="0A1AA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100元/次</w:t>
            </w:r>
          </w:p>
        </w:tc>
        <w:tc>
          <w:tcPr>
            <w:tcW w:w="1068" w:type="pct"/>
            <w:tcBorders>
              <w:tl2br w:val="nil"/>
              <w:tr2bl w:val="nil"/>
            </w:tcBorders>
            <w:shd w:val="clear" w:color="auto" w:fill="auto"/>
            <w:noWrap/>
            <w:vAlign w:val="center"/>
          </w:tcPr>
          <w:p w14:paraId="60CCD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4A8C9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200元/次</w:t>
            </w:r>
          </w:p>
        </w:tc>
        <w:tc>
          <w:tcPr>
            <w:tcW w:w="975" w:type="pct"/>
            <w:tcBorders>
              <w:tl2br w:val="nil"/>
              <w:tr2bl w:val="nil"/>
            </w:tcBorders>
            <w:shd w:val="clear" w:color="auto" w:fill="auto"/>
            <w:noWrap/>
            <w:vAlign w:val="center"/>
          </w:tcPr>
          <w:p w14:paraId="6BBE0B0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4A9A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01CB9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w:t>
            </w:r>
          </w:p>
        </w:tc>
        <w:tc>
          <w:tcPr>
            <w:tcW w:w="1771" w:type="pct"/>
            <w:tcBorders>
              <w:tl2br w:val="nil"/>
              <w:tr2bl w:val="nil"/>
            </w:tcBorders>
            <w:shd w:val="clear" w:color="auto" w:fill="auto"/>
            <w:noWrap/>
            <w:vAlign w:val="center"/>
          </w:tcPr>
          <w:p w14:paraId="631BC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未按规定要求及标准填写、上传及保存业务单据、报表</w:t>
            </w:r>
          </w:p>
        </w:tc>
        <w:tc>
          <w:tcPr>
            <w:tcW w:w="447" w:type="pct"/>
            <w:tcBorders>
              <w:tl2br w:val="nil"/>
              <w:tr2bl w:val="nil"/>
            </w:tcBorders>
            <w:shd w:val="clear" w:color="auto" w:fill="auto"/>
            <w:noWrap/>
            <w:vAlign w:val="center"/>
          </w:tcPr>
          <w:p w14:paraId="5187A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50元/户</w:t>
            </w:r>
          </w:p>
        </w:tc>
        <w:tc>
          <w:tcPr>
            <w:tcW w:w="1068" w:type="pct"/>
            <w:tcBorders>
              <w:tl2br w:val="nil"/>
              <w:tr2bl w:val="nil"/>
            </w:tcBorders>
            <w:shd w:val="clear" w:color="auto" w:fill="auto"/>
            <w:noWrap/>
            <w:vAlign w:val="center"/>
          </w:tcPr>
          <w:p w14:paraId="27D8E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督促后在甲方要求时间内仍未重新补填、拖拉</w:t>
            </w:r>
          </w:p>
        </w:tc>
        <w:tc>
          <w:tcPr>
            <w:tcW w:w="497" w:type="pct"/>
            <w:tcBorders>
              <w:tl2br w:val="nil"/>
              <w:tr2bl w:val="nil"/>
            </w:tcBorders>
            <w:shd w:val="clear" w:color="auto" w:fill="auto"/>
            <w:noWrap/>
            <w:vAlign w:val="center"/>
          </w:tcPr>
          <w:p w14:paraId="049F8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100元/户</w:t>
            </w:r>
          </w:p>
        </w:tc>
        <w:tc>
          <w:tcPr>
            <w:tcW w:w="975" w:type="pct"/>
            <w:tcBorders>
              <w:tl2br w:val="nil"/>
              <w:tr2bl w:val="nil"/>
            </w:tcBorders>
            <w:shd w:val="clear" w:color="auto" w:fill="auto"/>
            <w:noWrap/>
            <w:vAlign w:val="center"/>
          </w:tcPr>
          <w:p w14:paraId="4B1D8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未整改，未反馈将按天数，累计扣罚，每户每迟1天扣100元</w:t>
            </w:r>
          </w:p>
        </w:tc>
      </w:tr>
      <w:tr w14:paraId="43E21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1AC30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39</w:t>
            </w:r>
          </w:p>
        </w:tc>
        <w:tc>
          <w:tcPr>
            <w:tcW w:w="1771" w:type="pct"/>
            <w:tcBorders>
              <w:tl2br w:val="nil"/>
              <w:tr2bl w:val="nil"/>
            </w:tcBorders>
            <w:shd w:val="clear" w:color="auto" w:fill="auto"/>
            <w:noWrap/>
            <w:vAlign w:val="center"/>
          </w:tcPr>
          <w:p w14:paraId="6C183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未按要求参加甲方组织的学习、培训、会议等</w:t>
            </w:r>
          </w:p>
        </w:tc>
        <w:tc>
          <w:tcPr>
            <w:tcW w:w="447" w:type="pct"/>
            <w:tcBorders>
              <w:tl2br w:val="nil"/>
              <w:tr2bl w:val="nil"/>
            </w:tcBorders>
            <w:shd w:val="clear" w:color="auto" w:fill="auto"/>
            <w:noWrap/>
            <w:vAlign w:val="center"/>
          </w:tcPr>
          <w:p w14:paraId="14465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100元/次</w:t>
            </w:r>
          </w:p>
        </w:tc>
        <w:tc>
          <w:tcPr>
            <w:tcW w:w="1068" w:type="pct"/>
            <w:tcBorders>
              <w:tl2br w:val="nil"/>
              <w:tr2bl w:val="nil"/>
            </w:tcBorders>
            <w:shd w:val="clear" w:color="auto" w:fill="auto"/>
            <w:noWrap/>
            <w:vAlign w:val="center"/>
          </w:tcPr>
          <w:p w14:paraId="1A050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21DB0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200元/次</w:t>
            </w:r>
          </w:p>
        </w:tc>
        <w:tc>
          <w:tcPr>
            <w:tcW w:w="975" w:type="pct"/>
            <w:tcBorders>
              <w:tl2br w:val="nil"/>
              <w:tr2bl w:val="nil"/>
            </w:tcBorders>
            <w:shd w:val="clear" w:color="auto" w:fill="auto"/>
            <w:noWrap/>
            <w:vAlign w:val="center"/>
          </w:tcPr>
          <w:p w14:paraId="22A726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34EE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AD59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40</w:t>
            </w:r>
          </w:p>
        </w:tc>
        <w:tc>
          <w:tcPr>
            <w:tcW w:w="1771" w:type="pct"/>
            <w:tcBorders>
              <w:tl2br w:val="nil"/>
              <w:tr2bl w:val="nil"/>
            </w:tcBorders>
            <w:shd w:val="clear" w:color="auto" w:fill="auto"/>
            <w:noWrap/>
            <w:vAlign w:val="center"/>
          </w:tcPr>
          <w:p w14:paraId="4DF05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未按要求或未在规定时间内将小区物业告知函等纸质告知函送达物业社区盖章并上报</w:t>
            </w:r>
          </w:p>
        </w:tc>
        <w:tc>
          <w:tcPr>
            <w:tcW w:w="447" w:type="pct"/>
            <w:tcBorders>
              <w:tl2br w:val="nil"/>
              <w:tr2bl w:val="nil"/>
            </w:tcBorders>
            <w:shd w:val="clear" w:color="auto" w:fill="auto"/>
            <w:noWrap/>
            <w:vAlign w:val="center"/>
          </w:tcPr>
          <w:p w14:paraId="46C3F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100元/小区</w:t>
            </w:r>
          </w:p>
        </w:tc>
        <w:tc>
          <w:tcPr>
            <w:tcW w:w="1068" w:type="pct"/>
            <w:tcBorders>
              <w:tl2br w:val="nil"/>
              <w:tr2bl w:val="nil"/>
            </w:tcBorders>
            <w:shd w:val="clear" w:color="auto" w:fill="auto"/>
            <w:noWrap/>
            <w:vAlign w:val="center"/>
          </w:tcPr>
          <w:p w14:paraId="466E5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本月内，再次发生。督促后在甲方要求时间内仍未执行、拖拉</w:t>
            </w:r>
          </w:p>
        </w:tc>
        <w:tc>
          <w:tcPr>
            <w:tcW w:w="497" w:type="pct"/>
            <w:tcBorders>
              <w:tl2br w:val="nil"/>
              <w:tr2bl w:val="nil"/>
            </w:tcBorders>
            <w:shd w:val="clear" w:color="auto" w:fill="auto"/>
            <w:noWrap/>
            <w:vAlign w:val="center"/>
          </w:tcPr>
          <w:p w14:paraId="5AFFE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200元/小区</w:t>
            </w:r>
          </w:p>
        </w:tc>
        <w:tc>
          <w:tcPr>
            <w:tcW w:w="975" w:type="pct"/>
            <w:tcBorders>
              <w:tl2br w:val="nil"/>
              <w:tr2bl w:val="nil"/>
            </w:tcBorders>
            <w:shd w:val="clear" w:color="auto" w:fill="auto"/>
            <w:noWrap/>
            <w:vAlign w:val="center"/>
          </w:tcPr>
          <w:p w14:paraId="20445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延迟累计扣罚，每迟1天1个小区200元</w:t>
            </w:r>
          </w:p>
        </w:tc>
      </w:tr>
      <w:tr w14:paraId="4BF9F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71293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41</w:t>
            </w:r>
          </w:p>
        </w:tc>
        <w:tc>
          <w:tcPr>
            <w:tcW w:w="1771" w:type="pct"/>
            <w:tcBorders>
              <w:tl2br w:val="nil"/>
              <w:tr2bl w:val="nil"/>
            </w:tcBorders>
            <w:shd w:val="clear" w:color="auto" w:fill="auto"/>
            <w:noWrap/>
            <w:vAlign w:val="center"/>
          </w:tcPr>
          <w:p w14:paraId="213E6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未按要求将当天上门服务信息实时上传甲方客服系统</w:t>
            </w:r>
          </w:p>
        </w:tc>
        <w:tc>
          <w:tcPr>
            <w:tcW w:w="447" w:type="pct"/>
            <w:tcBorders>
              <w:tl2br w:val="nil"/>
              <w:tr2bl w:val="nil"/>
            </w:tcBorders>
            <w:shd w:val="clear" w:color="auto" w:fill="auto"/>
            <w:noWrap/>
            <w:vAlign w:val="center"/>
          </w:tcPr>
          <w:p w14:paraId="01110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200元/户</w:t>
            </w:r>
          </w:p>
        </w:tc>
        <w:tc>
          <w:tcPr>
            <w:tcW w:w="1068" w:type="pct"/>
            <w:tcBorders>
              <w:tl2br w:val="nil"/>
              <w:tr2bl w:val="nil"/>
            </w:tcBorders>
            <w:shd w:val="clear" w:color="auto" w:fill="auto"/>
            <w:noWrap/>
            <w:vAlign w:val="center"/>
          </w:tcPr>
          <w:p w14:paraId="4AA68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经督促后仍未在规定时间内补充上传、拖拉</w:t>
            </w:r>
          </w:p>
        </w:tc>
        <w:tc>
          <w:tcPr>
            <w:tcW w:w="497" w:type="pct"/>
            <w:tcBorders>
              <w:tl2br w:val="nil"/>
              <w:tr2bl w:val="nil"/>
            </w:tcBorders>
            <w:shd w:val="clear" w:color="auto" w:fill="auto"/>
            <w:noWrap/>
            <w:vAlign w:val="center"/>
          </w:tcPr>
          <w:p w14:paraId="70809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500元/户</w:t>
            </w:r>
          </w:p>
        </w:tc>
        <w:tc>
          <w:tcPr>
            <w:tcW w:w="975" w:type="pct"/>
            <w:tcBorders>
              <w:tl2br w:val="nil"/>
              <w:tr2bl w:val="nil"/>
            </w:tcBorders>
            <w:shd w:val="clear" w:color="auto" w:fill="auto"/>
            <w:noWrap/>
            <w:vAlign w:val="center"/>
          </w:tcPr>
          <w:p w14:paraId="0BD49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延迟累计扣罚，每迟1天500元</w:t>
            </w:r>
          </w:p>
        </w:tc>
      </w:tr>
      <w:tr w14:paraId="43834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3A43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c>
          <w:tcPr>
            <w:tcW w:w="1771" w:type="pct"/>
            <w:tcBorders>
              <w:tl2br w:val="nil"/>
              <w:tr2bl w:val="nil"/>
            </w:tcBorders>
            <w:shd w:val="clear" w:color="auto" w:fill="auto"/>
            <w:noWrap/>
            <w:vAlign w:val="center"/>
          </w:tcPr>
          <w:p w14:paraId="10177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未按要求在规定时间内向甲方提交上门业务的纸质资料以及计划、统计、总结、汇总等报表</w:t>
            </w:r>
          </w:p>
        </w:tc>
        <w:tc>
          <w:tcPr>
            <w:tcW w:w="447" w:type="pct"/>
            <w:tcBorders>
              <w:tl2br w:val="nil"/>
              <w:tr2bl w:val="nil"/>
            </w:tcBorders>
            <w:shd w:val="clear" w:color="auto" w:fill="auto"/>
            <w:noWrap/>
            <w:vAlign w:val="center"/>
          </w:tcPr>
          <w:p w14:paraId="2FF94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300元/次</w:t>
            </w:r>
          </w:p>
        </w:tc>
        <w:tc>
          <w:tcPr>
            <w:tcW w:w="1068" w:type="pct"/>
            <w:tcBorders>
              <w:tl2br w:val="nil"/>
              <w:tr2bl w:val="nil"/>
            </w:tcBorders>
            <w:shd w:val="clear" w:color="auto" w:fill="auto"/>
            <w:noWrap/>
            <w:vAlign w:val="center"/>
          </w:tcPr>
          <w:p w14:paraId="72CB6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本月内，再次发生。督促后在甲方要求时间内仍未执行、拖拉</w:t>
            </w:r>
          </w:p>
        </w:tc>
        <w:tc>
          <w:tcPr>
            <w:tcW w:w="497" w:type="pct"/>
            <w:tcBorders>
              <w:tl2br w:val="nil"/>
              <w:tr2bl w:val="nil"/>
            </w:tcBorders>
            <w:shd w:val="clear" w:color="auto" w:fill="auto"/>
            <w:noWrap/>
            <w:vAlign w:val="center"/>
          </w:tcPr>
          <w:p w14:paraId="2A717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600元/次</w:t>
            </w:r>
          </w:p>
        </w:tc>
        <w:tc>
          <w:tcPr>
            <w:tcW w:w="975" w:type="pct"/>
            <w:tcBorders>
              <w:tl2br w:val="nil"/>
              <w:tr2bl w:val="nil"/>
            </w:tcBorders>
            <w:shd w:val="clear" w:color="auto" w:fill="auto"/>
            <w:noWrap/>
            <w:vAlign w:val="center"/>
          </w:tcPr>
          <w:p w14:paraId="5E8D1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延迟累计扣罚，每迟1天600元</w:t>
            </w:r>
          </w:p>
        </w:tc>
      </w:tr>
      <w:tr w14:paraId="30368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0EEE7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43</w:t>
            </w:r>
          </w:p>
        </w:tc>
        <w:tc>
          <w:tcPr>
            <w:tcW w:w="1771" w:type="pct"/>
            <w:tcBorders>
              <w:tl2br w:val="nil"/>
              <w:tr2bl w:val="nil"/>
            </w:tcBorders>
            <w:shd w:val="clear" w:color="auto" w:fill="auto"/>
            <w:noWrap/>
            <w:vAlign w:val="center"/>
          </w:tcPr>
          <w:p w14:paraId="7E414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未在规定的时间内有效处理客户意见工单、投诉工单</w:t>
            </w:r>
          </w:p>
        </w:tc>
        <w:tc>
          <w:tcPr>
            <w:tcW w:w="447" w:type="pct"/>
            <w:tcBorders>
              <w:tl2br w:val="nil"/>
              <w:tr2bl w:val="nil"/>
            </w:tcBorders>
            <w:shd w:val="clear" w:color="auto" w:fill="auto"/>
            <w:noWrap/>
            <w:vAlign w:val="center"/>
          </w:tcPr>
          <w:p w14:paraId="2680F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100元/次</w:t>
            </w:r>
          </w:p>
        </w:tc>
        <w:tc>
          <w:tcPr>
            <w:tcW w:w="1068" w:type="pct"/>
            <w:tcBorders>
              <w:tl2br w:val="nil"/>
              <w:tr2bl w:val="nil"/>
            </w:tcBorders>
            <w:shd w:val="clear" w:color="auto" w:fill="auto"/>
            <w:noWrap/>
            <w:vAlign w:val="center"/>
          </w:tcPr>
          <w:p w14:paraId="00F6B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当月再次发现</w:t>
            </w:r>
          </w:p>
        </w:tc>
        <w:tc>
          <w:tcPr>
            <w:tcW w:w="497" w:type="pct"/>
            <w:tcBorders>
              <w:tl2br w:val="nil"/>
              <w:tr2bl w:val="nil"/>
            </w:tcBorders>
            <w:shd w:val="clear" w:color="auto" w:fill="auto"/>
            <w:noWrap/>
            <w:vAlign w:val="center"/>
          </w:tcPr>
          <w:p w14:paraId="69D08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500元/次</w:t>
            </w:r>
          </w:p>
        </w:tc>
        <w:tc>
          <w:tcPr>
            <w:tcW w:w="975" w:type="pct"/>
            <w:tcBorders>
              <w:tl2br w:val="nil"/>
              <w:tr2bl w:val="nil"/>
            </w:tcBorders>
            <w:shd w:val="clear" w:color="auto" w:fill="auto"/>
            <w:noWrap/>
            <w:vAlign w:val="center"/>
          </w:tcPr>
          <w:p w14:paraId="3626326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75719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11EBB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44</w:t>
            </w:r>
          </w:p>
        </w:tc>
        <w:tc>
          <w:tcPr>
            <w:tcW w:w="1771" w:type="pct"/>
            <w:tcBorders>
              <w:tl2br w:val="nil"/>
              <w:tr2bl w:val="nil"/>
            </w:tcBorders>
            <w:shd w:val="clear" w:color="auto" w:fill="auto"/>
            <w:noWrap/>
            <w:vAlign w:val="center"/>
          </w:tcPr>
          <w:p w14:paraId="11DD6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未在规定时间内，上报上门服务工作进度</w:t>
            </w:r>
          </w:p>
        </w:tc>
        <w:tc>
          <w:tcPr>
            <w:tcW w:w="447" w:type="pct"/>
            <w:tcBorders>
              <w:tl2br w:val="nil"/>
              <w:tr2bl w:val="nil"/>
            </w:tcBorders>
            <w:shd w:val="clear" w:color="auto" w:fill="auto"/>
            <w:noWrap/>
            <w:vAlign w:val="center"/>
          </w:tcPr>
          <w:p w14:paraId="3956B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300元/次</w:t>
            </w:r>
          </w:p>
        </w:tc>
        <w:tc>
          <w:tcPr>
            <w:tcW w:w="1068" w:type="pct"/>
            <w:tcBorders>
              <w:tl2br w:val="nil"/>
              <w:tr2bl w:val="nil"/>
            </w:tcBorders>
            <w:shd w:val="clear" w:color="auto" w:fill="auto"/>
            <w:noWrap/>
            <w:vAlign w:val="center"/>
          </w:tcPr>
          <w:p w14:paraId="2C761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督促后在甲方要求时间内仍未反馈、拖拉</w:t>
            </w:r>
          </w:p>
        </w:tc>
        <w:tc>
          <w:tcPr>
            <w:tcW w:w="497" w:type="pct"/>
            <w:tcBorders>
              <w:tl2br w:val="nil"/>
              <w:tr2bl w:val="nil"/>
            </w:tcBorders>
            <w:shd w:val="clear" w:color="auto" w:fill="auto"/>
            <w:noWrap/>
            <w:vAlign w:val="center"/>
          </w:tcPr>
          <w:p w14:paraId="00E4F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600元/次</w:t>
            </w:r>
          </w:p>
        </w:tc>
        <w:tc>
          <w:tcPr>
            <w:tcW w:w="975" w:type="pct"/>
            <w:tcBorders>
              <w:tl2br w:val="nil"/>
              <w:tr2bl w:val="nil"/>
            </w:tcBorders>
            <w:shd w:val="clear" w:color="auto" w:fill="auto"/>
            <w:noWrap/>
            <w:vAlign w:val="center"/>
          </w:tcPr>
          <w:p w14:paraId="0ABAB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未反馈将按天数，累计扣罚，延迟1天扣600元</w:t>
            </w:r>
          </w:p>
        </w:tc>
      </w:tr>
      <w:tr w14:paraId="56E45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60072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45</w:t>
            </w:r>
          </w:p>
        </w:tc>
        <w:tc>
          <w:tcPr>
            <w:tcW w:w="1771" w:type="pct"/>
            <w:tcBorders>
              <w:tl2br w:val="nil"/>
              <w:tr2bl w:val="nil"/>
            </w:tcBorders>
            <w:shd w:val="clear" w:color="auto" w:fill="auto"/>
            <w:noWrap/>
            <w:vAlign w:val="center"/>
          </w:tcPr>
          <w:p w14:paraId="29CCB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未在规定时间内上报满意度回访数据信息或上报数据不符要求</w:t>
            </w:r>
          </w:p>
        </w:tc>
        <w:tc>
          <w:tcPr>
            <w:tcW w:w="447" w:type="pct"/>
            <w:tcBorders>
              <w:tl2br w:val="nil"/>
              <w:tr2bl w:val="nil"/>
            </w:tcBorders>
            <w:shd w:val="clear" w:color="auto" w:fill="auto"/>
            <w:noWrap/>
            <w:vAlign w:val="center"/>
          </w:tcPr>
          <w:p w14:paraId="5D73A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500元/次</w:t>
            </w:r>
          </w:p>
        </w:tc>
        <w:tc>
          <w:tcPr>
            <w:tcW w:w="1068" w:type="pct"/>
            <w:tcBorders>
              <w:tl2br w:val="nil"/>
              <w:tr2bl w:val="nil"/>
            </w:tcBorders>
            <w:shd w:val="clear" w:color="auto" w:fill="auto"/>
            <w:noWrap/>
            <w:vAlign w:val="center"/>
          </w:tcPr>
          <w:p w14:paraId="72744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w:t>
            </w:r>
          </w:p>
        </w:tc>
        <w:tc>
          <w:tcPr>
            <w:tcW w:w="497" w:type="pct"/>
            <w:tcBorders>
              <w:tl2br w:val="nil"/>
              <w:tr2bl w:val="nil"/>
            </w:tcBorders>
            <w:shd w:val="clear" w:color="auto" w:fill="auto"/>
            <w:noWrap/>
            <w:vAlign w:val="center"/>
          </w:tcPr>
          <w:p w14:paraId="15047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1000元/次</w:t>
            </w:r>
          </w:p>
        </w:tc>
        <w:tc>
          <w:tcPr>
            <w:tcW w:w="975" w:type="pct"/>
            <w:tcBorders>
              <w:tl2br w:val="nil"/>
              <w:tr2bl w:val="nil"/>
            </w:tcBorders>
            <w:shd w:val="clear" w:color="auto" w:fill="auto"/>
            <w:noWrap/>
            <w:vAlign w:val="center"/>
          </w:tcPr>
          <w:p w14:paraId="5822B5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19FC5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45424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46</w:t>
            </w:r>
          </w:p>
        </w:tc>
        <w:tc>
          <w:tcPr>
            <w:tcW w:w="1771" w:type="pct"/>
            <w:tcBorders>
              <w:tl2br w:val="nil"/>
              <w:tr2bl w:val="nil"/>
            </w:tcBorders>
            <w:shd w:val="clear" w:color="auto" w:fill="auto"/>
            <w:noWrap/>
            <w:vAlign w:val="center"/>
          </w:tcPr>
          <w:p w14:paraId="4F4A8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未在规定时间内完成甲方交代的抄表、安检、通气相关工作任务</w:t>
            </w:r>
          </w:p>
        </w:tc>
        <w:tc>
          <w:tcPr>
            <w:tcW w:w="447" w:type="pct"/>
            <w:tcBorders>
              <w:tl2br w:val="nil"/>
              <w:tr2bl w:val="nil"/>
            </w:tcBorders>
            <w:shd w:val="clear" w:color="auto" w:fill="auto"/>
            <w:noWrap/>
            <w:vAlign w:val="center"/>
          </w:tcPr>
          <w:p w14:paraId="14C18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500元/次</w:t>
            </w:r>
          </w:p>
        </w:tc>
        <w:tc>
          <w:tcPr>
            <w:tcW w:w="1068" w:type="pct"/>
            <w:tcBorders>
              <w:tl2br w:val="nil"/>
              <w:tr2bl w:val="nil"/>
            </w:tcBorders>
            <w:shd w:val="clear" w:color="auto" w:fill="auto"/>
            <w:noWrap/>
            <w:vAlign w:val="center"/>
          </w:tcPr>
          <w:p w14:paraId="45210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本月内，再次发生或经督促后仍未执行、拖拉</w:t>
            </w:r>
          </w:p>
        </w:tc>
        <w:tc>
          <w:tcPr>
            <w:tcW w:w="497" w:type="pct"/>
            <w:tcBorders>
              <w:tl2br w:val="nil"/>
              <w:tr2bl w:val="nil"/>
            </w:tcBorders>
            <w:shd w:val="clear" w:color="auto" w:fill="auto"/>
            <w:noWrap/>
            <w:vAlign w:val="center"/>
          </w:tcPr>
          <w:p w14:paraId="6F9E8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1000元/次</w:t>
            </w:r>
          </w:p>
        </w:tc>
        <w:tc>
          <w:tcPr>
            <w:tcW w:w="975" w:type="pct"/>
            <w:tcBorders>
              <w:tl2br w:val="nil"/>
              <w:tr2bl w:val="nil"/>
            </w:tcBorders>
            <w:shd w:val="clear" w:color="auto" w:fill="auto"/>
            <w:noWrap/>
            <w:vAlign w:val="center"/>
          </w:tcPr>
          <w:p w14:paraId="54C45E4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14:paraId="21218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0" w:hRule="atLeast"/>
          <w:jc w:val="center"/>
        </w:trPr>
        <w:tc>
          <w:tcPr>
            <w:tcW w:w="240" w:type="pct"/>
            <w:tcBorders>
              <w:tl2br w:val="nil"/>
              <w:tr2bl w:val="nil"/>
            </w:tcBorders>
            <w:shd w:val="clear" w:color="auto" w:fill="auto"/>
            <w:noWrap/>
            <w:vAlign w:val="center"/>
          </w:tcPr>
          <w:p w14:paraId="35CF5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47</w:t>
            </w:r>
          </w:p>
        </w:tc>
        <w:tc>
          <w:tcPr>
            <w:tcW w:w="1771" w:type="pct"/>
            <w:tcBorders>
              <w:tl2br w:val="nil"/>
              <w:tr2bl w:val="nil"/>
            </w:tcBorders>
            <w:shd w:val="clear" w:color="auto" w:fill="auto"/>
            <w:noWrap/>
            <w:vAlign w:val="center"/>
          </w:tcPr>
          <w:p w14:paraId="0FD5C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业务执行过程中，向客户“吃、拿、卡、要”</w:t>
            </w:r>
          </w:p>
        </w:tc>
        <w:tc>
          <w:tcPr>
            <w:tcW w:w="447" w:type="pct"/>
            <w:tcBorders>
              <w:tl2br w:val="nil"/>
              <w:tr2bl w:val="nil"/>
            </w:tcBorders>
            <w:shd w:val="clear" w:color="auto" w:fill="auto"/>
            <w:noWrap/>
            <w:vAlign w:val="center"/>
          </w:tcPr>
          <w:p w14:paraId="7E979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2000元/次</w:t>
            </w:r>
          </w:p>
        </w:tc>
        <w:tc>
          <w:tcPr>
            <w:tcW w:w="1068" w:type="pct"/>
            <w:tcBorders>
              <w:tl2br w:val="nil"/>
              <w:tr2bl w:val="nil"/>
            </w:tcBorders>
            <w:shd w:val="clear" w:color="auto" w:fill="auto"/>
            <w:noWrap/>
            <w:vAlign w:val="center"/>
          </w:tcPr>
          <w:p w14:paraId="0FBEB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497" w:type="pct"/>
            <w:tcBorders>
              <w:tl2br w:val="nil"/>
              <w:tr2bl w:val="nil"/>
            </w:tcBorders>
            <w:shd w:val="clear" w:color="auto" w:fill="auto"/>
            <w:noWrap/>
            <w:vAlign w:val="center"/>
          </w:tcPr>
          <w:p w14:paraId="35EC8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w:t>
            </w:r>
          </w:p>
        </w:tc>
        <w:tc>
          <w:tcPr>
            <w:tcW w:w="975" w:type="pct"/>
            <w:tcBorders>
              <w:tl2br w:val="nil"/>
              <w:tr2bl w:val="nil"/>
            </w:tcBorders>
            <w:shd w:val="clear" w:color="auto" w:fill="auto"/>
            <w:noWrap/>
            <w:vAlign w:val="center"/>
          </w:tcPr>
          <w:p w14:paraId="4FE66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移交甲方监察室处理</w:t>
            </w:r>
          </w:p>
        </w:tc>
      </w:tr>
    </w:tbl>
    <w:p w14:paraId="57BB7DA5">
      <w:pPr>
        <w:pStyle w:val="50"/>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color w:val="auto"/>
          <w:sz w:val="18"/>
          <w:szCs w:val="18"/>
          <w:highlight w:val="none"/>
          <w:lang w:val="en-US" w:eastAsia="zh-CN"/>
        </w:rPr>
        <w:t>备注：1、</w:t>
      </w:r>
      <w:r>
        <w:rPr>
          <w:rFonts w:hint="eastAsia" w:ascii="宋体" w:hAnsi="宋体" w:eastAsia="宋体" w:cs="宋体"/>
          <w:b w:val="0"/>
          <w:bCs w:val="0"/>
          <w:i w:val="0"/>
          <w:iCs w:val="0"/>
          <w:color w:val="auto"/>
          <w:kern w:val="0"/>
          <w:sz w:val="18"/>
          <w:szCs w:val="18"/>
          <w:highlight w:val="none"/>
          <w:u w:val="none"/>
          <w:lang w:val="en-US" w:eastAsia="zh-CN" w:bidi="ar"/>
        </w:rPr>
        <w:t>除本考核细则规定内容外，出现未按照工作流程、制度、安全操作规程、文明服务制度执行问题，根据实际情况进行处罚；</w:t>
      </w:r>
    </w:p>
    <w:p w14:paraId="14D6E068">
      <w:pPr>
        <w:pStyle w:val="12"/>
        <w:numPr>
          <w:ilvl w:val="0"/>
          <w:numId w:val="24"/>
        </w:numPr>
        <w:ind w:firstLine="540" w:firstLineChars="300"/>
        <w:rPr>
          <w:rFonts w:hint="eastAsia"/>
          <w:color w:val="auto"/>
          <w:highlight w:val="none"/>
          <w:lang w:val="en-US" w:eastAsia="zh-CN"/>
        </w:rPr>
      </w:pPr>
      <w:r>
        <w:rPr>
          <w:rFonts w:hint="eastAsia" w:ascii="宋体" w:hAnsi="宋体" w:eastAsia="宋体" w:cs="宋体"/>
          <w:b w:val="0"/>
          <w:bCs w:val="0"/>
          <w:i w:val="0"/>
          <w:iCs w:val="0"/>
          <w:color w:val="auto"/>
          <w:kern w:val="0"/>
          <w:sz w:val="18"/>
          <w:szCs w:val="18"/>
          <w:highlight w:val="none"/>
          <w:u w:val="none"/>
          <w:lang w:val="en-US" w:eastAsia="zh-CN" w:bidi="ar"/>
        </w:rPr>
        <w:t>工作不当造成严重后果的（含客户升级投诉、政府主管单位处罚、媒体负面报道、产生燃气事故等），甲方</w:t>
      </w:r>
      <w:r>
        <w:rPr>
          <w:rFonts w:hint="eastAsia" w:ascii="宋体" w:hAnsi="宋体" w:eastAsia="宋体"/>
          <w:color w:val="auto"/>
          <w:sz w:val="18"/>
          <w:szCs w:val="18"/>
          <w:highlight w:val="none"/>
        </w:rPr>
        <w:t>有权当即终止合同</w:t>
      </w:r>
      <w:r>
        <w:rPr>
          <w:rFonts w:hint="eastAsia" w:ascii="宋体" w:hAnsi="宋体" w:eastAsia="宋体"/>
          <w:color w:val="auto"/>
          <w:sz w:val="18"/>
          <w:szCs w:val="18"/>
          <w:highlight w:val="none"/>
          <w:lang w:eastAsia="zh-CN"/>
        </w:rPr>
        <w:t>，</w:t>
      </w:r>
      <w:r>
        <w:rPr>
          <w:rFonts w:hint="eastAsia" w:ascii="宋体" w:hAnsi="宋体" w:eastAsia="宋体"/>
          <w:color w:val="auto"/>
          <w:sz w:val="18"/>
          <w:szCs w:val="18"/>
          <w:highlight w:val="none"/>
          <w:lang w:val="en-US" w:eastAsia="zh-CN"/>
        </w:rPr>
        <w:t>乙方</w:t>
      </w:r>
      <w:r>
        <w:rPr>
          <w:rFonts w:hint="eastAsia" w:ascii="宋体" w:hAnsi="宋体" w:eastAsia="宋体" w:cs="宋体"/>
          <w:color w:val="auto"/>
          <w:sz w:val="18"/>
          <w:szCs w:val="18"/>
          <w:highlight w:val="none"/>
        </w:rPr>
        <w:t>须承担由此对</w:t>
      </w:r>
      <w:r>
        <w:rPr>
          <w:rFonts w:hint="eastAsia" w:ascii="宋体" w:hAnsi="宋体" w:eastAsia="宋体" w:cs="宋体"/>
          <w:color w:val="auto"/>
          <w:sz w:val="18"/>
          <w:szCs w:val="18"/>
          <w:highlight w:val="none"/>
          <w:lang w:val="en-US" w:eastAsia="zh-CN"/>
        </w:rPr>
        <w:t>甲方</w:t>
      </w:r>
      <w:r>
        <w:rPr>
          <w:rFonts w:hint="eastAsia" w:ascii="宋体" w:hAnsi="宋体" w:eastAsia="宋体" w:cs="宋体"/>
          <w:color w:val="auto"/>
          <w:sz w:val="18"/>
          <w:szCs w:val="18"/>
          <w:highlight w:val="none"/>
        </w:rPr>
        <w:t>造成的一切损失</w:t>
      </w:r>
      <w:r>
        <w:rPr>
          <w:rFonts w:hint="eastAsia" w:ascii="宋体" w:hAnsi="宋体" w:eastAsia="宋体" w:cs="宋体"/>
          <w:b w:val="0"/>
          <w:bCs w:val="0"/>
          <w:i w:val="0"/>
          <w:iCs w:val="0"/>
          <w:color w:val="auto"/>
          <w:kern w:val="0"/>
          <w:sz w:val="18"/>
          <w:szCs w:val="18"/>
          <w:highlight w:val="none"/>
          <w:u w:val="none"/>
          <w:lang w:val="en-US" w:eastAsia="zh-CN" w:bidi="ar"/>
        </w:rPr>
        <w:t>。</w:t>
      </w:r>
    </w:p>
    <w:p w14:paraId="7221C6B6">
      <w:pPr>
        <w:rPr>
          <w:rFonts w:hint="eastAsia" w:ascii="宋体" w:hAnsi="宋体" w:eastAsia="宋体" w:cs="宋体"/>
          <w:color w:val="auto"/>
          <w:kern w:val="2"/>
          <w:sz w:val="21"/>
          <w:szCs w:val="21"/>
          <w:highlight w:val="none"/>
          <w:lang w:val="en-US" w:eastAsia="zh-CN" w:bidi="ar-SA"/>
        </w:rPr>
      </w:pPr>
    </w:p>
    <w:p w14:paraId="45BDD30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考核奖励细则</w:t>
      </w:r>
    </w:p>
    <w:tbl>
      <w:tblPr>
        <w:tblStyle w:val="33"/>
        <w:tblW w:w="4996" w:type="pct"/>
        <w:jc w:val="center"/>
        <w:tblLayout w:type="autofit"/>
        <w:tblCellMar>
          <w:top w:w="0" w:type="dxa"/>
          <w:left w:w="108" w:type="dxa"/>
          <w:bottom w:w="0" w:type="dxa"/>
          <w:right w:w="108" w:type="dxa"/>
        </w:tblCellMar>
      </w:tblPr>
      <w:tblGrid>
        <w:gridCol w:w="770"/>
        <w:gridCol w:w="5571"/>
        <w:gridCol w:w="2613"/>
        <w:gridCol w:w="5209"/>
      </w:tblGrid>
      <w:tr w14:paraId="2544055C">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28D30D71">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序号</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64A84738">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考核奖励细则</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6A424DB0">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奖励金额（元/户、次）</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6EBF3132">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b/>
                <w:color w:val="auto"/>
                <w:kern w:val="0"/>
                <w:sz w:val="18"/>
                <w:szCs w:val="18"/>
                <w:highlight w:val="none"/>
              </w:rPr>
            </w:pPr>
            <w:r>
              <w:rPr>
                <w:rFonts w:hint="eastAsia" w:ascii="宋体" w:hAnsi="宋体" w:eastAsia="宋体" w:cs="宋体"/>
                <w:b/>
                <w:color w:val="auto"/>
                <w:kern w:val="0"/>
                <w:sz w:val="18"/>
                <w:szCs w:val="18"/>
                <w:highlight w:val="none"/>
              </w:rPr>
              <w:t>备注</w:t>
            </w:r>
          </w:p>
        </w:tc>
      </w:tr>
      <w:tr w14:paraId="792EC658">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592B2EC7">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2F4A04A6">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发现气表停走</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7BE26308">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居民客户50元、非居民客户500元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0544A1D5">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以</w:t>
            </w:r>
            <w:r>
              <w:rPr>
                <w:rFonts w:hint="eastAsia" w:ascii="宋体" w:hAnsi="宋体" w:cs="宋体"/>
                <w:color w:val="auto"/>
                <w:sz w:val="18"/>
                <w:szCs w:val="18"/>
                <w:highlight w:val="none"/>
                <w:lang w:val="en-US" w:eastAsia="zh-CN"/>
              </w:rPr>
              <w:t>甲方</w:t>
            </w:r>
            <w:r>
              <w:rPr>
                <w:rFonts w:hint="eastAsia" w:ascii="宋体" w:hAnsi="宋体" w:eastAsia="宋体" w:cs="宋体"/>
                <w:color w:val="auto"/>
                <w:sz w:val="18"/>
                <w:szCs w:val="18"/>
                <w:highlight w:val="none"/>
              </w:rPr>
              <w:t>检查更换气表为依据</w:t>
            </w:r>
          </w:p>
        </w:tc>
      </w:tr>
      <w:tr w14:paraId="79613310">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565810D5">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5CDD3C0C">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发现私用气或因</w:t>
            </w:r>
            <w:r>
              <w:rPr>
                <w:rFonts w:hint="eastAsia" w:ascii="宋体" w:hAnsi="宋体" w:cs="宋体"/>
                <w:color w:val="auto"/>
                <w:sz w:val="18"/>
                <w:szCs w:val="18"/>
                <w:highlight w:val="none"/>
                <w:lang w:val="en-US" w:eastAsia="zh-CN"/>
              </w:rPr>
              <w:t>甲方</w:t>
            </w:r>
            <w:r>
              <w:rPr>
                <w:rFonts w:hint="eastAsia" w:ascii="宋体" w:hAnsi="宋体" w:eastAsia="宋体" w:cs="宋体"/>
                <w:color w:val="auto"/>
                <w:sz w:val="18"/>
                <w:szCs w:val="18"/>
                <w:highlight w:val="none"/>
              </w:rPr>
              <w:t>原因未检查到的已用气客户</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5937A1FF">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居民客户50元、非居民客户500元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25F63503">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须提供客户签字确认或取证照片为依据，催回气费后奖励</w:t>
            </w:r>
          </w:p>
        </w:tc>
      </w:tr>
      <w:tr w14:paraId="6892DD29">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689E3CE9">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7D37670E">
            <w:pPr>
              <w:keepNext w:val="0"/>
              <w:keepLines w:val="0"/>
              <w:suppressLineNumbers w:val="0"/>
              <w:spacing w:before="0" w:beforeAutospacing="0" w:after="0" w:afterAutospacing="0" w:line="240" w:lineRule="auto"/>
              <w:ind w:left="0" w:right="0" w:firstLine="360" w:firstLineChars="200"/>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发现民用气私自改变用途（营业用气）并及时上报</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47C44B67">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6B0A9E09">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以转为公建客户为依据</w:t>
            </w:r>
          </w:p>
        </w:tc>
      </w:tr>
      <w:tr w14:paraId="2D582C33">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3086BFD4">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11A1DC1E">
            <w:pPr>
              <w:keepNext w:val="0"/>
              <w:keepLines w:val="0"/>
              <w:suppressLineNumbers w:val="0"/>
              <w:spacing w:before="0" w:beforeAutospacing="0" w:after="0" w:afterAutospacing="0" w:line="240" w:lineRule="auto"/>
              <w:ind w:left="0" w:right="0" w:firstLine="360" w:firstLineChars="20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系统记录与实际气表状态不符</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777630A0">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居民客户50元、非居民客户500元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33719FBC">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以现场核实调整客户系统记录为依据</w:t>
            </w:r>
          </w:p>
        </w:tc>
      </w:tr>
      <w:tr w14:paraId="4E76AEAB">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51265427">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092928F4">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得到客户表扬信、锦旗或客户上门表扬</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69B6744C">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每次50元，每月奖励上限1000元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70426F0E">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以</w:t>
            </w:r>
            <w:r>
              <w:rPr>
                <w:rFonts w:hint="eastAsia" w:ascii="宋体" w:hAnsi="宋体" w:cs="宋体"/>
                <w:color w:val="auto"/>
                <w:kern w:val="0"/>
                <w:sz w:val="18"/>
                <w:szCs w:val="18"/>
                <w:highlight w:val="none"/>
                <w:lang w:val="en-US" w:eastAsia="zh-CN"/>
              </w:rPr>
              <w:t>甲方</w:t>
            </w:r>
            <w:r>
              <w:rPr>
                <w:rFonts w:hint="eastAsia" w:ascii="宋体" w:hAnsi="宋体" w:eastAsia="宋体" w:cs="宋体"/>
                <w:color w:val="auto"/>
                <w:kern w:val="0"/>
                <w:sz w:val="18"/>
                <w:szCs w:val="18"/>
                <w:highlight w:val="none"/>
              </w:rPr>
              <w:t>接到客户表扬信</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锦旗、上门表扬</w:t>
            </w:r>
            <w:r>
              <w:rPr>
                <w:rFonts w:hint="eastAsia" w:ascii="宋体" w:hAnsi="宋体" w:eastAsia="宋体" w:cs="宋体"/>
                <w:color w:val="auto"/>
                <w:kern w:val="0"/>
                <w:sz w:val="18"/>
                <w:szCs w:val="18"/>
                <w:highlight w:val="none"/>
              </w:rPr>
              <w:t>，经核实</w:t>
            </w:r>
          </w:p>
        </w:tc>
      </w:tr>
      <w:tr w14:paraId="4ED9D7E7">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51012657">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2FB3AA26">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得到媒体正面宣传、表扬的</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31BC1F86">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012DE4D9">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以良好的形象服务大众得到主流媒体的正面宣传，如电视台，日报等</w:t>
            </w:r>
          </w:p>
        </w:tc>
      </w:tr>
      <w:tr w14:paraId="1E07E542">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3728162C">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5C26EEA8">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发现安全生产隐患，制止、控制危害公司利益的行为及</w:t>
            </w:r>
            <w:r>
              <w:rPr>
                <w:rFonts w:hint="eastAsia" w:ascii="宋体" w:hAnsi="宋体" w:cs="宋体"/>
                <w:color w:val="auto"/>
                <w:kern w:val="0"/>
                <w:sz w:val="18"/>
                <w:szCs w:val="18"/>
                <w:highlight w:val="none"/>
                <w:lang w:val="en-US" w:eastAsia="zh-CN"/>
              </w:rPr>
              <w:t>其他</w:t>
            </w:r>
            <w:r>
              <w:rPr>
                <w:rFonts w:hint="eastAsia" w:ascii="宋体" w:hAnsi="宋体" w:eastAsia="宋体" w:cs="宋体"/>
                <w:color w:val="auto"/>
                <w:kern w:val="0"/>
                <w:sz w:val="18"/>
                <w:szCs w:val="18"/>
                <w:highlight w:val="none"/>
              </w:rPr>
              <w:t>优秀事迹</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1DB0F373">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47230094">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以</w:t>
            </w:r>
            <w:r>
              <w:rPr>
                <w:rFonts w:hint="eastAsia" w:ascii="宋体" w:hAnsi="宋体" w:cs="宋体"/>
                <w:color w:val="auto"/>
                <w:kern w:val="0"/>
                <w:sz w:val="18"/>
                <w:szCs w:val="18"/>
                <w:highlight w:val="none"/>
                <w:lang w:val="en-US" w:eastAsia="zh-CN"/>
              </w:rPr>
              <w:t>甲方</w:t>
            </w:r>
            <w:r>
              <w:rPr>
                <w:rFonts w:hint="eastAsia" w:ascii="宋体" w:hAnsi="宋体" w:eastAsia="宋体" w:cs="宋体"/>
                <w:color w:val="auto"/>
                <w:kern w:val="0"/>
                <w:sz w:val="18"/>
                <w:szCs w:val="18"/>
                <w:highlight w:val="none"/>
              </w:rPr>
              <w:t>公告为准</w:t>
            </w:r>
          </w:p>
        </w:tc>
      </w:tr>
      <w:tr w14:paraId="23FAC512">
        <w:tblPrEx>
          <w:tblCellMar>
            <w:top w:w="0" w:type="dxa"/>
            <w:left w:w="108" w:type="dxa"/>
            <w:bottom w:w="0" w:type="dxa"/>
            <w:right w:w="108" w:type="dxa"/>
          </w:tblCellMar>
        </w:tblPrEx>
        <w:trPr>
          <w:trHeight w:val="420" w:hRule="atLeast"/>
          <w:jc w:val="center"/>
        </w:trPr>
        <w:tc>
          <w:tcPr>
            <w:tcW w:w="272" w:type="pct"/>
            <w:tcBorders>
              <w:top w:val="single" w:color="auto" w:sz="6" w:space="0"/>
              <w:left w:val="single" w:color="auto" w:sz="6" w:space="0"/>
              <w:bottom w:val="single" w:color="auto" w:sz="6" w:space="0"/>
              <w:right w:val="single" w:color="auto" w:sz="6" w:space="0"/>
            </w:tcBorders>
            <w:noWrap w:val="0"/>
            <w:vAlign w:val="center"/>
          </w:tcPr>
          <w:p w14:paraId="18D1BA78">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1966" w:type="pct"/>
            <w:tcBorders>
              <w:top w:val="single" w:color="auto" w:sz="6" w:space="0"/>
              <w:left w:val="single" w:color="auto" w:sz="6" w:space="0"/>
              <w:bottom w:val="single" w:color="auto" w:sz="6" w:space="0"/>
              <w:right w:val="single" w:color="auto" w:sz="6" w:space="0"/>
            </w:tcBorders>
            <w:noWrap w:val="0"/>
            <w:vAlign w:val="center"/>
          </w:tcPr>
          <w:p w14:paraId="34B1DA89">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向</w:t>
            </w:r>
            <w:r>
              <w:rPr>
                <w:rFonts w:hint="eastAsia" w:ascii="宋体" w:hAnsi="宋体" w:cs="宋体"/>
                <w:color w:val="auto"/>
                <w:kern w:val="0"/>
                <w:sz w:val="18"/>
                <w:szCs w:val="18"/>
                <w:highlight w:val="none"/>
                <w:lang w:val="en-US" w:eastAsia="zh-CN"/>
              </w:rPr>
              <w:t>甲方</w:t>
            </w:r>
            <w:r>
              <w:rPr>
                <w:rFonts w:hint="eastAsia" w:ascii="宋体" w:hAnsi="宋体" w:eastAsia="宋体" w:cs="宋体"/>
                <w:color w:val="auto"/>
                <w:kern w:val="0"/>
                <w:sz w:val="18"/>
                <w:szCs w:val="18"/>
                <w:highlight w:val="none"/>
              </w:rPr>
              <w:t>提供</w:t>
            </w:r>
            <w:r>
              <w:rPr>
                <w:rFonts w:hint="eastAsia" w:ascii="宋体" w:hAnsi="宋体" w:cs="宋体"/>
                <w:color w:val="auto"/>
                <w:kern w:val="0"/>
                <w:sz w:val="18"/>
                <w:szCs w:val="18"/>
                <w:highlight w:val="none"/>
                <w:lang w:val="en-US" w:eastAsia="zh-CN"/>
              </w:rPr>
              <w:t>的</w:t>
            </w:r>
            <w:r>
              <w:rPr>
                <w:rFonts w:hint="eastAsia" w:ascii="宋体" w:hAnsi="宋体" w:eastAsia="宋体" w:cs="宋体"/>
                <w:color w:val="auto"/>
                <w:kern w:val="0"/>
                <w:sz w:val="18"/>
                <w:szCs w:val="18"/>
                <w:highlight w:val="none"/>
              </w:rPr>
              <w:t>建议，</w:t>
            </w:r>
            <w:r>
              <w:rPr>
                <w:rFonts w:hint="eastAsia" w:ascii="宋体" w:hAnsi="宋体" w:cs="宋体"/>
                <w:color w:val="auto"/>
                <w:kern w:val="0"/>
                <w:sz w:val="18"/>
                <w:szCs w:val="18"/>
                <w:highlight w:val="none"/>
                <w:lang w:val="en-US" w:eastAsia="zh-CN"/>
              </w:rPr>
              <w:t>受到</w:t>
            </w:r>
            <w:r>
              <w:rPr>
                <w:rFonts w:hint="eastAsia" w:ascii="宋体" w:hAnsi="宋体" w:eastAsia="宋体" w:cs="宋体"/>
                <w:color w:val="auto"/>
                <w:kern w:val="0"/>
                <w:sz w:val="18"/>
                <w:szCs w:val="18"/>
                <w:highlight w:val="none"/>
              </w:rPr>
              <w:t>采纳</w:t>
            </w:r>
          </w:p>
        </w:tc>
        <w:tc>
          <w:tcPr>
            <w:tcW w:w="922" w:type="pct"/>
            <w:tcBorders>
              <w:top w:val="single" w:color="auto" w:sz="6" w:space="0"/>
              <w:left w:val="single" w:color="auto" w:sz="6" w:space="0"/>
              <w:bottom w:val="single" w:color="auto" w:sz="6" w:space="0"/>
              <w:right w:val="single" w:color="auto" w:sz="6" w:space="0"/>
            </w:tcBorders>
            <w:noWrap w:val="0"/>
            <w:vAlign w:val="center"/>
          </w:tcPr>
          <w:p w14:paraId="50F8710D">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500元</w:t>
            </w:r>
          </w:p>
        </w:tc>
        <w:tc>
          <w:tcPr>
            <w:tcW w:w="1838" w:type="pct"/>
            <w:tcBorders>
              <w:top w:val="single" w:color="auto" w:sz="6" w:space="0"/>
              <w:left w:val="single" w:color="auto" w:sz="6" w:space="0"/>
              <w:bottom w:val="single" w:color="auto" w:sz="6" w:space="0"/>
              <w:right w:val="single" w:color="auto" w:sz="6" w:space="0"/>
            </w:tcBorders>
            <w:noWrap w:val="0"/>
            <w:vAlign w:val="center"/>
          </w:tcPr>
          <w:p w14:paraId="5B67ACF8">
            <w:pPr>
              <w:keepNext w:val="0"/>
              <w:keepLines w:val="0"/>
              <w:widowControl/>
              <w:suppressLineNumbers w:val="0"/>
              <w:adjustRightInd w:val="0"/>
              <w:snapToGrid w:val="0"/>
              <w:spacing w:before="120" w:beforeLines="50" w:beforeAutospacing="0" w:after="120" w:afterLines="50" w:afterAutospacing="0" w:line="240" w:lineRule="auto"/>
              <w:ind w:left="0" w:right="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改进流程、提升服务、消除隐患、促进</w:t>
            </w:r>
            <w:r>
              <w:rPr>
                <w:rFonts w:hint="eastAsia" w:ascii="宋体" w:hAnsi="宋体" w:cs="宋体"/>
                <w:color w:val="auto"/>
                <w:kern w:val="0"/>
                <w:sz w:val="18"/>
                <w:szCs w:val="18"/>
                <w:highlight w:val="none"/>
                <w:lang w:val="en-US" w:eastAsia="zh-CN"/>
              </w:rPr>
              <w:t>甲方</w:t>
            </w:r>
            <w:r>
              <w:rPr>
                <w:rFonts w:hint="eastAsia" w:ascii="宋体" w:hAnsi="宋体" w:eastAsia="宋体" w:cs="宋体"/>
                <w:color w:val="auto"/>
                <w:kern w:val="0"/>
                <w:sz w:val="18"/>
                <w:szCs w:val="18"/>
                <w:highlight w:val="none"/>
              </w:rPr>
              <w:t>建设有帮助</w:t>
            </w:r>
          </w:p>
        </w:tc>
      </w:tr>
    </w:tbl>
    <w:p w14:paraId="3CA2F984">
      <w:pPr>
        <w:pStyle w:val="13"/>
        <w:rPr>
          <w:rFonts w:hint="eastAsia" w:ascii="宋体" w:hAnsi="宋体" w:eastAsia="宋体" w:cs="宋体"/>
          <w:color w:val="auto"/>
          <w:sz w:val="21"/>
          <w:szCs w:val="21"/>
          <w:highlight w:val="none"/>
        </w:rPr>
      </w:pPr>
    </w:p>
    <w:p w14:paraId="1D51DF5A">
      <w:pPr>
        <w:pStyle w:val="3"/>
        <w:spacing w:before="240" w:beforeLines="100"/>
        <w:jc w:val="both"/>
        <w:rPr>
          <w:rFonts w:hint="eastAsia" w:ascii="宋体" w:hAnsi="宋体" w:eastAsia="宋体" w:cs="宋体"/>
          <w:color w:val="auto"/>
          <w:sz w:val="21"/>
          <w:szCs w:val="21"/>
          <w:highlight w:val="none"/>
          <w:lang w:val="en-US"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03504FA2">
      <w:pPr>
        <w:pStyle w:val="3"/>
        <w:spacing w:before="240" w:beforeLine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合同附件2：</w:t>
      </w:r>
    </w:p>
    <w:p w14:paraId="25B4B507">
      <w:pPr>
        <w:spacing w:before="157" w:beforeLines="50" w:after="313" w:afterLines="10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eastAsia="zh-CN"/>
        </w:rPr>
        <w:t>居民</w:t>
      </w:r>
      <w:r>
        <w:rPr>
          <w:rFonts w:hint="eastAsia" w:ascii="宋体" w:hAnsi="宋体" w:eastAsia="宋体" w:cs="宋体"/>
          <w:b/>
          <w:color w:val="auto"/>
          <w:sz w:val="28"/>
          <w:szCs w:val="28"/>
          <w:highlight w:val="none"/>
        </w:rPr>
        <w:t>安检业务</w:t>
      </w:r>
      <w:r>
        <w:rPr>
          <w:rFonts w:hint="eastAsia" w:ascii="宋体" w:hAnsi="宋体" w:cs="宋体"/>
          <w:b/>
          <w:color w:val="auto"/>
          <w:sz w:val="28"/>
          <w:szCs w:val="28"/>
          <w:highlight w:val="none"/>
          <w:lang w:val="en-US" w:eastAsia="zh-CN"/>
        </w:rPr>
        <w:t>中标</w:t>
      </w:r>
      <w:r>
        <w:rPr>
          <w:rFonts w:hint="eastAsia" w:ascii="宋体" w:hAnsi="宋体" w:eastAsia="宋体" w:cs="宋体"/>
          <w:b/>
          <w:color w:val="auto"/>
          <w:sz w:val="28"/>
          <w:szCs w:val="28"/>
          <w:highlight w:val="none"/>
        </w:rPr>
        <w:t>单位工作职责</w:t>
      </w:r>
    </w:p>
    <w:p w14:paraId="2FFF4AE5">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居民</w:t>
      </w:r>
      <w:r>
        <w:rPr>
          <w:rFonts w:hint="eastAsia" w:ascii="宋体" w:hAnsi="宋体" w:eastAsia="宋体" w:cs="宋体"/>
          <w:b/>
          <w:color w:val="auto"/>
          <w:sz w:val="24"/>
          <w:szCs w:val="24"/>
          <w:highlight w:val="none"/>
        </w:rPr>
        <w:t>安检业务</w:t>
      </w:r>
      <w:r>
        <w:rPr>
          <w:rFonts w:hint="eastAsia" w:ascii="宋体" w:hAnsi="宋体" w:eastAsia="宋体" w:cs="宋体"/>
          <w:color w:val="auto"/>
          <w:sz w:val="24"/>
          <w:szCs w:val="24"/>
          <w:highlight w:val="none"/>
        </w:rPr>
        <w:t>工作内容包括但不限于：安排人员对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所辖范围（</w:t>
      </w:r>
      <w:r>
        <w:rPr>
          <w:rFonts w:hint="eastAsia" w:ascii="宋体" w:hAnsi="宋体" w:cs="宋体"/>
          <w:color w:val="auto"/>
          <w:sz w:val="24"/>
          <w:szCs w:val="24"/>
          <w:highlight w:val="none"/>
          <w:lang w:eastAsia="zh-CN"/>
        </w:rPr>
        <w:t>包含瓯江口及洞头区域</w:t>
      </w:r>
      <w:r>
        <w:rPr>
          <w:rFonts w:hint="eastAsia" w:ascii="宋体" w:hAnsi="宋体" w:eastAsia="宋体" w:cs="宋体"/>
          <w:color w:val="auto"/>
          <w:sz w:val="24"/>
          <w:szCs w:val="24"/>
          <w:highlight w:val="none"/>
        </w:rPr>
        <w:t>）的居民管道燃气客户开展入户安检以及处理安检相关客户意见和投诉等。具体职责如下：</w:t>
      </w:r>
    </w:p>
    <w:p w14:paraId="75B3E73F">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组织人员按照要求完成入户安检、现场紧急隐患应急处理，保证安检信息数据的真实性。合理制定实施安检工作计划，确保安检开展率100%，每个居民客户一年上门检查一次，月、年安检入户率达到90.23%规定指标（考核指标每年根据甲方要求进行调整）；</w:t>
      </w:r>
    </w:p>
    <w:p w14:paraId="37134C72">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2、入户安检全程不涉及任何收费项目，严禁安检过程中向任何客户收取任何费用；</w:t>
      </w:r>
    </w:p>
    <w:p w14:paraId="0255E3BB">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3、确定安检业务项目负责人，处理安检相关业务的承包事宜并提前告知甲方备案；</w:t>
      </w:r>
    </w:p>
    <w:p w14:paraId="07DA17EA">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4、妥善处理甲方反馈的客户安检意见和投诉并及时反馈处理结果；</w:t>
      </w:r>
    </w:p>
    <w:p w14:paraId="4980E8C7">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5、按照甲方安检相关工作要求，定期组织安检人员学习工作流程、制度等并建立台账；</w:t>
      </w:r>
    </w:p>
    <w:p w14:paraId="751C59B2">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6、组织安检人员参加甲方组织的各类会议、培训和活动等；</w:t>
      </w:r>
    </w:p>
    <w:p w14:paraId="3CF08C05">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7、配合甲方对安检各项工作的检查，发现问题及时在规定时限内有效落实整改；</w:t>
      </w:r>
    </w:p>
    <w:p w14:paraId="6D22856A">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8、规定时限内完成甲方下派的临时安检任务和客户解释工作；</w:t>
      </w:r>
    </w:p>
    <w:p w14:paraId="0DB72C1D">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9、做好安检业务相关纸质单据的保护工作；</w:t>
      </w:r>
    </w:p>
    <w:p w14:paraId="214050FA">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10、入户安检人员应持证上岗；</w:t>
      </w:r>
    </w:p>
    <w:p w14:paraId="5F9D52B3">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11、配合甲方对安检工作的管理要求和指导，遵照执行安检；</w:t>
      </w:r>
    </w:p>
    <w:p w14:paraId="56179685">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12、在规定时间内上报满意度回访数据信息；</w:t>
      </w:r>
    </w:p>
    <w:p w14:paraId="263557E1">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13、安检中向客户宣传推广波纹管、燃气保险；</w:t>
      </w:r>
    </w:p>
    <w:p w14:paraId="26166FF1">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14、按照甲方规定时限及时上报提交各类安检统计数据报表以及安检相关总结分析报告；</w:t>
      </w:r>
    </w:p>
    <w:p w14:paraId="36C1C3CD">
      <w:pPr>
        <w:numPr>
          <w:ilvl w:val="0"/>
          <w:numId w:val="0"/>
        </w:numPr>
        <w:spacing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15、小区安检完成后需将物业告知函以及多次未遇、拒改、拒查等客户明细清单送达物业或社区盖章确认，并将小区物业、社区盖章的回执件以季度为周期在规定时限内全部提交甲方备案审核</w:t>
      </w:r>
    </w:p>
    <w:p w14:paraId="215958D8">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、完成</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派发的其他各类临时性工作任务；</w:t>
      </w:r>
    </w:p>
    <w:p w14:paraId="42E8DA05">
      <w:pPr>
        <w:spacing w:line="240" w:lineRule="auto"/>
        <w:jc w:val="left"/>
        <w:rPr>
          <w:rFonts w:hint="eastAsia" w:ascii="宋体" w:hAnsi="宋体" w:eastAsia="宋体" w:cs="宋体"/>
          <w:b/>
          <w:bCs/>
          <w:color w:val="auto"/>
          <w:sz w:val="24"/>
          <w:szCs w:val="24"/>
          <w:highlight w:val="none"/>
        </w:rPr>
      </w:pPr>
    </w:p>
    <w:p w14:paraId="2C02194E">
      <w:pPr>
        <w:spacing w:line="240" w:lineRule="auto"/>
        <w:ind w:firstLine="482" w:firstLineChars="200"/>
        <w:jc w:val="center"/>
        <w:rPr>
          <w:rFonts w:hint="eastAsia" w:ascii="宋体" w:hAnsi="宋体" w:eastAsia="宋体" w:cs="宋体"/>
          <w:b/>
          <w:color w:val="auto"/>
          <w:sz w:val="24"/>
          <w:szCs w:val="24"/>
          <w:highlight w:val="none"/>
        </w:rPr>
      </w:pPr>
    </w:p>
    <w:p w14:paraId="24B57265">
      <w:pPr>
        <w:spacing w:line="240" w:lineRule="auto"/>
        <w:ind w:firstLine="482" w:firstLineChars="200"/>
        <w:jc w:val="center"/>
        <w:rPr>
          <w:rFonts w:hint="eastAsia" w:ascii="宋体" w:hAnsi="宋体" w:eastAsia="宋体" w:cs="宋体"/>
          <w:b/>
          <w:color w:val="auto"/>
          <w:sz w:val="24"/>
          <w:szCs w:val="24"/>
          <w:highlight w:val="none"/>
        </w:rPr>
      </w:pPr>
    </w:p>
    <w:p w14:paraId="4478B11D">
      <w:pPr>
        <w:pStyle w:val="13"/>
        <w:rPr>
          <w:rFonts w:hint="eastAsia" w:ascii="宋体" w:hAnsi="宋体" w:eastAsia="宋体" w:cs="宋体"/>
          <w:b/>
          <w:color w:val="auto"/>
          <w:sz w:val="24"/>
          <w:szCs w:val="24"/>
          <w:highlight w:val="none"/>
        </w:rPr>
      </w:pPr>
    </w:p>
    <w:p w14:paraId="1E87DDA1">
      <w:pPr>
        <w:pStyle w:val="13"/>
        <w:rPr>
          <w:rFonts w:hint="eastAsia" w:ascii="宋体" w:hAnsi="宋体" w:eastAsia="宋体" w:cs="宋体"/>
          <w:b/>
          <w:color w:val="auto"/>
          <w:sz w:val="24"/>
          <w:szCs w:val="24"/>
          <w:highlight w:val="none"/>
        </w:rPr>
      </w:pPr>
    </w:p>
    <w:p w14:paraId="5A480D0B">
      <w:pPr>
        <w:pStyle w:val="13"/>
        <w:rPr>
          <w:rFonts w:hint="eastAsia" w:ascii="宋体" w:hAnsi="宋体" w:eastAsia="宋体" w:cs="宋体"/>
          <w:b/>
          <w:color w:val="auto"/>
          <w:sz w:val="24"/>
          <w:szCs w:val="24"/>
          <w:highlight w:val="none"/>
        </w:rPr>
      </w:pPr>
    </w:p>
    <w:p w14:paraId="63FC5AFE">
      <w:pPr>
        <w:pStyle w:val="13"/>
        <w:rPr>
          <w:rFonts w:hint="eastAsia" w:ascii="宋体" w:hAnsi="宋体" w:eastAsia="宋体" w:cs="宋体"/>
          <w:b/>
          <w:color w:val="auto"/>
          <w:sz w:val="24"/>
          <w:szCs w:val="24"/>
          <w:highlight w:val="none"/>
        </w:rPr>
      </w:pPr>
    </w:p>
    <w:p w14:paraId="54B85193">
      <w:pPr>
        <w:pStyle w:val="13"/>
        <w:rPr>
          <w:rFonts w:hint="eastAsia" w:ascii="宋体" w:hAnsi="宋体" w:eastAsia="宋体" w:cs="宋体"/>
          <w:b/>
          <w:color w:val="auto"/>
          <w:sz w:val="24"/>
          <w:szCs w:val="24"/>
          <w:highlight w:val="none"/>
        </w:rPr>
      </w:pPr>
    </w:p>
    <w:p w14:paraId="272BEB4C">
      <w:pPr>
        <w:spacing w:before="157" w:beforeLines="50" w:after="313" w:afterLines="1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居民</w:t>
      </w:r>
      <w:r>
        <w:rPr>
          <w:rFonts w:hint="eastAsia" w:ascii="宋体" w:hAnsi="宋体" w:eastAsia="宋体" w:cs="宋体"/>
          <w:b/>
          <w:color w:val="auto"/>
          <w:sz w:val="28"/>
          <w:szCs w:val="28"/>
          <w:highlight w:val="none"/>
        </w:rPr>
        <w:t>通气业务</w:t>
      </w:r>
      <w:r>
        <w:rPr>
          <w:rFonts w:hint="eastAsia" w:ascii="宋体" w:hAnsi="宋体" w:eastAsia="宋体" w:cs="宋体"/>
          <w:b/>
          <w:color w:val="auto"/>
          <w:sz w:val="28"/>
          <w:szCs w:val="28"/>
          <w:highlight w:val="none"/>
          <w:lang w:val="en-US" w:eastAsia="zh-CN"/>
        </w:rPr>
        <w:t>中标</w:t>
      </w:r>
      <w:r>
        <w:rPr>
          <w:rFonts w:hint="eastAsia" w:ascii="宋体" w:hAnsi="宋体" w:eastAsia="宋体" w:cs="宋体"/>
          <w:b/>
          <w:color w:val="auto"/>
          <w:sz w:val="28"/>
          <w:szCs w:val="28"/>
          <w:highlight w:val="none"/>
        </w:rPr>
        <w:t>单位工作职责</w:t>
      </w:r>
    </w:p>
    <w:p w14:paraId="1130B76A">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居民通气业务</w:t>
      </w:r>
      <w:r>
        <w:rPr>
          <w:rFonts w:hint="eastAsia" w:ascii="宋体" w:hAnsi="宋体" w:eastAsia="宋体" w:cs="宋体"/>
          <w:color w:val="auto"/>
          <w:sz w:val="24"/>
          <w:szCs w:val="24"/>
          <w:highlight w:val="none"/>
        </w:rPr>
        <w:t>包括但不限于：安排人员对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所辖范围（</w:t>
      </w:r>
      <w:r>
        <w:rPr>
          <w:rFonts w:hint="eastAsia" w:ascii="宋体" w:hAnsi="宋体" w:cs="宋体"/>
          <w:color w:val="auto"/>
          <w:sz w:val="24"/>
          <w:szCs w:val="24"/>
          <w:highlight w:val="none"/>
          <w:lang w:eastAsia="zh-CN"/>
        </w:rPr>
        <w:t>包含瓯江口及洞头区域</w:t>
      </w:r>
      <w:r>
        <w:rPr>
          <w:rFonts w:hint="eastAsia" w:ascii="宋体" w:hAnsi="宋体" w:eastAsia="宋体" w:cs="宋体"/>
          <w:color w:val="auto"/>
          <w:sz w:val="24"/>
          <w:szCs w:val="24"/>
          <w:highlight w:val="none"/>
        </w:rPr>
        <w:t>）的居民管道燃气客户</w:t>
      </w:r>
      <w:r>
        <w:rPr>
          <w:rFonts w:hint="eastAsia" w:ascii="宋体" w:hAnsi="宋体" w:eastAsia="宋体" w:cs="宋体"/>
          <w:color w:val="auto"/>
          <w:sz w:val="24"/>
          <w:szCs w:val="24"/>
          <w:highlight w:val="none"/>
          <w:lang w:val="en-US" w:eastAsia="zh-CN"/>
        </w:rPr>
        <w:t>开展</w:t>
      </w:r>
      <w:r>
        <w:rPr>
          <w:rFonts w:hint="eastAsia" w:ascii="宋体" w:hAnsi="宋体" w:eastAsia="宋体" w:cs="宋体"/>
          <w:color w:val="auto"/>
          <w:sz w:val="24"/>
          <w:szCs w:val="24"/>
          <w:highlight w:val="none"/>
        </w:rPr>
        <w:t>通气、再通气、</w:t>
      </w:r>
      <w:r>
        <w:rPr>
          <w:rFonts w:hint="eastAsia" w:ascii="宋体" w:hAnsi="宋体" w:eastAsia="宋体" w:cs="宋体"/>
          <w:color w:val="auto"/>
          <w:sz w:val="24"/>
          <w:szCs w:val="24"/>
          <w:highlight w:val="none"/>
          <w:lang w:eastAsia="zh-CN"/>
        </w:rPr>
        <w:t>更换波纹管业务、</w:t>
      </w:r>
      <w:r>
        <w:rPr>
          <w:rFonts w:hint="eastAsia" w:ascii="宋体" w:hAnsi="宋体" w:eastAsia="宋体" w:cs="宋体"/>
          <w:color w:val="auto"/>
          <w:sz w:val="24"/>
          <w:szCs w:val="24"/>
          <w:highlight w:val="none"/>
        </w:rPr>
        <w:t>气表复接、气表暂停、波纹管推广、橱柜打孔、更换旧</w:t>
      </w:r>
      <w:r>
        <w:rPr>
          <w:rFonts w:hint="eastAsia" w:ascii="宋体" w:hAnsi="宋体" w:eastAsia="宋体" w:cs="宋体"/>
          <w:color w:val="auto"/>
          <w:sz w:val="24"/>
          <w:szCs w:val="24"/>
          <w:highlight w:val="none"/>
          <w:lang w:eastAsia="zh-CN"/>
        </w:rPr>
        <w:t>尖嘴阀</w:t>
      </w:r>
      <w:r>
        <w:rPr>
          <w:rFonts w:hint="eastAsia" w:ascii="宋体" w:hAnsi="宋体" w:eastAsia="宋体" w:cs="宋体"/>
          <w:color w:val="auto"/>
          <w:sz w:val="24"/>
          <w:szCs w:val="24"/>
          <w:highlight w:val="none"/>
        </w:rPr>
        <w:t>，处理通气业务的客户意见和投诉。具体职责如下：</w:t>
      </w:r>
    </w:p>
    <w:p w14:paraId="39EDD6B4">
      <w:pPr>
        <w:adjustRightInd w:val="0"/>
        <w:spacing w:line="24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1、组织人员按照要求完成通气、再通气、</w:t>
      </w:r>
      <w:r>
        <w:rPr>
          <w:rFonts w:hint="eastAsia" w:ascii="宋体" w:hAnsi="宋体" w:eastAsia="宋体" w:cs="宋体"/>
          <w:color w:val="auto"/>
          <w:sz w:val="24"/>
          <w:szCs w:val="24"/>
          <w:highlight w:val="none"/>
          <w:lang w:eastAsia="zh-CN"/>
        </w:rPr>
        <w:t>更换波纹管业务、</w:t>
      </w:r>
      <w:r>
        <w:rPr>
          <w:rFonts w:hint="eastAsia" w:ascii="宋体" w:hAnsi="宋体" w:eastAsia="宋体" w:cs="宋体"/>
          <w:color w:val="auto"/>
          <w:sz w:val="24"/>
          <w:szCs w:val="24"/>
          <w:highlight w:val="none"/>
        </w:rPr>
        <w:t>气表复接、气表暂停、波纹管推广、橱柜打孔、更换旧</w:t>
      </w:r>
      <w:r>
        <w:rPr>
          <w:rFonts w:hint="eastAsia" w:ascii="宋体" w:hAnsi="宋体" w:eastAsia="宋体" w:cs="宋体"/>
          <w:color w:val="auto"/>
          <w:sz w:val="24"/>
          <w:szCs w:val="24"/>
          <w:highlight w:val="none"/>
          <w:lang w:eastAsia="zh-CN"/>
        </w:rPr>
        <w:t>尖嘴阀</w:t>
      </w:r>
      <w:r>
        <w:rPr>
          <w:rFonts w:hint="eastAsia" w:ascii="宋体" w:hAnsi="宋体" w:eastAsia="宋体" w:cs="宋体"/>
          <w:color w:val="auto"/>
          <w:sz w:val="24"/>
          <w:szCs w:val="24"/>
          <w:highlight w:val="none"/>
        </w:rPr>
        <w:t>这几项工作，年度新增用户波纹管安装率达到</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w:t>
      </w:r>
    </w:p>
    <w:p w14:paraId="7C373D73">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通气验收业务的工作要求，组织通气工作人员学习工作流程、制度等；</w:t>
      </w:r>
    </w:p>
    <w:p w14:paraId="66B0864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3、组织通气验收工作人员参加</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组织的各类会议、培训；</w:t>
      </w:r>
    </w:p>
    <w:p w14:paraId="292AC995">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对通气各项工作的进行检查，发现问题及时落实整改；</w:t>
      </w:r>
    </w:p>
    <w:p w14:paraId="615A05E8">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对通气验收工作的管理要求和指导，遵照执行通气验收各项考核内容；</w:t>
      </w:r>
    </w:p>
    <w:p w14:paraId="53189435">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、处理</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反馈的客户意见和投诉；</w:t>
      </w:r>
    </w:p>
    <w:p w14:paraId="1AEBDF62">
      <w:pPr>
        <w:pStyle w:val="13"/>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7、在规定时间内上报</w:t>
      </w:r>
      <w:r>
        <w:rPr>
          <w:rFonts w:hint="eastAsia" w:ascii="宋体" w:hAnsi="宋体" w:eastAsia="宋体" w:cs="宋体"/>
          <w:i w:val="0"/>
          <w:iCs w:val="0"/>
          <w:color w:val="auto"/>
          <w:kern w:val="0"/>
          <w:sz w:val="24"/>
          <w:szCs w:val="24"/>
          <w:highlight w:val="none"/>
          <w:u w:val="none"/>
          <w:lang w:val="en-US" w:eastAsia="zh-CN" w:bidi="ar"/>
        </w:rPr>
        <w:t>满意度回访数据</w:t>
      </w:r>
      <w:r>
        <w:rPr>
          <w:rFonts w:hint="eastAsia" w:ascii="宋体" w:hAnsi="宋体" w:eastAsia="宋体" w:cs="宋体"/>
          <w:color w:val="auto"/>
          <w:sz w:val="24"/>
          <w:szCs w:val="24"/>
          <w:highlight w:val="none"/>
          <w:lang w:val="en-US" w:eastAsia="zh-CN"/>
        </w:rPr>
        <w:t>信息。</w:t>
      </w:r>
    </w:p>
    <w:p w14:paraId="518A9C1D">
      <w:pPr>
        <w:pStyle w:val="13"/>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8、通气人员应持证上岗；</w:t>
      </w:r>
    </w:p>
    <w:p w14:paraId="0FC4FBC0">
      <w:pPr>
        <w:pStyle w:val="26"/>
        <w:spacing w:line="240" w:lineRule="auto"/>
        <w:ind w:left="0" w:firstLine="480" w:firstLineChars="2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每天将完成的业务单据和收取的波纹管现金在早上8点30分交给甲方，由甲方进行审核。</w:t>
      </w:r>
    </w:p>
    <w:p w14:paraId="7FF16056">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、完成</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派发的各类临时性工作；</w:t>
      </w:r>
    </w:p>
    <w:p w14:paraId="1AC5C6C2">
      <w:pPr>
        <w:pStyle w:val="26"/>
        <w:ind w:left="0"/>
        <w:rPr>
          <w:rFonts w:hint="eastAsia" w:ascii="宋体" w:hAnsi="宋体" w:cs="宋体"/>
          <w:color w:val="auto"/>
          <w:sz w:val="24"/>
          <w:szCs w:val="24"/>
          <w:highlight w:val="none"/>
          <w:lang w:val="en-US" w:eastAsia="zh-CN"/>
        </w:rPr>
      </w:pPr>
    </w:p>
    <w:p w14:paraId="681A5ED9">
      <w:pPr>
        <w:spacing w:before="120" w:beforeLines="50" w:after="240" w:afterLines="100" w:line="360" w:lineRule="auto"/>
        <w:jc w:val="center"/>
        <w:rPr>
          <w:rFonts w:hint="eastAsia" w:ascii="宋体" w:hAnsi="宋体" w:eastAsia="宋体" w:cs="宋体"/>
          <w:b/>
          <w:bCs/>
          <w:color w:val="auto"/>
          <w:sz w:val="24"/>
          <w:szCs w:val="24"/>
          <w:highlight w:val="none"/>
          <w:lang w:val="en-US" w:eastAsia="zh-CN"/>
        </w:rPr>
      </w:pPr>
    </w:p>
    <w:p w14:paraId="20E7CC79">
      <w:pPr>
        <w:spacing w:before="120" w:beforeLines="50" w:after="240" w:afterLines="100" w:line="360" w:lineRule="auto"/>
        <w:jc w:val="center"/>
        <w:rPr>
          <w:rFonts w:hint="eastAsia" w:ascii="宋体" w:hAnsi="宋体" w:eastAsia="宋体" w:cs="宋体"/>
          <w:b/>
          <w:bCs/>
          <w:color w:val="auto"/>
          <w:sz w:val="24"/>
          <w:szCs w:val="24"/>
          <w:highlight w:val="none"/>
          <w:lang w:val="en-US" w:eastAsia="zh-CN"/>
        </w:rPr>
      </w:pPr>
    </w:p>
    <w:p w14:paraId="52BDEDA9">
      <w:pPr>
        <w:spacing w:before="120" w:beforeLines="50" w:after="240" w:afterLines="100" w:line="360" w:lineRule="auto"/>
        <w:jc w:val="center"/>
        <w:rPr>
          <w:rFonts w:hint="eastAsia" w:ascii="宋体" w:hAnsi="宋体" w:eastAsia="宋体" w:cs="宋体"/>
          <w:b/>
          <w:bCs/>
          <w:color w:val="auto"/>
          <w:sz w:val="24"/>
          <w:szCs w:val="24"/>
          <w:highlight w:val="none"/>
          <w:lang w:val="en-US" w:eastAsia="zh-CN"/>
        </w:rPr>
      </w:pPr>
    </w:p>
    <w:p w14:paraId="4473A9C7">
      <w:pPr>
        <w:spacing w:before="120" w:beforeLines="50" w:after="240" w:afterLines="100" w:line="360" w:lineRule="auto"/>
        <w:jc w:val="center"/>
        <w:rPr>
          <w:rFonts w:hint="eastAsia" w:ascii="宋体" w:hAnsi="宋体" w:eastAsia="宋体" w:cs="宋体"/>
          <w:b/>
          <w:bCs/>
          <w:color w:val="auto"/>
          <w:sz w:val="24"/>
          <w:szCs w:val="24"/>
          <w:highlight w:val="none"/>
          <w:lang w:val="en-US" w:eastAsia="zh-CN"/>
        </w:rPr>
      </w:pPr>
    </w:p>
    <w:p w14:paraId="6DE9AEA3">
      <w:pPr>
        <w:spacing w:before="120" w:beforeLines="50" w:after="240" w:afterLines="100" w:line="360" w:lineRule="auto"/>
        <w:jc w:val="center"/>
        <w:rPr>
          <w:rFonts w:hint="eastAsia" w:ascii="宋体" w:hAnsi="宋体" w:eastAsia="宋体" w:cs="宋体"/>
          <w:b/>
          <w:bCs/>
          <w:color w:val="auto"/>
          <w:sz w:val="24"/>
          <w:szCs w:val="24"/>
          <w:highlight w:val="none"/>
          <w:lang w:val="en-US" w:eastAsia="zh-CN"/>
        </w:rPr>
      </w:pPr>
    </w:p>
    <w:p w14:paraId="1E1E65C2">
      <w:pPr>
        <w:pStyle w:val="13"/>
        <w:rPr>
          <w:rFonts w:hint="default" w:ascii="Calibri" w:hAnsi="Calibri" w:eastAsia="锦绣宋体" w:cs="Times New Roman"/>
          <w:b w:val="0"/>
          <w:bCs w:val="0"/>
          <w:color w:val="auto"/>
          <w:sz w:val="21"/>
          <w:szCs w:val="24"/>
          <w:highlight w:val="none"/>
          <w:lang w:val="en-US" w:eastAsia="zh-CN"/>
        </w:rPr>
      </w:pPr>
    </w:p>
    <w:p w14:paraId="0E4EB8E1">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4D120EDB">
      <w:pPr>
        <w:spacing w:before="120" w:beforeLines="50" w:after="240" w:afterLines="10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居民</w:t>
      </w:r>
      <w:r>
        <w:rPr>
          <w:rFonts w:hint="eastAsia" w:ascii="宋体" w:hAnsi="宋体" w:eastAsia="宋体" w:cs="宋体"/>
          <w:b/>
          <w:bCs/>
          <w:color w:val="auto"/>
          <w:sz w:val="28"/>
          <w:szCs w:val="28"/>
          <w:highlight w:val="none"/>
        </w:rPr>
        <w:t>抄表业务</w:t>
      </w:r>
      <w:r>
        <w:rPr>
          <w:rFonts w:hint="eastAsia" w:ascii="宋体" w:hAnsi="宋体" w:cs="宋体"/>
          <w:b/>
          <w:bCs/>
          <w:color w:val="auto"/>
          <w:sz w:val="28"/>
          <w:szCs w:val="28"/>
          <w:highlight w:val="none"/>
          <w:lang w:val="en-US" w:eastAsia="zh-CN"/>
        </w:rPr>
        <w:t>中标</w:t>
      </w:r>
      <w:r>
        <w:rPr>
          <w:rFonts w:hint="eastAsia" w:ascii="宋体" w:hAnsi="宋体" w:eastAsia="宋体" w:cs="宋体"/>
          <w:b/>
          <w:bCs/>
          <w:color w:val="auto"/>
          <w:sz w:val="28"/>
          <w:szCs w:val="28"/>
          <w:highlight w:val="none"/>
        </w:rPr>
        <w:t>单位工作职责</w:t>
      </w:r>
    </w:p>
    <w:p w14:paraId="4DA14C22">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居民</w:t>
      </w:r>
      <w:r>
        <w:rPr>
          <w:rFonts w:hint="eastAsia" w:ascii="宋体" w:hAnsi="宋体" w:eastAsia="宋体" w:cs="宋体"/>
          <w:b/>
          <w:bCs/>
          <w:color w:val="auto"/>
          <w:sz w:val="24"/>
          <w:szCs w:val="24"/>
          <w:highlight w:val="none"/>
        </w:rPr>
        <w:t>抄表业务</w:t>
      </w:r>
      <w:r>
        <w:rPr>
          <w:rFonts w:hint="eastAsia" w:ascii="宋体" w:hAnsi="宋体" w:eastAsia="宋体" w:cs="宋体"/>
          <w:color w:val="auto"/>
          <w:sz w:val="24"/>
          <w:szCs w:val="24"/>
          <w:highlight w:val="none"/>
        </w:rPr>
        <w:t>包括但不限于：安排人员对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所辖范围（</w:t>
      </w:r>
      <w:r>
        <w:rPr>
          <w:rFonts w:hint="eastAsia" w:ascii="宋体" w:hAnsi="宋体" w:cs="宋体"/>
          <w:color w:val="auto"/>
          <w:sz w:val="24"/>
          <w:szCs w:val="24"/>
          <w:highlight w:val="none"/>
          <w:lang w:eastAsia="zh-CN"/>
        </w:rPr>
        <w:t>包含瓯江口及洞头区域</w:t>
      </w:r>
      <w:r>
        <w:rPr>
          <w:rFonts w:hint="eastAsia" w:ascii="宋体" w:hAnsi="宋体" w:eastAsia="宋体" w:cs="宋体"/>
          <w:color w:val="auto"/>
          <w:sz w:val="24"/>
          <w:szCs w:val="24"/>
          <w:highlight w:val="none"/>
        </w:rPr>
        <w:t>）的居民管道燃气客户</w:t>
      </w:r>
      <w:r>
        <w:rPr>
          <w:rFonts w:hint="eastAsia" w:ascii="宋体" w:hAnsi="宋体" w:eastAsia="宋体" w:cs="宋体"/>
          <w:color w:val="auto"/>
          <w:sz w:val="24"/>
          <w:szCs w:val="24"/>
          <w:highlight w:val="none"/>
          <w:lang w:val="en-US" w:eastAsia="zh-CN"/>
        </w:rPr>
        <w:t>开展</w:t>
      </w:r>
      <w:r>
        <w:rPr>
          <w:rFonts w:hint="eastAsia" w:ascii="宋体" w:hAnsi="宋体" w:eastAsia="宋体" w:cs="宋体"/>
          <w:color w:val="auto"/>
          <w:sz w:val="24"/>
          <w:szCs w:val="24"/>
          <w:highlight w:val="none"/>
        </w:rPr>
        <w:t>普通表上门抄表、无线远传表数据采集、欠费客户催费、处理抄表方面客户意见和投诉等。具体职责如下：</w:t>
      </w:r>
    </w:p>
    <w:p w14:paraId="238390F9">
      <w:pPr>
        <w:numPr>
          <w:ilvl w:val="-1"/>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组织人员按照要求完成抄表、数据采集、催费工作，保证实抄数据的真实性、确保</w:t>
      </w:r>
      <w:r>
        <w:rPr>
          <w:rFonts w:hint="eastAsia" w:ascii="宋体" w:hAnsi="宋体" w:eastAsia="宋体" w:cs="宋体"/>
          <w:color w:val="auto"/>
          <w:sz w:val="24"/>
          <w:szCs w:val="24"/>
          <w:highlight w:val="none"/>
          <w:lang w:val="en-US" w:eastAsia="zh-CN"/>
        </w:rPr>
        <w:t>普通表</w:t>
      </w:r>
      <w:r>
        <w:rPr>
          <w:rFonts w:hint="eastAsia" w:ascii="宋体" w:hAnsi="宋体" w:cs="宋体"/>
          <w:color w:val="auto"/>
          <w:sz w:val="24"/>
          <w:szCs w:val="24"/>
          <w:highlight w:val="none"/>
          <w:lang w:val="en-US" w:eastAsia="zh-CN"/>
        </w:rPr>
        <w:t>抄表开展率100%，月度</w:t>
      </w:r>
      <w:r>
        <w:rPr>
          <w:rFonts w:hint="eastAsia" w:ascii="宋体" w:hAnsi="宋体" w:eastAsia="宋体" w:cs="宋体"/>
          <w:color w:val="auto"/>
          <w:sz w:val="24"/>
          <w:szCs w:val="24"/>
          <w:highlight w:val="none"/>
          <w:lang w:val="en-US" w:eastAsia="zh-CN"/>
        </w:rPr>
        <w:t>入户实抄率不低于50%，</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rPr>
        <w:t>年度资金回笼率</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rPr>
        <w:t>每两次抄表周期确保至少</w:t>
      </w:r>
      <w:r>
        <w:rPr>
          <w:rFonts w:hint="eastAsia" w:ascii="宋体" w:hAnsi="宋体" w:eastAsia="宋体" w:cs="宋体"/>
          <w:color w:val="auto"/>
          <w:kern w:val="0"/>
          <w:sz w:val="24"/>
          <w:szCs w:val="24"/>
          <w:highlight w:val="none"/>
        </w:rPr>
        <w:t>进户实抄1次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考核指标每年根据甲方要求进行调整</w:t>
      </w:r>
      <w:r>
        <w:rPr>
          <w:rFonts w:hint="eastAsia" w:ascii="宋体" w:hAnsi="宋体" w:eastAsia="宋体" w:cs="宋体"/>
          <w:color w:val="auto"/>
          <w:sz w:val="24"/>
          <w:szCs w:val="24"/>
          <w:highlight w:val="none"/>
          <w:lang w:eastAsia="zh-CN"/>
        </w:rPr>
        <w:t>）；</w:t>
      </w:r>
    </w:p>
    <w:p w14:paraId="4254C11B">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处理</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反馈的客户抄表意见和投诉；</w:t>
      </w:r>
    </w:p>
    <w:p w14:paraId="35D2334B">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抄表的工作要求，组织抄表工作人员学习工作流程、制度等；</w:t>
      </w:r>
    </w:p>
    <w:p w14:paraId="48216F13">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组织抄表工作人员参加</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组织的各类会议、培训；</w:t>
      </w:r>
    </w:p>
    <w:p w14:paraId="1BD08ADD">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确定抄表业务项目负责人，处理抄表相关业务的承包事宜并提前告知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备案；</w:t>
      </w:r>
    </w:p>
    <w:p w14:paraId="6E7D89C3">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对抄表各项工作的检查，发现问题及时落实整改；</w:t>
      </w:r>
    </w:p>
    <w:p w14:paraId="71148B82">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完成新型燃气表</w:t>
      </w:r>
      <w:r>
        <w:rPr>
          <w:rFonts w:hint="eastAsia" w:ascii="宋体" w:hAnsi="宋体" w:eastAsia="宋体" w:cs="宋体"/>
          <w:color w:val="auto"/>
          <w:kern w:val="0"/>
          <w:sz w:val="24"/>
          <w:szCs w:val="24"/>
          <w:highlight w:val="none"/>
        </w:rPr>
        <w:t>测试、抄表、气费催收工作；</w:t>
      </w:r>
    </w:p>
    <w:p w14:paraId="1D597263">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完成NB物联网表或新型燃气表故障上门排查工作；</w:t>
      </w:r>
    </w:p>
    <w:p w14:paraId="1848E43B">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对抄表工作的管理要求和指导，遵照执行抄表各项考核内容</w:t>
      </w:r>
      <w:r>
        <w:rPr>
          <w:rFonts w:hint="eastAsia" w:ascii="宋体" w:hAnsi="宋体" w:eastAsia="宋体" w:cs="宋体"/>
          <w:color w:val="auto"/>
          <w:sz w:val="24"/>
          <w:szCs w:val="24"/>
          <w:highlight w:val="none"/>
          <w:lang w:eastAsia="zh-CN"/>
        </w:rPr>
        <w:t>；</w:t>
      </w:r>
    </w:p>
    <w:p w14:paraId="49E41438">
      <w:pPr>
        <w:pStyle w:val="13"/>
        <w:autoSpaceDE/>
        <w:autoSpaceDN/>
        <w:spacing w:line="24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kern w:val="2"/>
          <w:sz w:val="24"/>
          <w:szCs w:val="24"/>
          <w:highlight w:val="none"/>
          <w:lang w:val="en-US" w:eastAsia="zh-CN" w:bidi="ar-SA"/>
        </w:rPr>
        <w:t>按照甲方规定时限及时上报提交各类报表。</w:t>
      </w:r>
    </w:p>
    <w:p w14:paraId="028FD35C">
      <w:pPr>
        <w:pStyle w:val="13"/>
        <w:autoSpaceDE/>
        <w:autoSpaceDN/>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11、在规定时间内上报</w:t>
      </w:r>
      <w:r>
        <w:rPr>
          <w:rFonts w:hint="eastAsia" w:ascii="宋体" w:hAnsi="宋体" w:eastAsia="宋体" w:cs="宋体"/>
          <w:i w:val="0"/>
          <w:iCs w:val="0"/>
          <w:color w:val="auto"/>
          <w:kern w:val="0"/>
          <w:sz w:val="24"/>
          <w:szCs w:val="24"/>
          <w:highlight w:val="none"/>
          <w:u w:val="none"/>
          <w:lang w:val="en-US" w:eastAsia="zh-CN" w:bidi="ar"/>
        </w:rPr>
        <w:t>满意度回访数据</w:t>
      </w:r>
      <w:r>
        <w:rPr>
          <w:rFonts w:hint="eastAsia" w:ascii="宋体" w:hAnsi="宋体" w:eastAsia="宋体" w:cs="宋体"/>
          <w:color w:val="auto"/>
          <w:sz w:val="24"/>
          <w:szCs w:val="24"/>
          <w:highlight w:val="none"/>
          <w:lang w:val="en-US" w:eastAsia="zh-CN"/>
        </w:rPr>
        <w:t>信息。</w:t>
      </w:r>
    </w:p>
    <w:p w14:paraId="16524C6F">
      <w:pPr>
        <w:spacing w:line="24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kern w:val="2"/>
          <w:sz w:val="24"/>
          <w:szCs w:val="24"/>
          <w:highlight w:val="none"/>
          <w:lang w:val="en-US" w:eastAsia="zh-CN" w:bidi="ar-SA"/>
        </w:rPr>
        <w:t>配合</w:t>
      </w:r>
      <w:r>
        <w:rPr>
          <w:rFonts w:hint="eastAsia" w:ascii="宋体" w:hAnsi="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lang w:val="en-US" w:eastAsia="zh-CN" w:bidi="ar-SA"/>
        </w:rPr>
        <w:t>开展居民客户气价调整工作。</w:t>
      </w:r>
    </w:p>
    <w:p w14:paraId="3CE6EDE4">
      <w:pPr>
        <w:pStyle w:val="13"/>
        <w:autoSpaceDE/>
        <w:autoSpaceDN/>
        <w:spacing w:after="0" w:line="24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13、推广宣传微信自助抄表、支付宝燃气费代扣功能，月自助抄表率达到普通表抄表计划总数3%以上。</w:t>
      </w:r>
    </w:p>
    <w:p w14:paraId="5E0F02F5">
      <w:pPr>
        <w:spacing w:line="24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rPr>
        <w:t>完成</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派发的各类临时性工作；</w:t>
      </w:r>
    </w:p>
    <w:p w14:paraId="03FD798C">
      <w:pPr>
        <w:spacing w:before="120" w:beforeLines="50" w:after="240" w:afterLines="100" w:line="240" w:lineRule="auto"/>
        <w:jc w:val="center"/>
        <w:rPr>
          <w:rFonts w:hint="eastAsia" w:ascii="宋体" w:hAnsi="宋体" w:eastAsia="宋体" w:cs="宋体"/>
          <w:b/>
          <w:bCs/>
          <w:color w:val="auto"/>
          <w:sz w:val="24"/>
          <w:szCs w:val="24"/>
          <w:highlight w:val="none"/>
          <w:lang w:val="en-US" w:eastAsia="zh-CN"/>
        </w:rPr>
      </w:pPr>
    </w:p>
    <w:p w14:paraId="125E2C79">
      <w:pPr>
        <w:spacing w:before="120" w:beforeLines="50" w:after="240" w:afterLines="100" w:line="240" w:lineRule="auto"/>
        <w:jc w:val="center"/>
        <w:rPr>
          <w:rFonts w:hint="eastAsia" w:ascii="宋体" w:hAnsi="宋体" w:eastAsia="宋体" w:cs="宋体"/>
          <w:b/>
          <w:bCs/>
          <w:color w:val="auto"/>
          <w:sz w:val="24"/>
          <w:szCs w:val="24"/>
          <w:highlight w:val="none"/>
          <w:lang w:val="en-US" w:eastAsia="zh-CN"/>
        </w:rPr>
      </w:pPr>
    </w:p>
    <w:p w14:paraId="46DB9BE9">
      <w:pPr>
        <w:spacing w:before="120" w:beforeLines="50" w:after="240" w:afterLines="100" w:line="240" w:lineRule="auto"/>
        <w:jc w:val="center"/>
        <w:rPr>
          <w:rFonts w:hint="eastAsia" w:ascii="宋体" w:hAnsi="宋体" w:eastAsia="宋体" w:cs="宋体"/>
          <w:b/>
          <w:bCs/>
          <w:color w:val="auto"/>
          <w:sz w:val="24"/>
          <w:szCs w:val="24"/>
          <w:highlight w:val="none"/>
          <w:lang w:val="en-US" w:eastAsia="zh-CN"/>
        </w:rPr>
      </w:pPr>
    </w:p>
    <w:p w14:paraId="40B576E4">
      <w:pPr>
        <w:spacing w:before="120" w:beforeLines="50" w:after="240" w:afterLines="100" w:line="240" w:lineRule="auto"/>
        <w:jc w:val="center"/>
        <w:rPr>
          <w:rFonts w:hint="eastAsia" w:ascii="宋体" w:hAnsi="宋体" w:eastAsia="宋体" w:cs="宋体"/>
          <w:b/>
          <w:bCs/>
          <w:color w:val="auto"/>
          <w:sz w:val="24"/>
          <w:szCs w:val="24"/>
          <w:highlight w:val="none"/>
          <w:lang w:val="en-US" w:eastAsia="zh-CN"/>
        </w:rPr>
      </w:pPr>
    </w:p>
    <w:p w14:paraId="28F1DF75">
      <w:pPr>
        <w:spacing w:before="120" w:beforeLines="50" w:after="240" w:afterLines="100" w:line="240" w:lineRule="auto"/>
        <w:jc w:val="center"/>
        <w:rPr>
          <w:rFonts w:hint="eastAsia" w:ascii="宋体" w:hAnsi="宋体" w:eastAsia="宋体" w:cs="宋体"/>
          <w:b/>
          <w:bCs/>
          <w:color w:val="auto"/>
          <w:sz w:val="24"/>
          <w:szCs w:val="24"/>
          <w:highlight w:val="none"/>
          <w:lang w:val="en-US" w:eastAsia="zh-CN"/>
        </w:rPr>
      </w:pPr>
    </w:p>
    <w:p w14:paraId="6291B94A">
      <w:pPr>
        <w:spacing w:before="120" w:beforeLines="50" w:after="240" w:afterLines="100" w:line="240" w:lineRule="auto"/>
        <w:jc w:val="center"/>
        <w:rPr>
          <w:rFonts w:hint="eastAsia" w:ascii="宋体" w:hAnsi="宋体" w:eastAsia="宋体" w:cs="宋体"/>
          <w:b/>
          <w:bCs/>
          <w:color w:val="auto"/>
          <w:sz w:val="24"/>
          <w:szCs w:val="24"/>
          <w:highlight w:val="none"/>
          <w:lang w:val="en-US" w:eastAsia="zh-CN"/>
        </w:rPr>
      </w:pPr>
    </w:p>
    <w:p w14:paraId="7FD1304F">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8EE0B1B">
      <w:pPr>
        <w:spacing w:before="120" w:beforeLines="50" w:after="240" w:afterLines="10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非居民安检</w:t>
      </w:r>
      <w:r>
        <w:rPr>
          <w:rFonts w:hint="eastAsia" w:ascii="宋体" w:hAnsi="宋体" w:eastAsia="宋体" w:cs="宋体"/>
          <w:b/>
          <w:bCs/>
          <w:color w:val="auto"/>
          <w:sz w:val="28"/>
          <w:szCs w:val="28"/>
          <w:highlight w:val="none"/>
        </w:rPr>
        <w:t>业务</w:t>
      </w:r>
      <w:r>
        <w:rPr>
          <w:rFonts w:hint="eastAsia" w:ascii="宋体" w:hAnsi="宋体" w:eastAsia="宋体" w:cs="宋体"/>
          <w:b/>
          <w:bCs/>
          <w:color w:val="auto"/>
          <w:sz w:val="28"/>
          <w:szCs w:val="28"/>
          <w:highlight w:val="none"/>
          <w:lang w:val="en-US" w:eastAsia="zh-CN"/>
        </w:rPr>
        <w:t>中标</w:t>
      </w:r>
      <w:r>
        <w:rPr>
          <w:rFonts w:hint="eastAsia" w:ascii="宋体" w:hAnsi="宋体" w:eastAsia="宋体" w:cs="宋体"/>
          <w:b/>
          <w:bCs/>
          <w:color w:val="auto"/>
          <w:sz w:val="28"/>
          <w:szCs w:val="28"/>
          <w:highlight w:val="none"/>
        </w:rPr>
        <w:t>单位工作职责</w:t>
      </w:r>
    </w:p>
    <w:p w14:paraId="761C9DFF">
      <w:pPr>
        <w:spacing w:line="24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非居民安检</w:t>
      </w:r>
      <w:r>
        <w:rPr>
          <w:rFonts w:hint="eastAsia" w:ascii="宋体" w:hAnsi="宋体" w:eastAsia="宋体" w:cs="宋体"/>
          <w:b/>
          <w:bCs/>
          <w:color w:val="auto"/>
          <w:sz w:val="24"/>
          <w:szCs w:val="24"/>
          <w:highlight w:val="none"/>
        </w:rPr>
        <w:t>业务</w:t>
      </w:r>
      <w:r>
        <w:rPr>
          <w:rFonts w:hint="eastAsia" w:ascii="宋体" w:hAnsi="宋体" w:eastAsia="宋体" w:cs="宋体"/>
          <w:color w:val="auto"/>
          <w:sz w:val="24"/>
          <w:szCs w:val="24"/>
          <w:highlight w:val="none"/>
        </w:rPr>
        <w:t>包括但不限于：安排人员对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所辖范围（</w:t>
      </w:r>
      <w:r>
        <w:rPr>
          <w:rFonts w:hint="eastAsia" w:ascii="宋体" w:hAnsi="宋体" w:cs="宋体"/>
          <w:color w:val="auto"/>
          <w:sz w:val="24"/>
          <w:szCs w:val="24"/>
          <w:highlight w:val="none"/>
          <w:lang w:eastAsia="zh-CN"/>
        </w:rPr>
        <w:t>包含瓯江口及洞头区域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居民管道燃气客户开展入户安检以及处理安检相关客户意见和投诉等。具体职责如下：</w:t>
      </w:r>
    </w:p>
    <w:p w14:paraId="64BBCAE0">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组织人员按照要求完成入户安检、现场紧急隐患应急处理，保证安检信息数据的真实性、确保每个</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居民客户</w:t>
      </w:r>
      <w:r>
        <w:rPr>
          <w:rFonts w:hint="eastAsia" w:ascii="宋体" w:hAnsi="宋体" w:eastAsia="宋体" w:cs="宋体"/>
          <w:color w:val="auto"/>
          <w:sz w:val="24"/>
          <w:szCs w:val="24"/>
          <w:highlight w:val="none"/>
          <w:lang w:val="en-US" w:eastAsia="zh-CN"/>
        </w:rPr>
        <w:t>半</w:t>
      </w:r>
      <w:r>
        <w:rPr>
          <w:rFonts w:hint="eastAsia" w:ascii="宋体" w:hAnsi="宋体" w:eastAsia="宋体" w:cs="宋体"/>
          <w:color w:val="auto"/>
          <w:sz w:val="24"/>
          <w:szCs w:val="24"/>
          <w:highlight w:val="none"/>
        </w:rPr>
        <w:t>年上门检查一次，</w:t>
      </w:r>
      <w:r>
        <w:rPr>
          <w:rFonts w:hint="eastAsia" w:ascii="宋体" w:hAnsi="宋体" w:cs="宋体"/>
          <w:color w:val="auto"/>
          <w:sz w:val="24"/>
          <w:szCs w:val="24"/>
          <w:highlight w:val="none"/>
          <w:lang w:val="en-US" w:eastAsia="zh-CN"/>
        </w:rPr>
        <w:t>安检开展率100%，</w:t>
      </w:r>
      <w:r>
        <w:rPr>
          <w:rFonts w:hint="eastAsia" w:ascii="宋体" w:hAnsi="宋体" w:eastAsia="宋体" w:cs="宋体"/>
          <w:color w:val="auto"/>
          <w:sz w:val="24"/>
          <w:szCs w:val="24"/>
          <w:highlight w:val="none"/>
          <w:lang w:val="en-US" w:eastAsia="zh-CN"/>
        </w:rPr>
        <w:t>每半</w:t>
      </w:r>
      <w:r>
        <w:rPr>
          <w:rFonts w:hint="eastAsia" w:ascii="宋体" w:hAnsi="宋体" w:eastAsia="宋体" w:cs="宋体"/>
          <w:color w:val="auto"/>
          <w:sz w:val="24"/>
          <w:szCs w:val="24"/>
          <w:highlight w:val="none"/>
        </w:rPr>
        <w:t>年安检入户率达到</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%规定指标；</w:t>
      </w:r>
    </w:p>
    <w:p w14:paraId="0027F083">
      <w:pPr>
        <w:pStyle w:val="13"/>
        <w:spacing w:line="240" w:lineRule="auto"/>
        <w:ind w:firstLine="2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2、入户安检全程不涉及任何收费项目，严禁安检过程中向任何客户收取任何费用；</w:t>
      </w:r>
    </w:p>
    <w:p w14:paraId="46B8831C">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3、确定安检业务项目负责人，处理安检相关业务的承包事宜并提前告知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备案；</w:t>
      </w:r>
    </w:p>
    <w:p w14:paraId="66B1D988">
      <w:pPr>
        <w:pStyle w:val="13"/>
        <w:spacing w:line="24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4、合理制定实施安检工作计划，确保每半年安检入户率达到100%</w:t>
      </w:r>
      <w:r>
        <w:rPr>
          <w:rFonts w:hint="eastAsia" w:ascii="宋体" w:hAnsi="宋体" w:eastAsia="宋体" w:cs="宋体"/>
          <w:color w:val="auto"/>
          <w:sz w:val="24"/>
          <w:szCs w:val="24"/>
          <w:highlight w:val="none"/>
        </w:rPr>
        <w:t>；</w:t>
      </w:r>
    </w:p>
    <w:p w14:paraId="5DAF01C3">
      <w:pPr>
        <w:pStyle w:val="13"/>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5、根据甲方要求，定期开展对非居民客户计量设备的巡检工作；</w:t>
      </w:r>
    </w:p>
    <w:p w14:paraId="5832BCC5">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、妥善处理</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反馈的客户安检意见和投诉并及时反馈处理结果；</w:t>
      </w:r>
    </w:p>
    <w:p w14:paraId="3CD2F487">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安检相关工作要求，定期组织安检人员学习工作流程、制度等并建立台账；</w:t>
      </w:r>
    </w:p>
    <w:p w14:paraId="48D24E10">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、组织安检人员参加</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组织的各类会议、培训等；</w:t>
      </w:r>
    </w:p>
    <w:p w14:paraId="47E66DDD">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对安检各项工作的检查，发现问题及时在规定时限内有效落实整改；</w:t>
      </w:r>
    </w:p>
    <w:p w14:paraId="1477ACDE">
      <w:pPr>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、规定时限内完成</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下派的临时安检任务和客户解释工作；</w:t>
      </w:r>
    </w:p>
    <w:p w14:paraId="2F7471AA">
      <w:pPr>
        <w:pStyle w:val="13"/>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11、做好安检业务相关纸质单据的保护工作；</w:t>
      </w:r>
    </w:p>
    <w:p w14:paraId="43BCD8E3">
      <w:pPr>
        <w:pStyle w:val="13"/>
        <w:spacing w:line="24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12、入户安检人员应持证上岗；</w:t>
      </w:r>
    </w:p>
    <w:p w14:paraId="3D9DD8A1">
      <w:pPr>
        <w:spacing w:line="240" w:lineRule="auto"/>
        <w:ind w:left="437" w:leftChars="208"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在规定时间内上报</w:t>
      </w:r>
      <w:r>
        <w:rPr>
          <w:rFonts w:hint="eastAsia" w:ascii="宋体" w:hAnsi="宋体" w:eastAsia="宋体" w:cs="宋体"/>
          <w:i w:val="0"/>
          <w:iCs w:val="0"/>
          <w:color w:val="auto"/>
          <w:kern w:val="0"/>
          <w:sz w:val="24"/>
          <w:szCs w:val="24"/>
          <w:highlight w:val="none"/>
          <w:u w:val="none"/>
          <w:lang w:val="en-US" w:eastAsia="zh-CN" w:bidi="ar"/>
        </w:rPr>
        <w:t>满意度回访数据</w:t>
      </w:r>
      <w:r>
        <w:rPr>
          <w:rFonts w:hint="eastAsia" w:ascii="宋体" w:hAnsi="宋体" w:eastAsia="宋体" w:cs="宋体"/>
          <w:color w:val="auto"/>
          <w:sz w:val="24"/>
          <w:szCs w:val="24"/>
          <w:highlight w:val="none"/>
          <w:lang w:val="en-US" w:eastAsia="zh-CN"/>
        </w:rPr>
        <w:t>信息。</w:t>
      </w:r>
    </w:p>
    <w:p w14:paraId="377AA27F">
      <w:pPr>
        <w:spacing w:line="240" w:lineRule="auto"/>
        <w:ind w:left="437" w:leftChars="208"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对安检工作的管理要求和指导，遵照执行安检</w:t>
      </w:r>
      <w:r>
        <w:rPr>
          <w:rFonts w:hint="eastAsia" w:ascii="宋体" w:hAnsi="宋体" w:eastAsia="宋体" w:cs="宋体"/>
          <w:color w:val="auto"/>
          <w:sz w:val="24"/>
          <w:szCs w:val="24"/>
          <w:highlight w:val="none"/>
          <w:lang w:eastAsia="zh-CN"/>
        </w:rPr>
        <w:t>；</w:t>
      </w:r>
    </w:p>
    <w:p w14:paraId="23DC2EE3">
      <w:pPr>
        <w:pStyle w:val="13"/>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规定时限及时上报提交各类安检统计数据报表以及安检相关总结分析报告</w:t>
      </w:r>
    </w:p>
    <w:p w14:paraId="51389CF8">
      <w:pPr>
        <w:spacing w:line="240" w:lineRule="auto"/>
        <w:ind w:left="437" w:leftChars="208" w:firstLine="0" w:firstLineChars="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完成</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派发的其他各类临时性工作任务；</w:t>
      </w:r>
    </w:p>
    <w:p w14:paraId="4E70FBF6">
      <w:pPr>
        <w:spacing w:before="120" w:beforeLines="50" w:after="240" w:afterLines="100" w:line="240" w:lineRule="auto"/>
        <w:jc w:val="center"/>
        <w:rPr>
          <w:rFonts w:hint="eastAsia" w:ascii="宋体" w:hAnsi="宋体" w:eastAsia="宋体" w:cs="宋体"/>
          <w:b/>
          <w:bCs/>
          <w:color w:val="auto"/>
          <w:sz w:val="24"/>
          <w:szCs w:val="24"/>
          <w:highlight w:val="none"/>
          <w:lang w:val="en-US" w:eastAsia="zh-CN"/>
        </w:rPr>
      </w:pPr>
    </w:p>
    <w:p w14:paraId="642BAF29">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7FC5A384">
      <w:pPr>
        <w:spacing w:before="120" w:beforeLines="50" w:after="240" w:afterLines="10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非居民</w:t>
      </w:r>
      <w:r>
        <w:rPr>
          <w:rFonts w:hint="eastAsia" w:ascii="宋体" w:hAnsi="宋体" w:eastAsia="宋体" w:cs="宋体"/>
          <w:b/>
          <w:bCs/>
          <w:color w:val="auto"/>
          <w:sz w:val="28"/>
          <w:szCs w:val="28"/>
          <w:highlight w:val="none"/>
        </w:rPr>
        <w:t>抄表业务</w:t>
      </w:r>
      <w:r>
        <w:rPr>
          <w:rFonts w:hint="eastAsia" w:ascii="宋体" w:hAnsi="宋体" w:eastAsia="宋体" w:cs="宋体"/>
          <w:b/>
          <w:bCs/>
          <w:color w:val="auto"/>
          <w:sz w:val="28"/>
          <w:szCs w:val="28"/>
          <w:highlight w:val="none"/>
          <w:lang w:val="en-US" w:eastAsia="zh-CN"/>
        </w:rPr>
        <w:t>中标</w:t>
      </w:r>
      <w:r>
        <w:rPr>
          <w:rFonts w:hint="eastAsia" w:ascii="宋体" w:hAnsi="宋体" w:eastAsia="宋体" w:cs="宋体"/>
          <w:b/>
          <w:bCs/>
          <w:color w:val="auto"/>
          <w:sz w:val="28"/>
          <w:szCs w:val="28"/>
          <w:highlight w:val="none"/>
        </w:rPr>
        <w:t>单位工作职责</w:t>
      </w:r>
    </w:p>
    <w:p w14:paraId="51015DEB">
      <w:pPr>
        <w:spacing w:line="240" w:lineRule="auto"/>
        <w:ind w:firstLine="482" w:firstLineChars="200"/>
        <w:rPr>
          <w:rFonts w:hint="eastAsia"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非居民</w:t>
      </w:r>
      <w:r>
        <w:rPr>
          <w:rFonts w:hint="eastAsia" w:ascii="宋体" w:hAnsi="宋体" w:eastAsia="宋体" w:cs="宋体"/>
          <w:b/>
          <w:bCs/>
          <w:color w:val="auto"/>
          <w:sz w:val="24"/>
          <w:szCs w:val="24"/>
          <w:highlight w:val="none"/>
        </w:rPr>
        <w:t>抄表业务</w:t>
      </w:r>
      <w:r>
        <w:rPr>
          <w:rFonts w:hint="eastAsia" w:ascii="宋体" w:hAnsi="宋体" w:eastAsia="宋体" w:cs="宋体"/>
          <w:color w:val="auto"/>
          <w:sz w:val="24"/>
          <w:szCs w:val="24"/>
          <w:highlight w:val="none"/>
        </w:rPr>
        <w:t>包括但不限于：安排人员对</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所辖范围（</w:t>
      </w:r>
      <w:r>
        <w:rPr>
          <w:rFonts w:hint="eastAsia" w:ascii="宋体" w:hAnsi="宋体" w:cs="宋体"/>
          <w:color w:val="auto"/>
          <w:sz w:val="24"/>
          <w:szCs w:val="24"/>
          <w:highlight w:val="none"/>
          <w:lang w:eastAsia="zh-CN"/>
        </w:rPr>
        <w:t>包含瓯江口及洞头区域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居民管道燃气客户</w:t>
      </w:r>
      <w:r>
        <w:rPr>
          <w:rFonts w:hint="eastAsia" w:ascii="宋体" w:hAnsi="宋体" w:eastAsia="宋体" w:cs="宋体"/>
          <w:color w:val="auto"/>
          <w:sz w:val="24"/>
          <w:szCs w:val="24"/>
          <w:highlight w:val="none"/>
          <w:lang w:val="en-US" w:eastAsia="zh-CN"/>
        </w:rPr>
        <w:t>开展</w:t>
      </w:r>
      <w:r>
        <w:rPr>
          <w:rFonts w:hint="eastAsia" w:ascii="宋体" w:hAnsi="宋体" w:eastAsia="宋体" w:cs="宋体"/>
          <w:color w:val="auto"/>
          <w:sz w:val="24"/>
          <w:szCs w:val="24"/>
          <w:highlight w:val="none"/>
        </w:rPr>
        <w:t>普通表上门抄表、欠费客户催费、处理抄表方面客户意见和投诉等。具体职责如下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洞头区域抄表业务时间节点以属地要求为准</w:t>
      </w:r>
      <w:r>
        <w:rPr>
          <w:rFonts w:hint="eastAsia" w:ascii="宋体" w:hAnsi="宋体" w:eastAsia="宋体" w:cs="宋体"/>
          <w:color w:val="auto"/>
          <w:sz w:val="24"/>
          <w:szCs w:val="24"/>
          <w:highlight w:val="none"/>
          <w:lang w:eastAsia="zh-CN"/>
        </w:rPr>
        <w:t>）：</w:t>
      </w:r>
    </w:p>
    <w:p w14:paraId="6EC4C583">
      <w:pPr>
        <w:numPr>
          <w:ilvl w:val="0"/>
          <w:numId w:val="0"/>
        </w:numPr>
        <w:spacing w:line="24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组织人员按照要求完成抄表、催费工作，保证实抄数据的真实性、确保</w:t>
      </w:r>
      <w:r>
        <w:rPr>
          <w:rFonts w:hint="eastAsia" w:ascii="宋体" w:hAnsi="宋体" w:eastAsia="宋体" w:cs="宋体"/>
          <w:color w:val="auto"/>
          <w:sz w:val="24"/>
          <w:szCs w:val="24"/>
          <w:highlight w:val="none"/>
          <w:lang w:val="en-US" w:eastAsia="zh-CN"/>
        </w:rPr>
        <w:t>普通表</w:t>
      </w:r>
      <w:r>
        <w:rPr>
          <w:rFonts w:hint="eastAsia" w:ascii="宋体" w:hAnsi="宋体" w:cs="宋体"/>
          <w:color w:val="auto"/>
          <w:sz w:val="24"/>
          <w:szCs w:val="24"/>
          <w:highlight w:val="none"/>
          <w:lang w:val="en-US" w:eastAsia="zh-CN"/>
        </w:rPr>
        <w:t>抄表开展率100%，</w:t>
      </w:r>
      <w:r>
        <w:rPr>
          <w:rFonts w:hint="eastAsia" w:ascii="宋体" w:hAnsi="宋体" w:eastAsia="宋体" w:cs="宋体"/>
          <w:color w:val="auto"/>
          <w:sz w:val="24"/>
          <w:szCs w:val="24"/>
          <w:highlight w:val="none"/>
          <w:lang w:val="en-US" w:eastAsia="zh-CN"/>
        </w:rPr>
        <w:t>月度实抄率100%，</w:t>
      </w:r>
      <w:r>
        <w:rPr>
          <w:rFonts w:hint="eastAsia" w:ascii="宋体" w:hAnsi="宋体" w:eastAsia="宋体" w:cs="宋体"/>
          <w:color w:val="auto"/>
          <w:sz w:val="24"/>
          <w:szCs w:val="24"/>
          <w:highlight w:val="none"/>
        </w:rPr>
        <w:t>年度资金回</w:t>
      </w:r>
      <w:r>
        <w:rPr>
          <w:rFonts w:hint="eastAsia" w:ascii="宋体" w:hAnsi="宋体" w:eastAsia="宋体" w:cs="宋体"/>
          <w:color w:val="auto"/>
          <w:sz w:val="24"/>
          <w:szCs w:val="24"/>
          <w:highlight w:val="none"/>
          <w:lang w:val="en-US" w:eastAsia="zh-CN"/>
        </w:rPr>
        <w:t>笼率100%（恶意逃气除外）；</w:t>
      </w:r>
    </w:p>
    <w:p w14:paraId="1D939DBC">
      <w:pPr>
        <w:pStyle w:val="13"/>
        <w:numPr>
          <w:ilvl w:val="0"/>
          <w:numId w:val="0"/>
        </w:numPr>
        <w:spacing w:line="24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2、每月10日前完成对所辖非居民客户的抄表工作；</w:t>
      </w:r>
    </w:p>
    <w:p w14:paraId="2191CDA6">
      <w:pPr>
        <w:pStyle w:val="13"/>
        <w:numPr>
          <w:ilvl w:val="0"/>
          <w:numId w:val="0"/>
        </w:numPr>
        <w:spacing w:after="0" w:line="240" w:lineRule="auto"/>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3、配合甲方开展非居民客户气价调整工作。</w:t>
      </w:r>
    </w:p>
    <w:p w14:paraId="02280116">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处理</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反馈的客户抄表意见和投诉；</w:t>
      </w:r>
    </w:p>
    <w:p w14:paraId="3984B085">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按照</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抄表的工作要求，组织抄表工作人员学习工作流程、制度等；</w:t>
      </w:r>
    </w:p>
    <w:p w14:paraId="55829DB4">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rPr>
        <w:t>组织抄表工作人员参加</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组织的各类会议、培训；</w:t>
      </w:r>
    </w:p>
    <w:p w14:paraId="5DB98166">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确定抄表业务项目负责人，处理抄表相关业务的承包事宜并提前告知</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备案；</w:t>
      </w:r>
    </w:p>
    <w:p w14:paraId="7AD730B1">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对抄表各项工作的检查，发现问题及时落实整改；</w:t>
      </w:r>
    </w:p>
    <w:p w14:paraId="6341F39C">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完成新型燃气表</w:t>
      </w:r>
      <w:r>
        <w:rPr>
          <w:rFonts w:hint="eastAsia" w:ascii="宋体" w:hAnsi="宋体" w:eastAsia="宋体" w:cs="宋体"/>
          <w:color w:val="auto"/>
          <w:kern w:val="0"/>
          <w:sz w:val="24"/>
          <w:szCs w:val="24"/>
          <w:highlight w:val="none"/>
        </w:rPr>
        <w:t>测试、抄表、气费催收工作；</w:t>
      </w:r>
    </w:p>
    <w:p w14:paraId="55C22E84">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非居民客户计量设备</w:t>
      </w:r>
      <w:r>
        <w:rPr>
          <w:rFonts w:hint="eastAsia" w:ascii="宋体" w:hAnsi="宋体" w:eastAsia="宋体" w:cs="宋体"/>
          <w:color w:val="auto"/>
          <w:sz w:val="24"/>
          <w:szCs w:val="24"/>
          <w:highlight w:val="none"/>
        </w:rPr>
        <w:t>故障上门排查工作；</w:t>
      </w:r>
    </w:p>
    <w:p w14:paraId="0C19220D">
      <w:pPr>
        <w:numPr>
          <w:ilvl w:val="0"/>
          <w:numId w:val="0"/>
        </w:numPr>
        <w:spacing w:line="24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rPr>
        <w:t>配合</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对抄表工作的管理要求和指导，遵照执行抄表各项考核内容</w:t>
      </w:r>
      <w:r>
        <w:rPr>
          <w:rFonts w:hint="eastAsia" w:ascii="宋体" w:hAnsi="宋体" w:eastAsia="宋体" w:cs="宋体"/>
          <w:color w:val="auto"/>
          <w:sz w:val="24"/>
          <w:szCs w:val="24"/>
          <w:highlight w:val="none"/>
          <w:lang w:eastAsia="zh-CN"/>
        </w:rPr>
        <w:t>；</w:t>
      </w:r>
    </w:p>
    <w:p w14:paraId="18DEC90E">
      <w:pPr>
        <w:spacing w:line="240" w:lineRule="auto"/>
        <w:ind w:left="437" w:leftChars="208"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按照甲方规定时限及时上报提交各类报表。</w:t>
      </w:r>
    </w:p>
    <w:p w14:paraId="48664BBD">
      <w:pPr>
        <w:spacing w:line="240" w:lineRule="auto"/>
        <w:ind w:left="437" w:leftChars="208"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在规定时间内上报</w:t>
      </w:r>
      <w:r>
        <w:rPr>
          <w:rFonts w:hint="eastAsia" w:ascii="宋体" w:hAnsi="宋体" w:eastAsia="宋体" w:cs="宋体"/>
          <w:i w:val="0"/>
          <w:iCs w:val="0"/>
          <w:color w:val="auto"/>
          <w:kern w:val="0"/>
          <w:sz w:val="24"/>
          <w:szCs w:val="24"/>
          <w:highlight w:val="none"/>
          <w:u w:val="none"/>
          <w:lang w:val="en-US" w:eastAsia="zh-CN" w:bidi="ar"/>
        </w:rPr>
        <w:t>满意度回访数据</w:t>
      </w:r>
      <w:r>
        <w:rPr>
          <w:rFonts w:hint="eastAsia" w:ascii="宋体" w:hAnsi="宋体" w:eastAsia="宋体" w:cs="宋体"/>
          <w:color w:val="auto"/>
          <w:sz w:val="24"/>
          <w:szCs w:val="24"/>
          <w:highlight w:val="none"/>
          <w:lang w:val="en-US" w:eastAsia="zh-CN"/>
        </w:rPr>
        <w:t>信息。</w:t>
      </w:r>
    </w:p>
    <w:p w14:paraId="5F6ABDC7">
      <w:pPr>
        <w:pStyle w:val="13"/>
        <w:spacing w:line="240" w:lineRule="auto"/>
        <w:ind w:left="0" w:leftChars="0" w:firstLine="480" w:firstLineChars="200"/>
        <w:rPr>
          <w:rFonts w:hint="eastAsia" w:ascii="宋体" w:hAnsi="宋体" w:eastAsia="宋体" w:cs="宋体"/>
          <w:color w:val="auto"/>
          <w:sz w:val="24"/>
          <w:szCs w:val="24"/>
          <w:highlight w:val="none"/>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完成</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派发的各类临时性工作；</w:t>
      </w:r>
    </w:p>
    <w:p w14:paraId="08C16B40">
      <w:pPr>
        <w:pStyle w:val="3"/>
        <w:spacing w:before="240" w:beforeLines="100"/>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合同附件3：</w:t>
      </w:r>
    </w:p>
    <w:p w14:paraId="7C13FDF1">
      <w:pPr>
        <w:pStyle w:val="13"/>
        <w:ind w:left="0" w:leftChars="0" w:firstLine="0" w:firstLineChars="0"/>
        <w:rPr>
          <w:rFonts w:hint="eastAsia" w:ascii="宋体" w:hAnsi="宋体" w:eastAsia="宋体" w:cs="宋体"/>
          <w:color w:val="auto"/>
          <w:highlight w:val="none"/>
        </w:rPr>
      </w:pPr>
    </w:p>
    <w:p w14:paraId="13B79569">
      <w:pPr>
        <w:snapToGrid w:val="0"/>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8"/>
          <w:szCs w:val="28"/>
          <w:highlight w:val="none"/>
          <w:lang w:val="en-US" w:eastAsia="zh-CN"/>
        </w:rPr>
      </w:pPr>
      <w:r>
        <w:rPr>
          <w:rFonts w:hint="eastAsia" w:ascii="宋体" w:hAnsi="宋体" w:eastAsia="宋体" w:cs="宋体"/>
          <w:b/>
          <w:i w:val="0"/>
          <w:caps w:val="0"/>
          <w:color w:val="auto"/>
          <w:spacing w:val="0"/>
          <w:w w:val="100"/>
          <w:sz w:val="28"/>
          <w:szCs w:val="28"/>
          <w:highlight w:val="none"/>
          <w:lang w:val="en-US" w:eastAsia="zh-CN"/>
        </w:rPr>
        <w:t>廉政责任协议书</w:t>
      </w:r>
    </w:p>
    <w:p w14:paraId="0BC0C5AA">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highlight w:val="none"/>
        </w:rPr>
      </w:pPr>
    </w:p>
    <w:p w14:paraId="52F8A04B">
      <w:pPr>
        <w:snapToGrid w:val="0"/>
        <w:spacing w:before="0" w:beforeAutospacing="0" w:after="0" w:afterAutospacing="0" w:line="240" w:lineRule="auto"/>
        <w:jc w:val="both"/>
        <w:textAlignment w:val="baseline"/>
        <w:rPr>
          <w:rFonts w:hint="eastAsia" w:ascii="宋体" w:hAnsi="宋体" w:eastAsia="宋体" w:cs="宋体"/>
          <w:b w:val="0"/>
          <w:i w:val="0"/>
          <w:iCs w:val="0"/>
          <w:caps w:val="0"/>
          <w:color w:val="auto"/>
          <w:spacing w:val="0"/>
          <w:w w:val="100"/>
          <w:sz w:val="24"/>
          <w:szCs w:val="24"/>
          <w:highlight w:val="none"/>
          <w:u w:val="single"/>
          <w:lang w:val="en-US" w:eastAsia="zh-CN"/>
        </w:rPr>
      </w:pPr>
      <w:r>
        <w:rPr>
          <w:rFonts w:hint="eastAsia" w:ascii="宋体" w:hAnsi="宋体" w:eastAsia="宋体" w:cs="宋体"/>
          <w:b w:val="0"/>
          <w:i w:val="0"/>
          <w:caps w:val="0"/>
          <w:color w:val="auto"/>
          <w:spacing w:val="0"/>
          <w:w w:val="100"/>
          <w:sz w:val="24"/>
          <w:szCs w:val="24"/>
          <w:highlight w:val="none"/>
        </w:rPr>
        <w:t>甲    方：</w:t>
      </w:r>
      <w:r>
        <w:rPr>
          <w:rFonts w:hint="eastAsia" w:ascii="宋体" w:hAnsi="宋体" w:eastAsia="宋体" w:cs="宋体"/>
          <w:b w:val="0"/>
          <w:i w:val="0"/>
          <w:caps w:val="0"/>
          <w:color w:val="auto"/>
          <w:spacing w:val="0"/>
          <w:w w:val="100"/>
          <w:sz w:val="24"/>
          <w:szCs w:val="24"/>
          <w:highlight w:val="none"/>
          <w:u w:val="single"/>
        </w:rPr>
        <w:t>温州市燃气</w:t>
      </w:r>
      <w:r>
        <w:rPr>
          <w:rFonts w:hint="eastAsia" w:ascii="宋体" w:hAnsi="宋体" w:eastAsia="宋体" w:cs="宋体"/>
          <w:b w:val="0"/>
          <w:i w:val="0"/>
          <w:caps w:val="0"/>
          <w:color w:val="auto"/>
          <w:spacing w:val="0"/>
          <w:w w:val="100"/>
          <w:sz w:val="24"/>
          <w:szCs w:val="24"/>
          <w:highlight w:val="none"/>
          <w:u w:val="single"/>
          <w:lang w:eastAsia="zh-CN"/>
        </w:rPr>
        <w:t>集团</w:t>
      </w:r>
      <w:r>
        <w:rPr>
          <w:rFonts w:hint="eastAsia" w:ascii="宋体" w:hAnsi="宋体" w:eastAsia="宋体" w:cs="宋体"/>
          <w:b w:val="0"/>
          <w:i w:val="0"/>
          <w:caps w:val="0"/>
          <w:color w:val="auto"/>
          <w:spacing w:val="0"/>
          <w:w w:val="100"/>
          <w:sz w:val="24"/>
          <w:szCs w:val="24"/>
          <w:highlight w:val="none"/>
          <w:u w:val="single"/>
        </w:rPr>
        <w:t>有限公司</w:t>
      </w:r>
      <w:r>
        <w:rPr>
          <w:rFonts w:hint="eastAsia" w:ascii="宋体" w:hAnsi="宋体" w:eastAsia="宋体" w:cs="宋体"/>
          <w:b w:val="0"/>
          <w:i w:val="0"/>
          <w:caps w:val="0"/>
          <w:color w:val="auto"/>
          <w:spacing w:val="0"/>
          <w:w w:val="100"/>
          <w:sz w:val="24"/>
          <w:szCs w:val="24"/>
          <w:highlight w:val="none"/>
          <w:u w:val="single"/>
          <w:lang w:val="en-US"/>
        </w:rPr>
        <w:t xml:space="preserve">   </w:t>
      </w:r>
    </w:p>
    <w:p w14:paraId="35CB8E57">
      <w:pPr>
        <w:snapToGrid w:val="0"/>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highlight w:val="none"/>
          <w:u w:val="single"/>
          <w:lang w:val="en-US" w:eastAsia="zh-CN"/>
        </w:rPr>
      </w:pPr>
      <w:r>
        <w:rPr>
          <w:rFonts w:hint="eastAsia" w:ascii="宋体" w:hAnsi="宋体" w:eastAsia="宋体" w:cs="宋体"/>
          <w:b w:val="0"/>
          <w:i w:val="0"/>
          <w:caps w:val="0"/>
          <w:color w:val="auto"/>
          <w:spacing w:val="0"/>
          <w:w w:val="100"/>
          <w:sz w:val="24"/>
          <w:szCs w:val="24"/>
          <w:highlight w:val="none"/>
        </w:rPr>
        <w:t>乙    方：</w:t>
      </w:r>
      <w:r>
        <w:rPr>
          <w:rFonts w:hint="eastAsia" w:ascii="宋体" w:hAnsi="宋体" w:eastAsia="宋体" w:cs="宋体"/>
          <w:b w:val="0"/>
          <w:i w:val="0"/>
          <w:caps w:val="0"/>
          <w:color w:val="auto"/>
          <w:spacing w:val="0"/>
          <w:w w:val="100"/>
          <w:sz w:val="24"/>
          <w:szCs w:val="24"/>
          <w:highlight w:val="none"/>
          <w:u w:val="single"/>
          <w:lang w:val="en-US" w:eastAsia="zh-CN"/>
        </w:rPr>
        <w:t xml:space="preserve">                </w:t>
      </w:r>
      <w:r>
        <w:rPr>
          <w:rFonts w:hint="eastAsia" w:ascii="宋体" w:hAnsi="宋体" w:eastAsia="宋体" w:cs="宋体"/>
          <w:b w:val="0"/>
          <w:i w:val="0"/>
          <w:caps w:val="0"/>
          <w:color w:val="auto"/>
          <w:spacing w:val="0"/>
          <w:w w:val="100"/>
          <w:sz w:val="24"/>
          <w:szCs w:val="24"/>
          <w:highlight w:val="none"/>
          <w:u w:val="single"/>
        </w:rPr>
        <w:t xml:space="preserve">        </w:t>
      </w:r>
      <w:r>
        <w:rPr>
          <w:rFonts w:hint="eastAsia" w:ascii="宋体" w:hAnsi="宋体" w:eastAsia="宋体" w:cs="宋体"/>
          <w:b w:val="0"/>
          <w:i w:val="0"/>
          <w:caps w:val="0"/>
          <w:color w:val="auto"/>
          <w:spacing w:val="0"/>
          <w:w w:val="100"/>
          <w:sz w:val="24"/>
          <w:szCs w:val="24"/>
          <w:highlight w:val="none"/>
          <w:u w:val="single"/>
          <w:lang w:val="en-US"/>
        </w:rPr>
        <w:t xml:space="preserve"> </w:t>
      </w:r>
    </w:p>
    <w:p w14:paraId="390D443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为加强甲乙双方项目推进中的廉政建设及规范各项活动，防止发生各种谋取不正当利益的违法违纪行为，有效保护国家、集体和当事人的合法权益，根据国家相关法律法规和廉政建设责任制规定，特订立本阳光协议书，双方应恪守执行。</w:t>
      </w:r>
    </w:p>
    <w:p w14:paraId="2AEA4540">
      <w:pPr>
        <w:snapToGrid/>
        <w:spacing w:before="0" w:beforeAutospacing="0" w:after="0" w:afterAutospacing="0" w:line="240" w:lineRule="auto"/>
        <w:jc w:val="both"/>
        <w:textAlignment w:val="baseline"/>
        <w:rPr>
          <w:rFonts w:hint="eastAsia" w:ascii="宋体" w:hAnsi="宋体" w:eastAsia="宋体" w:cs="宋体"/>
          <w:b/>
          <w:i w:val="0"/>
          <w:caps w:val="0"/>
          <w:color w:val="auto"/>
          <w:spacing w:val="0"/>
          <w:w w:val="100"/>
          <w:sz w:val="24"/>
          <w:szCs w:val="24"/>
          <w:highlight w:val="none"/>
          <w:lang w:eastAsia="zh-CN"/>
        </w:rPr>
      </w:pPr>
      <w:r>
        <w:rPr>
          <w:rFonts w:hint="eastAsia" w:ascii="宋体" w:hAnsi="宋体" w:eastAsia="宋体" w:cs="宋体"/>
          <w:b/>
          <w:i w:val="0"/>
          <w:caps w:val="0"/>
          <w:color w:val="auto"/>
          <w:spacing w:val="0"/>
          <w:w w:val="100"/>
          <w:sz w:val="24"/>
          <w:szCs w:val="24"/>
          <w:highlight w:val="none"/>
        </w:rPr>
        <w:t xml:space="preserve">    第一条 甲乙双方</w:t>
      </w:r>
      <w:r>
        <w:rPr>
          <w:rFonts w:hint="eastAsia" w:ascii="宋体" w:hAnsi="宋体" w:eastAsia="宋体" w:cs="宋体"/>
          <w:b/>
          <w:i w:val="0"/>
          <w:caps w:val="0"/>
          <w:color w:val="auto"/>
          <w:spacing w:val="0"/>
          <w:w w:val="100"/>
          <w:sz w:val="24"/>
          <w:szCs w:val="24"/>
          <w:highlight w:val="none"/>
          <w:lang w:eastAsia="zh-CN"/>
        </w:rPr>
        <w:t>义务</w:t>
      </w:r>
    </w:p>
    <w:p w14:paraId="356B6A6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（一）应严格遵守国家有关的法律、法规、相关政策，以及廉政建设的各项规定。</w:t>
      </w:r>
    </w:p>
    <w:p w14:paraId="6D5E5F29">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（二）严格执行双方签署的相关合同文件，自觉按合同办事。</w:t>
      </w:r>
    </w:p>
    <w:p w14:paraId="06574B1E">
      <w:pPr>
        <w:snapToGrid/>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（三）业务活动必须坚持公开、公平、公正、诚信、透明的原则（除法律法规另有规定者外），不得为获取不正当的利益，损害国家、集体和对方利益，不得违反各地规章制度。</w:t>
      </w:r>
    </w:p>
    <w:p w14:paraId="2F0614F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（四）发现对方在业务活动中有违规、违纪、违法行为的，应及时如实报告相关部门或双方监督部室，并配合调查、取证工作。</w:t>
      </w:r>
    </w:p>
    <w:p w14:paraId="18BCCD8E">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（五）双方须对公司业务相关人员进行廉洁从业教育。</w:t>
      </w:r>
    </w:p>
    <w:p w14:paraId="3E054A04">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（六）不得向任何一方及其人员或相关单位索要或接受回扣、礼金、有价证券、贵重物品和好处费、感谢费或提供、接受任何形式的</w:t>
      </w:r>
      <w:r>
        <w:rPr>
          <w:rFonts w:hint="eastAsia" w:ascii="宋体" w:hAnsi="宋体" w:eastAsia="宋体" w:cs="宋体"/>
          <w:b w:val="0"/>
          <w:i w:val="0"/>
          <w:caps w:val="0"/>
          <w:color w:val="auto"/>
          <w:spacing w:val="0"/>
          <w:w w:val="100"/>
          <w:sz w:val="24"/>
          <w:szCs w:val="24"/>
          <w:highlight w:val="none"/>
          <w:lang w:eastAsia="zh-CN"/>
        </w:rPr>
        <w:t>有偿</w:t>
      </w:r>
      <w:r>
        <w:rPr>
          <w:rFonts w:hint="eastAsia" w:ascii="宋体" w:hAnsi="宋体" w:eastAsia="宋体" w:cs="宋体"/>
          <w:b w:val="0"/>
          <w:i w:val="0"/>
          <w:caps w:val="0"/>
          <w:color w:val="auto"/>
          <w:spacing w:val="0"/>
          <w:w w:val="100"/>
          <w:sz w:val="24"/>
          <w:szCs w:val="24"/>
          <w:highlight w:val="none"/>
        </w:rPr>
        <w:t>服务。</w:t>
      </w:r>
    </w:p>
    <w:p w14:paraId="0121047B">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（七）不得在任何一方及其人员或相关单位报销任何应由对方或个人支付的费用。</w:t>
      </w:r>
    </w:p>
    <w:p w14:paraId="56EBE6CC">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（八）不准要求、暗示或接受任何一方及其人员或相关单位为个人装修住房、婚丧嫁娶、配偶子女的工作安排以及出国（境）、旅游等提供方便。</w:t>
      </w:r>
    </w:p>
    <w:p w14:paraId="2A55C474">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（九）不准参加有可能影响公正执行公务的任何一方及其人员或相关单位的宴请、健身、娱乐等活动。</w:t>
      </w:r>
    </w:p>
    <w:p w14:paraId="3EC15F02">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（十）不准向任何一方及其人员或相关单位介绍或为配偶、子女、亲属参与项目合同有关的业务活动。不得以任何理由要求任何一方及其人员或相关单位在本项目中使用某种产品、材料和设备等行为。</w:t>
      </w:r>
    </w:p>
    <w:p w14:paraId="179CF22F">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（十一）不准提供假证明或假证据，故意隐瞒企业</w:t>
      </w:r>
      <w:r>
        <w:rPr>
          <w:rFonts w:hint="eastAsia" w:ascii="宋体" w:hAnsi="宋体" w:eastAsia="宋体" w:cs="宋体"/>
          <w:b w:val="0"/>
          <w:i w:val="0"/>
          <w:caps w:val="0"/>
          <w:color w:val="auto"/>
          <w:spacing w:val="0"/>
          <w:w w:val="100"/>
          <w:sz w:val="24"/>
          <w:szCs w:val="24"/>
          <w:highlight w:val="none"/>
          <w:lang w:eastAsia="zh-CN"/>
        </w:rPr>
        <w:t>或个体工商户</w:t>
      </w:r>
      <w:r>
        <w:rPr>
          <w:rFonts w:hint="eastAsia" w:ascii="宋体" w:hAnsi="宋体" w:eastAsia="宋体" w:cs="宋体"/>
          <w:b w:val="0"/>
          <w:i w:val="0"/>
          <w:caps w:val="0"/>
          <w:color w:val="auto"/>
          <w:spacing w:val="0"/>
          <w:w w:val="100"/>
          <w:sz w:val="24"/>
          <w:szCs w:val="24"/>
          <w:highlight w:val="none"/>
        </w:rPr>
        <w:t>实情，蓄意欺诈等行为。</w:t>
      </w:r>
    </w:p>
    <w:p w14:paraId="0E4132C8">
      <w:pPr>
        <w:snapToGrid w:val="0"/>
        <w:spacing w:before="0" w:beforeAutospacing="0" w:after="0" w:afterAutospacing="0" w:line="240" w:lineRule="auto"/>
        <w:ind w:firstLine="482" w:firstLineChars="200"/>
        <w:jc w:val="both"/>
        <w:textAlignment w:val="baseline"/>
        <w:rPr>
          <w:rFonts w:hint="eastAsia" w:ascii="宋体" w:hAnsi="宋体" w:eastAsia="宋体" w:cs="宋体"/>
          <w:b/>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第二条 违约责任</w:t>
      </w:r>
    </w:p>
    <w:p w14:paraId="5BADA102">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lang w:eastAsia="zh-CN"/>
        </w:rPr>
        <w:t>任何一方</w:t>
      </w:r>
      <w:r>
        <w:rPr>
          <w:rFonts w:hint="eastAsia" w:ascii="宋体" w:hAnsi="宋体" w:eastAsia="宋体" w:cs="宋体"/>
          <w:b w:val="0"/>
          <w:i w:val="0"/>
          <w:caps w:val="0"/>
          <w:color w:val="auto"/>
          <w:spacing w:val="0"/>
          <w:w w:val="100"/>
          <w:sz w:val="24"/>
          <w:szCs w:val="24"/>
          <w:highlight w:val="none"/>
        </w:rPr>
        <w:t>工作人员有违反本协议时，按照管理权限，</w:t>
      </w:r>
      <w:r>
        <w:rPr>
          <w:rFonts w:hint="eastAsia" w:ascii="宋体" w:hAnsi="宋体" w:eastAsia="宋体" w:cs="宋体"/>
          <w:b w:val="0"/>
          <w:i w:val="0"/>
          <w:caps w:val="0"/>
          <w:color w:val="auto"/>
          <w:spacing w:val="0"/>
          <w:w w:val="100"/>
          <w:sz w:val="24"/>
          <w:szCs w:val="24"/>
          <w:highlight w:val="none"/>
          <w:lang w:eastAsia="zh-CN"/>
        </w:rPr>
        <w:t>由主管单位，</w:t>
      </w:r>
      <w:r>
        <w:rPr>
          <w:rFonts w:hint="eastAsia" w:ascii="宋体" w:hAnsi="宋体" w:eastAsia="宋体" w:cs="宋体"/>
          <w:b w:val="0"/>
          <w:i w:val="0"/>
          <w:caps w:val="0"/>
          <w:color w:val="auto"/>
          <w:spacing w:val="0"/>
          <w:w w:val="100"/>
          <w:sz w:val="24"/>
          <w:szCs w:val="24"/>
          <w:highlight w:val="none"/>
        </w:rPr>
        <w:t>依据有关法律法规和规定给予党纪、政纪处分或组织处理；涉嫌犯罪的，移交司法机关追究刑事责任；给</w:t>
      </w:r>
      <w:r>
        <w:rPr>
          <w:rFonts w:hint="eastAsia" w:ascii="宋体" w:hAnsi="宋体" w:eastAsia="宋体" w:cs="宋体"/>
          <w:b w:val="0"/>
          <w:i w:val="0"/>
          <w:caps w:val="0"/>
          <w:color w:val="auto"/>
          <w:spacing w:val="0"/>
          <w:w w:val="100"/>
          <w:sz w:val="24"/>
          <w:szCs w:val="24"/>
          <w:highlight w:val="none"/>
          <w:lang w:eastAsia="zh-CN"/>
        </w:rPr>
        <w:t>任何一方</w:t>
      </w:r>
      <w:r>
        <w:rPr>
          <w:rFonts w:hint="eastAsia" w:ascii="宋体" w:hAnsi="宋体" w:eastAsia="宋体" w:cs="宋体"/>
          <w:b w:val="0"/>
          <w:i w:val="0"/>
          <w:caps w:val="0"/>
          <w:color w:val="auto"/>
          <w:spacing w:val="0"/>
          <w:w w:val="100"/>
          <w:sz w:val="24"/>
          <w:szCs w:val="24"/>
          <w:highlight w:val="none"/>
        </w:rPr>
        <w:t>造成经济损失的，</w:t>
      </w:r>
      <w:r>
        <w:rPr>
          <w:rFonts w:hint="eastAsia" w:ascii="宋体" w:hAnsi="宋体" w:eastAsia="宋体" w:cs="宋体"/>
          <w:b w:val="0"/>
          <w:i w:val="0"/>
          <w:caps w:val="0"/>
          <w:color w:val="auto"/>
          <w:spacing w:val="0"/>
          <w:w w:val="100"/>
          <w:sz w:val="24"/>
          <w:szCs w:val="24"/>
          <w:highlight w:val="none"/>
          <w:lang w:eastAsia="zh-CN"/>
        </w:rPr>
        <w:t>由其责任方</w:t>
      </w:r>
      <w:r>
        <w:rPr>
          <w:rFonts w:hint="eastAsia" w:ascii="宋体" w:hAnsi="宋体" w:eastAsia="宋体" w:cs="宋体"/>
          <w:b w:val="0"/>
          <w:i w:val="0"/>
          <w:caps w:val="0"/>
          <w:color w:val="auto"/>
          <w:spacing w:val="0"/>
          <w:w w:val="100"/>
          <w:sz w:val="24"/>
          <w:szCs w:val="24"/>
          <w:highlight w:val="none"/>
        </w:rPr>
        <w:t>予以赔偿。</w:t>
      </w:r>
    </w:p>
    <w:p w14:paraId="25005319">
      <w:pPr>
        <w:snapToGrid w:val="0"/>
        <w:spacing w:before="0" w:beforeAutospacing="0" w:after="0" w:afterAutospacing="0" w:line="240" w:lineRule="auto"/>
        <w:ind w:firstLine="482"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第三条</w:t>
      </w:r>
      <w:r>
        <w:rPr>
          <w:rFonts w:hint="eastAsia" w:ascii="宋体" w:hAnsi="宋体" w:eastAsia="宋体" w:cs="宋体"/>
          <w:b w:val="0"/>
          <w:i w:val="0"/>
          <w:caps w:val="0"/>
          <w:color w:val="auto"/>
          <w:spacing w:val="0"/>
          <w:w w:val="100"/>
          <w:sz w:val="24"/>
          <w:szCs w:val="24"/>
          <w:highlight w:val="none"/>
        </w:rPr>
        <w:t xml:space="preserve"> 本协议签署后，即对双方及全体相关人员产生不可撤销的约束力。</w:t>
      </w:r>
    </w:p>
    <w:p w14:paraId="5F7E492C">
      <w:pPr>
        <w:snapToGrid w:val="0"/>
        <w:spacing w:before="0" w:beforeAutospacing="0" w:after="0" w:afterAutospacing="0" w:line="240" w:lineRule="auto"/>
        <w:ind w:firstLine="482"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第四条</w:t>
      </w:r>
      <w:r>
        <w:rPr>
          <w:rFonts w:hint="eastAsia" w:ascii="宋体" w:hAnsi="宋体" w:eastAsia="宋体" w:cs="宋体"/>
          <w:b w:val="0"/>
          <w:i w:val="0"/>
          <w:caps w:val="0"/>
          <w:color w:val="auto"/>
          <w:spacing w:val="0"/>
          <w:w w:val="100"/>
          <w:sz w:val="24"/>
          <w:szCs w:val="24"/>
          <w:highlight w:val="none"/>
        </w:rPr>
        <w:t xml:space="preserve"> 本协议的有效期为项目合同有效期满为止，起始时间为双方签署之日起算。</w:t>
      </w:r>
    </w:p>
    <w:p w14:paraId="739D71EB">
      <w:pPr>
        <w:snapToGrid w:val="0"/>
        <w:spacing w:before="0" w:beforeAutospacing="0" w:after="0" w:afterAutospacing="0" w:line="240" w:lineRule="auto"/>
        <w:ind w:firstLine="482"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i w:val="0"/>
          <w:caps w:val="0"/>
          <w:color w:val="auto"/>
          <w:spacing w:val="0"/>
          <w:w w:val="100"/>
          <w:sz w:val="24"/>
          <w:szCs w:val="24"/>
          <w:highlight w:val="none"/>
        </w:rPr>
        <w:t>第五条</w:t>
      </w:r>
      <w:r>
        <w:rPr>
          <w:rFonts w:hint="eastAsia" w:ascii="宋体" w:hAnsi="宋体" w:eastAsia="宋体" w:cs="宋体"/>
          <w:b w:val="0"/>
          <w:i w:val="0"/>
          <w:caps w:val="0"/>
          <w:color w:val="auto"/>
          <w:spacing w:val="0"/>
          <w:w w:val="100"/>
          <w:sz w:val="24"/>
          <w:szCs w:val="24"/>
          <w:highlight w:val="none"/>
        </w:rPr>
        <w:t xml:space="preserve"> 本协议一式</w:t>
      </w:r>
      <w:r>
        <w:rPr>
          <w:rFonts w:hint="eastAsia" w:ascii="宋体" w:hAnsi="宋体" w:eastAsia="宋体" w:cs="宋体"/>
          <w:b w:val="0"/>
          <w:i w:val="0"/>
          <w:caps w:val="0"/>
          <w:color w:val="auto"/>
          <w:spacing w:val="0"/>
          <w:w w:val="100"/>
          <w:sz w:val="24"/>
          <w:szCs w:val="24"/>
          <w:highlight w:val="none"/>
          <w:lang w:eastAsia="zh-CN"/>
        </w:rPr>
        <w:t>贰</w:t>
      </w:r>
      <w:r>
        <w:rPr>
          <w:rFonts w:hint="eastAsia" w:ascii="宋体" w:hAnsi="宋体" w:eastAsia="宋体" w:cs="宋体"/>
          <w:b w:val="0"/>
          <w:i w:val="0"/>
          <w:caps w:val="0"/>
          <w:color w:val="auto"/>
          <w:spacing w:val="0"/>
          <w:w w:val="100"/>
          <w:sz w:val="24"/>
          <w:szCs w:val="24"/>
          <w:highlight w:val="none"/>
        </w:rPr>
        <w:t>份，甲</w:t>
      </w:r>
      <w:r>
        <w:rPr>
          <w:rFonts w:hint="eastAsia" w:ascii="宋体" w:hAnsi="宋体" w:eastAsia="宋体" w:cs="宋体"/>
          <w:b w:val="0"/>
          <w:i w:val="0"/>
          <w:caps w:val="0"/>
          <w:color w:val="auto"/>
          <w:spacing w:val="0"/>
          <w:w w:val="100"/>
          <w:sz w:val="24"/>
          <w:szCs w:val="24"/>
          <w:highlight w:val="none"/>
          <w:lang w:eastAsia="zh-CN"/>
        </w:rPr>
        <w:t>双方各执壹</w:t>
      </w:r>
      <w:r>
        <w:rPr>
          <w:rFonts w:hint="eastAsia" w:ascii="宋体" w:hAnsi="宋体" w:eastAsia="宋体" w:cs="宋体"/>
          <w:b w:val="0"/>
          <w:i w:val="0"/>
          <w:caps w:val="0"/>
          <w:color w:val="auto"/>
          <w:spacing w:val="0"/>
          <w:w w:val="100"/>
          <w:sz w:val="24"/>
          <w:szCs w:val="24"/>
          <w:highlight w:val="none"/>
        </w:rPr>
        <w:t>份。</w:t>
      </w:r>
    </w:p>
    <w:p w14:paraId="771EA36B">
      <w:pPr>
        <w:snapToGrid w:val="0"/>
        <w:spacing w:before="0" w:beforeAutospacing="0" w:after="0"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p>
    <w:tbl>
      <w:tblPr>
        <w:tblStyle w:val="34"/>
        <w:tblW w:w="9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8"/>
        <w:gridCol w:w="4598"/>
      </w:tblGrid>
      <w:tr w14:paraId="6773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98" w:type="dxa"/>
            <w:noWrap w:val="0"/>
            <w:vAlign w:val="top"/>
          </w:tcPr>
          <w:p w14:paraId="0633A7E5">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2A388DBA">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甲方(</w:t>
            </w:r>
            <w:r>
              <w:rPr>
                <w:rFonts w:hint="eastAsia" w:ascii="宋体" w:hAnsi="宋体" w:eastAsia="宋体" w:cs="宋体"/>
                <w:b w:val="0"/>
                <w:i w:val="0"/>
                <w:caps w:val="0"/>
                <w:color w:val="auto"/>
                <w:spacing w:val="0"/>
                <w:w w:val="100"/>
                <w:sz w:val="21"/>
                <w:szCs w:val="21"/>
                <w:highlight w:val="none"/>
                <w:lang w:eastAsia="zh-CN"/>
              </w:rPr>
              <w:t>盖</w:t>
            </w:r>
            <w:r>
              <w:rPr>
                <w:rFonts w:hint="eastAsia" w:ascii="宋体" w:hAnsi="宋体" w:eastAsia="宋体" w:cs="宋体"/>
                <w:b w:val="0"/>
                <w:i w:val="0"/>
                <w:caps w:val="0"/>
                <w:color w:val="auto"/>
                <w:spacing w:val="0"/>
                <w:w w:val="100"/>
                <w:sz w:val="21"/>
                <w:szCs w:val="21"/>
                <w:highlight w:val="none"/>
                <w:lang w:val="en-US" w:eastAsia="zh-CN"/>
              </w:rPr>
              <w:t>公</w:t>
            </w:r>
            <w:r>
              <w:rPr>
                <w:rFonts w:hint="eastAsia" w:ascii="宋体" w:hAnsi="宋体" w:eastAsia="宋体" w:cs="宋体"/>
                <w:b w:val="0"/>
                <w:i w:val="0"/>
                <w:caps w:val="0"/>
                <w:color w:val="auto"/>
                <w:spacing w:val="0"/>
                <w:w w:val="100"/>
                <w:sz w:val="21"/>
                <w:szCs w:val="21"/>
                <w:highlight w:val="none"/>
              </w:rPr>
              <w:t xml:space="preserve">章)： </w:t>
            </w:r>
          </w:p>
          <w:p w14:paraId="6F2CE015">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079FE4FE">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全权</w:t>
            </w:r>
            <w:r>
              <w:rPr>
                <w:rFonts w:hint="eastAsia" w:ascii="宋体" w:hAnsi="宋体" w:eastAsia="宋体" w:cs="宋体"/>
                <w:b w:val="0"/>
                <w:i w:val="0"/>
                <w:caps w:val="0"/>
                <w:color w:val="auto"/>
                <w:spacing w:val="0"/>
                <w:w w:val="100"/>
                <w:sz w:val="21"/>
                <w:szCs w:val="21"/>
                <w:highlight w:val="none"/>
              </w:rPr>
              <w:t>代表</w:t>
            </w:r>
            <w:r>
              <w:rPr>
                <w:rFonts w:hint="eastAsia" w:ascii="宋体" w:hAnsi="宋体" w:eastAsia="宋体" w:cs="宋体"/>
                <w:b w:val="0"/>
                <w:i w:val="0"/>
                <w:caps w:val="0"/>
                <w:color w:val="auto"/>
                <w:spacing w:val="0"/>
                <w:w w:val="100"/>
                <w:sz w:val="21"/>
                <w:szCs w:val="21"/>
                <w:highlight w:val="none"/>
                <w:lang w:eastAsia="zh-CN"/>
              </w:rPr>
              <w:t>（签字或盖章）</w:t>
            </w:r>
            <w:r>
              <w:rPr>
                <w:rFonts w:hint="eastAsia" w:ascii="宋体" w:hAnsi="宋体" w:eastAsia="宋体" w:cs="宋体"/>
                <w:b w:val="0"/>
                <w:i w:val="0"/>
                <w:caps w:val="0"/>
                <w:color w:val="auto"/>
                <w:spacing w:val="0"/>
                <w:w w:val="100"/>
                <w:sz w:val="21"/>
                <w:szCs w:val="21"/>
                <w:highlight w:val="none"/>
              </w:rPr>
              <w:t>：</w:t>
            </w:r>
          </w:p>
          <w:p w14:paraId="400E031C">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p>
          <w:p w14:paraId="66508B23">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日期：</w:t>
            </w:r>
          </w:p>
        </w:tc>
        <w:tc>
          <w:tcPr>
            <w:tcW w:w="4598" w:type="dxa"/>
            <w:noWrap w:val="0"/>
            <w:vAlign w:val="top"/>
          </w:tcPr>
          <w:p w14:paraId="4761E36D">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lang w:val="en-US" w:eastAsia="zh-CN"/>
              </w:rPr>
            </w:pPr>
          </w:p>
          <w:p w14:paraId="5B78C2FC">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乙方</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eastAsia="zh-CN"/>
              </w:rPr>
              <w:t>盖</w:t>
            </w:r>
            <w:r>
              <w:rPr>
                <w:rFonts w:hint="eastAsia" w:ascii="宋体" w:hAnsi="宋体" w:eastAsia="宋体" w:cs="宋体"/>
                <w:b w:val="0"/>
                <w:i w:val="0"/>
                <w:caps w:val="0"/>
                <w:color w:val="auto"/>
                <w:spacing w:val="0"/>
                <w:w w:val="100"/>
                <w:sz w:val="21"/>
                <w:szCs w:val="21"/>
                <w:highlight w:val="none"/>
                <w:lang w:val="en-US" w:eastAsia="zh-CN"/>
              </w:rPr>
              <w:t>公</w:t>
            </w:r>
            <w:r>
              <w:rPr>
                <w:rFonts w:hint="eastAsia" w:ascii="宋体" w:hAnsi="宋体" w:eastAsia="宋体" w:cs="宋体"/>
                <w:b w:val="0"/>
                <w:i w:val="0"/>
                <w:caps w:val="0"/>
                <w:color w:val="auto"/>
                <w:spacing w:val="0"/>
                <w:w w:val="100"/>
                <w:sz w:val="21"/>
                <w:szCs w:val="21"/>
                <w:highlight w:val="none"/>
              </w:rPr>
              <w:t xml:space="preserve">章)： </w:t>
            </w:r>
          </w:p>
          <w:p w14:paraId="1B3A9AA9">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52A19493">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全权</w:t>
            </w:r>
            <w:r>
              <w:rPr>
                <w:rFonts w:hint="eastAsia" w:ascii="宋体" w:hAnsi="宋体" w:eastAsia="宋体" w:cs="宋体"/>
                <w:b w:val="0"/>
                <w:i w:val="0"/>
                <w:caps w:val="0"/>
                <w:color w:val="auto"/>
                <w:spacing w:val="0"/>
                <w:w w:val="100"/>
                <w:sz w:val="21"/>
                <w:szCs w:val="21"/>
                <w:highlight w:val="none"/>
              </w:rPr>
              <w:t>代表</w:t>
            </w:r>
            <w:r>
              <w:rPr>
                <w:rFonts w:hint="eastAsia" w:ascii="宋体" w:hAnsi="宋体" w:eastAsia="宋体" w:cs="宋体"/>
                <w:b w:val="0"/>
                <w:i w:val="0"/>
                <w:caps w:val="0"/>
                <w:color w:val="auto"/>
                <w:spacing w:val="0"/>
                <w:w w:val="100"/>
                <w:sz w:val="21"/>
                <w:szCs w:val="21"/>
                <w:highlight w:val="none"/>
                <w:lang w:eastAsia="zh-CN"/>
              </w:rPr>
              <w:t>（签字或盖章）</w:t>
            </w:r>
            <w:r>
              <w:rPr>
                <w:rFonts w:hint="eastAsia" w:ascii="宋体" w:hAnsi="宋体" w:eastAsia="宋体" w:cs="宋体"/>
                <w:b w:val="0"/>
                <w:i w:val="0"/>
                <w:caps w:val="0"/>
                <w:color w:val="auto"/>
                <w:spacing w:val="0"/>
                <w:w w:val="100"/>
                <w:sz w:val="21"/>
                <w:szCs w:val="21"/>
                <w:highlight w:val="none"/>
              </w:rPr>
              <w:t>：</w:t>
            </w:r>
          </w:p>
          <w:p w14:paraId="7538D0FA">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p>
          <w:p w14:paraId="0BBF8930">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日期</w:t>
            </w:r>
          </w:p>
        </w:tc>
      </w:tr>
    </w:tbl>
    <w:p w14:paraId="30AA1C2C">
      <w:pPr>
        <w:pStyle w:val="3"/>
        <w:spacing w:before="240" w:beforeLine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合同附件4：</w:t>
      </w:r>
    </w:p>
    <w:p w14:paraId="661E3578">
      <w:pPr>
        <w:jc w:val="center"/>
        <w:rPr>
          <w:rFonts w:hint="eastAsia"/>
          <w:color w:val="auto"/>
          <w:sz w:val="32"/>
          <w:szCs w:val="32"/>
          <w:highlight w:val="none"/>
        </w:rPr>
      </w:pPr>
      <w:r>
        <w:rPr>
          <w:rFonts w:hint="eastAsia"/>
          <w:color w:val="auto"/>
          <w:sz w:val="32"/>
          <w:szCs w:val="32"/>
          <w:highlight w:val="none"/>
        </w:rPr>
        <w:t>安全生产管理协议书</w:t>
      </w:r>
    </w:p>
    <w:p w14:paraId="1C5C970E">
      <w:pPr>
        <w:pStyle w:val="3"/>
        <w:spacing w:before="240" w:beforeLines="100" w:line="240" w:lineRule="auto"/>
        <w:rPr>
          <w:rFonts w:hint="eastAsia" w:ascii="宋体" w:hAnsi="宋体" w:eastAsia="宋体" w:cs="宋体"/>
          <w:color w:val="auto"/>
          <w:sz w:val="28"/>
          <w:szCs w:val="28"/>
          <w:highlight w:val="none"/>
          <w:lang w:val="en-US" w:eastAsia="zh-CN"/>
        </w:rPr>
      </w:pPr>
    </w:p>
    <w:p w14:paraId="63C7846E">
      <w:pPr>
        <w:rPr>
          <w:rFonts w:hint="eastAsia" w:ascii="宋体" w:hAnsi="宋体" w:eastAsia="宋体" w:cs="宋体"/>
          <w:color w:val="auto"/>
          <w:sz w:val="24"/>
          <w:szCs w:val="24"/>
          <w:highlight w:val="none"/>
          <w:lang w:val="en-US" w:eastAsia="zh-CN"/>
        </w:rPr>
      </w:pPr>
    </w:p>
    <w:p w14:paraId="66D417C2">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为维护甲乙双方的共同利益，明确抄表、安检、通气外包业务执行过程中双方各自的安全责任，加强安全生产监督管理，保障业务实施质量和人员安全，预防事故，经双方平等协商，特签订本安全协议。</w:t>
      </w:r>
    </w:p>
    <w:p w14:paraId="1B704FC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一、甲、乙双方共同职责</w:t>
      </w:r>
    </w:p>
    <w:p w14:paraId="2C98227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1.双方共同遵守国家和地方有关安全生产的法律、法规和规定，严格执行安全生产标准。</w:t>
      </w:r>
    </w:p>
    <w:p w14:paraId="03A5B91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2.安全工作方针坚持“安全第一，预防为主”，落实安全防护措施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杜绝违章指挥和违章作业，制定应急救援预案，预防事故发生。</w:t>
      </w:r>
    </w:p>
    <w:p w14:paraId="58524D0A">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3.加强安全教育，严肃安全纪律，规范安全行为，确保作业环境安全，禁止野蛮施工，减少施工扰民。</w:t>
      </w:r>
    </w:p>
    <w:p w14:paraId="71B8232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二、甲方安全职责</w:t>
      </w:r>
    </w:p>
    <w:p w14:paraId="195D910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1.对</w:t>
      </w:r>
      <w:r>
        <w:rPr>
          <w:rFonts w:hint="eastAsia" w:ascii="仿宋" w:hAnsi="仿宋" w:eastAsia="仿宋" w:cs="仿宋"/>
          <w:color w:val="auto"/>
          <w:sz w:val="24"/>
          <w:szCs w:val="24"/>
          <w:highlight w:val="none"/>
          <w:lang w:val="en-US" w:eastAsia="zh-CN"/>
        </w:rPr>
        <w:t>乙方承包业务</w:t>
      </w:r>
      <w:r>
        <w:rPr>
          <w:rFonts w:hint="eastAsia" w:ascii="仿宋" w:hAnsi="仿宋" w:eastAsia="仿宋" w:cs="仿宋"/>
          <w:color w:val="auto"/>
          <w:sz w:val="24"/>
          <w:szCs w:val="24"/>
          <w:highlight w:val="none"/>
        </w:rPr>
        <w:t>的安全生产工作</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统一协调、管理</w:t>
      </w:r>
      <w:r>
        <w:rPr>
          <w:rFonts w:hint="eastAsia" w:ascii="仿宋" w:hAnsi="仿宋" w:eastAsia="仿宋" w:cs="仿宋"/>
          <w:color w:val="auto"/>
          <w:sz w:val="24"/>
          <w:szCs w:val="24"/>
          <w:highlight w:val="none"/>
          <w:lang w:eastAsia="zh-CN"/>
        </w:rPr>
        <w:t>。</w:t>
      </w:r>
    </w:p>
    <w:p w14:paraId="25FCAF77">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向乙方提供安全生产相关要求和标准，对乙方安全生产实施监督管理</w:t>
      </w:r>
      <w:r>
        <w:rPr>
          <w:rFonts w:hint="eastAsia" w:ascii="仿宋" w:hAnsi="仿宋" w:eastAsia="仿宋" w:cs="仿宋"/>
          <w:color w:val="auto"/>
          <w:sz w:val="24"/>
          <w:szCs w:val="24"/>
          <w:highlight w:val="none"/>
          <w:lang w:eastAsia="zh-CN"/>
        </w:rPr>
        <w:t>，发现安全问题的，应当及时督促整改。</w:t>
      </w:r>
      <w:r>
        <w:rPr>
          <w:rFonts w:hint="eastAsia" w:ascii="仿宋" w:hAnsi="仿宋" w:eastAsia="仿宋" w:cs="仿宋"/>
          <w:color w:val="auto"/>
          <w:sz w:val="24"/>
          <w:szCs w:val="24"/>
          <w:highlight w:val="none"/>
        </w:rPr>
        <w:t>。</w:t>
      </w:r>
    </w:p>
    <w:p w14:paraId="5642446F">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.对乙方安全生产措施、制度和执行情况定期或不定期检查，确保安全措施落实到位。</w:t>
      </w:r>
    </w:p>
    <w:p w14:paraId="1DAB061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.每季度至少进行一次安全生产专项大检查，包括防汛、抗台、消防等专项活动。</w:t>
      </w:r>
    </w:p>
    <w:p w14:paraId="2481CD7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.有权监督、纠正乙方人员的违章行为，对不服从管理的人员依据企业规章制度和合同进行处理。</w:t>
      </w:r>
    </w:p>
    <w:p w14:paraId="689EEB7A">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.发生安全事故，必须按规定上报，执行“四不放过”原则进行调查处理。</w:t>
      </w:r>
    </w:p>
    <w:p w14:paraId="06DDA4F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三、乙方安全职责</w:t>
      </w:r>
    </w:p>
    <w:p w14:paraId="2F5D30A3">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1.贯彻安全方针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将“安全第一，预防为主”贯穿业务全过程，确保安全目标、措施、人员到位，技术熟练。</w:t>
      </w:r>
    </w:p>
    <w:p w14:paraId="474BA61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2.严格遵守</w:t>
      </w:r>
      <w:r>
        <w:rPr>
          <w:rFonts w:hint="eastAsia" w:ascii="仿宋" w:hAnsi="仿宋" w:eastAsia="仿宋" w:cs="仿宋"/>
          <w:color w:val="auto"/>
          <w:sz w:val="24"/>
          <w:szCs w:val="24"/>
          <w:highlight w:val="none"/>
          <w:lang w:val="en-US" w:eastAsia="zh-CN"/>
        </w:rPr>
        <w:t>执行</w:t>
      </w:r>
      <w:r>
        <w:rPr>
          <w:rFonts w:hint="eastAsia" w:ascii="仿宋" w:hAnsi="仿宋" w:eastAsia="仿宋" w:cs="仿宋"/>
          <w:color w:val="auto"/>
          <w:sz w:val="24"/>
          <w:szCs w:val="24"/>
          <w:highlight w:val="none"/>
        </w:rPr>
        <w:t>甲方安全生产规章制度、安全操作规程及作业流程</w:t>
      </w:r>
      <w:r>
        <w:rPr>
          <w:rFonts w:hint="eastAsia" w:ascii="仿宋" w:hAnsi="仿宋" w:eastAsia="仿宋" w:cs="仿宋"/>
          <w:color w:val="auto"/>
          <w:sz w:val="24"/>
          <w:szCs w:val="24"/>
          <w:highlight w:val="none"/>
          <w:lang w:val="en-US" w:eastAsia="zh-CN"/>
        </w:rPr>
        <w:t>等规定</w:t>
      </w:r>
      <w:r>
        <w:rPr>
          <w:rFonts w:hint="eastAsia" w:ascii="仿宋" w:hAnsi="仿宋" w:eastAsia="仿宋" w:cs="仿宋"/>
          <w:color w:val="auto"/>
          <w:sz w:val="24"/>
          <w:szCs w:val="24"/>
          <w:highlight w:val="none"/>
        </w:rPr>
        <w:t>。</w:t>
      </w:r>
    </w:p>
    <w:p w14:paraId="5235FFA0">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3.建立健全安全生产管理网络和制度，明确分工，责任到人，设置专职或兼职安全生产管理员</w:t>
      </w:r>
      <w:r>
        <w:rPr>
          <w:rFonts w:hint="eastAsia" w:ascii="仿宋" w:hAnsi="仿宋" w:eastAsia="仿宋" w:cs="仿宋"/>
          <w:color w:val="auto"/>
          <w:sz w:val="24"/>
          <w:szCs w:val="24"/>
          <w:highlight w:val="none"/>
          <w:lang w:val="en-US" w:eastAsia="zh-CN"/>
        </w:rPr>
        <w:t>并长驻甲方所在地开展工作</w:t>
      </w:r>
      <w:r>
        <w:rPr>
          <w:rFonts w:hint="eastAsia" w:ascii="仿宋" w:hAnsi="仿宋" w:eastAsia="仿宋" w:cs="仿宋"/>
          <w:color w:val="auto"/>
          <w:sz w:val="24"/>
          <w:szCs w:val="24"/>
          <w:highlight w:val="none"/>
        </w:rPr>
        <w:t>。</w:t>
      </w:r>
    </w:p>
    <w:p w14:paraId="5BEDE83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4.向从业人员告知作业场所和岗位危险，防范措施及事故应急措施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确保100%教育培训合格率。</w:t>
      </w:r>
    </w:p>
    <w:p w14:paraId="7AEE06E7">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及时贯彻落实甲方安全生产的指示精神，积极组织、参与各级安全生产专项活动，保证职工参与率和受教育率达100%</w:t>
      </w:r>
    </w:p>
    <w:p w14:paraId="53B3037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坚持安全生产检查制度，及时发现并消除事故隐患，</w:t>
      </w:r>
    </w:p>
    <w:p w14:paraId="1B3DCE7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7.及时</w:t>
      </w:r>
      <w:r>
        <w:rPr>
          <w:rFonts w:hint="eastAsia" w:ascii="仿宋" w:hAnsi="仿宋" w:eastAsia="仿宋" w:cs="仿宋"/>
          <w:color w:val="auto"/>
          <w:sz w:val="24"/>
          <w:szCs w:val="24"/>
          <w:highlight w:val="none"/>
        </w:rPr>
        <w:t>上报安全生产情况，</w:t>
      </w:r>
      <w:r>
        <w:rPr>
          <w:rFonts w:hint="eastAsia" w:ascii="仿宋" w:hAnsi="仿宋" w:eastAsia="仿宋" w:cs="仿宋"/>
          <w:color w:val="auto"/>
          <w:sz w:val="24"/>
          <w:szCs w:val="24"/>
          <w:highlight w:val="none"/>
          <w:lang w:val="en-US" w:eastAsia="zh-CN"/>
        </w:rPr>
        <w:t>整理、保管</w:t>
      </w:r>
      <w:r>
        <w:rPr>
          <w:rFonts w:hint="eastAsia" w:ascii="仿宋" w:hAnsi="仿宋" w:eastAsia="仿宋" w:cs="仿宋"/>
          <w:color w:val="auto"/>
          <w:sz w:val="24"/>
          <w:szCs w:val="24"/>
          <w:highlight w:val="none"/>
        </w:rPr>
        <w:t>安全生产资料，详细、认真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如实</w:t>
      </w:r>
      <w:r>
        <w:rPr>
          <w:rFonts w:hint="eastAsia" w:ascii="仿宋" w:hAnsi="仿宋" w:eastAsia="仿宋" w:cs="仿宋"/>
          <w:color w:val="auto"/>
          <w:sz w:val="24"/>
          <w:szCs w:val="24"/>
          <w:highlight w:val="none"/>
        </w:rPr>
        <w:t>填写安全生产活动和检查记录</w:t>
      </w:r>
      <w:r>
        <w:rPr>
          <w:rFonts w:hint="eastAsia" w:ascii="仿宋" w:hAnsi="仿宋" w:eastAsia="仿宋" w:cs="仿宋"/>
          <w:b w:val="0"/>
          <w:bCs w:val="0"/>
          <w:color w:val="auto"/>
          <w:sz w:val="24"/>
          <w:szCs w:val="24"/>
          <w:highlight w:val="none"/>
          <w:lang w:eastAsia="zh-CN"/>
        </w:rPr>
        <w:t>，</w:t>
      </w:r>
      <w:r>
        <w:rPr>
          <w:rFonts w:hint="eastAsia" w:ascii="仿宋" w:hAnsi="仿宋" w:eastAsia="仿宋"/>
          <w:b w:val="0"/>
          <w:bCs w:val="0"/>
          <w:color w:val="auto"/>
          <w:sz w:val="24"/>
          <w:szCs w:val="24"/>
          <w:highlight w:val="none"/>
        </w:rPr>
        <w:t>不发生瞒报隐患等的事件</w:t>
      </w:r>
      <w:r>
        <w:rPr>
          <w:rFonts w:hint="eastAsia" w:ascii="仿宋" w:hAnsi="仿宋" w:eastAsia="仿宋"/>
          <w:b w:val="0"/>
          <w:bCs w:val="0"/>
          <w:color w:val="auto"/>
          <w:sz w:val="24"/>
          <w:szCs w:val="24"/>
          <w:highlight w:val="none"/>
          <w:lang w:eastAsia="zh-CN"/>
        </w:rPr>
        <w:t>。</w:t>
      </w:r>
    </w:p>
    <w:p w14:paraId="27396534">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.确保安全检查设备、机动车辆在安全检验周期内有效性达100%，设备设施完好率100%。</w:t>
      </w:r>
    </w:p>
    <w:p w14:paraId="6481268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.确保安全防护用品穿戴合格率100%，现场无违章行为。</w:t>
      </w:r>
    </w:p>
    <w:p w14:paraId="7DA3711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.完善施工、住宿、办公区安全装置、防护器具、消防器材管理，确保完好率100%。</w:t>
      </w:r>
    </w:p>
    <w:p w14:paraId="7013C5B3">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.严格执行“四不放过”原则进行事故调查处理。</w:t>
      </w:r>
    </w:p>
    <w:p w14:paraId="26B2006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.落实“三级安全教育”，持证岗位人员持证率100%。</w:t>
      </w:r>
    </w:p>
    <w:p w14:paraId="27D3745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购买公众责任险，</w:t>
      </w:r>
      <w:r>
        <w:rPr>
          <w:rFonts w:hint="eastAsia" w:ascii="仿宋" w:hAnsi="仿宋" w:eastAsia="仿宋" w:cs="仿宋"/>
          <w:color w:val="auto"/>
          <w:sz w:val="24"/>
          <w:szCs w:val="24"/>
          <w:highlight w:val="none"/>
        </w:rPr>
        <w:t>为从事</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的人员办理意外伤害保险，并做好台账备查。</w:t>
      </w:r>
    </w:p>
    <w:p w14:paraId="6AB25A4C">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.发现事故</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险情及时报告，全力参与</w:t>
      </w:r>
      <w:r>
        <w:rPr>
          <w:rFonts w:hint="eastAsia" w:ascii="仿宋" w:hAnsi="仿宋" w:eastAsia="仿宋" w:cs="仿宋"/>
          <w:b w:val="0"/>
          <w:bCs w:val="0"/>
          <w:color w:val="auto"/>
          <w:sz w:val="24"/>
          <w:szCs w:val="24"/>
          <w:highlight w:val="none"/>
          <w:lang w:val="en-US" w:eastAsia="zh-CN"/>
        </w:rPr>
        <w:t>救援</w:t>
      </w:r>
      <w:r>
        <w:rPr>
          <w:rFonts w:hint="eastAsia" w:ascii="仿宋" w:hAnsi="仿宋" w:eastAsia="仿宋" w:cs="仿宋"/>
          <w:b w:val="0"/>
          <w:bCs w:val="0"/>
          <w:color w:val="auto"/>
          <w:sz w:val="24"/>
          <w:szCs w:val="24"/>
          <w:highlight w:val="none"/>
        </w:rPr>
        <w:t>抢修，配合事故调查。</w:t>
      </w:r>
    </w:p>
    <w:p w14:paraId="4C31501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b w:val="0"/>
          <w:bCs w:val="0"/>
          <w:color w:val="auto"/>
          <w:sz w:val="24"/>
          <w:szCs w:val="24"/>
          <w:highlight w:val="none"/>
          <w:lang w:val="en-US" w:eastAsia="zh-CN"/>
        </w:rPr>
        <w:t>15.</w:t>
      </w:r>
      <w:r>
        <w:rPr>
          <w:rFonts w:hint="eastAsia" w:ascii="仿宋" w:hAnsi="仿宋" w:eastAsia="仿宋" w:cs="仿宋"/>
          <w:b w:val="0"/>
          <w:bCs w:val="0"/>
          <w:color w:val="auto"/>
          <w:sz w:val="24"/>
          <w:szCs w:val="24"/>
          <w:highlight w:val="none"/>
        </w:rPr>
        <w:t>完成</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rPr>
        <w:t>交办的其他安全生产管理有关工作。</w:t>
      </w:r>
    </w:p>
    <w:p w14:paraId="6D2CEADE">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四、违约责任</w:t>
      </w:r>
    </w:p>
    <w:p w14:paraId="65465591">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1.甲方发现乙方</w:t>
      </w:r>
      <w:r>
        <w:rPr>
          <w:rFonts w:hint="eastAsia" w:ascii="仿宋" w:hAnsi="仿宋" w:eastAsia="仿宋" w:cs="仿宋"/>
          <w:color w:val="auto"/>
          <w:sz w:val="24"/>
          <w:szCs w:val="24"/>
          <w:highlight w:val="none"/>
          <w:lang w:val="en-US" w:eastAsia="zh-CN"/>
        </w:rPr>
        <w:t>安全生产工作</w:t>
      </w:r>
      <w:r>
        <w:rPr>
          <w:rFonts w:hint="eastAsia" w:ascii="仿宋" w:hAnsi="仿宋" w:eastAsia="仿宋" w:cs="仿宋"/>
          <w:color w:val="auto"/>
          <w:sz w:val="24"/>
          <w:szCs w:val="24"/>
          <w:highlight w:val="none"/>
        </w:rPr>
        <w:t>未达到约定条件，要求乙方立即改正，直至符合约定条件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同时按照合同附件一《</w:t>
      </w:r>
      <w:r>
        <w:rPr>
          <w:rFonts w:hint="eastAsia" w:ascii="仿宋" w:hAnsi="仿宋" w:eastAsia="仿宋" w:cs="仿宋"/>
          <w:color w:val="auto"/>
          <w:sz w:val="24"/>
          <w:highlight w:val="none"/>
          <w:lang w:val="en-US" w:eastAsia="zh-CN"/>
        </w:rPr>
        <w:t>考核管理办法</w:t>
      </w:r>
      <w:r>
        <w:rPr>
          <w:rFonts w:hint="eastAsia" w:ascii="仿宋" w:hAnsi="仿宋" w:eastAsia="仿宋" w:cs="仿宋"/>
          <w:color w:val="auto"/>
          <w:sz w:val="24"/>
          <w:szCs w:val="24"/>
          <w:highlight w:val="none"/>
          <w:lang w:val="en-US" w:eastAsia="zh-CN"/>
        </w:rPr>
        <w:t>》进行扣罚。</w:t>
      </w:r>
    </w:p>
    <w:p w14:paraId="40287F2B">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ascii="宋体" w:hAnsi="宋体" w:eastAsia="宋体" w:cs="宋体"/>
          <w:color w:val="auto"/>
          <w:sz w:val="24"/>
          <w:szCs w:val="24"/>
          <w:highlight w:val="none"/>
        </w:rPr>
        <w:t>2.因乙方履职不到位造成安全事故，乙方根据事故责任书认定或者法院判决承担相应责任，并赔偿相应的经济损失。</w:t>
      </w:r>
    </w:p>
    <w:p w14:paraId="2A9EF23D">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五、解决协议纠纷的方式</w:t>
      </w:r>
    </w:p>
    <w:p w14:paraId="27CD1CC8">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1.友好协商解决争议。</w:t>
      </w:r>
    </w:p>
    <w:p w14:paraId="7E7ABB6F">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有权</w:t>
      </w:r>
      <w:r>
        <w:rPr>
          <w:rFonts w:hint="eastAsia" w:ascii="仿宋" w:hAnsi="仿宋" w:eastAsia="仿宋" w:cs="仿宋"/>
          <w:color w:val="auto"/>
          <w:sz w:val="24"/>
          <w:szCs w:val="24"/>
          <w:highlight w:val="none"/>
        </w:rPr>
        <w:t>向甲方上级主管部门或安全生产管理监督部门</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反映进行调解。</w:t>
      </w:r>
    </w:p>
    <w:p w14:paraId="591991E5">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3.向甲方所在地人民法院提起诉讼</w:t>
      </w:r>
      <w:r>
        <w:rPr>
          <w:rFonts w:hint="eastAsia" w:ascii="仿宋" w:hAnsi="仿宋" w:eastAsia="仿宋" w:cs="仿宋"/>
          <w:color w:val="auto"/>
          <w:sz w:val="24"/>
          <w:szCs w:val="24"/>
          <w:highlight w:val="none"/>
          <w:lang w:val="en-US" w:eastAsia="zh-CN"/>
        </w:rPr>
        <w:t>解决</w:t>
      </w:r>
      <w:r>
        <w:rPr>
          <w:rFonts w:hint="eastAsia" w:ascii="仿宋" w:hAnsi="仿宋" w:eastAsia="仿宋" w:cs="仿宋"/>
          <w:color w:val="auto"/>
          <w:sz w:val="24"/>
          <w:szCs w:val="24"/>
          <w:highlight w:val="none"/>
        </w:rPr>
        <w:t>。</w:t>
      </w:r>
    </w:p>
    <w:p w14:paraId="28C274B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六、协议生效</w:t>
      </w:r>
    </w:p>
    <w:p w14:paraId="2B821C50">
      <w:pPr>
        <w:keepNext w:val="0"/>
        <w:keepLines w:val="0"/>
        <w:pageBreakBefore w:val="0"/>
        <w:widowControl/>
        <w:kinsoku w:val="0"/>
        <w:wordWrap/>
        <w:overflowPunct/>
        <w:topLinePunct w:val="0"/>
        <w:autoSpaceDE w:val="0"/>
        <w:autoSpaceDN w:val="0"/>
        <w:bidi w:val="0"/>
        <w:adjustRightInd w:val="0"/>
        <w:snapToGrid w:val="0"/>
        <w:spacing w:line="320" w:lineRule="exact"/>
        <w:ind w:firstLine="480" w:firstLineChars="200"/>
        <w:textAlignment w:val="baseline"/>
        <w:rPr>
          <w:rFonts w:hint="eastAsia" w:ascii="仿宋" w:hAnsi="仿宋" w:eastAsia="仿宋" w:cs="仿宋"/>
          <w:b w:val="0"/>
          <w:i w:val="0"/>
          <w:caps w:val="0"/>
          <w:color w:val="auto"/>
          <w:spacing w:val="0"/>
          <w:w w:val="100"/>
          <w:sz w:val="24"/>
          <w:szCs w:val="24"/>
          <w:highlight w:val="none"/>
        </w:rPr>
      </w:pPr>
      <w:r>
        <w:rPr>
          <w:rFonts w:hint="eastAsia" w:ascii="仿宋" w:hAnsi="仿宋" w:eastAsia="仿宋" w:cs="仿宋"/>
          <w:color w:val="auto"/>
          <w:sz w:val="24"/>
          <w:szCs w:val="24"/>
          <w:highlight w:val="none"/>
        </w:rPr>
        <w:t>此协议书有效期为</w:t>
      </w:r>
      <w:r>
        <w:rPr>
          <w:rFonts w:hint="eastAsia" w:ascii="仿宋" w:hAnsi="仿宋" w:eastAsia="仿宋" w:cs="仿宋"/>
          <w:color w:val="auto"/>
          <w:sz w:val="24"/>
          <w:szCs w:val="24"/>
          <w:highlight w:val="none"/>
          <w:u w:val="none"/>
          <w:lang w:val="en-US" w:eastAsia="zh-CN"/>
        </w:rPr>
        <w:t>一</w:t>
      </w:r>
      <w:r>
        <w:rPr>
          <w:rFonts w:hint="eastAsia" w:ascii="仿宋" w:hAnsi="仿宋" w:eastAsia="仿宋" w:cs="仿宋"/>
          <w:color w:val="auto"/>
          <w:sz w:val="24"/>
          <w:szCs w:val="24"/>
          <w:highlight w:val="none"/>
        </w:rPr>
        <w:t>年并作为合同的附件，具有同等法律效力，一式</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份，双方各执</w:t>
      </w:r>
      <w:r>
        <w:rPr>
          <w:rFonts w:hint="eastAsia" w:ascii="仿宋" w:hAnsi="仿宋" w:eastAsia="仿宋" w:cs="仿宋"/>
          <w:color w:val="auto"/>
          <w:sz w:val="24"/>
          <w:szCs w:val="24"/>
          <w:highlight w:val="none"/>
          <w:lang w:val="en-US" w:eastAsia="zh-CN"/>
        </w:rPr>
        <w:t>贰</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经双方签字盖章后生效。</w:t>
      </w:r>
    </w:p>
    <w:p w14:paraId="53A871AA">
      <w:pPr>
        <w:rPr>
          <w:rFonts w:hint="eastAsia" w:ascii="宋体" w:hAnsi="宋体" w:eastAsia="宋体" w:cs="宋体"/>
          <w:color w:val="auto"/>
          <w:highlight w:val="none"/>
        </w:rPr>
      </w:pPr>
    </w:p>
    <w:tbl>
      <w:tblPr>
        <w:tblStyle w:val="34"/>
        <w:tblW w:w="9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98"/>
        <w:gridCol w:w="4598"/>
      </w:tblGrid>
      <w:tr w14:paraId="00882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98" w:type="dxa"/>
            <w:noWrap w:val="0"/>
            <w:vAlign w:val="top"/>
          </w:tcPr>
          <w:p w14:paraId="3EC9E490">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rPr>
              <w:t>甲方(</w:t>
            </w:r>
            <w:r>
              <w:rPr>
                <w:rFonts w:hint="eastAsia" w:ascii="宋体" w:hAnsi="宋体" w:eastAsia="宋体" w:cs="宋体"/>
                <w:b w:val="0"/>
                <w:i w:val="0"/>
                <w:caps w:val="0"/>
                <w:color w:val="auto"/>
                <w:spacing w:val="0"/>
                <w:w w:val="100"/>
                <w:sz w:val="21"/>
                <w:szCs w:val="21"/>
                <w:highlight w:val="none"/>
                <w:lang w:eastAsia="zh-CN"/>
              </w:rPr>
              <w:t>盖</w:t>
            </w:r>
            <w:r>
              <w:rPr>
                <w:rFonts w:hint="eastAsia" w:ascii="宋体" w:hAnsi="宋体" w:eastAsia="宋体" w:cs="宋体"/>
                <w:b w:val="0"/>
                <w:i w:val="0"/>
                <w:caps w:val="0"/>
                <w:color w:val="auto"/>
                <w:spacing w:val="0"/>
                <w:w w:val="100"/>
                <w:sz w:val="21"/>
                <w:szCs w:val="21"/>
                <w:highlight w:val="none"/>
                <w:lang w:val="en-US" w:eastAsia="zh-CN"/>
              </w:rPr>
              <w:t>公</w:t>
            </w:r>
            <w:r>
              <w:rPr>
                <w:rFonts w:hint="eastAsia" w:ascii="宋体" w:hAnsi="宋体" w:eastAsia="宋体" w:cs="宋体"/>
                <w:b w:val="0"/>
                <w:i w:val="0"/>
                <w:caps w:val="0"/>
                <w:color w:val="auto"/>
                <w:spacing w:val="0"/>
                <w:w w:val="100"/>
                <w:sz w:val="21"/>
                <w:szCs w:val="21"/>
                <w:highlight w:val="none"/>
              </w:rPr>
              <w:t>章)：</w:t>
            </w:r>
          </w:p>
          <w:p w14:paraId="60CD86A0">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11476603">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全权</w:t>
            </w:r>
            <w:r>
              <w:rPr>
                <w:rFonts w:hint="eastAsia" w:ascii="宋体" w:hAnsi="宋体" w:eastAsia="宋体" w:cs="宋体"/>
                <w:b w:val="0"/>
                <w:i w:val="0"/>
                <w:caps w:val="0"/>
                <w:color w:val="auto"/>
                <w:spacing w:val="0"/>
                <w:w w:val="100"/>
                <w:sz w:val="21"/>
                <w:szCs w:val="21"/>
                <w:highlight w:val="none"/>
              </w:rPr>
              <w:t>代表</w:t>
            </w:r>
            <w:r>
              <w:rPr>
                <w:rFonts w:hint="eastAsia" w:ascii="宋体" w:hAnsi="宋体" w:eastAsia="宋体" w:cs="宋体"/>
                <w:b w:val="0"/>
                <w:i w:val="0"/>
                <w:caps w:val="0"/>
                <w:color w:val="auto"/>
                <w:spacing w:val="0"/>
                <w:w w:val="100"/>
                <w:sz w:val="21"/>
                <w:szCs w:val="21"/>
                <w:highlight w:val="none"/>
                <w:lang w:eastAsia="zh-CN"/>
              </w:rPr>
              <w:t>（签字或盖章）</w:t>
            </w:r>
            <w:r>
              <w:rPr>
                <w:rFonts w:hint="eastAsia" w:ascii="宋体" w:hAnsi="宋体" w:eastAsia="宋体" w:cs="宋体"/>
                <w:b w:val="0"/>
                <w:i w:val="0"/>
                <w:caps w:val="0"/>
                <w:color w:val="auto"/>
                <w:spacing w:val="0"/>
                <w:w w:val="100"/>
                <w:sz w:val="21"/>
                <w:szCs w:val="21"/>
                <w:highlight w:val="none"/>
              </w:rPr>
              <w:t>：</w:t>
            </w:r>
          </w:p>
          <w:p w14:paraId="2CEBB62B">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p>
          <w:p w14:paraId="4B541318">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日期：</w:t>
            </w:r>
          </w:p>
        </w:tc>
        <w:tc>
          <w:tcPr>
            <w:tcW w:w="4598" w:type="dxa"/>
            <w:noWrap w:val="0"/>
            <w:vAlign w:val="top"/>
          </w:tcPr>
          <w:p w14:paraId="7D3EF27B">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val="en-US" w:eastAsia="zh-CN"/>
              </w:rPr>
              <w:t>乙方</w:t>
            </w:r>
            <w:r>
              <w:rPr>
                <w:rFonts w:hint="eastAsia" w:ascii="宋体" w:hAnsi="宋体" w:eastAsia="宋体" w:cs="宋体"/>
                <w:b w:val="0"/>
                <w:i w:val="0"/>
                <w:caps w:val="0"/>
                <w:color w:val="auto"/>
                <w:spacing w:val="0"/>
                <w:w w:val="100"/>
                <w:sz w:val="21"/>
                <w:szCs w:val="21"/>
                <w:highlight w:val="none"/>
              </w:rPr>
              <w:t>(</w:t>
            </w:r>
            <w:r>
              <w:rPr>
                <w:rFonts w:hint="eastAsia" w:ascii="宋体" w:hAnsi="宋体" w:eastAsia="宋体" w:cs="宋体"/>
                <w:b w:val="0"/>
                <w:i w:val="0"/>
                <w:caps w:val="0"/>
                <w:color w:val="auto"/>
                <w:spacing w:val="0"/>
                <w:w w:val="100"/>
                <w:sz w:val="21"/>
                <w:szCs w:val="21"/>
                <w:highlight w:val="none"/>
                <w:lang w:eastAsia="zh-CN"/>
              </w:rPr>
              <w:t>盖</w:t>
            </w:r>
            <w:r>
              <w:rPr>
                <w:rFonts w:hint="eastAsia" w:ascii="宋体" w:hAnsi="宋体" w:eastAsia="宋体" w:cs="宋体"/>
                <w:b w:val="0"/>
                <w:i w:val="0"/>
                <w:caps w:val="0"/>
                <w:color w:val="auto"/>
                <w:spacing w:val="0"/>
                <w:w w:val="100"/>
                <w:sz w:val="21"/>
                <w:szCs w:val="21"/>
                <w:highlight w:val="none"/>
                <w:lang w:val="en-US" w:eastAsia="zh-CN"/>
              </w:rPr>
              <w:t>公</w:t>
            </w:r>
            <w:r>
              <w:rPr>
                <w:rFonts w:hint="eastAsia" w:ascii="宋体" w:hAnsi="宋体" w:eastAsia="宋体" w:cs="宋体"/>
                <w:b w:val="0"/>
                <w:i w:val="0"/>
                <w:caps w:val="0"/>
                <w:color w:val="auto"/>
                <w:spacing w:val="0"/>
                <w:w w:val="100"/>
                <w:sz w:val="21"/>
                <w:szCs w:val="21"/>
                <w:highlight w:val="none"/>
              </w:rPr>
              <w:t>章)：</w:t>
            </w:r>
          </w:p>
          <w:p w14:paraId="37E75A73">
            <w:pPr>
              <w:keepNext w:val="0"/>
              <w:keepLines w:val="0"/>
              <w:suppressLineNumbers w:val="0"/>
              <w:snapToGrid/>
              <w:spacing w:before="0" w:beforeAutospacing="0" w:after="0" w:afterAutospacing="0" w:line="240" w:lineRule="auto"/>
              <w:ind w:left="0" w:right="0"/>
              <w:jc w:val="left"/>
              <w:textAlignment w:val="baseline"/>
              <w:rPr>
                <w:rFonts w:hint="eastAsia" w:ascii="宋体" w:hAnsi="宋体" w:eastAsia="宋体" w:cs="宋体"/>
                <w:b w:val="0"/>
                <w:i w:val="0"/>
                <w:caps w:val="0"/>
                <w:color w:val="auto"/>
                <w:spacing w:val="0"/>
                <w:w w:val="100"/>
                <w:sz w:val="21"/>
                <w:szCs w:val="21"/>
                <w:highlight w:val="none"/>
              </w:rPr>
            </w:pPr>
          </w:p>
          <w:p w14:paraId="20674FD0">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全权</w:t>
            </w:r>
            <w:r>
              <w:rPr>
                <w:rFonts w:hint="eastAsia" w:ascii="宋体" w:hAnsi="宋体" w:eastAsia="宋体" w:cs="宋体"/>
                <w:b w:val="0"/>
                <w:i w:val="0"/>
                <w:caps w:val="0"/>
                <w:color w:val="auto"/>
                <w:spacing w:val="0"/>
                <w:w w:val="100"/>
                <w:sz w:val="21"/>
                <w:szCs w:val="21"/>
                <w:highlight w:val="none"/>
              </w:rPr>
              <w:t>代表</w:t>
            </w:r>
            <w:r>
              <w:rPr>
                <w:rFonts w:hint="eastAsia" w:ascii="宋体" w:hAnsi="宋体" w:eastAsia="宋体" w:cs="宋体"/>
                <w:b w:val="0"/>
                <w:i w:val="0"/>
                <w:caps w:val="0"/>
                <w:color w:val="auto"/>
                <w:spacing w:val="0"/>
                <w:w w:val="100"/>
                <w:sz w:val="21"/>
                <w:szCs w:val="21"/>
                <w:highlight w:val="none"/>
                <w:lang w:eastAsia="zh-CN"/>
              </w:rPr>
              <w:t>（签字或盖章）</w:t>
            </w:r>
            <w:r>
              <w:rPr>
                <w:rFonts w:hint="eastAsia" w:ascii="宋体" w:hAnsi="宋体" w:eastAsia="宋体" w:cs="宋体"/>
                <w:b w:val="0"/>
                <w:i w:val="0"/>
                <w:caps w:val="0"/>
                <w:color w:val="auto"/>
                <w:spacing w:val="0"/>
                <w:w w:val="100"/>
                <w:sz w:val="21"/>
                <w:szCs w:val="21"/>
                <w:highlight w:val="none"/>
              </w:rPr>
              <w:t>：</w:t>
            </w:r>
          </w:p>
          <w:p w14:paraId="6B28F898">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rPr>
            </w:pPr>
          </w:p>
          <w:p w14:paraId="35C10ABA">
            <w:pPr>
              <w:keepNext w:val="0"/>
              <w:keepLines w:val="0"/>
              <w:suppressLineNumbers w:val="0"/>
              <w:spacing w:before="0" w:beforeAutospacing="0" w:after="0" w:afterAutospacing="0" w:line="240" w:lineRule="auto"/>
              <w:ind w:left="0" w:right="0"/>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日期</w:t>
            </w:r>
          </w:p>
        </w:tc>
      </w:tr>
    </w:tbl>
    <w:p w14:paraId="33B1F148">
      <w:pPr>
        <w:pStyle w:val="13"/>
        <w:rPr>
          <w:rFonts w:hint="eastAsia" w:ascii="宋体" w:hAnsi="宋体" w:eastAsia="宋体" w:cs="宋体"/>
          <w:color w:val="auto"/>
          <w:highlight w:val="none"/>
          <w:lang w:val="en-US" w:eastAsia="zh-CN"/>
        </w:rPr>
        <w:sectPr>
          <w:footerReference r:id="rId5" w:type="default"/>
          <w:pgSz w:w="11906" w:h="16838"/>
          <w:pgMar w:top="1474" w:right="1417" w:bottom="1417" w:left="1417" w:header="737" w:footer="737" w:gutter="0"/>
          <w:pgBorders>
            <w:top w:val="none" w:sz="0" w:space="0"/>
            <w:left w:val="none" w:sz="0" w:space="0"/>
            <w:bottom w:val="none" w:sz="0" w:space="0"/>
            <w:right w:val="none" w:sz="0" w:space="0"/>
          </w:pgBorders>
          <w:pgNumType w:fmt="decimal"/>
          <w:cols w:space="720" w:num="1"/>
          <w:docGrid w:linePitch="312" w:charSpace="0"/>
        </w:sectPr>
      </w:pPr>
    </w:p>
    <w:p w14:paraId="32DE37E6">
      <w:pPr>
        <w:pStyle w:val="3"/>
        <w:spacing w:before="240" w:beforeLines="1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第三部分</w:t>
      </w:r>
      <w:bookmarkEnd w:id="174"/>
      <w:bookmarkEnd w:id="175"/>
      <w:bookmarkEnd w:id="176"/>
      <w:bookmarkEnd w:id="177"/>
      <w:bookmarkEnd w:id="178"/>
      <w:bookmarkEnd w:id="179"/>
      <w:bookmarkEnd w:id="180"/>
      <w:bookmarkEnd w:id="181"/>
      <w:bookmarkEnd w:id="182"/>
      <w:bookmarkEnd w:id="183"/>
      <w:r>
        <w:rPr>
          <w:rFonts w:hint="eastAsia" w:ascii="宋体" w:hAnsi="宋体" w:eastAsia="宋体" w:cs="宋体"/>
          <w:color w:val="auto"/>
          <w:sz w:val="44"/>
          <w:szCs w:val="44"/>
          <w:highlight w:val="none"/>
        </w:rPr>
        <w:t xml:space="preserve"> 投标文件的编制格式</w:t>
      </w:r>
      <w:bookmarkEnd w:id="184"/>
    </w:p>
    <w:p w14:paraId="16F638F2">
      <w:pPr>
        <w:spacing w:line="460" w:lineRule="exact"/>
        <w:jc w:val="righ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14:paraId="62D72591">
      <w:pPr>
        <w:spacing w:before="120" w:beforeLines="50" w:after="120" w:afterLine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（技术资信标封面，供参考）</w:t>
      </w:r>
    </w:p>
    <w:p w14:paraId="7760C195">
      <w:pPr>
        <w:rPr>
          <w:rFonts w:hint="eastAsia" w:ascii="宋体" w:hAnsi="宋体" w:eastAsia="宋体" w:cs="宋体"/>
          <w:color w:val="auto"/>
          <w:highlight w:val="none"/>
        </w:rPr>
      </w:pPr>
    </w:p>
    <w:p w14:paraId="46A8BBD3">
      <w:pPr>
        <w:rPr>
          <w:rFonts w:hint="eastAsia" w:ascii="宋体" w:hAnsi="宋体" w:eastAsia="宋体" w:cs="宋体"/>
          <w:color w:val="auto"/>
          <w:highlight w:val="none"/>
        </w:rPr>
      </w:pPr>
    </w:p>
    <w:p w14:paraId="25FE54F4">
      <w:pPr>
        <w:rPr>
          <w:rFonts w:hint="eastAsia" w:ascii="宋体" w:hAnsi="宋体" w:eastAsia="宋体" w:cs="宋体"/>
          <w:color w:val="auto"/>
          <w:highlight w:val="none"/>
        </w:rPr>
      </w:pPr>
    </w:p>
    <w:p w14:paraId="22F181D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投标文件</w:t>
      </w:r>
    </w:p>
    <w:p w14:paraId="48AAB8E4">
      <w:pPr>
        <w:rPr>
          <w:rFonts w:hint="eastAsia" w:ascii="宋体" w:hAnsi="宋体" w:eastAsia="宋体" w:cs="宋体"/>
          <w:color w:val="auto"/>
          <w:sz w:val="28"/>
          <w:szCs w:val="28"/>
          <w:highlight w:val="none"/>
        </w:rPr>
      </w:pPr>
    </w:p>
    <w:p w14:paraId="5CF9B4EC">
      <w:pPr>
        <w:rPr>
          <w:rFonts w:hint="eastAsia" w:ascii="宋体" w:hAnsi="宋体" w:eastAsia="宋体" w:cs="宋体"/>
          <w:color w:val="auto"/>
          <w:sz w:val="28"/>
          <w:szCs w:val="28"/>
          <w:highlight w:val="none"/>
        </w:rPr>
      </w:pPr>
    </w:p>
    <w:p w14:paraId="312EECE6">
      <w:pPr>
        <w:pStyle w:val="13"/>
        <w:ind w:firstLine="280"/>
        <w:rPr>
          <w:rFonts w:hint="eastAsia" w:ascii="宋体" w:hAnsi="宋体" w:eastAsia="宋体" w:cs="宋体"/>
          <w:color w:val="auto"/>
          <w:sz w:val="28"/>
          <w:szCs w:val="28"/>
          <w:highlight w:val="none"/>
        </w:rPr>
      </w:pPr>
    </w:p>
    <w:p w14:paraId="1B814735">
      <w:pPr>
        <w:pStyle w:val="13"/>
        <w:ind w:firstLine="280"/>
        <w:rPr>
          <w:rFonts w:hint="eastAsia" w:ascii="宋体" w:hAnsi="宋体" w:eastAsia="宋体" w:cs="宋体"/>
          <w:color w:val="auto"/>
          <w:sz w:val="28"/>
          <w:szCs w:val="28"/>
          <w:highlight w:val="none"/>
        </w:rPr>
      </w:pPr>
    </w:p>
    <w:p w14:paraId="3585E7FB">
      <w:pPr>
        <w:rPr>
          <w:rFonts w:hint="eastAsia" w:ascii="宋体" w:hAnsi="宋体" w:eastAsia="宋体" w:cs="宋体"/>
          <w:color w:val="auto"/>
          <w:sz w:val="28"/>
          <w:szCs w:val="28"/>
          <w:highlight w:val="none"/>
        </w:rPr>
      </w:pPr>
    </w:p>
    <w:p w14:paraId="1BE8EAED">
      <w:pPr>
        <w:rPr>
          <w:rFonts w:hint="eastAsia" w:ascii="宋体" w:hAnsi="宋体" w:eastAsia="宋体" w:cs="宋体"/>
          <w:color w:val="auto"/>
          <w:sz w:val="28"/>
          <w:szCs w:val="28"/>
          <w:highlight w:val="none"/>
        </w:rPr>
      </w:pPr>
    </w:p>
    <w:p w14:paraId="0E70991D">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技 术 资 信 标</w:t>
      </w:r>
    </w:p>
    <w:p w14:paraId="203CE071">
      <w:pPr>
        <w:spacing w:line="360" w:lineRule="auto"/>
        <w:rPr>
          <w:rFonts w:hint="eastAsia" w:ascii="宋体" w:hAnsi="宋体" w:eastAsia="宋体" w:cs="宋体"/>
          <w:color w:val="auto"/>
          <w:szCs w:val="21"/>
          <w:highlight w:val="none"/>
        </w:rPr>
      </w:pPr>
    </w:p>
    <w:p w14:paraId="42062DAA">
      <w:pPr>
        <w:spacing w:line="360" w:lineRule="auto"/>
        <w:rPr>
          <w:rFonts w:hint="eastAsia" w:ascii="宋体" w:hAnsi="宋体" w:eastAsia="宋体" w:cs="宋体"/>
          <w:color w:val="auto"/>
          <w:szCs w:val="21"/>
          <w:highlight w:val="none"/>
        </w:rPr>
      </w:pPr>
    </w:p>
    <w:p w14:paraId="0990D038">
      <w:pPr>
        <w:spacing w:line="360" w:lineRule="auto"/>
        <w:rPr>
          <w:rFonts w:hint="eastAsia" w:ascii="宋体" w:hAnsi="宋体" w:eastAsia="宋体" w:cs="宋体"/>
          <w:color w:val="auto"/>
          <w:szCs w:val="21"/>
          <w:highlight w:val="none"/>
        </w:rPr>
      </w:pPr>
    </w:p>
    <w:p w14:paraId="4A16531F">
      <w:pPr>
        <w:spacing w:line="360" w:lineRule="auto"/>
        <w:rPr>
          <w:rFonts w:hint="eastAsia" w:ascii="宋体" w:hAnsi="宋体" w:eastAsia="宋体" w:cs="宋体"/>
          <w:color w:val="auto"/>
          <w:szCs w:val="21"/>
          <w:highlight w:val="none"/>
        </w:rPr>
      </w:pPr>
    </w:p>
    <w:p w14:paraId="54F2D24A">
      <w:pPr>
        <w:pStyle w:val="13"/>
        <w:ind w:firstLine="210"/>
        <w:rPr>
          <w:rFonts w:hint="eastAsia" w:ascii="宋体" w:hAnsi="宋体" w:eastAsia="宋体" w:cs="宋体"/>
          <w:color w:val="auto"/>
          <w:highlight w:val="none"/>
        </w:rPr>
      </w:pPr>
    </w:p>
    <w:p w14:paraId="32C8A0E8">
      <w:pPr>
        <w:spacing w:line="360" w:lineRule="auto"/>
        <w:rPr>
          <w:rFonts w:hint="eastAsia" w:ascii="宋体" w:hAnsi="宋体" w:eastAsia="宋体" w:cs="宋体"/>
          <w:color w:val="auto"/>
          <w:szCs w:val="21"/>
          <w:highlight w:val="none"/>
        </w:rPr>
      </w:pPr>
    </w:p>
    <w:p w14:paraId="6AAFC17E">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5594C90">
      <w:pPr>
        <w:rPr>
          <w:rFonts w:hint="eastAsia" w:ascii="宋体" w:hAnsi="宋体" w:eastAsia="宋体" w:cs="宋体"/>
          <w:color w:val="auto"/>
          <w:sz w:val="28"/>
          <w:szCs w:val="28"/>
          <w:highlight w:val="none"/>
          <w:u w:val="single"/>
        </w:rPr>
      </w:pPr>
    </w:p>
    <w:p w14:paraId="3BC570B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70D5DB80">
      <w:pPr>
        <w:rPr>
          <w:rFonts w:hint="eastAsia" w:ascii="宋体" w:hAnsi="宋体" w:eastAsia="宋体" w:cs="宋体"/>
          <w:color w:val="auto"/>
          <w:sz w:val="28"/>
          <w:szCs w:val="28"/>
          <w:highlight w:val="none"/>
        </w:rPr>
      </w:pPr>
    </w:p>
    <w:p w14:paraId="72D6E91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96921FA">
      <w:pPr>
        <w:pStyle w:val="13"/>
        <w:ind w:firstLine="0" w:firstLineChars="0"/>
        <w:jc w:val="center"/>
        <w:rPr>
          <w:rFonts w:hint="eastAsia" w:ascii="宋体" w:hAnsi="宋体" w:eastAsia="宋体" w:cs="宋体"/>
          <w:b/>
          <w:bCs/>
          <w:color w:val="auto"/>
          <w:sz w:val="52"/>
          <w:szCs w:val="52"/>
          <w:highlight w:val="none"/>
        </w:rPr>
      </w:pPr>
      <w:r>
        <w:rPr>
          <w:rFonts w:hint="eastAsia" w:ascii="宋体" w:hAnsi="宋体" w:eastAsia="宋体" w:cs="宋体"/>
          <w:color w:val="auto"/>
          <w:highlight w:val="none"/>
        </w:rPr>
        <w:br w:type="page"/>
      </w:r>
      <w:bookmarkStart w:id="185" w:name="_Toc247514246"/>
      <w:bookmarkStart w:id="186" w:name="_Toc152045787"/>
      <w:bookmarkStart w:id="187" w:name="_Toc152042576"/>
      <w:bookmarkStart w:id="188" w:name="_Toc465107615"/>
      <w:bookmarkStart w:id="189" w:name="_Toc144974856"/>
      <w:bookmarkStart w:id="190" w:name="_Toc247527827"/>
      <w:r>
        <w:rPr>
          <w:rFonts w:hint="eastAsia" w:ascii="宋体" w:hAnsi="宋体" w:eastAsia="宋体" w:cs="宋体"/>
          <w:b/>
          <w:bCs/>
          <w:color w:val="auto"/>
          <w:sz w:val="52"/>
          <w:szCs w:val="52"/>
          <w:highlight w:val="none"/>
        </w:rPr>
        <w:t>目    录</w:t>
      </w:r>
      <w:bookmarkEnd w:id="185"/>
      <w:bookmarkEnd w:id="186"/>
      <w:bookmarkEnd w:id="187"/>
      <w:bookmarkEnd w:id="188"/>
      <w:bookmarkEnd w:id="189"/>
      <w:bookmarkEnd w:id="190"/>
    </w:p>
    <w:tbl>
      <w:tblPr>
        <w:tblStyle w:val="33"/>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51"/>
        <w:gridCol w:w="1276"/>
      </w:tblGrid>
      <w:tr w14:paraId="5C51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3315FCE">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6951" w:type="dxa"/>
            <w:noWrap w:val="0"/>
            <w:vAlign w:val="center"/>
          </w:tcPr>
          <w:p w14:paraId="629C5FE2">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  容</w:t>
            </w:r>
          </w:p>
        </w:tc>
        <w:tc>
          <w:tcPr>
            <w:tcW w:w="1276" w:type="dxa"/>
            <w:noWrap w:val="0"/>
            <w:vAlign w:val="center"/>
          </w:tcPr>
          <w:p w14:paraId="2DAD0463">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14:paraId="5A0F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19BCBA5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951" w:type="dxa"/>
            <w:noWrap w:val="0"/>
            <w:vAlign w:val="center"/>
          </w:tcPr>
          <w:p w14:paraId="796E6FF1">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投标函</w:t>
            </w:r>
          </w:p>
        </w:tc>
        <w:tc>
          <w:tcPr>
            <w:tcW w:w="1276" w:type="dxa"/>
            <w:noWrap w:val="0"/>
            <w:vAlign w:val="center"/>
          </w:tcPr>
          <w:p w14:paraId="32F224B8">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附件一</w:t>
            </w:r>
          </w:p>
        </w:tc>
      </w:tr>
      <w:tr w14:paraId="3009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485156CE">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951" w:type="dxa"/>
            <w:noWrap w:val="0"/>
            <w:vAlign w:val="center"/>
          </w:tcPr>
          <w:p w14:paraId="0B13FC71">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技术规格、商务条款偏离表</w:t>
            </w:r>
          </w:p>
        </w:tc>
        <w:tc>
          <w:tcPr>
            <w:tcW w:w="1276" w:type="dxa"/>
            <w:noWrap w:val="0"/>
            <w:vAlign w:val="center"/>
          </w:tcPr>
          <w:p w14:paraId="23A89D5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附件二</w:t>
            </w:r>
          </w:p>
        </w:tc>
      </w:tr>
      <w:tr w14:paraId="529E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021E7AE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6951" w:type="dxa"/>
            <w:noWrap w:val="0"/>
            <w:vAlign w:val="center"/>
          </w:tcPr>
          <w:p w14:paraId="7D82A13E">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u w:val="single"/>
              </w:rPr>
            </w:pPr>
            <w:r>
              <w:rPr>
                <w:rFonts w:hint="eastAsia" w:ascii="宋体" w:hAnsi="宋体" w:eastAsia="宋体" w:cs="宋体"/>
                <w:b/>
                <w:bCs/>
                <w:color w:val="auto"/>
                <w:sz w:val="18"/>
                <w:szCs w:val="18"/>
                <w:highlight w:val="none"/>
                <w:u w:val="single"/>
              </w:rPr>
              <w:t>▲</w:t>
            </w:r>
            <w:r>
              <w:rPr>
                <w:rFonts w:hint="eastAsia" w:ascii="宋体" w:hAnsi="宋体" w:eastAsia="宋体" w:cs="宋体"/>
                <w:b/>
                <w:color w:val="auto"/>
                <w:sz w:val="18"/>
                <w:szCs w:val="18"/>
                <w:highlight w:val="none"/>
                <w:u w:val="single"/>
              </w:rPr>
              <w:t>资格证明文件（本部分为投标供应商资格审查内容，为实质性要求）：</w:t>
            </w:r>
          </w:p>
        </w:tc>
        <w:tc>
          <w:tcPr>
            <w:tcW w:w="1276" w:type="dxa"/>
            <w:noWrap w:val="0"/>
            <w:vAlign w:val="center"/>
          </w:tcPr>
          <w:p w14:paraId="7759FC4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附件三</w:t>
            </w:r>
          </w:p>
        </w:tc>
      </w:tr>
      <w:tr w14:paraId="36D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A056E4A">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6951" w:type="dxa"/>
            <w:noWrap w:val="0"/>
            <w:vAlign w:val="center"/>
          </w:tcPr>
          <w:p w14:paraId="4BAC43F0">
            <w:pPr>
              <w:keepNext w:val="0"/>
              <w:keepLines w:val="0"/>
              <w:suppressLineNumbers w:val="0"/>
              <w:tabs>
                <w:tab w:val="left" w:pos="5355"/>
              </w:tabs>
              <w:spacing w:before="0" w:beforeAutospacing="0" w:after="0" w:afterAutospacing="0"/>
              <w:ind w:left="0" w:right="0"/>
              <w:rPr>
                <w:rFonts w:hint="eastAsia" w:ascii="宋体" w:hAnsi="宋体" w:eastAsia="宋体" w:cs="宋体"/>
                <w:b/>
                <w:bCs/>
                <w:color w:val="auto"/>
                <w:sz w:val="18"/>
                <w:szCs w:val="18"/>
                <w:highlight w:val="none"/>
                <w:u w:val="single"/>
              </w:rPr>
            </w:pPr>
            <w:r>
              <w:rPr>
                <w:rFonts w:hint="eastAsia" w:ascii="宋体" w:hAnsi="宋体" w:eastAsia="宋体" w:cs="宋体"/>
                <w:color w:val="auto"/>
                <w:sz w:val="18"/>
                <w:szCs w:val="18"/>
                <w:highlight w:val="none"/>
                <w:u w:val="single"/>
              </w:rPr>
              <w:t>法定代表人授权书（如授权代表参加投标时提供）</w:t>
            </w:r>
          </w:p>
        </w:tc>
        <w:tc>
          <w:tcPr>
            <w:tcW w:w="1276" w:type="dxa"/>
            <w:noWrap w:val="0"/>
            <w:vAlign w:val="center"/>
          </w:tcPr>
          <w:p w14:paraId="027AE1F6">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r>
      <w:tr w14:paraId="76A2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135B27D4">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6951" w:type="dxa"/>
            <w:noWrap w:val="0"/>
            <w:vAlign w:val="center"/>
          </w:tcPr>
          <w:p w14:paraId="16C63D94">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法定代表人资格证明书（如法定代表人参加投标时提供）</w:t>
            </w:r>
          </w:p>
        </w:tc>
        <w:tc>
          <w:tcPr>
            <w:tcW w:w="1276" w:type="dxa"/>
            <w:noWrap w:val="0"/>
            <w:vAlign w:val="center"/>
          </w:tcPr>
          <w:p w14:paraId="09E4EF1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r>
      <w:tr w14:paraId="2517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16CA3A52">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6951" w:type="dxa"/>
            <w:noWrap w:val="0"/>
            <w:vAlign w:val="center"/>
          </w:tcPr>
          <w:p w14:paraId="4A0E9735">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企业法人有效营业执照</w:t>
            </w:r>
            <w:r>
              <w:rPr>
                <w:rFonts w:hint="eastAsia" w:ascii="宋体" w:hAnsi="宋体" w:eastAsia="宋体" w:cs="宋体"/>
                <w:snapToGrid w:val="0"/>
                <w:color w:val="auto"/>
                <w:kern w:val="0"/>
                <w:sz w:val="18"/>
                <w:szCs w:val="18"/>
                <w:highlight w:val="none"/>
                <w:u w:val="single"/>
              </w:rPr>
              <w:t>（复印件加盖单位公章）</w:t>
            </w:r>
          </w:p>
        </w:tc>
        <w:tc>
          <w:tcPr>
            <w:tcW w:w="1276" w:type="dxa"/>
            <w:noWrap w:val="0"/>
            <w:vAlign w:val="center"/>
          </w:tcPr>
          <w:p w14:paraId="772F798C">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r>
      <w:tr w14:paraId="5330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106D3887">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6951" w:type="dxa"/>
            <w:noWrap w:val="0"/>
            <w:vAlign w:val="center"/>
          </w:tcPr>
          <w:p w14:paraId="437A934A">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auto"/>
                <w:sz w:val="18"/>
                <w:szCs w:val="18"/>
                <w:highlight w:val="none"/>
                <w:u w:val="single"/>
              </w:rPr>
              <w:t>投标声明书</w:t>
            </w:r>
          </w:p>
        </w:tc>
        <w:tc>
          <w:tcPr>
            <w:tcW w:w="1276" w:type="dxa"/>
            <w:noWrap w:val="0"/>
            <w:vAlign w:val="center"/>
          </w:tcPr>
          <w:p w14:paraId="4ACD193B">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附件四</w:t>
            </w:r>
          </w:p>
        </w:tc>
      </w:tr>
      <w:tr w14:paraId="04B4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2A5BDEF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6951" w:type="dxa"/>
            <w:noWrap w:val="0"/>
            <w:vAlign w:val="center"/>
          </w:tcPr>
          <w:p w14:paraId="3E27F369">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auto"/>
                <w:sz w:val="18"/>
                <w:szCs w:val="18"/>
                <w:highlight w:val="none"/>
                <w:u w:val="single"/>
              </w:rPr>
              <w:t>参加采购活动前三年内，在经营活动中没有重大违法记录。请在投标声明书中如实填写</w:t>
            </w:r>
            <w:r>
              <w:rPr>
                <w:rFonts w:hint="eastAsia" w:ascii="宋体" w:hAnsi="宋体" w:eastAsia="宋体" w:cs="宋体"/>
                <w:color w:val="auto"/>
                <w:sz w:val="18"/>
                <w:szCs w:val="18"/>
                <w:highlight w:val="none"/>
                <w:u w:val="single"/>
              </w:rPr>
              <w:t>（新成立不满三年的组织机构自成立之日起算）</w:t>
            </w:r>
          </w:p>
        </w:tc>
        <w:tc>
          <w:tcPr>
            <w:tcW w:w="1276" w:type="dxa"/>
            <w:noWrap w:val="0"/>
            <w:vAlign w:val="center"/>
          </w:tcPr>
          <w:p w14:paraId="3EA3BD8F">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r>
      <w:tr w14:paraId="625A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7DC549A9">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6951" w:type="dxa"/>
            <w:noWrap w:val="0"/>
            <w:vAlign w:val="center"/>
          </w:tcPr>
          <w:p w14:paraId="3A847AAF">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auto"/>
                <w:sz w:val="18"/>
                <w:szCs w:val="18"/>
                <w:highlight w:val="none"/>
                <w:u w:val="single"/>
              </w:rPr>
              <w:t>至本项目投标截止前未被列入“信用中国”网站(www.creditchina.gov.cn)“记录失信被执行人或重大税收违法案件当事人名单”记录名单。请在投标声明书在如实填写，并以采购人或代理机构当天查询结果为准。</w:t>
            </w:r>
          </w:p>
        </w:tc>
        <w:tc>
          <w:tcPr>
            <w:tcW w:w="1276" w:type="dxa"/>
            <w:noWrap w:val="0"/>
            <w:vAlign w:val="center"/>
          </w:tcPr>
          <w:p w14:paraId="5C2A21BB">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r>
      <w:tr w14:paraId="54FA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noWrap w:val="0"/>
            <w:vAlign w:val="center"/>
          </w:tcPr>
          <w:p w14:paraId="64A09FC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4</w:t>
            </w:r>
          </w:p>
        </w:tc>
        <w:tc>
          <w:tcPr>
            <w:tcW w:w="6951" w:type="dxa"/>
            <w:noWrap w:val="0"/>
            <w:vAlign w:val="center"/>
          </w:tcPr>
          <w:p w14:paraId="56FB5E3D">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kern w:val="2"/>
                <w:sz w:val="18"/>
                <w:szCs w:val="18"/>
                <w:highlight w:val="none"/>
                <w:u w:val="single"/>
                <w:lang w:val="en-US" w:eastAsia="zh-CN" w:bidi="ar-SA"/>
              </w:rPr>
            </w:pPr>
            <w:r>
              <w:rPr>
                <w:rFonts w:hint="eastAsia" w:ascii="宋体" w:hAnsi="宋体" w:eastAsia="宋体" w:cs="宋体"/>
                <w:color w:val="auto"/>
                <w:sz w:val="18"/>
                <w:szCs w:val="18"/>
                <w:highlight w:val="none"/>
                <w:u w:val="single"/>
              </w:rPr>
              <w:t>▲中标折扣系数承诺函</w:t>
            </w:r>
          </w:p>
        </w:tc>
        <w:tc>
          <w:tcPr>
            <w:tcW w:w="1276" w:type="dxa"/>
            <w:noWrap w:val="0"/>
            <w:vAlign w:val="center"/>
          </w:tcPr>
          <w:p w14:paraId="440E5DC6">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附件五</w:t>
            </w:r>
          </w:p>
        </w:tc>
      </w:tr>
      <w:tr w14:paraId="24D24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shd w:val="clear" w:color="auto" w:fill="auto"/>
            <w:noWrap w:val="0"/>
            <w:vAlign w:val="center"/>
          </w:tcPr>
          <w:p w14:paraId="101DBE5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w:t>
            </w:r>
          </w:p>
        </w:tc>
        <w:tc>
          <w:tcPr>
            <w:tcW w:w="6951" w:type="dxa"/>
            <w:noWrap w:val="0"/>
            <w:vAlign w:val="center"/>
          </w:tcPr>
          <w:p w14:paraId="167CC0BB">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sz w:val="18"/>
                <w:szCs w:val="18"/>
                <w:highlight w:val="none"/>
                <w:u w:val="single"/>
              </w:rPr>
            </w:pPr>
            <w:r>
              <w:rPr>
                <w:rFonts w:hint="eastAsia" w:ascii="宋体" w:hAnsi="宋体" w:eastAsia="宋体" w:cs="宋体"/>
                <w:color w:val="auto"/>
                <w:sz w:val="18"/>
                <w:szCs w:val="18"/>
                <w:highlight w:val="none"/>
                <w:u w:val="single"/>
              </w:rPr>
              <w:t>▲购买公众责任险承诺函</w:t>
            </w:r>
          </w:p>
        </w:tc>
        <w:tc>
          <w:tcPr>
            <w:tcW w:w="1276" w:type="dxa"/>
            <w:noWrap w:val="0"/>
            <w:vAlign w:val="center"/>
          </w:tcPr>
          <w:p w14:paraId="34A134D9">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附件六</w:t>
            </w:r>
          </w:p>
        </w:tc>
      </w:tr>
      <w:tr w14:paraId="0F14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7" w:type="dxa"/>
            <w:shd w:val="clear" w:color="auto" w:fill="auto"/>
            <w:noWrap w:val="0"/>
            <w:vAlign w:val="center"/>
          </w:tcPr>
          <w:p w14:paraId="6972CCA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6</w:t>
            </w:r>
          </w:p>
        </w:tc>
        <w:tc>
          <w:tcPr>
            <w:tcW w:w="6951" w:type="dxa"/>
            <w:noWrap w:val="0"/>
            <w:vAlign w:val="center"/>
          </w:tcPr>
          <w:p w14:paraId="5ECB0EB3">
            <w:pPr>
              <w:keepNext w:val="0"/>
              <w:keepLines w:val="0"/>
              <w:suppressLineNumbers w:val="0"/>
              <w:spacing w:before="0" w:beforeAutospacing="0" w:after="0" w:afterAutospacing="0"/>
              <w:ind w:left="0" w:right="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根据采购文件中的采购内容及要求以及技术资信评分项目逐项编制，需编制目录索引，注明评分细则项目所在投标文件页码。）</w:t>
            </w:r>
          </w:p>
          <w:p w14:paraId="783281C4">
            <w:pPr>
              <w:keepNext w:val="0"/>
              <w:keepLines w:val="0"/>
              <w:suppressLineNumbers w:val="0"/>
              <w:tabs>
                <w:tab w:val="left" w:pos="5355"/>
              </w:tabs>
              <w:spacing w:before="0" w:beforeAutospacing="0" w:after="0" w:afterAutospacing="0"/>
              <w:ind w:left="0" w:right="0" w:firstLine="360" w:firstLineChars="20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本文件《第三部分  附件》附件中未提供格式的，可自行拟定格式，并</w:t>
            </w:r>
            <w:r>
              <w:rPr>
                <w:rFonts w:hint="eastAsia" w:ascii="宋体" w:hAnsi="宋体" w:eastAsia="宋体" w:cs="宋体"/>
                <w:color w:val="auto"/>
                <w:sz w:val="18"/>
                <w:szCs w:val="18"/>
                <w:highlight w:val="none"/>
                <w:lang w:val="en-US" w:eastAsia="zh-CN"/>
              </w:rPr>
              <w:t>按采购文件相关规定</w:t>
            </w:r>
            <w:r>
              <w:rPr>
                <w:rFonts w:hint="eastAsia" w:ascii="宋体" w:hAnsi="宋体" w:eastAsia="宋体" w:cs="宋体"/>
                <w:color w:val="auto"/>
                <w:sz w:val="18"/>
                <w:szCs w:val="18"/>
                <w:highlight w:val="none"/>
              </w:rPr>
              <w:t>加盖单位公章并由法定代表人(负责人)或其授权代表签署（签字或盖章），否则视为未提供。</w:t>
            </w:r>
          </w:p>
        </w:tc>
        <w:tc>
          <w:tcPr>
            <w:tcW w:w="1276" w:type="dxa"/>
            <w:noWrap w:val="0"/>
            <w:vAlign w:val="center"/>
          </w:tcPr>
          <w:p w14:paraId="367170BA">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18"/>
                <w:szCs w:val="18"/>
                <w:highlight w:val="none"/>
                <w:lang w:val="en-US" w:eastAsia="zh-CN" w:bidi="ar-SA"/>
              </w:rPr>
            </w:pPr>
          </w:p>
        </w:tc>
      </w:tr>
      <w:tr w14:paraId="472C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noWrap w:val="0"/>
            <w:vAlign w:val="center"/>
          </w:tcPr>
          <w:p w14:paraId="49066C82">
            <w:pPr>
              <w:keepNext w:val="0"/>
              <w:keepLines w:val="0"/>
              <w:suppressLineNumbers w:val="0"/>
              <w:spacing w:before="0" w:beforeAutospacing="0" w:after="0" w:afterAutospacing="0"/>
              <w:ind w:left="0" w:right="0"/>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7</w:t>
            </w:r>
          </w:p>
        </w:tc>
        <w:tc>
          <w:tcPr>
            <w:tcW w:w="0" w:type="auto"/>
            <w:noWrap w:val="0"/>
            <w:vAlign w:val="center"/>
          </w:tcPr>
          <w:p w14:paraId="79C88752">
            <w:pPr>
              <w:keepNext w:val="0"/>
              <w:keepLines w:val="0"/>
              <w:suppressLineNumbers w:val="0"/>
              <w:tabs>
                <w:tab w:val="left" w:pos="5355"/>
              </w:tabs>
              <w:spacing w:before="0" w:beforeAutospacing="0" w:after="0" w:afterAutospacing="0"/>
              <w:ind w:left="0" w:right="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投标供应商认为需要提供的其他文件和资料</w:t>
            </w:r>
          </w:p>
        </w:tc>
        <w:tc>
          <w:tcPr>
            <w:tcW w:w="0" w:type="auto"/>
            <w:noWrap w:val="0"/>
            <w:vAlign w:val="center"/>
          </w:tcPr>
          <w:p w14:paraId="14C5786D">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18"/>
                <w:szCs w:val="18"/>
                <w:highlight w:val="none"/>
                <w:lang w:val="en-US" w:eastAsia="zh-CN" w:bidi="ar-SA"/>
              </w:rPr>
            </w:pPr>
          </w:p>
        </w:tc>
      </w:tr>
    </w:tbl>
    <w:p w14:paraId="4A394B3A">
      <w:pPr>
        <w:pStyle w:val="26"/>
        <w:rPr>
          <w:rFonts w:hint="eastAsia" w:ascii="宋体" w:hAnsi="宋体" w:eastAsia="宋体" w:cs="宋体"/>
          <w:b/>
          <w:bCs/>
          <w:color w:val="auto"/>
          <w:sz w:val="52"/>
          <w:szCs w:val="52"/>
          <w:highlight w:val="none"/>
        </w:rPr>
      </w:pPr>
    </w:p>
    <w:p w14:paraId="0B115C88">
      <w:pPr>
        <w:rPr>
          <w:rFonts w:hint="eastAsia" w:ascii="宋体" w:hAnsi="宋体" w:eastAsia="宋体" w:cs="宋体"/>
          <w:color w:val="auto"/>
          <w:highlight w:val="none"/>
        </w:rPr>
      </w:pPr>
    </w:p>
    <w:p w14:paraId="45F3A447">
      <w:pPr>
        <w:spacing w:line="460" w:lineRule="exact"/>
        <w:jc w:val="center"/>
        <w:rPr>
          <w:rFonts w:hint="eastAsia" w:ascii="宋体" w:hAnsi="宋体" w:eastAsia="宋体" w:cs="宋体"/>
          <w:color w:val="auto"/>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30"/>
          <w:szCs w:val="30"/>
          <w:highlight w:val="none"/>
        </w:rPr>
        <w:t>评分索引表</w:t>
      </w:r>
    </w:p>
    <w:tbl>
      <w:tblPr>
        <w:tblStyle w:val="33"/>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81"/>
        <w:gridCol w:w="2699"/>
      </w:tblGrid>
      <w:tr w14:paraId="3143B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1" w:hRule="atLeast"/>
          <w:jc w:val="center"/>
        </w:trPr>
        <w:tc>
          <w:tcPr>
            <w:tcW w:w="948" w:type="dxa"/>
            <w:noWrap w:val="0"/>
            <w:vAlign w:val="center"/>
          </w:tcPr>
          <w:p w14:paraId="3BE24739">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181" w:type="dxa"/>
            <w:noWrap w:val="0"/>
            <w:vAlign w:val="center"/>
          </w:tcPr>
          <w:p w14:paraId="40885F77">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评分项目</w:t>
            </w:r>
          </w:p>
        </w:tc>
        <w:tc>
          <w:tcPr>
            <w:tcW w:w="2699" w:type="dxa"/>
            <w:noWrap w:val="0"/>
            <w:vAlign w:val="center"/>
          </w:tcPr>
          <w:p w14:paraId="7A8EE536">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查阅指引</w:t>
            </w:r>
          </w:p>
        </w:tc>
      </w:tr>
      <w:tr w14:paraId="5659F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noWrap w:val="0"/>
            <w:vAlign w:val="center"/>
          </w:tcPr>
          <w:p w14:paraId="2336048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5181" w:type="dxa"/>
            <w:noWrap w:val="0"/>
            <w:vAlign w:val="center"/>
          </w:tcPr>
          <w:p w14:paraId="5A295611">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2699" w:type="dxa"/>
            <w:noWrap w:val="0"/>
            <w:vAlign w:val="center"/>
          </w:tcPr>
          <w:p w14:paraId="48878422">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   页</w:t>
            </w:r>
          </w:p>
        </w:tc>
      </w:tr>
      <w:tr w14:paraId="547D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noWrap w:val="0"/>
            <w:vAlign w:val="center"/>
          </w:tcPr>
          <w:p w14:paraId="77826D4A">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5181" w:type="dxa"/>
            <w:noWrap w:val="0"/>
            <w:vAlign w:val="center"/>
          </w:tcPr>
          <w:p w14:paraId="66AFAA0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2699" w:type="dxa"/>
            <w:noWrap w:val="0"/>
            <w:vAlign w:val="center"/>
          </w:tcPr>
          <w:p w14:paraId="681DC9C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   页</w:t>
            </w:r>
          </w:p>
        </w:tc>
      </w:tr>
      <w:tr w14:paraId="75DF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noWrap w:val="0"/>
            <w:vAlign w:val="center"/>
          </w:tcPr>
          <w:p w14:paraId="6291D7C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5181" w:type="dxa"/>
            <w:noWrap w:val="0"/>
            <w:vAlign w:val="center"/>
          </w:tcPr>
          <w:p w14:paraId="744212EE">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2699" w:type="dxa"/>
            <w:noWrap w:val="0"/>
            <w:vAlign w:val="center"/>
          </w:tcPr>
          <w:p w14:paraId="0F39B39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   页</w:t>
            </w:r>
          </w:p>
        </w:tc>
      </w:tr>
      <w:tr w14:paraId="1804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noWrap w:val="0"/>
            <w:vAlign w:val="center"/>
          </w:tcPr>
          <w:p w14:paraId="47D4006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5181" w:type="dxa"/>
            <w:noWrap w:val="0"/>
            <w:vAlign w:val="center"/>
          </w:tcPr>
          <w:p w14:paraId="0FFE4DAC">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2699" w:type="dxa"/>
            <w:noWrap w:val="0"/>
            <w:vAlign w:val="center"/>
          </w:tcPr>
          <w:p w14:paraId="1C16E0A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   页</w:t>
            </w:r>
          </w:p>
        </w:tc>
      </w:tr>
      <w:tr w14:paraId="13ED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noWrap w:val="0"/>
            <w:vAlign w:val="center"/>
          </w:tcPr>
          <w:p w14:paraId="41A3166B">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5181" w:type="dxa"/>
            <w:noWrap w:val="0"/>
            <w:vAlign w:val="center"/>
          </w:tcPr>
          <w:p w14:paraId="7581C6E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2699" w:type="dxa"/>
            <w:noWrap w:val="0"/>
            <w:vAlign w:val="center"/>
          </w:tcPr>
          <w:p w14:paraId="54A52057">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   页</w:t>
            </w:r>
          </w:p>
        </w:tc>
      </w:tr>
      <w:tr w14:paraId="6B91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noWrap w:val="0"/>
            <w:vAlign w:val="center"/>
          </w:tcPr>
          <w:p w14:paraId="25FD32E4">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5181" w:type="dxa"/>
            <w:noWrap w:val="0"/>
            <w:vAlign w:val="center"/>
          </w:tcPr>
          <w:p w14:paraId="0124DD58">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2699" w:type="dxa"/>
            <w:noWrap w:val="0"/>
            <w:vAlign w:val="center"/>
          </w:tcPr>
          <w:p w14:paraId="52F51AB9">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   页</w:t>
            </w:r>
          </w:p>
        </w:tc>
      </w:tr>
      <w:tr w14:paraId="6B5B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noWrap w:val="0"/>
            <w:vAlign w:val="center"/>
          </w:tcPr>
          <w:p w14:paraId="0B0E94D5">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5181" w:type="dxa"/>
            <w:noWrap w:val="0"/>
            <w:vAlign w:val="center"/>
          </w:tcPr>
          <w:p w14:paraId="3E850667">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 w:val="24"/>
                <w:highlight w:val="none"/>
              </w:rPr>
            </w:pPr>
          </w:p>
        </w:tc>
        <w:tc>
          <w:tcPr>
            <w:tcW w:w="2699" w:type="dxa"/>
            <w:noWrap w:val="0"/>
            <w:vAlign w:val="center"/>
          </w:tcPr>
          <w:p w14:paraId="4098FA0F">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见第   页</w:t>
            </w:r>
          </w:p>
        </w:tc>
      </w:tr>
    </w:tbl>
    <w:p w14:paraId="12F75C82">
      <w:pPr>
        <w:spacing w:line="42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3FE2DF66">
      <w:pPr>
        <w:pStyle w:val="120"/>
        <w:numPr>
          <w:ilvl w:val="0"/>
          <w:numId w:val="25"/>
        </w:numPr>
        <w:spacing w:line="420" w:lineRule="exact"/>
        <w:ind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建议此表放在技术资信标封面后第一页，方便评委打分时可以快速查阅到与评分项有关的内容。</w:t>
      </w:r>
    </w:p>
    <w:p w14:paraId="7F9109F0">
      <w:pPr>
        <w:pStyle w:val="120"/>
        <w:numPr>
          <w:ilvl w:val="0"/>
          <w:numId w:val="25"/>
        </w:numPr>
        <w:spacing w:line="420" w:lineRule="exact"/>
        <w:ind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技术资信评分项中要求提供的技术参数投标人需做清晰标识，格式可自拟。</w:t>
      </w:r>
    </w:p>
    <w:p w14:paraId="3EA95EE7">
      <w:pPr>
        <w:overflowPunct w:val="0"/>
        <w:spacing w:line="4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br w:type="page"/>
      </w:r>
      <w:r>
        <w:rPr>
          <w:rFonts w:hint="eastAsia" w:ascii="宋体" w:hAnsi="宋体" w:eastAsia="宋体" w:cs="宋体"/>
          <w:b/>
          <w:bCs/>
          <w:color w:val="auto"/>
          <w:sz w:val="22"/>
          <w:szCs w:val="22"/>
          <w:highlight w:val="none"/>
        </w:rPr>
        <w:t>附件一</w:t>
      </w:r>
    </w:p>
    <w:p w14:paraId="2FAC758B">
      <w:pPr>
        <w:overflowPunct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33C9ECA3">
      <w:pPr>
        <w:overflowPunct w:val="0"/>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温州市燃气集团有限公司</w:t>
      </w:r>
      <w:r>
        <w:rPr>
          <w:rFonts w:hint="eastAsia" w:ascii="宋体" w:hAnsi="宋体" w:eastAsia="宋体" w:cs="宋体"/>
          <w:color w:val="auto"/>
          <w:sz w:val="22"/>
          <w:szCs w:val="22"/>
          <w:highlight w:val="none"/>
        </w:rPr>
        <w:t>：</w:t>
      </w:r>
    </w:p>
    <w:p w14:paraId="4F45C2D3">
      <w:pPr>
        <w:overflowPunct w:val="0"/>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浙江国际招投标有限公司：</w:t>
      </w:r>
    </w:p>
    <w:p w14:paraId="600C1CAC">
      <w:pPr>
        <w:overflowPunct w:val="0"/>
        <w:spacing w:line="42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根据贵方为</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项目（项目编号：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b/>
          <w:color w:val="auto"/>
          <w:sz w:val="22"/>
          <w:szCs w:val="22"/>
          <w:highlight w:val="none"/>
        </w:rPr>
        <w:t xml:space="preserve"> </w:t>
      </w:r>
      <w:r>
        <w:rPr>
          <w:rFonts w:hint="eastAsia" w:ascii="宋体" w:hAnsi="宋体" w:eastAsia="宋体" w:cs="宋体"/>
          <w:color w:val="auto"/>
          <w:sz w:val="22"/>
          <w:szCs w:val="22"/>
          <w:highlight w:val="none"/>
        </w:rPr>
        <w:t>）的投标邀请，我方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（投标供应商名称）作为投标供应商正式授权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（授权代表全名，职务）代表我方处理有关本投标的一切事宜。</w:t>
      </w:r>
    </w:p>
    <w:p w14:paraId="66994D58">
      <w:pPr>
        <w:pStyle w:val="9"/>
        <w:overflowPunct w:val="0"/>
        <w:spacing w:line="420" w:lineRule="exact"/>
        <w:ind w:firstLine="44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在此提交的投标文件中，包括如下内</w:t>
      </w:r>
      <w:r>
        <w:rPr>
          <w:rFonts w:hint="eastAsia" w:ascii="宋体" w:hAnsi="宋体" w:eastAsia="宋体" w:cs="宋体"/>
          <w:color w:val="auto"/>
          <w:sz w:val="22"/>
          <w:highlight w:val="none"/>
        </w:rPr>
        <w:t>容，并已分别单独密封装袋：</w:t>
      </w:r>
    </w:p>
    <w:p w14:paraId="4363432D">
      <w:pPr>
        <w:overflowPunct w:val="0"/>
        <w:spacing w:line="42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（—）按“投标供应商须知”要求编制的投标文件技术标【正本一份，副本</w:t>
      </w:r>
      <w:r>
        <w:rPr>
          <w:rFonts w:hint="eastAsia" w:ascii="宋体" w:hAnsi="宋体" w:eastAsia="宋体" w:cs="宋体"/>
          <w:color w:val="auto"/>
          <w:sz w:val="22"/>
          <w:highlight w:val="none"/>
          <w:lang w:val="en-US" w:eastAsia="zh-CN"/>
        </w:rPr>
        <w:t>六</w:t>
      </w:r>
      <w:r>
        <w:rPr>
          <w:rFonts w:hint="eastAsia" w:ascii="宋体" w:hAnsi="宋体" w:eastAsia="宋体" w:cs="宋体"/>
          <w:color w:val="auto"/>
          <w:sz w:val="22"/>
          <w:highlight w:val="none"/>
        </w:rPr>
        <w:t>份】；</w:t>
      </w:r>
    </w:p>
    <w:p w14:paraId="26569EEC">
      <w:pPr>
        <w:overflowPunct w:val="0"/>
        <w:spacing w:line="42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（二）按“投标供应商须知”要求编制的投标文件商务（报价）标【正本一份，副本</w:t>
      </w:r>
      <w:r>
        <w:rPr>
          <w:rFonts w:hint="eastAsia" w:ascii="宋体" w:hAnsi="宋体" w:eastAsia="宋体" w:cs="宋体"/>
          <w:color w:val="auto"/>
          <w:sz w:val="22"/>
          <w:highlight w:val="none"/>
          <w:lang w:val="en-US" w:eastAsia="zh-CN"/>
        </w:rPr>
        <w:t>六</w:t>
      </w:r>
      <w:r>
        <w:rPr>
          <w:rFonts w:hint="eastAsia" w:ascii="宋体" w:hAnsi="宋体" w:eastAsia="宋体" w:cs="宋体"/>
          <w:color w:val="auto"/>
          <w:sz w:val="22"/>
          <w:highlight w:val="none"/>
        </w:rPr>
        <w:t>份】</w:t>
      </w:r>
    </w:p>
    <w:p w14:paraId="526B5137">
      <w:pPr>
        <w:overflowPunct w:val="0"/>
        <w:spacing w:line="420" w:lineRule="exact"/>
        <w:ind w:firstLine="330" w:firstLineChars="150"/>
        <w:rPr>
          <w:rFonts w:hint="eastAsia" w:ascii="宋体" w:hAnsi="宋体" w:eastAsia="宋体" w:cs="宋体"/>
          <w:color w:val="auto"/>
          <w:sz w:val="22"/>
          <w:highlight w:val="none"/>
        </w:rPr>
      </w:pPr>
      <w:r>
        <w:rPr>
          <w:rFonts w:hint="eastAsia" w:ascii="宋体" w:hAnsi="宋体" w:eastAsia="宋体" w:cs="宋体"/>
          <w:color w:val="auto"/>
          <w:sz w:val="22"/>
          <w:highlight w:val="none"/>
        </w:rPr>
        <w:t>我方</w:t>
      </w:r>
      <w:r>
        <w:rPr>
          <w:rFonts w:hint="eastAsia" w:ascii="宋体" w:hAnsi="宋体" w:cs="宋体"/>
          <w:color w:val="auto"/>
          <w:sz w:val="22"/>
          <w:highlight w:val="none"/>
          <w:lang w:val="en-US" w:eastAsia="zh-CN"/>
        </w:rPr>
        <w:t>已</w:t>
      </w:r>
      <w:r>
        <w:rPr>
          <w:rFonts w:hint="eastAsia" w:ascii="宋体" w:hAnsi="宋体" w:eastAsia="宋体" w:cs="宋体"/>
          <w:color w:val="auto"/>
          <w:sz w:val="22"/>
          <w:highlight w:val="none"/>
        </w:rPr>
        <w:t>完全明白采购文件的所有条款要求，并重申以下几点：</w:t>
      </w:r>
    </w:p>
    <w:p w14:paraId="5EA60411">
      <w:pPr>
        <w:overflowPunct w:val="0"/>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（一）本投标文件的有效期自投标截止日起</w:t>
      </w:r>
      <w:r>
        <w:rPr>
          <w:rFonts w:hint="eastAsia" w:ascii="宋体" w:hAnsi="宋体" w:eastAsia="宋体" w:cs="宋体"/>
          <w:b/>
          <w:color w:val="auto"/>
          <w:sz w:val="22"/>
          <w:highlight w:val="none"/>
          <w:u w:val="single"/>
        </w:rPr>
        <w:t xml:space="preserve"> 90 </w:t>
      </w:r>
      <w:r>
        <w:rPr>
          <w:rFonts w:hint="eastAsia" w:ascii="宋体" w:hAnsi="宋体" w:eastAsia="宋体" w:cs="宋体"/>
          <w:b/>
          <w:color w:val="auto"/>
          <w:sz w:val="22"/>
          <w:highlight w:val="none"/>
        </w:rPr>
        <w:t>天内</w:t>
      </w:r>
      <w:r>
        <w:rPr>
          <w:rFonts w:hint="eastAsia" w:ascii="宋体" w:hAnsi="宋体" w:eastAsia="宋体" w:cs="宋体"/>
          <w:color w:val="auto"/>
          <w:sz w:val="22"/>
          <w:highlight w:val="none"/>
        </w:rPr>
        <w:t>有效，如中标，有效期将延至合同终止日为止；</w:t>
      </w:r>
    </w:p>
    <w:p w14:paraId="2DCCF5F0">
      <w:pPr>
        <w:overflowPunct w:val="0"/>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（二）我方已详细研究了采购文件的所有内容包括修改书（如有）和所有已提供的参考资料以及有关附件，我方完全理解并同意放弃在此方面提出含糊意见或误解的一切权力；</w:t>
      </w:r>
    </w:p>
    <w:p w14:paraId="46AFAABA">
      <w:pPr>
        <w:overflowPunct w:val="0"/>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（三）我方明白并同意，在规定的开标时间之后，如我方出现投标供应商须知第三条第13.4款规定的情况之一的，我方投标保证金将被贵方不予退还；</w:t>
      </w:r>
    </w:p>
    <w:p w14:paraId="57E1098F">
      <w:pPr>
        <w:overflowPunct w:val="0"/>
        <w:spacing w:line="420" w:lineRule="exact"/>
        <w:ind w:left="359" w:leftChars="171"/>
        <w:rPr>
          <w:rFonts w:hint="eastAsia" w:ascii="宋体" w:hAnsi="宋体" w:eastAsia="宋体" w:cs="宋体"/>
          <w:color w:val="auto"/>
          <w:sz w:val="22"/>
          <w:highlight w:val="none"/>
        </w:rPr>
      </w:pPr>
      <w:r>
        <w:rPr>
          <w:rFonts w:hint="eastAsia" w:ascii="宋体" w:hAnsi="宋体" w:eastAsia="宋体" w:cs="宋体"/>
          <w:color w:val="auto"/>
          <w:sz w:val="22"/>
          <w:highlight w:val="none"/>
        </w:rPr>
        <w:t>（四）我方同意提供按照贵方可能要求的与投标有关的一切数据或资料；</w:t>
      </w:r>
    </w:p>
    <w:p w14:paraId="676E1EE6">
      <w:pPr>
        <w:overflowPunct w:val="0"/>
        <w:spacing w:line="420" w:lineRule="exact"/>
        <w:ind w:left="359" w:leftChars="171"/>
        <w:rPr>
          <w:rFonts w:hint="eastAsia" w:ascii="宋体" w:hAnsi="宋体" w:eastAsia="宋体" w:cs="宋体"/>
          <w:color w:val="auto"/>
          <w:sz w:val="22"/>
          <w:highlight w:val="none"/>
        </w:rPr>
      </w:pPr>
      <w:r>
        <w:rPr>
          <w:rFonts w:hint="eastAsia" w:ascii="宋体" w:hAnsi="宋体" w:eastAsia="宋体" w:cs="宋体"/>
          <w:color w:val="auto"/>
          <w:sz w:val="22"/>
          <w:highlight w:val="none"/>
        </w:rPr>
        <w:t>（五）我方理解贵方不一定接受最低报价。</w:t>
      </w:r>
    </w:p>
    <w:p w14:paraId="5B6F023F">
      <w:pPr>
        <w:overflowPunct w:val="0"/>
        <w:spacing w:line="420" w:lineRule="exact"/>
        <w:ind w:left="1019" w:leftChars="171" w:hanging="660" w:hangingChars="300"/>
        <w:rPr>
          <w:rFonts w:hint="eastAsia" w:ascii="宋体" w:hAnsi="宋体" w:eastAsia="宋体" w:cs="宋体"/>
          <w:color w:val="auto"/>
          <w:sz w:val="22"/>
          <w:highlight w:val="none"/>
        </w:rPr>
      </w:pPr>
      <w:r>
        <w:rPr>
          <w:rFonts w:hint="eastAsia" w:ascii="宋体" w:hAnsi="宋体" w:eastAsia="宋体" w:cs="宋体"/>
          <w:color w:val="auto"/>
          <w:sz w:val="22"/>
          <w:highlight w:val="none"/>
        </w:rPr>
        <w:t>（六）我方如果中标，将保证履行采购文件以及采购文件修改书（如有）中的全部责任和义务，按质、按量、按期完成《合同书》中的全部任务。</w:t>
      </w:r>
    </w:p>
    <w:p w14:paraId="49CF7A8B">
      <w:pPr>
        <w:overflowPunct w:val="0"/>
        <w:spacing w:line="420" w:lineRule="exact"/>
        <w:ind w:left="315"/>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（七）所有与本投标有关的函件请发往下列地址：</w:t>
      </w:r>
    </w:p>
    <w:p w14:paraId="70E231BC">
      <w:pPr>
        <w:overflowPunct w:val="0"/>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地址</w:t>
      </w:r>
      <w:r>
        <w:rPr>
          <w:rFonts w:hint="eastAsia" w:ascii="宋体" w:hAnsi="宋体" w:eastAsia="宋体" w:cs="宋体"/>
          <w:color w:val="auto"/>
          <w:sz w:val="22"/>
          <w:szCs w:val="22"/>
          <w:highlight w:val="none"/>
          <w:u w:val="single"/>
        </w:rPr>
        <w:t xml:space="preserve">                           </w:t>
      </w:r>
    </w:p>
    <w:p w14:paraId="528D981F">
      <w:pPr>
        <w:overflowPunct w:val="0"/>
        <w:spacing w:line="420" w:lineRule="exact"/>
        <w:ind w:firstLine="43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14:paraId="099A22E3">
      <w:pPr>
        <w:overflowPunct w:val="0"/>
        <w:spacing w:line="420" w:lineRule="exact"/>
        <w:ind w:firstLine="435"/>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传真</w:t>
      </w:r>
      <w:r>
        <w:rPr>
          <w:rFonts w:hint="eastAsia" w:ascii="宋体" w:hAnsi="宋体" w:eastAsia="宋体" w:cs="宋体"/>
          <w:color w:val="auto"/>
          <w:sz w:val="22"/>
          <w:szCs w:val="22"/>
          <w:highlight w:val="none"/>
          <w:u w:val="single"/>
        </w:rPr>
        <w:t xml:space="preserve">                           </w:t>
      </w:r>
    </w:p>
    <w:p w14:paraId="2B411DA8">
      <w:pPr>
        <w:overflowPunct w:val="0"/>
        <w:spacing w:line="420" w:lineRule="exact"/>
        <w:ind w:firstLine="770" w:firstLineChars="35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电子邮件</w:t>
      </w:r>
      <w:r>
        <w:rPr>
          <w:rFonts w:hint="eastAsia" w:ascii="宋体" w:hAnsi="宋体" w:eastAsia="宋体" w:cs="宋体"/>
          <w:color w:val="auto"/>
          <w:sz w:val="22"/>
          <w:szCs w:val="22"/>
          <w:highlight w:val="none"/>
          <w:u w:val="single"/>
        </w:rPr>
        <w:t xml:space="preserve">                       </w:t>
      </w:r>
    </w:p>
    <w:p w14:paraId="430F2AEA">
      <w:pPr>
        <w:spacing w:line="360" w:lineRule="auto"/>
        <w:rPr>
          <w:rFonts w:hint="eastAsia" w:ascii="宋体" w:hAnsi="宋体" w:eastAsia="宋体" w:cs="宋体"/>
          <w:bCs/>
          <w:color w:val="auto"/>
          <w:sz w:val="22"/>
          <w:szCs w:val="22"/>
          <w:highlight w:val="none"/>
        </w:rPr>
      </w:pPr>
    </w:p>
    <w:p w14:paraId="7CDAA611">
      <w:pPr>
        <w:spacing w:line="360" w:lineRule="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投标供应商全称（公章）：</w:t>
      </w:r>
    </w:p>
    <w:p w14:paraId="268BD876">
      <w:pPr>
        <w:spacing w:line="360" w:lineRule="auto"/>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bCs/>
          <w:color w:val="auto"/>
          <w:sz w:val="22"/>
          <w:szCs w:val="22"/>
          <w:highlight w:val="none"/>
        </w:rPr>
        <w:t>（签字</w:t>
      </w:r>
      <w:r>
        <w:rPr>
          <w:rFonts w:hint="eastAsia" w:ascii="宋体" w:hAnsi="宋体" w:eastAsia="宋体" w:cs="宋体"/>
          <w:color w:val="auto"/>
          <w:sz w:val="22"/>
          <w:szCs w:val="22"/>
          <w:highlight w:val="none"/>
        </w:rPr>
        <w:t>或盖章</w:t>
      </w:r>
      <w:r>
        <w:rPr>
          <w:rFonts w:hint="eastAsia" w:ascii="宋体" w:hAnsi="宋体" w:eastAsia="宋体" w:cs="宋体"/>
          <w:bCs/>
          <w:color w:val="auto"/>
          <w:sz w:val="22"/>
          <w:szCs w:val="22"/>
          <w:highlight w:val="none"/>
        </w:rPr>
        <w:t>）：</w:t>
      </w:r>
    </w:p>
    <w:p w14:paraId="733AED06">
      <w:pPr>
        <w:spacing w:line="38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日  期：</w:t>
      </w:r>
    </w:p>
    <w:p w14:paraId="4BCE7F3E">
      <w:pPr>
        <w:spacing w:line="380" w:lineRule="exact"/>
        <w:rPr>
          <w:rFonts w:hint="eastAsia" w:ascii="宋体" w:hAnsi="宋体" w:eastAsia="宋体" w:cs="宋体"/>
          <w:bCs/>
          <w:color w:val="auto"/>
          <w:sz w:val="22"/>
          <w:szCs w:val="22"/>
          <w:highlight w:val="none"/>
        </w:rPr>
      </w:pPr>
    </w:p>
    <w:p w14:paraId="159F179B">
      <w:pPr>
        <w:spacing w:line="380" w:lineRule="exac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▲不提供投标函的投标文件将被视为未实质性响应采购文件。</w:t>
      </w:r>
    </w:p>
    <w:p w14:paraId="44BF79FE">
      <w:pPr>
        <w:tabs>
          <w:tab w:val="left" w:pos="900"/>
        </w:tabs>
        <w:rPr>
          <w:rFonts w:hint="eastAsia" w:ascii="宋体" w:hAnsi="宋体" w:eastAsia="宋体" w:cs="宋体"/>
          <w:color w:val="auto"/>
          <w:sz w:val="22"/>
          <w:szCs w:val="22"/>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附件二</w:t>
      </w:r>
    </w:p>
    <w:p w14:paraId="21D61645">
      <w:pPr>
        <w:spacing w:line="46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技术规格、商务条款偏离表</w:t>
      </w:r>
    </w:p>
    <w:p w14:paraId="28E4CF79">
      <w:pPr>
        <w:spacing w:line="38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项目名称：                                  项目编号：                  </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14:paraId="017CC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noWrap w:val="0"/>
            <w:vAlign w:val="center"/>
          </w:tcPr>
          <w:p w14:paraId="21CCBE7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3749" w:type="dxa"/>
            <w:gridSpan w:val="2"/>
            <w:noWrap w:val="0"/>
            <w:vAlign w:val="center"/>
          </w:tcPr>
          <w:p w14:paraId="1946B46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采购文件要求</w:t>
            </w:r>
          </w:p>
        </w:tc>
        <w:tc>
          <w:tcPr>
            <w:tcW w:w="3533" w:type="dxa"/>
            <w:gridSpan w:val="3"/>
            <w:noWrap w:val="0"/>
            <w:vAlign w:val="center"/>
          </w:tcPr>
          <w:p w14:paraId="5101FB1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1147" w:type="dxa"/>
            <w:vMerge w:val="restart"/>
            <w:noWrap w:val="0"/>
            <w:vAlign w:val="center"/>
          </w:tcPr>
          <w:p w14:paraId="0A6EED2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正偏离或负偏离</w:t>
            </w:r>
          </w:p>
        </w:tc>
      </w:tr>
      <w:tr w14:paraId="43F9A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noWrap w:val="0"/>
            <w:vAlign w:val="center"/>
          </w:tcPr>
          <w:p w14:paraId="1EB306C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138644B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2634" w:type="dxa"/>
            <w:noWrap w:val="0"/>
            <w:vAlign w:val="center"/>
          </w:tcPr>
          <w:p w14:paraId="08964B23">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简要内容</w:t>
            </w:r>
          </w:p>
        </w:tc>
        <w:tc>
          <w:tcPr>
            <w:tcW w:w="1210" w:type="dxa"/>
            <w:gridSpan w:val="2"/>
            <w:noWrap w:val="0"/>
            <w:vAlign w:val="center"/>
          </w:tcPr>
          <w:p w14:paraId="3DA48B2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2323" w:type="dxa"/>
            <w:noWrap w:val="0"/>
            <w:vAlign w:val="center"/>
          </w:tcPr>
          <w:p w14:paraId="2FCB2C84">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实际响应的具体内容</w:t>
            </w:r>
          </w:p>
        </w:tc>
        <w:tc>
          <w:tcPr>
            <w:tcW w:w="1147" w:type="dxa"/>
            <w:vMerge w:val="continue"/>
            <w:noWrap w:val="0"/>
            <w:vAlign w:val="center"/>
          </w:tcPr>
          <w:p w14:paraId="50C3540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04215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noWrap w:val="0"/>
            <w:textDirection w:val="tbRlV"/>
            <w:vAlign w:val="center"/>
          </w:tcPr>
          <w:p w14:paraId="034D7EE2">
            <w:pPr>
              <w:keepNext w:val="0"/>
              <w:keepLines w:val="0"/>
              <w:suppressLineNumbers w:val="0"/>
              <w:spacing w:before="0" w:beforeAutospacing="0" w:after="0" w:afterAutospacing="0"/>
              <w:ind w:left="0" w:right="113"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技  术  偏  离</w:t>
            </w:r>
          </w:p>
        </w:tc>
        <w:tc>
          <w:tcPr>
            <w:tcW w:w="1115" w:type="dxa"/>
            <w:noWrap w:val="0"/>
            <w:vAlign w:val="center"/>
          </w:tcPr>
          <w:p w14:paraId="286EBF5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4F07C48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6F40191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3443A23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435558E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6A772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3DF0FF0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1DDCEDA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04C0FE9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35E3422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3DFB441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4E4D0F6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62DD5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3B467B9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2BCA75B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158706A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2EE83FA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5BAB6CA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05FA001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2663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5321E12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4C6AABE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37CA7A5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5A62F15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6DBBD93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4904BAA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1D08C0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2E3366F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19C317B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6853A7D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03F194E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71C88B48">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2E1B0D9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22B67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512F3AE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4D7D275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03614CE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3B623B9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0660AD5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484856B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13679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706B557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0A1116A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55C2DD4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2977D64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029B8E7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3A1F7B2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31D72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noWrap w:val="0"/>
            <w:vAlign w:val="center"/>
          </w:tcPr>
          <w:p w14:paraId="67377C4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4AEFA69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5E5A0E5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10" w:type="dxa"/>
            <w:gridSpan w:val="2"/>
            <w:noWrap w:val="0"/>
            <w:vAlign w:val="center"/>
          </w:tcPr>
          <w:p w14:paraId="7667BA7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23" w:type="dxa"/>
            <w:noWrap w:val="0"/>
            <w:vAlign w:val="center"/>
          </w:tcPr>
          <w:p w14:paraId="6C06ED8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4CEC4F0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19A90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noWrap w:val="0"/>
            <w:vAlign w:val="center"/>
          </w:tcPr>
          <w:p w14:paraId="7604368E">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3749" w:type="dxa"/>
            <w:gridSpan w:val="2"/>
            <w:noWrap w:val="0"/>
            <w:vAlign w:val="center"/>
          </w:tcPr>
          <w:p w14:paraId="5146DB2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采购文件要求</w:t>
            </w:r>
          </w:p>
        </w:tc>
        <w:tc>
          <w:tcPr>
            <w:tcW w:w="3533" w:type="dxa"/>
            <w:gridSpan w:val="3"/>
            <w:noWrap w:val="0"/>
            <w:vAlign w:val="center"/>
          </w:tcPr>
          <w:p w14:paraId="56A0065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投标文件内容</w:t>
            </w:r>
          </w:p>
        </w:tc>
        <w:tc>
          <w:tcPr>
            <w:tcW w:w="1147" w:type="dxa"/>
            <w:noWrap w:val="0"/>
            <w:vAlign w:val="center"/>
          </w:tcPr>
          <w:p w14:paraId="1427AC9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4D5C9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noWrap w:val="0"/>
            <w:vAlign w:val="center"/>
          </w:tcPr>
          <w:p w14:paraId="4891690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2FCBC82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2634" w:type="dxa"/>
            <w:noWrap w:val="0"/>
            <w:vAlign w:val="center"/>
          </w:tcPr>
          <w:p w14:paraId="2FAA9462">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简要内容</w:t>
            </w:r>
          </w:p>
        </w:tc>
        <w:tc>
          <w:tcPr>
            <w:tcW w:w="1196" w:type="dxa"/>
            <w:noWrap w:val="0"/>
            <w:vAlign w:val="center"/>
          </w:tcPr>
          <w:p w14:paraId="29D5100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条款号</w:t>
            </w:r>
          </w:p>
        </w:tc>
        <w:tc>
          <w:tcPr>
            <w:tcW w:w="2337" w:type="dxa"/>
            <w:gridSpan w:val="2"/>
            <w:noWrap w:val="0"/>
            <w:vAlign w:val="center"/>
          </w:tcPr>
          <w:p w14:paraId="244F2C60">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简要内容</w:t>
            </w:r>
          </w:p>
        </w:tc>
        <w:tc>
          <w:tcPr>
            <w:tcW w:w="1147" w:type="dxa"/>
            <w:noWrap w:val="0"/>
            <w:vAlign w:val="center"/>
          </w:tcPr>
          <w:p w14:paraId="1BF0107E">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D3C6E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noWrap w:val="0"/>
            <w:textDirection w:val="tbRlV"/>
            <w:vAlign w:val="center"/>
          </w:tcPr>
          <w:p w14:paraId="0650442C">
            <w:pPr>
              <w:keepNext w:val="0"/>
              <w:keepLines w:val="0"/>
              <w:suppressLineNumbers w:val="0"/>
              <w:spacing w:before="0" w:beforeAutospacing="0" w:after="0" w:afterAutospacing="0"/>
              <w:ind w:left="0" w:right="113"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  务  偏  离</w:t>
            </w:r>
          </w:p>
        </w:tc>
        <w:tc>
          <w:tcPr>
            <w:tcW w:w="1115" w:type="dxa"/>
            <w:noWrap w:val="0"/>
            <w:vAlign w:val="center"/>
          </w:tcPr>
          <w:p w14:paraId="0E7B262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3E1F9CB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96" w:type="dxa"/>
            <w:noWrap w:val="0"/>
            <w:vAlign w:val="center"/>
          </w:tcPr>
          <w:p w14:paraId="73BFA20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37" w:type="dxa"/>
            <w:gridSpan w:val="2"/>
            <w:noWrap w:val="0"/>
            <w:vAlign w:val="center"/>
          </w:tcPr>
          <w:p w14:paraId="4553222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5CE51525">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55D5D6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34028CC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249370B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40A5C2DB">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96" w:type="dxa"/>
            <w:noWrap w:val="0"/>
            <w:vAlign w:val="center"/>
          </w:tcPr>
          <w:p w14:paraId="616D306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37" w:type="dxa"/>
            <w:gridSpan w:val="2"/>
            <w:noWrap w:val="0"/>
            <w:vAlign w:val="center"/>
          </w:tcPr>
          <w:p w14:paraId="1D7E92E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12DFC3B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7CCF6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2A0560B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67D8F46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6B9A97A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96" w:type="dxa"/>
            <w:noWrap w:val="0"/>
            <w:vAlign w:val="center"/>
          </w:tcPr>
          <w:p w14:paraId="574AAA5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37" w:type="dxa"/>
            <w:gridSpan w:val="2"/>
            <w:noWrap w:val="0"/>
            <w:vAlign w:val="center"/>
          </w:tcPr>
          <w:p w14:paraId="53A7C38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722A8E3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65701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0330E674">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0180863C">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55B90B1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96" w:type="dxa"/>
            <w:noWrap w:val="0"/>
            <w:vAlign w:val="center"/>
          </w:tcPr>
          <w:p w14:paraId="217963BD">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37" w:type="dxa"/>
            <w:gridSpan w:val="2"/>
            <w:noWrap w:val="0"/>
            <w:vAlign w:val="center"/>
          </w:tcPr>
          <w:p w14:paraId="42DEE81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7FAE12F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22922E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noWrap w:val="0"/>
            <w:vAlign w:val="center"/>
          </w:tcPr>
          <w:p w14:paraId="35022F41">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49B9D5CF">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60D96E4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96" w:type="dxa"/>
            <w:noWrap w:val="0"/>
            <w:vAlign w:val="center"/>
          </w:tcPr>
          <w:p w14:paraId="309A35A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37" w:type="dxa"/>
            <w:gridSpan w:val="2"/>
            <w:noWrap w:val="0"/>
            <w:vAlign w:val="center"/>
          </w:tcPr>
          <w:p w14:paraId="6EC6EE13">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1E8BA40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r w14:paraId="3B06C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noWrap w:val="0"/>
            <w:vAlign w:val="center"/>
          </w:tcPr>
          <w:p w14:paraId="16F31C99">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15" w:type="dxa"/>
            <w:noWrap w:val="0"/>
            <w:vAlign w:val="center"/>
          </w:tcPr>
          <w:p w14:paraId="7C7FB930">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634" w:type="dxa"/>
            <w:noWrap w:val="0"/>
            <w:vAlign w:val="center"/>
          </w:tcPr>
          <w:p w14:paraId="2FE6A3D2">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96" w:type="dxa"/>
            <w:noWrap w:val="0"/>
            <w:vAlign w:val="center"/>
          </w:tcPr>
          <w:p w14:paraId="2A2560F7">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2337" w:type="dxa"/>
            <w:gridSpan w:val="2"/>
            <w:noWrap w:val="0"/>
            <w:vAlign w:val="center"/>
          </w:tcPr>
          <w:p w14:paraId="164198EA">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147" w:type="dxa"/>
            <w:noWrap w:val="0"/>
            <w:vAlign w:val="center"/>
          </w:tcPr>
          <w:p w14:paraId="7E217936">
            <w:pPr>
              <w:keepNext w:val="0"/>
              <w:keepLines w:val="0"/>
              <w:suppressLineNumbers w:val="0"/>
              <w:spacing w:before="0" w:beforeAutospacing="0" w:after="0" w:afterAutospacing="0"/>
              <w:ind w:left="0" w:right="0"/>
              <w:jc w:val="center"/>
              <w:rPr>
                <w:rFonts w:hint="eastAsia" w:ascii="宋体" w:hAnsi="宋体" w:eastAsia="宋体" w:cs="宋体"/>
                <w:color w:val="auto"/>
                <w:sz w:val="22"/>
                <w:szCs w:val="22"/>
                <w:highlight w:val="none"/>
              </w:rPr>
            </w:pPr>
          </w:p>
        </w:tc>
      </w:tr>
    </w:tbl>
    <w:p w14:paraId="1128905B">
      <w:pPr>
        <w:spacing w:line="38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p>
    <w:p w14:paraId="6F3D4257">
      <w:pPr>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r>
        <w:rPr>
          <w:rFonts w:hint="eastAsia" w:ascii="宋体" w:hAnsi="宋体" w:eastAsia="宋体" w:cs="宋体"/>
          <w:b/>
          <w:bCs/>
          <w:color w:val="auto"/>
          <w:sz w:val="22"/>
          <w:szCs w:val="22"/>
          <w:highlight w:val="none"/>
        </w:rPr>
        <w:t>如有偏离，必须在偏离表中进行详细对比说明并注明正偏离和负偏离，如不说明偏离情况，视为完全响应采购文件要求无偏离</w:t>
      </w:r>
      <w:r>
        <w:rPr>
          <w:rFonts w:hint="eastAsia" w:ascii="宋体" w:hAnsi="宋体" w:eastAsia="宋体" w:cs="宋体"/>
          <w:b/>
          <w:color w:val="auto"/>
          <w:sz w:val="22"/>
          <w:szCs w:val="22"/>
          <w:highlight w:val="none"/>
        </w:rPr>
        <w:t>。</w:t>
      </w:r>
    </w:p>
    <w:p w14:paraId="3B7AA098">
      <w:pPr>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2、▲不提供“技术规格、商务条款偏离表”的投标文件将被视为未实质性响应采购文件。</w:t>
      </w:r>
    </w:p>
    <w:p w14:paraId="0BFEE256">
      <w:pPr>
        <w:pStyle w:val="14"/>
        <w:ind w:left="0" w:firstLine="422" w:firstLineChars="200"/>
        <w:rPr>
          <w:rFonts w:hint="eastAsia" w:ascii="宋体" w:hAnsi="宋体" w:eastAsia="宋体" w:cs="宋体"/>
          <w:color w:val="auto"/>
          <w:highlight w:val="none"/>
        </w:rPr>
      </w:pPr>
      <w:r>
        <w:rPr>
          <w:rFonts w:hint="eastAsia" w:ascii="宋体" w:hAnsi="宋体" w:eastAsia="宋体" w:cs="宋体"/>
          <w:b/>
          <w:color w:val="auto"/>
          <w:sz w:val="21"/>
          <w:szCs w:val="21"/>
          <w:highlight w:val="none"/>
          <w:u w:val="single"/>
        </w:rPr>
        <w:t>3、▲如果投标文件其他地方描述与本表不一致，评标委员会评标时没有发现的，原则上以有利于采购人的解释为准。</w:t>
      </w:r>
    </w:p>
    <w:p w14:paraId="3AE18791">
      <w:pPr>
        <w:spacing w:line="380" w:lineRule="exact"/>
        <w:ind w:firstLine="4417" w:firstLineChars="2000"/>
        <w:rPr>
          <w:rFonts w:hint="eastAsia" w:ascii="宋体" w:hAnsi="宋体" w:eastAsia="宋体" w:cs="宋体"/>
          <w:b/>
          <w:color w:val="auto"/>
          <w:sz w:val="22"/>
          <w:szCs w:val="22"/>
          <w:highlight w:val="none"/>
        </w:rPr>
      </w:pPr>
    </w:p>
    <w:p w14:paraId="5A9C4F85">
      <w:pPr>
        <w:spacing w:line="480" w:lineRule="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投标供应商全称（公章）</w:t>
      </w:r>
      <w:r>
        <w:rPr>
          <w:rFonts w:hint="eastAsia" w:ascii="宋体" w:hAnsi="宋体" w:eastAsia="宋体" w:cs="宋体"/>
          <w:color w:val="auto"/>
          <w:sz w:val="22"/>
          <w:szCs w:val="22"/>
          <w:highlight w:val="none"/>
        </w:rPr>
        <w:t>：</w:t>
      </w:r>
    </w:p>
    <w:p w14:paraId="75D5D7C9">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695E19EA">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24CBDC72">
      <w:pPr>
        <w:spacing w:line="38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附件三</w:t>
      </w:r>
    </w:p>
    <w:p w14:paraId="64F74555">
      <w:pPr>
        <w:spacing w:line="460" w:lineRule="exact"/>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资格证明文件</w:t>
      </w:r>
    </w:p>
    <w:p w14:paraId="1A61E46C">
      <w:pPr>
        <w:tabs>
          <w:tab w:val="left" w:pos="0"/>
          <w:tab w:val="left" w:pos="420"/>
        </w:tabs>
        <w:spacing w:line="40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（1）法定代表人授权书</w:t>
      </w:r>
    </w:p>
    <w:p w14:paraId="01B028AD">
      <w:pPr>
        <w:spacing w:line="42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（如授权代表参加投标时提供）</w:t>
      </w:r>
    </w:p>
    <w:p w14:paraId="3804C885">
      <w:pPr>
        <w:spacing w:line="420" w:lineRule="exact"/>
        <w:rPr>
          <w:rFonts w:hint="eastAsia" w:ascii="宋体" w:hAnsi="宋体" w:eastAsia="宋体" w:cs="宋体"/>
          <w:color w:val="auto"/>
          <w:sz w:val="22"/>
          <w:szCs w:val="22"/>
          <w:highlight w:val="none"/>
        </w:rPr>
      </w:pPr>
    </w:p>
    <w:p w14:paraId="19AEA450">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温州市燃气集团有限公司</w:t>
      </w:r>
      <w:r>
        <w:rPr>
          <w:rFonts w:hint="eastAsia" w:ascii="宋体" w:hAnsi="宋体" w:eastAsia="宋体" w:cs="宋体"/>
          <w:color w:val="auto"/>
          <w:sz w:val="22"/>
          <w:szCs w:val="22"/>
          <w:highlight w:val="none"/>
        </w:rPr>
        <w:t>：</w:t>
      </w:r>
    </w:p>
    <w:p w14:paraId="51FDE567">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浙江国际招投标有限公司：</w:t>
      </w:r>
    </w:p>
    <w:p w14:paraId="69CE0BA3">
      <w:pPr>
        <w:spacing w:line="460" w:lineRule="exact"/>
        <w:ind w:firstLine="550" w:firstLine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（投标供应商全称）法定代表人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授权</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（全权代表姓名）为全权代表，参加贵处组织的</w:t>
      </w:r>
      <w:r>
        <w:rPr>
          <w:rFonts w:hint="eastAsia" w:ascii="宋体" w:hAnsi="宋体" w:eastAsia="宋体" w:cs="宋体"/>
          <w:color w:val="auto"/>
          <w:sz w:val="22"/>
          <w:szCs w:val="22"/>
          <w:highlight w:val="none"/>
          <w:u w:val="single"/>
        </w:rPr>
        <w:t xml:space="preserve"> （采购项目名称、项目编号） </w:t>
      </w:r>
      <w:r>
        <w:rPr>
          <w:rFonts w:hint="eastAsia" w:ascii="宋体" w:hAnsi="宋体" w:eastAsia="宋体" w:cs="宋体"/>
          <w:color w:val="auto"/>
          <w:sz w:val="22"/>
          <w:szCs w:val="22"/>
          <w:highlight w:val="none"/>
        </w:rPr>
        <w:t>的采购活动，全权代表我方处理采购活动中的一切事宜。</w:t>
      </w:r>
    </w:p>
    <w:p w14:paraId="7F53F400">
      <w:pPr>
        <w:spacing w:line="460" w:lineRule="exact"/>
        <w:ind w:firstLine="2955"/>
        <w:rPr>
          <w:rFonts w:hint="eastAsia" w:ascii="宋体" w:hAnsi="宋体" w:eastAsia="宋体" w:cs="宋体"/>
          <w:color w:val="auto"/>
          <w:sz w:val="22"/>
          <w:szCs w:val="22"/>
          <w:highlight w:val="none"/>
        </w:rPr>
      </w:pPr>
    </w:p>
    <w:p w14:paraId="3174F791">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 (签字或盖章)：</w:t>
      </w:r>
    </w:p>
    <w:p w14:paraId="23F3109D">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投标供应商全称（公章）：</w:t>
      </w:r>
    </w:p>
    <w:p w14:paraId="483DEBDF">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p>
    <w:p w14:paraId="58B178F7">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w:t>
      </w:r>
    </w:p>
    <w:p w14:paraId="178823F7">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授权代表姓名：</w:t>
      </w:r>
    </w:p>
    <w:p w14:paraId="10E8F4F5">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p w14:paraId="5A3896F3">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详细通讯地址：</w:t>
      </w:r>
    </w:p>
    <w:p w14:paraId="137104E1">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p w14:paraId="135F0617">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p>
    <w:p w14:paraId="4D5B1817">
      <w:pPr>
        <w:spacing w:line="4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p w14:paraId="4946D3A6">
      <w:pPr>
        <w:spacing w:line="460" w:lineRule="exact"/>
        <w:rPr>
          <w:rFonts w:hint="eastAsia" w:ascii="宋体" w:hAnsi="宋体" w:eastAsia="宋体" w:cs="宋体"/>
          <w:bCs/>
          <w:color w:val="auto"/>
          <w:sz w:val="22"/>
          <w:szCs w:val="22"/>
          <w:highlight w:val="none"/>
        </w:rPr>
      </w:pPr>
    </w:p>
    <w:tbl>
      <w:tblPr>
        <w:tblStyle w:val="33"/>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14:paraId="0763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noWrap w:val="0"/>
            <w:vAlign w:val="center"/>
          </w:tcPr>
          <w:p w14:paraId="5B8D71F3">
            <w:pPr>
              <w:keepNext w:val="0"/>
              <w:keepLines w:val="0"/>
              <w:suppressLineNumbers w:val="0"/>
              <w:spacing w:before="0" w:beforeAutospacing="0" w:after="0" w:afterAutospacing="0" w:line="38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投标供应商代表身份证复印件</w:t>
            </w:r>
          </w:p>
          <w:p w14:paraId="509C83F5">
            <w:pPr>
              <w:keepNext w:val="0"/>
              <w:keepLines w:val="0"/>
              <w:suppressLineNumbers w:val="0"/>
              <w:spacing w:before="0" w:beforeAutospacing="0" w:after="0" w:afterAutospacing="0" w:line="380" w:lineRule="exact"/>
              <w:ind w:left="0" w:right="0"/>
              <w:jc w:val="center"/>
              <w:rPr>
                <w:rFonts w:hint="eastAsia" w:ascii="宋体" w:hAnsi="宋体" w:eastAsia="宋体" w:cs="宋体"/>
                <w:bCs/>
                <w:color w:val="auto"/>
                <w:sz w:val="28"/>
                <w:highlight w:val="none"/>
              </w:rPr>
            </w:pPr>
          </w:p>
        </w:tc>
      </w:tr>
    </w:tbl>
    <w:p w14:paraId="28469047">
      <w:pPr>
        <w:spacing w:line="400" w:lineRule="exact"/>
        <w:ind w:firstLine="140" w:firstLineChars="64"/>
        <w:rPr>
          <w:rFonts w:hint="eastAsia" w:ascii="宋体" w:hAnsi="宋体" w:eastAsia="宋体" w:cs="宋体"/>
          <w:color w:val="auto"/>
          <w:sz w:val="22"/>
          <w:highlight w:val="none"/>
        </w:rPr>
      </w:pPr>
    </w:p>
    <w:p w14:paraId="35B7792D">
      <w:pPr>
        <w:widowControl/>
        <w:spacing w:line="480" w:lineRule="atLeast"/>
        <w:jc w:val="center"/>
        <w:rPr>
          <w:rFonts w:hint="eastAsia" w:ascii="宋体" w:hAnsi="宋体" w:eastAsia="宋体" w:cs="宋体"/>
          <w:bCs/>
          <w:color w:val="auto"/>
          <w:kern w:val="0"/>
          <w:sz w:val="32"/>
          <w:szCs w:val="32"/>
          <w:highlight w:val="none"/>
        </w:rPr>
      </w:pPr>
      <w:r>
        <w:rPr>
          <w:rFonts w:hint="eastAsia" w:ascii="宋体" w:hAnsi="宋体" w:eastAsia="宋体" w:cs="宋体"/>
          <w:color w:val="auto"/>
          <w:sz w:val="22"/>
          <w:highlight w:val="none"/>
        </w:rPr>
        <w:br w:type="page"/>
      </w:r>
      <w:r>
        <w:rPr>
          <w:rFonts w:hint="eastAsia" w:ascii="宋体" w:hAnsi="宋体" w:eastAsia="宋体" w:cs="宋体"/>
          <w:bCs/>
          <w:color w:val="auto"/>
          <w:kern w:val="0"/>
          <w:sz w:val="32"/>
          <w:szCs w:val="32"/>
          <w:highlight w:val="none"/>
        </w:rPr>
        <w:t>法定代表人资格证明书</w:t>
      </w:r>
    </w:p>
    <w:p w14:paraId="475C7C86">
      <w:pPr>
        <w:widowControl/>
        <w:spacing w:line="480" w:lineRule="atLeast"/>
        <w:jc w:val="center"/>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（如法定代表人参加投标时提供）</w:t>
      </w:r>
    </w:p>
    <w:p w14:paraId="5EDF6E24">
      <w:pPr>
        <w:widowControl/>
        <w:spacing w:line="360" w:lineRule="auto"/>
        <w:rPr>
          <w:rFonts w:hint="eastAsia" w:ascii="宋体" w:hAnsi="宋体" w:eastAsia="宋体" w:cs="宋体"/>
          <w:color w:val="auto"/>
          <w:sz w:val="24"/>
          <w:highlight w:val="none"/>
          <w:u w:val="single"/>
        </w:rPr>
      </w:pPr>
    </w:p>
    <w:p w14:paraId="598E8E4E">
      <w:pPr>
        <w:spacing w:line="42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温州市燃气集团有限公司</w:t>
      </w:r>
      <w:r>
        <w:rPr>
          <w:rFonts w:hint="eastAsia" w:ascii="宋体" w:hAnsi="宋体" w:eastAsia="宋体" w:cs="宋体"/>
          <w:color w:val="auto"/>
          <w:sz w:val="22"/>
          <w:szCs w:val="22"/>
          <w:highlight w:val="none"/>
        </w:rPr>
        <w:t>：</w:t>
      </w:r>
    </w:p>
    <w:p w14:paraId="6BF98FD8">
      <w:pPr>
        <w:widowControl/>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2"/>
          <w:szCs w:val="22"/>
          <w:highlight w:val="none"/>
        </w:rPr>
        <w:t>浙江国际招投标有限公司：</w:t>
      </w:r>
    </w:p>
    <w:p w14:paraId="2CE2B976">
      <w:pPr>
        <w:widowControl/>
        <w:spacing w:line="360" w:lineRule="auto"/>
        <w:ind w:left="420" w:firstLine="47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单位名称：</w:t>
      </w:r>
    </w:p>
    <w:p w14:paraId="00C73C43">
      <w:pPr>
        <w:widowControl/>
        <w:spacing w:line="360" w:lineRule="auto"/>
        <w:ind w:left="420" w:firstLine="47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p>
    <w:p w14:paraId="361ECA03">
      <w:pPr>
        <w:widowControl/>
        <w:spacing w:line="360" w:lineRule="auto"/>
        <w:ind w:left="420" w:firstLine="47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姓名：          性别：           年龄：            职务：        </w:t>
      </w:r>
    </w:p>
    <w:p w14:paraId="3FF16271">
      <w:pPr>
        <w:widowControl/>
        <w:spacing w:line="360" w:lineRule="auto"/>
        <w:ind w:left="420" w:firstLine="47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本人系</w:t>
      </w:r>
      <w:r>
        <w:rPr>
          <w:rFonts w:hint="eastAsia" w:ascii="宋体" w:hAnsi="宋体" w:eastAsia="宋体" w:cs="宋体"/>
          <w:color w:val="auto"/>
          <w:kern w:val="0"/>
          <w:sz w:val="24"/>
          <w:highlight w:val="none"/>
          <w:u w:val="single"/>
        </w:rPr>
        <w:t xml:space="preserve">       &lt;投标供应商名称&gt;      </w:t>
      </w:r>
      <w:r>
        <w:rPr>
          <w:rFonts w:hint="eastAsia" w:ascii="宋体" w:hAnsi="宋体" w:eastAsia="宋体" w:cs="宋体"/>
          <w:color w:val="auto"/>
          <w:kern w:val="0"/>
          <w:sz w:val="24"/>
          <w:highlight w:val="none"/>
        </w:rPr>
        <w:t>的法定代表人。为你单位组织的项目编号为</w:t>
      </w:r>
      <w:r>
        <w:rPr>
          <w:rFonts w:hint="eastAsia" w:ascii="宋体" w:hAnsi="宋体" w:eastAsia="宋体" w:cs="宋体"/>
          <w:b/>
          <w:bCs/>
          <w:color w:val="auto"/>
          <w:spacing w:val="20"/>
          <w:kern w:val="0"/>
          <w:sz w:val="24"/>
          <w:highlight w:val="none"/>
          <w:u w:val="single"/>
        </w:rPr>
        <w:t xml:space="preserve">        </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sz w:val="22"/>
          <w:szCs w:val="22"/>
          <w:highlight w:val="none"/>
          <w:u w:val="single"/>
        </w:rPr>
        <w:t>项目名称）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采购项目，签署上述项目的投标文件、进行合同谈判、签署合同和处理与之有关的一切事务。</w:t>
      </w:r>
    </w:p>
    <w:p w14:paraId="28335BC8">
      <w:pPr>
        <w:widowControl/>
        <w:spacing w:line="360" w:lineRule="auto"/>
        <w:ind w:left="420" w:firstLine="473"/>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008DD2B7">
      <w:pPr>
        <w:widowControl/>
        <w:spacing w:line="360" w:lineRule="auto"/>
        <w:ind w:left="-540" w:firstLine="540"/>
        <w:jc w:val="center"/>
        <w:rPr>
          <w:rFonts w:hint="eastAsia" w:ascii="宋体" w:hAnsi="宋体" w:eastAsia="宋体" w:cs="宋体"/>
          <w:b/>
          <w:bCs/>
          <w:color w:val="auto"/>
          <w:kern w:val="0"/>
          <w:sz w:val="24"/>
          <w:highlight w:val="none"/>
        </w:rPr>
      </w:pPr>
    </w:p>
    <w:p w14:paraId="392B8D35">
      <w:pPr>
        <w:widowControl/>
        <w:spacing w:line="360" w:lineRule="auto"/>
        <w:ind w:left="-540" w:firstLine="540"/>
        <w:jc w:val="center"/>
        <w:rPr>
          <w:rFonts w:hint="eastAsia" w:ascii="宋体" w:hAnsi="宋体" w:eastAsia="宋体" w:cs="宋体"/>
          <w:b/>
          <w:bCs/>
          <w:color w:val="auto"/>
          <w:kern w:val="0"/>
          <w:sz w:val="24"/>
          <w:highlight w:val="none"/>
        </w:rPr>
      </w:pPr>
    </w:p>
    <w:p w14:paraId="1E5869FE">
      <w:pPr>
        <w:widowControl/>
        <w:spacing w:line="360" w:lineRule="auto"/>
        <w:ind w:left="-540" w:firstLine="540"/>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（※此处请粘贴法定代表人身份证复印件※）</w:t>
      </w:r>
    </w:p>
    <w:p w14:paraId="7E1549A5">
      <w:pPr>
        <w:widowControl/>
        <w:spacing w:line="480" w:lineRule="auto"/>
        <w:ind w:left="420" w:firstLine="473"/>
        <w:jc w:val="left"/>
        <w:rPr>
          <w:rFonts w:hint="eastAsia" w:ascii="宋体" w:hAnsi="宋体" w:eastAsia="宋体" w:cs="宋体"/>
          <w:color w:val="auto"/>
          <w:kern w:val="0"/>
          <w:sz w:val="24"/>
          <w:highlight w:val="none"/>
        </w:rPr>
      </w:pPr>
    </w:p>
    <w:p w14:paraId="48E785C3">
      <w:pPr>
        <w:widowControl/>
        <w:spacing w:line="480" w:lineRule="auto"/>
        <w:ind w:firstLine="18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投标供应商全称（公章）：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10B155B2">
      <w:pPr>
        <w:widowControl/>
        <w:spacing w:line="480" w:lineRule="auto"/>
        <w:ind w:firstLine="189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w:t>
      </w:r>
      <w:r>
        <w:rPr>
          <w:rFonts w:hint="eastAsia" w:ascii="宋体" w:hAnsi="宋体" w:eastAsia="宋体" w:cs="宋体"/>
          <w:color w:val="auto"/>
          <w:sz w:val="22"/>
          <w:szCs w:val="22"/>
          <w:highlight w:val="none"/>
        </w:rPr>
        <w:t>或盖章</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 xml:space="preserve">                          </w:t>
      </w:r>
    </w:p>
    <w:p w14:paraId="62CBA76D">
      <w:pPr>
        <w:widowControl/>
        <w:snapToGrid w:val="0"/>
        <w:spacing w:before="60" w:line="480" w:lineRule="auto"/>
        <w:ind w:firstLine="189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签署日期：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月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日</w:t>
      </w:r>
    </w:p>
    <w:p w14:paraId="542F488B">
      <w:pPr>
        <w:widowControl/>
        <w:rPr>
          <w:rFonts w:hint="eastAsia" w:ascii="宋体" w:hAnsi="宋体" w:eastAsia="宋体" w:cs="宋体"/>
          <w:color w:val="auto"/>
          <w:kern w:val="0"/>
          <w:szCs w:val="21"/>
          <w:highlight w:val="none"/>
        </w:rPr>
      </w:pPr>
    </w:p>
    <w:p w14:paraId="128BD3D8">
      <w:pPr>
        <w:widowControl/>
        <w:rPr>
          <w:rFonts w:hint="eastAsia" w:ascii="宋体" w:hAnsi="宋体" w:eastAsia="宋体" w:cs="宋体"/>
          <w:color w:val="auto"/>
          <w:kern w:val="0"/>
          <w:szCs w:val="21"/>
          <w:highlight w:val="none"/>
        </w:rPr>
      </w:pPr>
    </w:p>
    <w:p w14:paraId="6EF0D2F1">
      <w:pPr>
        <w:widowControl/>
        <w:spacing w:line="480" w:lineRule="atLeast"/>
        <w:jc w:val="center"/>
        <w:rPr>
          <w:rFonts w:hint="eastAsia" w:ascii="宋体" w:hAnsi="宋体" w:eastAsia="宋体" w:cs="宋体"/>
          <w:b/>
          <w:bCs/>
          <w:color w:val="auto"/>
          <w:kern w:val="0"/>
          <w:sz w:val="24"/>
          <w:highlight w:val="none"/>
        </w:rPr>
      </w:pPr>
    </w:p>
    <w:p w14:paraId="2B2ED4C7">
      <w:pPr>
        <w:spacing w:line="460" w:lineRule="exact"/>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说明：法定代表人参加本采购项目投标的，仅须提供此证明书。</w:t>
      </w:r>
    </w:p>
    <w:p w14:paraId="2206AD94">
      <w:pPr>
        <w:spacing w:line="460" w:lineRule="exact"/>
        <w:jc w:val="center"/>
        <w:rPr>
          <w:rFonts w:hint="eastAsia" w:ascii="宋体" w:hAnsi="宋体" w:eastAsia="宋体" w:cs="宋体"/>
          <w:b/>
          <w:bCs/>
          <w:color w:val="auto"/>
          <w:kern w:val="0"/>
          <w:sz w:val="24"/>
          <w:highlight w:val="none"/>
        </w:rPr>
      </w:pPr>
    </w:p>
    <w:p w14:paraId="61FEE1B0">
      <w:pPr>
        <w:spacing w:line="460" w:lineRule="exact"/>
        <w:jc w:val="center"/>
        <w:rPr>
          <w:rFonts w:hint="eastAsia" w:ascii="宋体" w:hAnsi="宋体" w:eastAsia="宋体" w:cs="宋体"/>
          <w:b/>
          <w:bCs/>
          <w:color w:val="auto"/>
          <w:kern w:val="0"/>
          <w:sz w:val="24"/>
          <w:highlight w:val="none"/>
        </w:rPr>
      </w:pPr>
    </w:p>
    <w:p w14:paraId="38BB89BA">
      <w:pPr>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4"/>
          <w:highlight w:val="none"/>
        </w:rPr>
        <w:t>（2）投标供应商企业法人有效营业执照（复印件加盖单位公章）</w:t>
      </w:r>
    </w:p>
    <w:p w14:paraId="6EB842E5">
      <w:pPr>
        <w:pStyle w:val="2"/>
        <w:ind w:left="930" w:hanging="720"/>
        <w:rPr>
          <w:rFonts w:hint="eastAsia" w:ascii="宋体" w:hAnsi="宋体" w:eastAsia="宋体" w:cs="宋体"/>
          <w:color w:val="auto"/>
          <w:sz w:val="24"/>
          <w:szCs w:val="24"/>
          <w:highlight w:val="none"/>
        </w:rPr>
      </w:pPr>
    </w:p>
    <w:p w14:paraId="4B48CB49">
      <w:pPr>
        <w:snapToGrid w:val="0"/>
        <w:spacing w:before="50" w:after="120" w:afterLine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2798CD81">
      <w:pPr>
        <w:snapToGrid w:val="0"/>
        <w:spacing w:before="50" w:after="120" w:afterLine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以上证书若为复印件，须加盖投标供应商单位公章</w:t>
      </w: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附件四  投标声明书格式</w:t>
      </w:r>
    </w:p>
    <w:p w14:paraId="0BD5C94D">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0"/>
          <w:highlight w:val="none"/>
        </w:rPr>
        <w:t>（3）投标声明书</w:t>
      </w:r>
    </w:p>
    <w:p w14:paraId="691F7DD9">
      <w:pPr>
        <w:snapToGrid w:val="0"/>
        <w:spacing w:before="120" w:beforeLines="50" w:after="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1ADC389B">
      <w:pPr>
        <w:snapToGrid w:val="0"/>
        <w:spacing w:before="120" w:beforeLines="50" w:after="50"/>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（投标供应商名称）系中华人民共和国合法企业，经营地址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334AD8B9">
      <w:pPr>
        <w:snapToGrid w:val="0"/>
        <w:spacing w:before="120" w:beforeLines="50" w:after="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（姓名）系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（投标供应商名称）的法定代表人，我方愿意参加贵方组织的</w:t>
      </w:r>
      <w:r>
        <w:rPr>
          <w:rFonts w:hint="eastAsia" w:ascii="宋体" w:hAnsi="宋体" w:eastAsia="宋体" w:cs="宋体"/>
          <w:color w:val="auto"/>
          <w:sz w:val="22"/>
          <w:szCs w:val="22"/>
          <w:highlight w:val="none"/>
          <w:u w:val="single"/>
        </w:rPr>
        <w:t xml:space="preserve">   （项目名称、项目编号）       </w:t>
      </w:r>
      <w:r>
        <w:rPr>
          <w:rFonts w:hint="eastAsia" w:ascii="宋体" w:hAnsi="宋体" w:eastAsia="宋体" w:cs="宋体"/>
          <w:color w:val="auto"/>
          <w:sz w:val="22"/>
          <w:szCs w:val="22"/>
          <w:highlight w:val="none"/>
        </w:rPr>
        <w:t>项目的投标，为便于贵方公正、择优地确定中标人及其投标产品和服务，我方就参加本次投标有关事项郑重声明如下：</w:t>
      </w:r>
    </w:p>
    <w:p w14:paraId="06BE53C4">
      <w:pPr>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1.本投标有效期自开标日起______日。</w:t>
      </w:r>
    </w:p>
    <w:p w14:paraId="79F40686">
      <w:pPr>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2.我方向贵方提交的所有投标文件、资料都是准确的和真实的。</w:t>
      </w:r>
    </w:p>
    <w:p w14:paraId="32A38D24">
      <w:pPr>
        <w:snapToGrid w:val="0"/>
        <w:spacing w:before="120" w:before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3.我方不是采购人的附属机构；</w:t>
      </w:r>
    </w:p>
    <w:p w14:paraId="4E467CB1">
      <w:pPr>
        <w:snapToGrid w:val="0"/>
        <w:spacing w:before="120" w:beforeLines="50"/>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4.我方未参加本采购项目的整体设计、规范编制或者项目管理、监理、检测等服务工作。</w:t>
      </w:r>
    </w:p>
    <w:p w14:paraId="6F28F415">
      <w:pPr>
        <w:snapToGrid w:val="0"/>
        <w:spacing w:before="120" w:before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5.我</w:t>
      </w:r>
      <w:r>
        <w:rPr>
          <w:rFonts w:hint="eastAsia" w:ascii="宋体" w:hAnsi="宋体" w:eastAsia="宋体" w:cs="宋体"/>
          <w:color w:val="auto"/>
          <w:kern w:val="0"/>
          <w:sz w:val="22"/>
          <w:szCs w:val="22"/>
          <w:highlight w:val="none"/>
        </w:rPr>
        <w:t>方</w:t>
      </w:r>
      <w:r>
        <w:rPr>
          <w:rFonts w:hint="eastAsia" w:ascii="宋体" w:hAnsi="宋体" w:eastAsia="宋体" w:cs="宋体"/>
          <w:color w:val="auto"/>
          <w:sz w:val="22"/>
          <w:szCs w:val="22"/>
          <w:highlight w:val="none"/>
        </w:rPr>
        <w:t>单位</w:t>
      </w:r>
      <w:r>
        <w:rPr>
          <w:rFonts w:hint="eastAsia" w:ascii="宋体" w:hAnsi="宋体" w:eastAsia="宋体" w:cs="宋体"/>
          <w:color w:val="auto"/>
          <w:kern w:val="0"/>
          <w:sz w:val="22"/>
          <w:szCs w:val="22"/>
          <w:highlight w:val="none"/>
        </w:rPr>
        <w:t>负责人同时为下列单位的负责人：</w:t>
      </w:r>
    </w:p>
    <w:p w14:paraId="25747DE2">
      <w:pPr>
        <w:snapToGrid w:val="0"/>
        <w:spacing w:before="120" w:beforeLines="50"/>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w:t>
      </w:r>
    </w:p>
    <w:p w14:paraId="432FDFEA">
      <w:pPr>
        <w:snapToGrid w:val="0"/>
        <w:spacing w:before="120" w:before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6</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我方直接控股的单位、由我方管理的单位，没有同时参加本</w:t>
      </w:r>
      <w:r>
        <w:rPr>
          <w:rFonts w:hint="eastAsia" w:ascii="宋体" w:hAnsi="宋体" w:eastAsia="宋体" w:cs="宋体"/>
          <w:color w:val="auto"/>
          <w:sz w:val="22"/>
          <w:szCs w:val="22"/>
          <w:highlight w:val="none"/>
        </w:rPr>
        <w:t>合同项下</w:t>
      </w:r>
      <w:r>
        <w:rPr>
          <w:rFonts w:hint="eastAsia" w:ascii="宋体" w:hAnsi="宋体" w:eastAsia="宋体" w:cs="宋体"/>
          <w:color w:val="auto"/>
          <w:kern w:val="0"/>
          <w:sz w:val="22"/>
          <w:szCs w:val="22"/>
          <w:highlight w:val="none"/>
        </w:rPr>
        <w:t>的投标。</w:t>
      </w:r>
    </w:p>
    <w:p w14:paraId="5A0A0E4A">
      <w:pPr>
        <w:snapToGrid w:val="0"/>
        <w:spacing w:before="120" w:before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7.我方委托授权人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（姓名）为我单位的正式在职职工，以我方的名义参加</w:t>
      </w:r>
      <w:r>
        <w:rPr>
          <w:rFonts w:hint="eastAsia" w:ascii="宋体" w:hAnsi="宋体" w:eastAsia="宋体" w:cs="宋体"/>
          <w:color w:val="auto"/>
          <w:sz w:val="22"/>
          <w:szCs w:val="22"/>
          <w:highlight w:val="none"/>
          <w:u w:val="single"/>
        </w:rPr>
        <w:t>本采购项目</w:t>
      </w:r>
      <w:r>
        <w:rPr>
          <w:rFonts w:hint="eastAsia" w:ascii="宋体" w:hAnsi="宋体" w:eastAsia="宋体" w:cs="宋体"/>
          <w:color w:val="auto"/>
          <w:sz w:val="22"/>
          <w:szCs w:val="22"/>
          <w:highlight w:val="none"/>
        </w:rPr>
        <w:t>的投标活动，</w:t>
      </w:r>
    </w:p>
    <w:p w14:paraId="44B2065C">
      <w:pPr>
        <w:snapToGrid w:val="0"/>
        <w:spacing w:before="120" w:before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8.我方此次向贵方提供的</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名称为：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54FC1A38">
      <w:pPr>
        <w:snapToGrid w:val="0"/>
        <w:spacing w:before="120" w:before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9.我方</w:t>
      </w:r>
      <w:r>
        <w:rPr>
          <w:rFonts w:hint="eastAsia" w:ascii="宋体" w:hAnsi="宋体" w:eastAsia="宋体" w:cs="宋体"/>
          <w:color w:val="auto"/>
          <w:kern w:val="0"/>
          <w:sz w:val="22"/>
          <w:szCs w:val="22"/>
          <w:highlight w:val="none"/>
        </w:rPr>
        <w:t>参加本次国企采购活动前三年内，在经营活动中的重大违法记录</w:t>
      </w:r>
      <w:r>
        <w:rPr>
          <w:rFonts w:hint="eastAsia" w:ascii="宋体" w:hAnsi="宋体" w:eastAsia="宋体" w:cs="宋体"/>
          <w:color w:val="auto"/>
          <w:sz w:val="22"/>
          <w:szCs w:val="22"/>
          <w:highlight w:val="none"/>
        </w:rPr>
        <w:t>有：</w:t>
      </w:r>
    </w:p>
    <w:p w14:paraId="0AEE6B64">
      <w:pPr>
        <w:snapToGrid w:val="0"/>
        <w:spacing w:before="120" w:beforeLines="50"/>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 xml:space="preserve">　　　　　　　　　　　　　　　　　　　　　　　　　　　            </w:t>
      </w:r>
    </w:p>
    <w:p w14:paraId="67A90E78">
      <w:pPr>
        <w:snapToGrid w:val="0"/>
        <w:spacing w:before="120" w:beforeLines="50"/>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至本项目投标截止前，我方被列入“信用中国”网站(www.creditchina.gov.cn)“记录失信被执行人或重大税收违法案件当事人名单”记录名单情况：</w:t>
      </w:r>
    </w:p>
    <w:p w14:paraId="10DDF443">
      <w:pPr>
        <w:snapToGrid w:val="0"/>
        <w:spacing w:before="120" w:beforeLines="5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p>
    <w:p w14:paraId="6D46FA87">
      <w:pPr>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我方承诺具有良好的商业信誉和健全的财务会计制度，具有依法缴纳税收和社会保障资金的良好记录，具有履行本项目合同所必需的场地、设备和专业技术能力、售后保障等能力。如有虚假，采购人可取消我方任何资格（投标/中标/签订合同），我方对此无任何异议。</w:t>
      </w:r>
    </w:p>
    <w:p w14:paraId="0A3535EF">
      <w:pPr>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11.以上事项如有虚假或隐瞒，我方愿意承担一切后果，并不再寻求任何旨在减轻或免除法律责任的辩解。</w:t>
      </w:r>
    </w:p>
    <w:p w14:paraId="342CF42A">
      <w:pPr>
        <w:snapToGrid w:val="0"/>
        <w:spacing w:before="120" w:beforeLines="50"/>
        <w:ind w:firstLine="200"/>
        <w:rPr>
          <w:rFonts w:hint="eastAsia" w:ascii="宋体" w:hAnsi="宋体" w:eastAsia="宋体" w:cs="宋体"/>
          <w:color w:val="auto"/>
          <w:sz w:val="22"/>
          <w:szCs w:val="22"/>
          <w:highlight w:val="none"/>
        </w:rPr>
      </w:pPr>
    </w:p>
    <w:p w14:paraId="5F7CF80C">
      <w:pPr>
        <w:snapToGrid w:val="0"/>
        <w:spacing w:before="120" w:beforeLines="50" w:line="480" w:lineRule="auto"/>
        <w:ind w:firstLine="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法定代表人或授权代表：</w:t>
      </w:r>
      <w:r>
        <w:rPr>
          <w:rFonts w:hint="eastAsia" w:ascii="宋体" w:hAnsi="宋体" w:eastAsia="宋体" w:cs="宋体"/>
          <w:color w:val="auto"/>
          <w:sz w:val="22"/>
          <w:szCs w:val="22"/>
          <w:highlight w:val="none"/>
          <w:u w:val="single"/>
        </w:rPr>
        <w:t xml:space="preserve">     （签字或盖章） </w:t>
      </w:r>
    </w:p>
    <w:p w14:paraId="02D1D17C">
      <w:pPr>
        <w:snapToGrid w:val="0"/>
        <w:spacing w:before="50" w:after="50" w:line="480" w:lineRule="auto"/>
        <w:ind w:firstLine="220" w:firstLineChars="1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投标供应商全称（公章）：</w:t>
      </w:r>
      <w:r>
        <w:rPr>
          <w:rFonts w:hint="eastAsia" w:ascii="宋体" w:hAnsi="宋体" w:eastAsia="宋体" w:cs="宋体"/>
          <w:color w:val="auto"/>
          <w:sz w:val="22"/>
          <w:szCs w:val="22"/>
          <w:highlight w:val="none"/>
          <w:u w:val="single"/>
        </w:rPr>
        <w:t xml:space="preserve">                         </w:t>
      </w:r>
    </w:p>
    <w:p w14:paraId="5E315E48">
      <w:pPr>
        <w:snapToGrid w:val="0"/>
        <w:spacing w:before="50" w:after="50" w:line="480" w:lineRule="auto"/>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日期：</w:t>
      </w:r>
    </w:p>
    <w:p w14:paraId="50127767">
      <w:pPr>
        <w:pStyle w:val="32"/>
        <w:ind w:left="0" w:firstLine="0" w:firstLineChars="0"/>
        <w:rPr>
          <w:rFonts w:hint="eastAsia" w:ascii="宋体" w:hAnsi="宋体" w:eastAsia="宋体" w:cs="宋体"/>
          <w:color w:val="auto"/>
          <w:sz w:val="22"/>
          <w:highlight w:val="none"/>
        </w:rPr>
      </w:pPr>
    </w:p>
    <w:p w14:paraId="521ABD0F">
      <w:pPr>
        <w:pStyle w:val="32"/>
        <w:ind w:left="0"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附：信用记录查询结果证明</w:t>
      </w:r>
    </w:p>
    <w:p w14:paraId="2CE471EB">
      <w:pPr>
        <w:pStyle w:val="32"/>
        <w:ind w:left="0" w:firstLine="0" w:firstLineChars="0"/>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1、投标供应商“信用中国”(www.creditchina.gov.cn) 信用记录网页查询结果页面截图</w:t>
      </w:r>
    </w:p>
    <w:p w14:paraId="39A5F78F">
      <w:pPr>
        <w:pStyle w:val="32"/>
        <w:ind w:firstLine="440"/>
        <w:rPr>
          <w:rFonts w:hint="eastAsia" w:ascii="宋体" w:hAnsi="宋体" w:eastAsia="宋体" w:cs="宋体"/>
          <w:color w:val="auto"/>
          <w:sz w:val="22"/>
          <w:highlight w:val="none"/>
        </w:rPr>
      </w:pPr>
    </w:p>
    <w:p w14:paraId="08C73949">
      <w:pPr>
        <w:spacing w:line="380" w:lineRule="exact"/>
        <w:rPr>
          <w:rFonts w:hint="eastAsia" w:ascii="宋体" w:hAnsi="宋体" w:eastAsia="宋体" w:cs="宋体"/>
          <w:b/>
          <w:color w:val="auto"/>
          <w:spacing w:val="-2"/>
          <w:sz w:val="22"/>
          <w:szCs w:val="2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color w:val="auto"/>
          <w:spacing w:val="-2"/>
          <w:sz w:val="22"/>
          <w:szCs w:val="22"/>
          <w:highlight w:val="none"/>
        </w:rPr>
        <w:t>附件五</w:t>
      </w:r>
    </w:p>
    <w:p w14:paraId="20F1E352">
      <w:pPr>
        <w:spacing w:line="380" w:lineRule="exact"/>
        <w:jc w:val="center"/>
        <w:outlineLvl w:val="0"/>
        <w:rPr>
          <w:rFonts w:hint="eastAsia" w:ascii="宋体" w:hAnsi="宋体" w:eastAsia="宋体" w:cs="宋体"/>
          <w:b/>
          <w:color w:val="auto"/>
          <w:spacing w:val="-2"/>
          <w:sz w:val="32"/>
          <w:szCs w:val="32"/>
          <w:highlight w:val="none"/>
        </w:rPr>
      </w:pPr>
      <w:r>
        <w:rPr>
          <w:rFonts w:hint="eastAsia" w:ascii="宋体" w:hAnsi="宋体" w:eastAsia="宋体" w:cs="宋体"/>
          <w:b/>
          <w:color w:val="auto"/>
          <w:spacing w:val="-2"/>
          <w:sz w:val="32"/>
          <w:szCs w:val="32"/>
          <w:highlight w:val="none"/>
        </w:rPr>
        <w:t>中标折扣系数承诺函</w:t>
      </w:r>
    </w:p>
    <w:p w14:paraId="362C1176">
      <w:pPr>
        <w:spacing w:line="360" w:lineRule="auto"/>
        <w:jc w:val="center"/>
        <w:rPr>
          <w:rFonts w:hint="eastAsia" w:ascii="宋体" w:hAnsi="宋体" w:eastAsia="宋体" w:cs="宋体"/>
          <w:color w:val="auto"/>
          <w:spacing w:val="-2"/>
          <w:sz w:val="22"/>
          <w:szCs w:val="22"/>
          <w:highlight w:val="none"/>
        </w:rPr>
      </w:pPr>
    </w:p>
    <w:p w14:paraId="3062FA9F">
      <w:pPr>
        <w:spacing w:line="36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lang w:eastAsia="zh-CN"/>
        </w:rPr>
        <w:t>温州市燃气集团有限公司</w:t>
      </w:r>
      <w:r>
        <w:rPr>
          <w:rFonts w:hint="eastAsia" w:ascii="宋体" w:hAnsi="宋体" w:eastAsia="宋体" w:cs="宋体"/>
          <w:color w:val="auto"/>
          <w:spacing w:val="-2"/>
          <w:sz w:val="22"/>
          <w:szCs w:val="22"/>
          <w:highlight w:val="none"/>
        </w:rPr>
        <w:t>：</w:t>
      </w:r>
    </w:p>
    <w:p w14:paraId="17791081">
      <w:pPr>
        <w:keepNext w:val="0"/>
        <w:keepLines w:val="0"/>
        <w:pageBreakBefore w:val="0"/>
        <w:widowControl/>
        <w:tabs>
          <w:tab w:val="left" w:pos="4860"/>
        </w:tabs>
        <w:kinsoku/>
        <w:wordWrap w:val="0"/>
        <w:overflowPunct/>
        <w:topLinePunct w:val="0"/>
        <w:autoSpaceDE/>
        <w:autoSpaceDN/>
        <w:bidi w:val="0"/>
        <w:adjustRightInd/>
        <w:snapToGrid/>
        <w:spacing w:line="360" w:lineRule="auto"/>
        <w:ind w:right="96" w:firstLine="432" w:firstLineChars="200"/>
        <w:jc w:val="left"/>
        <w:textAlignment w:val="baseline"/>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我单位参与贵单位组织的</w:t>
      </w:r>
      <w:r>
        <w:rPr>
          <w:rFonts w:hint="eastAsia" w:ascii="宋体" w:hAnsi="宋体" w:eastAsia="宋体" w:cs="宋体"/>
          <w:color w:val="auto"/>
          <w:spacing w:val="-2"/>
          <w:sz w:val="22"/>
          <w:szCs w:val="22"/>
          <w:highlight w:val="none"/>
          <w:u w:val="single"/>
          <w:lang w:eastAsia="zh-CN"/>
        </w:rPr>
        <w:t>燃气客户服务外包供应商库</w:t>
      </w:r>
      <w:r>
        <w:rPr>
          <w:rFonts w:hint="eastAsia" w:ascii="宋体" w:hAnsi="宋体" w:eastAsia="宋体" w:cs="宋体"/>
          <w:color w:val="auto"/>
          <w:spacing w:val="-2"/>
          <w:sz w:val="22"/>
          <w:szCs w:val="22"/>
          <w:highlight w:val="none"/>
        </w:rPr>
        <w:t>项目的投标。我单位针对本项目“折扣系数报价”做</w:t>
      </w:r>
      <w:r>
        <w:rPr>
          <w:rFonts w:hint="eastAsia" w:ascii="宋体" w:hAnsi="宋体" w:eastAsia="宋体" w:cs="宋体"/>
          <w:color w:val="auto"/>
          <w:sz w:val="22"/>
          <w:szCs w:val="22"/>
          <w:highlight w:val="none"/>
        </w:rPr>
        <w:t>出以下</w:t>
      </w:r>
      <w:r>
        <w:rPr>
          <w:rFonts w:hint="eastAsia" w:ascii="宋体" w:hAnsi="宋体" w:eastAsia="宋体" w:cs="宋体"/>
          <w:color w:val="auto"/>
          <w:spacing w:val="-2"/>
          <w:sz w:val="22"/>
          <w:szCs w:val="22"/>
          <w:highlight w:val="none"/>
        </w:rPr>
        <w:t>承诺：</w:t>
      </w:r>
    </w:p>
    <w:p w14:paraId="107DEE40">
      <w:pPr>
        <w:spacing w:line="360" w:lineRule="auto"/>
        <w:ind w:firstLine="432"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如果我单位获得中标入围资格，且各中标入围</w:t>
      </w:r>
      <w:r>
        <w:rPr>
          <w:rFonts w:hint="eastAsia" w:ascii="宋体" w:hAnsi="宋体" w:eastAsia="宋体" w:cs="宋体"/>
          <w:color w:val="auto"/>
          <w:spacing w:val="-2"/>
          <w:sz w:val="22"/>
          <w:szCs w:val="22"/>
          <w:highlight w:val="none"/>
          <w:lang w:val="en-US" w:eastAsia="zh-CN"/>
        </w:rPr>
        <w:t>供应商</w:t>
      </w:r>
      <w:r>
        <w:rPr>
          <w:rFonts w:hint="eastAsia" w:ascii="宋体" w:hAnsi="宋体" w:eastAsia="宋体" w:cs="宋体"/>
          <w:color w:val="auto"/>
          <w:spacing w:val="-2"/>
          <w:sz w:val="22"/>
          <w:szCs w:val="22"/>
          <w:highlight w:val="none"/>
        </w:rPr>
        <w:t>各自投标文件中开标一览表中的“折扣系数报价”不相同的，则我单位承诺，我单位中标折扣系数按照如下规定执行：</w:t>
      </w:r>
    </w:p>
    <w:p w14:paraId="3C93E76D">
      <w:pPr>
        <w:numPr>
          <w:ilvl w:val="0"/>
          <w:numId w:val="0"/>
        </w:numPr>
        <w:spacing w:line="360" w:lineRule="auto"/>
        <w:ind w:firstLine="442" w:firstLineChars="200"/>
        <w:rPr>
          <w:rFonts w:hint="eastAsia" w:ascii="宋体" w:hAnsi="宋体" w:eastAsia="宋体" w:cs="宋体"/>
          <w:b/>
          <w:bCs/>
          <w:color w:val="auto"/>
          <w:spacing w:val="-2"/>
          <w:sz w:val="22"/>
          <w:szCs w:val="22"/>
          <w:highlight w:val="none"/>
        </w:rPr>
      </w:pPr>
      <w:r>
        <w:rPr>
          <w:rFonts w:hint="eastAsia" w:ascii="宋体" w:hAnsi="宋体" w:eastAsia="宋体" w:cs="宋体"/>
          <w:b/>
          <w:bCs/>
          <w:color w:val="auto"/>
          <w:sz w:val="22"/>
          <w:szCs w:val="22"/>
          <w:highlight w:val="none"/>
          <w:lang w:val="en-US" w:eastAsia="zh-CN"/>
        </w:rPr>
        <w:t>1、</w:t>
      </w:r>
      <w:r>
        <w:rPr>
          <w:rFonts w:hint="eastAsia" w:ascii="宋体" w:hAnsi="宋体" w:eastAsia="宋体" w:cs="宋体"/>
          <w:b/>
          <w:bCs/>
          <w:color w:val="auto"/>
          <w:sz w:val="22"/>
          <w:szCs w:val="22"/>
          <w:highlight w:val="none"/>
        </w:rPr>
        <w:t>同意</w:t>
      </w:r>
      <w:r>
        <w:rPr>
          <w:rFonts w:hint="eastAsia" w:ascii="宋体" w:hAnsi="宋体" w:eastAsia="宋体" w:cs="宋体"/>
          <w:b/>
          <w:bCs/>
          <w:color w:val="auto"/>
          <w:spacing w:val="-2"/>
          <w:sz w:val="22"/>
          <w:szCs w:val="22"/>
          <w:highlight w:val="none"/>
        </w:rPr>
        <w:t>以各中标入围</w:t>
      </w:r>
      <w:r>
        <w:rPr>
          <w:rFonts w:hint="eastAsia" w:ascii="宋体" w:hAnsi="宋体" w:eastAsia="宋体" w:cs="宋体"/>
          <w:b/>
          <w:bCs/>
          <w:color w:val="auto"/>
          <w:spacing w:val="-2"/>
          <w:sz w:val="22"/>
          <w:szCs w:val="22"/>
          <w:highlight w:val="none"/>
          <w:lang w:val="en-US" w:eastAsia="zh-CN"/>
        </w:rPr>
        <w:t>供应商</w:t>
      </w:r>
      <w:r>
        <w:rPr>
          <w:rFonts w:hint="eastAsia" w:ascii="宋体" w:hAnsi="宋体" w:eastAsia="宋体" w:cs="宋体"/>
          <w:b/>
          <w:bCs/>
          <w:color w:val="auto"/>
          <w:spacing w:val="-2"/>
          <w:sz w:val="22"/>
          <w:szCs w:val="22"/>
          <w:highlight w:val="none"/>
        </w:rPr>
        <w:t>各自投标文件“开标一览表”中“折扣系数报价”中的平均值作为基准折扣系数</w:t>
      </w:r>
      <w:r>
        <w:rPr>
          <w:rFonts w:hint="eastAsia" w:ascii="宋体" w:hAnsi="宋体" w:eastAsia="宋体" w:cs="宋体"/>
          <w:b/>
          <w:bCs/>
          <w:color w:val="auto"/>
          <w:spacing w:val="-2"/>
          <w:sz w:val="22"/>
          <w:szCs w:val="22"/>
          <w:highlight w:val="none"/>
          <w:lang w:eastAsia="zh-CN"/>
        </w:rPr>
        <w:t>（</w:t>
      </w:r>
      <w:r>
        <w:rPr>
          <w:rFonts w:hint="eastAsia" w:ascii="宋体" w:hAnsi="宋体" w:eastAsia="宋体" w:cs="宋体"/>
          <w:b/>
          <w:bCs/>
          <w:color w:val="auto"/>
          <w:spacing w:val="-2"/>
          <w:sz w:val="22"/>
          <w:szCs w:val="22"/>
          <w:highlight w:val="none"/>
          <w:lang w:val="en-US" w:eastAsia="zh-CN"/>
        </w:rPr>
        <w:t>计算基准</w:t>
      </w:r>
      <w:r>
        <w:rPr>
          <w:rFonts w:hint="eastAsia" w:ascii="宋体" w:hAnsi="宋体" w:eastAsia="宋体" w:cs="宋体"/>
          <w:b/>
          <w:bCs/>
          <w:color w:val="auto"/>
          <w:spacing w:val="-2"/>
          <w:sz w:val="22"/>
          <w:szCs w:val="22"/>
          <w:highlight w:val="none"/>
          <w:lang w:eastAsia="zh-CN"/>
        </w:rPr>
        <w:t>折扣系数、</w:t>
      </w:r>
      <w:r>
        <w:rPr>
          <w:rFonts w:hint="eastAsia" w:ascii="宋体" w:hAnsi="宋体" w:eastAsia="宋体" w:cs="宋体"/>
          <w:b/>
          <w:bCs/>
          <w:color w:val="auto"/>
          <w:spacing w:val="-2"/>
          <w:sz w:val="22"/>
          <w:szCs w:val="22"/>
          <w:highlight w:val="none"/>
        </w:rPr>
        <w:t>中标折扣系数</w:t>
      </w:r>
      <w:r>
        <w:rPr>
          <w:rFonts w:hint="eastAsia" w:ascii="宋体" w:hAnsi="宋体" w:eastAsia="宋体" w:cs="宋体"/>
          <w:b/>
          <w:bCs/>
          <w:color w:val="auto"/>
          <w:spacing w:val="-2"/>
          <w:sz w:val="22"/>
          <w:szCs w:val="22"/>
          <w:highlight w:val="none"/>
          <w:lang w:val="en-US" w:eastAsia="zh-CN"/>
        </w:rPr>
        <w:t>时，</w:t>
      </w:r>
      <w:r>
        <w:rPr>
          <w:rFonts w:hint="eastAsia" w:ascii="宋体" w:hAnsi="宋体" w:eastAsia="宋体" w:cs="宋体"/>
          <w:b/>
          <w:bCs/>
          <w:color w:val="auto"/>
          <w:spacing w:val="-2"/>
          <w:sz w:val="22"/>
          <w:szCs w:val="22"/>
          <w:highlight w:val="none"/>
          <w:lang w:eastAsia="zh-CN"/>
        </w:rPr>
        <w:t>%前（指分子部分）</w:t>
      </w:r>
      <w:r>
        <w:rPr>
          <w:rFonts w:hint="eastAsia" w:ascii="宋体" w:hAnsi="宋体" w:eastAsia="宋体" w:cs="宋体"/>
          <w:b/>
          <w:bCs/>
          <w:color w:val="auto"/>
          <w:spacing w:val="-2"/>
          <w:sz w:val="22"/>
          <w:szCs w:val="22"/>
          <w:highlight w:val="none"/>
          <w:lang w:val="en-US" w:eastAsia="zh-CN"/>
        </w:rPr>
        <w:t>取</w:t>
      </w:r>
      <w:r>
        <w:rPr>
          <w:rFonts w:hint="eastAsia" w:ascii="宋体" w:hAnsi="宋体" w:eastAsia="宋体" w:cs="宋体"/>
          <w:b/>
          <w:bCs/>
          <w:color w:val="auto"/>
          <w:spacing w:val="-2"/>
          <w:sz w:val="22"/>
          <w:szCs w:val="22"/>
          <w:highlight w:val="none"/>
          <w:lang w:eastAsia="zh-CN"/>
        </w:rPr>
        <w:t>整数，</w:t>
      </w:r>
      <w:r>
        <w:rPr>
          <w:rFonts w:hint="eastAsia" w:ascii="宋体" w:hAnsi="宋体" w:eastAsia="宋体" w:cs="宋体"/>
          <w:b/>
          <w:bCs/>
          <w:color w:val="auto"/>
          <w:spacing w:val="-2"/>
          <w:sz w:val="22"/>
          <w:szCs w:val="22"/>
          <w:highlight w:val="none"/>
          <w:lang w:val="en-US" w:eastAsia="zh-CN"/>
        </w:rPr>
        <w:t>该</w:t>
      </w:r>
      <w:r>
        <w:rPr>
          <w:rFonts w:hint="eastAsia" w:ascii="宋体" w:hAnsi="宋体" w:eastAsia="宋体" w:cs="宋体"/>
          <w:b/>
          <w:bCs/>
          <w:color w:val="auto"/>
          <w:spacing w:val="-2"/>
          <w:sz w:val="22"/>
          <w:szCs w:val="22"/>
          <w:highlight w:val="none"/>
          <w:lang w:eastAsia="zh-CN"/>
        </w:rPr>
        <w:t>分子</w:t>
      </w:r>
      <w:r>
        <w:rPr>
          <w:rFonts w:hint="eastAsia" w:ascii="宋体" w:hAnsi="宋体" w:eastAsia="宋体" w:cs="宋体"/>
          <w:b/>
          <w:bCs/>
          <w:color w:val="auto"/>
          <w:spacing w:val="-2"/>
          <w:sz w:val="22"/>
          <w:szCs w:val="22"/>
          <w:highlight w:val="none"/>
          <w:lang w:val="en-US" w:eastAsia="zh-CN"/>
        </w:rPr>
        <w:t>小数部分四舍五入，下同</w:t>
      </w:r>
      <w:r>
        <w:rPr>
          <w:rFonts w:hint="eastAsia" w:ascii="宋体" w:hAnsi="宋体" w:eastAsia="宋体" w:cs="宋体"/>
          <w:b/>
          <w:bCs/>
          <w:color w:val="auto"/>
          <w:spacing w:val="-2"/>
          <w:sz w:val="22"/>
          <w:szCs w:val="22"/>
          <w:highlight w:val="none"/>
          <w:lang w:eastAsia="zh-CN"/>
        </w:rPr>
        <w:t>）</w:t>
      </w:r>
      <w:r>
        <w:rPr>
          <w:rFonts w:hint="eastAsia" w:ascii="宋体" w:hAnsi="宋体" w:eastAsia="宋体" w:cs="宋体"/>
          <w:b/>
          <w:bCs/>
          <w:color w:val="auto"/>
          <w:spacing w:val="-2"/>
          <w:sz w:val="22"/>
          <w:szCs w:val="22"/>
          <w:highlight w:val="none"/>
        </w:rPr>
        <w:t>：</w:t>
      </w:r>
    </w:p>
    <w:p w14:paraId="3A5846E6">
      <w:pPr>
        <w:spacing w:line="360" w:lineRule="auto"/>
        <w:ind w:firstLine="434" w:firstLineChars="200"/>
        <w:rPr>
          <w:rFonts w:hint="eastAsia" w:ascii="宋体" w:hAnsi="宋体" w:eastAsia="宋体" w:cs="宋体"/>
          <w:b/>
          <w:bCs/>
          <w:color w:val="auto"/>
          <w:spacing w:val="-2"/>
          <w:sz w:val="22"/>
          <w:szCs w:val="22"/>
          <w:highlight w:val="none"/>
        </w:rPr>
      </w:pPr>
      <w:r>
        <w:rPr>
          <w:rFonts w:hint="eastAsia" w:ascii="宋体" w:hAnsi="宋体" w:eastAsia="宋体" w:cs="宋体"/>
          <w:b/>
          <w:bCs/>
          <w:color w:val="auto"/>
          <w:spacing w:val="-2"/>
          <w:sz w:val="22"/>
          <w:szCs w:val="22"/>
          <w:highlight w:val="none"/>
        </w:rPr>
        <w:t>1）我单位“折扣系数报价”低于基准折扣系数的，则以我单位的“折扣系数报价”作为</w:t>
      </w:r>
      <w:r>
        <w:rPr>
          <w:rFonts w:hint="eastAsia" w:ascii="宋体" w:hAnsi="宋体" w:eastAsia="宋体" w:cs="宋体"/>
          <w:b/>
          <w:bCs/>
          <w:color w:val="auto"/>
          <w:spacing w:val="-2"/>
          <w:sz w:val="22"/>
          <w:szCs w:val="22"/>
          <w:highlight w:val="none"/>
          <w:lang w:val="en-US" w:eastAsia="zh-CN"/>
        </w:rPr>
        <w:t>我单位</w:t>
      </w:r>
      <w:r>
        <w:rPr>
          <w:rFonts w:hint="eastAsia" w:ascii="宋体" w:hAnsi="宋体" w:eastAsia="宋体" w:cs="宋体"/>
          <w:b/>
          <w:bCs/>
          <w:color w:val="auto"/>
          <w:spacing w:val="-2"/>
          <w:sz w:val="22"/>
          <w:szCs w:val="22"/>
          <w:highlight w:val="none"/>
        </w:rPr>
        <w:t>的中标折扣系数；</w:t>
      </w:r>
    </w:p>
    <w:p w14:paraId="1FF9480F">
      <w:pPr>
        <w:spacing w:line="360" w:lineRule="auto"/>
        <w:ind w:firstLine="434" w:firstLineChars="200"/>
        <w:rPr>
          <w:rFonts w:hint="eastAsia" w:ascii="宋体" w:hAnsi="宋体" w:eastAsia="宋体" w:cs="宋体"/>
          <w:b/>
          <w:bCs/>
          <w:color w:val="auto"/>
          <w:spacing w:val="-2"/>
          <w:sz w:val="22"/>
          <w:szCs w:val="22"/>
          <w:highlight w:val="none"/>
        </w:rPr>
      </w:pPr>
      <w:r>
        <w:rPr>
          <w:rFonts w:hint="eastAsia" w:ascii="宋体" w:hAnsi="宋体" w:eastAsia="宋体" w:cs="宋体"/>
          <w:b/>
          <w:bCs/>
          <w:color w:val="auto"/>
          <w:spacing w:val="-2"/>
          <w:sz w:val="22"/>
          <w:szCs w:val="22"/>
          <w:highlight w:val="none"/>
        </w:rPr>
        <w:t>2）当我单位“折扣系数报价”大于等于基准折扣系数的，则以基准折扣系数作为我单位的中标折扣系数；</w:t>
      </w:r>
    </w:p>
    <w:p w14:paraId="377D3147">
      <w:pPr>
        <w:spacing w:line="360" w:lineRule="auto"/>
        <w:ind w:firstLine="434" w:firstLineChars="200"/>
        <w:rPr>
          <w:rFonts w:hint="eastAsia" w:ascii="宋体" w:hAnsi="宋体" w:eastAsia="宋体" w:cs="宋体"/>
          <w:b/>
          <w:bCs/>
          <w:color w:val="auto"/>
          <w:spacing w:val="-2"/>
          <w:sz w:val="22"/>
          <w:szCs w:val="22"/>
          <w:highlight w:val="none"/>
        </w:rPr>
      </w:pPr>
      <w:r>
        <w:rPr>
          <w:rFonts w:hint="eastAsia" w:ascii="宋体" w:hAnsi="宋体" w:eastAsia="宋体" w:cs="宋体"/>
          <w:b/>
          <w:bCs/>
          <w:color w:val="auto"/>
          <w:spacing w:val="-2"/>
          <w:sz w:val="22"/>
          <w:szCs w:val="22"/>
          <w:highlight w:val="none"/>
        </w:rPr>
        <w:t>3）该中标折扣系数乘以某项目综合单价的最高限价作为我单位实际合同</w:t>
      </w:r>
      <w:r>
        <w:rPr>
          <w:rFonts w:hint="eastAsia" w:ascii="宋体" w:hAnsi="宋体" w:eastAsia="宋体" w:cs="宋体"/>
          <w:b/>
          <w:bCs/>
          <w:color w:val="auto"/>
          <w:spacing w:val="-2"/>
          <w:sz w:val="22"/>
          <w:szCs w:val="22"/>
          <w:highlight w:val="none"/>
          <w:lang w:val="en-US" w:eastAsia="zh-CN"/>
        </w:rPr>
        <w:t>综合单价</w:t>
      </w:r>
      <w:r>
        <w:rPr>
          <w:rFonts w:hint="eastAsia" w:ascii="宋体" w:hAnsi="宋体" w:eastAsia="宋体" w:cs="宋体"/>
          <w:b/>
          <w:bCs/>
          <w:color w:val="auto"/>
          <w:spacing w:val="-2"/>
          <w:sz w:val="22"/>
          <w:szCs w:val="22"/>
          <w:highlight w:val="none"/>
        </w:rPr>
        <w:t>。</w:t>
      </w:r>
    </w:p>
    <w:p w14:paraId="26B19506">
      <w:pPr>
        <w:numPr>
          <w:ilvl w:val="0"/>
          <w:numId w:val="0"/>
        </w:numPr>
        <w:spacing w:line="360" w:lineRule="auto"/>
        <w:ind w:firstLine="434" w:firstLineChars="200"/>
        <w:rPr>
          <w:rFonts w:hint="eastAsia" w:ascii="宋体" w:hAnsi="宋体" w:eastAsia="宋体" w:cs="宋体"/>
          <w:b/>
          <w:bCs/>
          <w:color w:val="auto"/>
          <w:spacing w:val="-2"/>
          <w:sz w:val="22"/>
          <w:szCs w:val="22"/>
          <w:highlight w:val="none"/>
        </w:rPr>
      </w:pPr>
      <w:r>
        <w:rPr>
          <w:rFonts w:hint="eastAsia" w:ascii="宋体" w:hAnsi="宋体" w:eastAsia="宋体" w:cs="宋体"/>
          <w:b/>
          <w:bCs/>
          <w:color w:val="auto"/>
          <w:spacing w:val="-2"/>
          <w:sz w:val="22"/>
          <w:szCs w:val="22"/>
          <w:highlight w:val="none"/>
          <w:lang w:val="en-US" w:eastAsia="zh-CN"/>
        </w:rPr>
        <w:t>2、</w:t>
      </w:r>
      <w:r>
        <w:rPr>
          <w:rFonts w:hint="eastAsia" w:ascii="宋体" w:hAnsi="宋体" w:eastAsia="宋体" w:cs="宋体"/>
          <w:b/>
          <w:bCs/>
          <w:color w:val="auto"/>
          <w:spacing w:val="-2"/>
          <w:sz w:val="22"/>
          <w:szCs w:val="22"/>
          <w:highlight w:val="none"/>
        </w:rPr>
        <w:t>我公司完全响应采购文件第二部分合同条款中的规定，无任何偏差。</w:t>
      </w:r>
    </w:p>
    <w:p w14:paraId="38BB47E4">
      <w:pPr>
        <w:numPr>
          <w:ilvl w:val="0"/>
          <w:numId w:val="0"/>
        </w:num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我方按照该“中标折扣系数承诺函”的规定执行后，我方没有任何附加条件，且所提交的投标文件及相关投标承诺依然有效。</w:t>
      </w:r>
    </w:p>
    <w:p w14:paraId="3D1C8A9A">
      <w:pPr>
        <w:spacing w:line="360" w:lineRule="auto"/>
        <w:rPr>
          <w:rFonts w:hint="eastAsia" w:ascii="宋体" w:hAnsi="宋体" w:eastAsia="宋体" w:cs="宋体"/>
          <w:strike/>
          <w:color w:val="auto"/>
          <w:highlight w:val="none"/>
        </w:rPr>
      </w:pPr>
    </w:p>
    <w:p w14:paraId="0A66EF3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我方理解，如不作此承诺，评标委员会将对我方投标作无效标处理。</w:t>
      </w:r>
    </w:p>
    <w:p w14:paraId="2E5A067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14:paraId="0388358F">
      <w:pPr>
        <w:spacing w:line="360" w:lineRule="auto"/>
        <w:rPr>
          <w:rFonts w:hint="eastAsia" w:ascii="宋体" w:hAnsi="宋体" w:eastAsia="宋体" w:cs="宋体"/>
          <w:color w:val="auto"/>
          <w:sz w:val="22"/>
          <w:szCs w:val="22"/>
          <w:highlight w:val="none"/>
        </w:rPr>
      </w:pPr>
    </w:p>
    <w:p w14:paraId="39651264">
      <w:pPr>
        <w:spacing w:line="48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承诺人单位全称（盖公章）：</w:t>
      </w:r>
    </w:p>
    <w:p w14:paraId="276352FA">
      <w:pPr>
        <w:spacing w:line="48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法定代表人或授权代表（签字或盖章）：</w:t>
      </w:r>
    </w:p>
    <w:p w14:paraId="5651BC42">
      <w:pPr>
        <w:spacing w:line="480" w:lineRule="auto"/>
        <w:rPr>
          <w:rFonts w:hint="eastAsia" w:ascii="宋体" w:hAnsi="宋体" w:eastAsia="宋体" w:cs="宋体"/>
          <w:color w:val="auto"/>
          <w:spacing w:val="-2"/>
          <w:sz w:val="22"/>
          <w:szCs w:val="22"/>
          <w:highlight w:val="none"/>
        </w:rPr>
      </w:pPr>
      <w:r>
        <w:rPr>
          <w:rFonts w:hint="eastAsia" w:ascii="宋体" w:hAnsi="宋体" w:eastAsia="宋体" w:cs="宋体"/>
          <w:color w:val="auto"/>
          <w:spacing w:val="-2"/>
          <w:sz w:val="22"/>
          <w:szCs w:val="22"/>
          <w:highlight w:val="none"/>
        </w:rPr>
        <w:t>日期：</w:t>
      </w:r>
    </w:p>
    <w:p w14:paraId="182DF47E">
      <w:pPr>
        <w:pStyle w:val="14"/>
        <w:ind w:left="432" w:hanging="432"/>
        <w:rPr>
          <w:rFonts w:hint="eastAsia" w:ascii="宋体" w:hAnsi="宋体" w:eastAsia="宋体" w:cs="宋体"/>
          <w:color w:val="auto"/>
          <w:spacing w:val="-2"/>
          <w:sz w:val="22"/>
          <w:szCs w:val="22"/>
          <w:highlight w:val="none"/>
        </w:rPr>
      </w:pPr>
    </w:p>
    <w:p w14:paraId="1723970B">
      <w:pPr>
        <w:keepNext w:val="0"/>
        <w:keepLines w:val="0"/>
        <w:pageBreakBefore w:val="0"/>
        <w:kinsoku/>
        <w:wordWrap/>
        <w:topLinePunct w:val="0"/>
        <w:bidi w:val="0"/>
        <w:snapToGrid/>
        <w:spacing w:line="24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1、▲本“中标折扣系数承诺函”中的内容为实质性内容，投标供应商没有实质性响应该要求的，其投标作无效标处理。</w:t>
      </w:r>
    </w:p>
    <w:p w14:paraId="3C3FBFC4">
      <w:pPr>
        <w:pStyle w:val="16"/>
        <w:keepNext w:val="0"/>
        <w:keepLines w:val="0"/>
        <w:pageBreakBefore w:val="0"/>
        <w:kinsoku/>
        <w:wordWrap/>
        <w:topLinePunct w:val="0"/>
        <w:bidi w:val="0"/>
        <w:snapToGrid/>
        <w:spacing w:line="240" w:lineRule="auto"/>
        <w:ind w:firstLine="42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color w:val="auto"/>
          <w:szCs w:val="21"/>
          <w:highlight w:val="none"/>
          <w:u w:val="single"/>
        </w:rPr>
        <w:t>2、▲投标供应商不提供此“中标折扣系数承诺函”，将被视为没有实质性响应采购文件要求, 作无效标处理。</w:t>
      </w:r>
    </w:p>
    <w:p w14:paraId="1D703336">
      <w:pPr>
        <w:pStyle w:val="16"/>
        <w:spacing w:line="360" w:lineRule="auto"/>
        <w:rPr>
          <w:rFonts w:hint="eastAsia" w:ascii="宋体" w:hAnsi="宋体" w:eastAsia="宋体" w:cs="宋体"/>
          <w:b/>
          <w:bCs/>
          <w:color w:val="auto"/>
          <w:sz w:val="28"/>
          <w:szCs w:val="28"/>
          <w:highlight w:val="none"/>
          <w:lang w:val="en-US" w:eastAsia="zh-CN"/>
        </w:rPr>
      </w:pPr>
    </w:p>
    <w:p w14:paraId="2BFA599D">
      <w:pPr>
        <w:pStyle w:val="16"/>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14:paraId="324C3C10">
      <w:pPr>
        <w:spacing w:line="380" w:lineRule="exact"/>
        <w:rPr>
          <w:rFonts w:hint="eastAsia" w:ascii="宋体" w:hAnsi="宋体" w:eastAsia="宋体" w:cs="宋体"/>
          <w:b/>
          <w:color w:val="auto"/>
          <w:spacing w:val="-2"/>
          <w:sz w:val="22"/>
          <w:szCs w:val="22"/>
          <w:highlight w:val="none"/>
          <w:lang w:val="en-US" w:eastAsia="zh-CN"/>
        </w:rPr>
      </w:pPr>
      <w:r>
        <w:rPr>
          <w:rFonts w:hint="eastAsia" w:ascii="宋体" w:hAnsi="宋体" w:eastAsia="宋体" w:cs="宋体"/>
          <w:b/>
          <w:color w:val="auto"/>
          <w:spacing w:val="-2"/>
          <w:sz w:val="22"/>
          <w:szCs w:val="22"/>
          <w:highlight w:val="none"/>
        </w:rPr>
        <w:t>附件</w:t>
      </w:r>
      <w:r>
        <w:rPr>
          <w:rFonts w:hint="eastAsia" w:ascii="宋体" w:hAnsi="宋体" w:cs="宋体"/>
          <w:b/>
          <w:color w:val="auto"/>
          <w:spacing w:val="-2"/>
          <w:sz w:val="22"/>
          <w:szCs w:val="22"/>
          <w:highlight w:val="none"/>
          <w:lang w:val="en-US" w:eastAsia="zh-CN"/>
        </w:rPr>
        <w:t>六</w:t>
      </w:r>
    </w:p>
    <w:p w14:paraId="30C60FF9">
      <w:pPr>
        <w:spacing w:line="380" w:lineRule="exact"/>
        <w:jc w:val="center"/>
        <w:outlineLvl w:val="0"/>
        <w:rPr>
          <w:rFonts w:hint="eastAsia" w:ascii="宋体" w:hAnsi="宋体" w:eastAsia="宋体" w:cs="宋体"/>
          <w:b w:val="0"/>
          <w:bCs w:val="0"/>
          <w:color w:val="auto"/>
          <w:spacing w:val="-2"/>
          <w:sz w:val="32"/>
          <w:szCs w:val="32"/>
          <w:highlight w:val="none"/>
        </w:rPr>
      </w:pPr>
      <w:r>
        <w:rPr>
          <w:rFonts w:hint="eastAsia" w:ascii="宋体" w:hAnsi="宋体" w:eastAsia="宋体" w:cs="宋体"/>
          <w:b w:val="0"/>
          <w:bCs w:val="0"/>
          <w:color w:val="auto"/>
          <w:spacing w:val="-2"/>
          <w:sz w:val="32"/>
          <w:szCs w:val="32"/>
          <w:highlight w:val="none"/>
          <w:lang w:val="en-US" w:eastAsia="zh-CN"/>
        </w:rPr>
        <w:t>购买公众责任险</w:t>
      </w:r>
      <w:r>
        <w:rPr>
          <w:rFonts w:hint="eastAsia" w:ascii="宋体" w:hAnsi="宋体" w:eastAsia="宋体" w:cs="宋体"/>
          <w:b w:val="0"/>
          <w:bCs w:val="0"/>
          <w:color w:val="auto"/>
          <w:spacing w:val="-2"/>
          <w:sz w:val="32"/>
          <w:szCs w:val="32"/>
          <w:highlight w:val="none"/>
        </w:rPr>
        <w:t>承诺函</w:t>
      </w:r>
    </w:p>
    <w:p w14:paraId="4BAEC3A2">
      <w:pPr>
        <w:pStyle w:val="17"/>
        <w:rPr>
          <w:rFonts w:hint="eastAsia"/>
          <w:b w:val="0"/>
          <w:bCs w:val="0"/>
          <w:color w:val="auto"/>
          <w:highlight w:val="none"/>
        </w:rPr>
      </w:pPr>
    </w:p>
    <w:p w14:paraId="3D7155F5">
      <w:pPr>
        <w:spacing w:line="360" w:lineRule="auto"/>
        <w:jc w:val="center"/>
        <w:rPr>
          <w:rFonts w:hint="eastAsia" w:ascii="宋体" w:hAnsi="宋体" w:eastAsia="宋体" w:cs="宋体"/>
          <w:b w:val="0"/>
          <w:bCs w:val="0"/>
          <w:color w:val="auto"/>
          <w:spacing w:val="-2"/>
          <w:sz w:val="22"/>
          <w:szCs w:val="22"/>
          <w:highlight w:val="none"/>
        </w:rPr>
      </w:pPr>
    </w:p>
    <w:p w14:paraId="72E72731">
      <w:pPr>
        <w:spacing w:line="360" w:lineRule="auto"/>
        <w:rPr>
          <w:rFonts w:hint="eastAsia" w:ascii="宋体" w:hAnsi="宋体" w:eastAsia="宋体" w:cs="宋体"/>
          <w:b w:val="0"/>
          <w:bCs w:val="0"/>
          <w:color w:val="auto"/>
          <w:spacing w:val="-2"/>
          <w:sz w:val="22"/>
          <w:szCs w:val="22"/>
          <w:highlight w:val="none"/>
        </w:rPr>
      </w:pPr>
      <w:r>
        <w:rPr>
          <w:rFonts w:hint="eastAsia" w:ascii="宋体" w:hAnsi="宋体" w:eastAsia="宋体" w:cs="宋体"/>
          <w:b w:val="0"/>
          <w:bCs w:val="0"/>
          <w:color w:val="auto"/>
          <w:spacing w:val="-2"/>
          <w:sz w:val="22"/>
          <w:szCs w:val="22"/>
          <w:highlight w:val="none"/>
          <w:lang w:eastAsia="zh-CN"/>
        </w:rPr>
        <w:t>温州市燃气集团有限公司</w:t>
      </w:r>
      <w:r>
        <w:rPr>
          <w:rFonts w:hint="eastAsia" w:ascii="宋体" w:hAnsi="宋体" w:eastAsia="宋体" w:cs="宋体"/>
          <w:b w:val="0"/>
          <w:bCs w:val="0"/>
          <w:color w:val="auto"/>
          <w:spacing w:val="-2"/>
          <w:sz w:val="22"/>
          <w:szCs w:val="22"/>
          <w:highlight w:val="none"/>
        </w:rPr>
        <w:t>：</w:t>
      </w:r>
    </w:p>
    <w:p w14:paraId="29B300C3">
      <w:pPr>
        <w:keepNext w:val="0"/>
        <w:keepLines w:val="0"/>
        <w:pageBreakBefore w:val="0"/>
        <w:widowControl/>
        <w:tabs>
          <w:tab w:val="left" w:pos="4860"/>
        </w:tabs>
        <w:kinsoku/>
        <w:wordWrap w:val="0"/>
        <w:overflowPunct/>
        <w:topLinePunct w:val="0"/>
        <w:autoSpaceDE/>
        <w:autoSpaceDN/>
        <w:bidi w:val="0"/>
        <w:adjustRightInd/>
        <w:snapToGrid/>
        <w:spacing w:line="360" w:lineRule="auto"/>
        <w:ind w:right="96" w:firstLine="432" w:firstLineChars="200"/>
        <w:jc w:val="left"/>
        <w:textAlignment w:val="baseline"/>
        <w:rPr>
          <w:rFonts w:hint="eastAsia" w:asciiTheme="minorEastAsia" w:hAnsiTheme="minorEastAsia" w:eastAsiaTheme="minorEastAsia" w:cstheme="minorEastAsia"/>
          <w:b w:val="0"/>
          <w:bCs w:val="0"/>
          <w:color w:val="auto"/>
          <w:spacing w:val="-2"/>
          <w:sz w:val="22"/>
          <w:szCs w:val="22"/>
          <w:highlight w:val="none"/>
        </w:rPr>
      </w:pPr>
      <w:r>
        <w:rPr>
          <w:rFonts w:hint="eastAsia" w:asciiTheme="minorEastAsia" w:hAnsiTheme="minorEastAsia" w:eastAsiaTheme="minorEastAsia" w:cstheme="minorEastAsia"/>
          <w:b w:val="0"/>
          <w:bCs w:val="0"/>
          <w:color w:val="auto"/>
          <w:spacing w:val="-2"/>
          <w:sz w:val="22"/>
          <w:szCs w:val="22"/>
          <w:highlight w:val="none"/>
        </w:rPr>
        <w:t>我单位参与贵单位组织的</w:t>
      </w:r>
      <w:r>
        <w:rPr>
          <w:rFonts w:hint="eastAsia" w:asciiTheme="minorEastAsia" w:hAnsiTheme="minorEastAsia" w:eastAsiaTheme="minorEastAsia" w:cstheme="minorEastAsia"/>
          <w:b w:val="0"/>
          <w:bCs w:val="0"/>
          <w:color w:val="auto"/>
          <w:spacing w:val="-2"/>
          <w:sz w:val="22"/>
          <w:szCs w:val="22"/>
          <w:highlight w:val="none"/>
          <w:u w:val="none"/>
          <w:lang w:eastAsia="zh-CN"/>
        </w:rPr>
        <w:t>燃气客户服务外包供应商库</w:t>
      </w:r>
      <w:r>
        <w:rPr>
          <w:rFonts w:hint="eastAsia" w:asciiTheme="minorEastAsia" w:hAnsiTheme="minorEastAsia" w:eastAsiaTheme="minorEastAsia" w:cstheme="minorEastAsia"/>
          <w:b w:val="0"/>
          <w:bCs w:val="0"/>
          <w:color w:val="auto"/>
          <w:spacing w:val="-2"/>
          <w:sz w:val="22"/>
          <w:szCs w:val="22"/>
          <w:highlight w:val="none"/>
        </w:rPr>
        <w:t>项目的投标。我单位针对本项目“</w:t>
      </w:r>
      <w:r>
        <w:rPr>
          <w:rFonts w:hint="eastAsia" w:asciiTheme="minorEastAsia" w:hAnsiTheme="minorEastAsia" w:eastAsiaTheme="minorEastAsia" w:cstheme="minorEastAsia"/>
          <w:b w:val="0"/>
          <w:bCs w:val="0"/>
          <w:color w:val="auto"/>
          <w:spacing w:val="-2"/>
          <w:sz w:val="22"/>
          <w:szCs w:val="22"/>
          <w:highlight w:val="none"/>
          <w:lang w:val="en-US" w:eastAsia="zh-CN"/>
        </w:rPr>
        <w:t>购买公众责任险</w:t>
      </w:r>
      <w:r>
        <w:rPr>
          <w:rFonts w:hint="eastAsia" w:asciiTheme="minorEastAsia" w:hAnsiTheme="minorEastAsia" w:eastAsiaTheme="minorEastAsia" w:cstheme="minorEastAsia"/>
          <w:b w:val="0"/>
          <w:bCs w:val="0"/>
          <w:color w:val="auto"/>
          <w:spacing w:val="-2"/>
          <w:sz w:val="22"/>
          <w:szCs w:val="22"/>
          <w:highlight w:val="none"/>
        </w:rPr>
        <w:t>”做出以下承诺：</w:t>
      </w:r>
    </w:p>
    <w:p w14:paraId="354FEA10">
      <w:pPr>
        <w:spacing w:line="360" w:lineRule="auto"/>
        <w:ind w:firstLine="432"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pacing w:val="-2"/>
          <w:sz w:val="22"/>
          <w:szCs w:val="22"/>
          <w:highlight w:val="none"/>
        </w:rPr>
        <w:t>如果我单位获得中标入围资格，</w:t>
      </w:r>
      <w:r>
        <w:rPr>
          <w:rFonts w:hint="eastAsia" w:asciiTheme="minorEastAsia" w:hAnsiTheme="minorEastAsia" w:eastAsiaTheme="minorEastAsia" w:cstheme="minorEastAsia"/>
          <w:b w:val="0"/>
          <w:bCs w:val="0"/>
          <w:color w:val="auto"/>
          <w:spacing w:val="-2"/>
          <w:sz w:val="22"/>
          <w:szCs w:val="22"/>
          <w:highlight w:val="none"/>
        </w:rPr>
        <w:t>则我单位承诺，我单位</w:t>
      </w:r>
      <w:r>
        <w:rPr>
          <w:rFonts w:hint="eastAsia" w:asciiTheme="minorEastAsia" w:hAnsiTheme="minorEastAsia" w:eastAsiaTheme="minorEastAsia" w:cstheme="minorEastAsia"/>
          <w:b w:val="0"/>
          <w:bCs w:val="0"/>
          <w:color w:val="auto"/>
          <w:sz w:val="22"/>
          <w:szCs w:val="22"/>
          <w:highlight w:val="none"/>
          <w:lang w:val="en-US" w:eastAsia="zh-CN"/>
        </w:rPr>
        <w:t>购买公众责任险</w:t>
      </w:r>
      <w:r>
        <w:rPr>
          <w:rFonts w:hint="eastAsia" w:asciiTheme="minorEastAsia" w:hAnsiTheme="minorEastAsia" w:eastAsiaTheme="minorEastAsia" w:cstheme="minorEastAsia"/>
          <w:b w:val="0"/>
          <w:bCs w:val="0"/>
          <w:color w:val="auto"/>
          <w:spacing w:val="-2"/>
          <w:sz w:val="22"/>
          <w:szCs w:val="22"/>
          <w:highlight w:val="none"/>
        </w:rPr>
        <w:t>按照如下规定执行：</w:t>
      </w:r>
    </w:p>
    <w:p w14:paraId="4A4D1097">
      <w:pPr>
        <w:numPr>
          <w:ilvl w:val="0"/>
          <w:numId w:val="26"/>
        </w:numPr>
        <w:spacing w:line="360" w:lineRule="auto"/>
        <w:ind w:firstLine="440" w:firstLineChars="200"/>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按照甲方提供的最新客户数标准与其他入围单位共同购买公众责任险；</w:t>
      </w:r>
    </w:p>
    <w:p w14:paraId="115C4BE3">
      <w:pPr>
        <w:numPr>
          <w:ilvl w:val="0"/>
          <w:numId w:val="26"/>
        </w:numPr>
        <w:spacing w:line="360" w:lineRule="auto"/>
        <w:ind w:firstLine="440" w:firstLineChars="200"/>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购买公众责任险所需费用按照年度各项业务量分配比例分摊；</w:t>
      </w:r>
    </w:p>
    <w:p w14:paraId="33CCCB85">
      <w:pPr>
        <w:numPr>
          <w:ilvl w:val="0"/>
          <w:numId w:val="26"/>
        </w:numPr>
        <w:spacing w:line="360" w:lineRule="auto"/>
        <w:ind w:firstLine="440" w:firstLineChars="200"/>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购买温州地区保险公司销售的公众责任险；</w:t>
      </w:r>
    </w:p>
    <w:p w14:paraId="65CCC99A">
      <w:pPr>
        <w:numPr>
          <w:ilvl w:val="0"/>
          <w:numId w:val="0"/>
        </w:numPr>
        <w:spacing w:line="360" w:lineRule="auto"/>
        <w:ind w:firstLine="440" w:firstLineChars="200"/>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sz w:val="22"/>
          <w:szCs w:val="22"/>
          <w:highlight w:val="none"/>
          <w:lang w:val="en-US" w:eastAsia="zh-CN"/>
        </w:rPr>
        <w:t>4、</w:t>
      </w:r>
      <w:r>
        <w:rPr>
          <w:rFonts w:hint="eastAsia" w:asciiTheme="minorEastAsia" w:hAnsiTheme="minorEastAsia" w:eastAsiaTheme="minorEastAsia" w:cstheme="minorEastAsia"/>
          <w:b w:val="0"/>
          <w:bCs w:val="0"/>
          <w:color w:val="auto"/>
          <w:sz w:val="22"/>
          <w:szCs w:val="22"/>
          <w:highlight w:val="none"/>
        </w:rPr>
        <w:t>我方按照该“</w:t>
      </w:r>
      <w:r>
        <w:rPr>
          <w:rFonts w:hint="eastAsia" w:asciiTheme="minorEastAsia" w:hAnsiTheme="minorEastAsia" w:eastAsiaTheme="minorEastAsia" w:cstheme="minorEastAsia"/>
          <w:b w:val="0"/>
          <w:bCs w:val="0"/>
          <w:color w:val="auto"/>
          <w:sz w:val="22"/>
          <w:szCs w:val="22"/>
          <w:highlight w:val="none"/>
          <w:lang w:val="en-US" w:eastAsia="zh-CN"/>
        </w:rPr>
        <w:t>购买公众责任险</w:t>
      </w:r>
      <w:r>
        <w:rPr>
          <w:rFonts w:hint="eastAsia" w:asciiTheme="minorEastAsia" w:hAnsiTheme="minorEastAsia" w:eastAsiaTheme="minorEastAsia" w:cstheme="minorEastAsia"/>
          <w:b w:val="0"/>
          <w:bCs w:val="0"/>
          <w:color w:val="auto"/>
          <w:sz w:val="22"/>
          <w:szCs w:val="22"/>
          <w:highlight w:val="none"/>
        </w:rPr>
        <w:t>”的规定执行后，我方没有任何附加条件，且所提交的投标文件及相关投标承诺依然有效。</w:t>
      </w:r>
    </w:p>
    <w:p w14:paraId="7480FD80">
      <w:pPr>
        <w:spacing w:line="360" w:lineRule="auto"/>
        <w:rPr>
          <w:rFonts w:hint="eastAsia" w:ascii="宋体" w:hAnsi="宋体" w:eastAsia="宋体" w:cs="宋体"/>
          <w:b w:val="0"/>
          <w:bCs w:val="0"/>
          <w:strike/>
          <w:color w:val="auto"/>
          <w:highlight w:val="none"/>
        </w:rPr>
      </w:pPr>
    </w:p>
    <w:p w14:paraId="307E4DAA">
      <w:pPr>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我方理解，如不作此承诺，评标委员会将对我方投标作无效标处理。</w:t>
      </w:r>
    </w:p>
    <w:p w14:paraId="67E459C2">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特此承诺！</w:t>
      </w:r>
    </w:p>
    <w:p w14:paraId="686BBD2A">
      <w:pPr>
        <w:spacing w:line="360" w:lineRule="auto"/>
        <w:rPr>
          <w:rFonts w:hint="eastAsia" w:ascii="宋体" w:hAnsi="宋体" w:eastAsia="宋体" w:cs="宋体"/>
          <w:b w:val="0"/>
          <w:bCs w:val="0"/>
          <w:color w:val="auto"/>
          <w:sz w:val="22"/>
          <w:szCs w:val="22"/>
          <w:highlight w:val="none"/>
        </w:rPr>
      </w:pPr>
    </w:p>
    <w:p w14:paraId="78BC3425">
      <w:pPr>
        <w:spacing w:line="480" w:lineRule="auto"/>
        <w:rPr>
          <w:rFonts w:hint="eastAsia" w:ascii="宋体" w:hAnsi="宋体" w:eastAsia="宋体" w:cs="宋体"/>
          <w:b w:val="0"/>
          <w:bCs w:val="0"/>
          <w:color w:val="auto"/>
          <w:spacing w:val="-2"/>
          <w:sz w:val="22"/>
          <w:szCs w:val="22"/>
          <w:highlight w:val="none"/>
        </w:rPr>
      </w:pPr>
      <w:r>
        <w:rPr>
          <w:rFonts w:hint="eastAsia" w:ascii="宋体" w:hAnsi="宋体" w:eastAsia="宋体" w:cs="宋体"/>
          <w:b w:val="0"/>
          <w:bCs w:val="0"/>
          <w:color w:val="auto"/>
          <w:spacing w:val="-2"/>
          <w:sz w:val="22"/>
          <w:szCs w:val="22"/>
          <w:highlight w:val="none"/>
        </w:rPr>
        <w:t>承诺人单位全称（盖公章）：</w:t>
      </w:r>
    </w:p>
    <w:p w14:paraId="51BA921E">
      <w:pPr>
        <w:spacing w:line="480" w:lineRule="auto"/>
        <w:rPr>
          <w:rFonts w:hint="eastAsia" w:ascii="宋体" w:hAnsi="宋体" w:eastAsia="宋体" w:cs="宋体"/>
          <w:b w:val="0"/>
          <w:bCs w:val="0"/>
          <w:color w:val="auto"/>
          <w:spacing w:val="-2"/>
          <w:sz w:val="22"/>
          <w:szCs w:val="22"/>
          <w:highlight w:val="none"/>
        </w:rPr>
      </w:pPr>
      <w:r>
        <w:rPr>
          <w:rFonts w:hint="eastAsia" w:ascii="宋体" w:hAnsi="宋体" w:eastAsia="宋体" w:cs="宋体"/>
          <w:b w:val="0"/>
          <w:bCs w:val="0"/>
          <w:color w:val="auto"/>
          <w:spacing w:val="-2"/>
          <w:sz w:val="22"/>
          <w:szCs w:val="22"/>
          <w:highlight w:val="none"/>
        </w:rPr>
        <w:t>法定代表人或授权代表（签字或盖章）：</w:t>
      </w:r>
    </w:p>
    <w:p w14:paraId="04255014">
      <w:pPr>
        <w:spacing w:line="480" w:lineRule="auto"/>
        <w:rPr>
          <w:rFonts w:hint="eastAsia" w:ascii="宋体" w:hAnsi="宋体" w:eastAsia="宋体" w:cs="宋体"/>
          <w:b w:val="0"/>
          <w:bCs w:val="0"/>
          <w:color w:val="auto"/>
          <w:spacing w:val="-2"/>
          <w:sz w:val="22"/>
          <w:szCs w:val="22"/>
          <w:highlight w:val="none"/>
        </w:rPr>
      </w:pPr>
      <w:r>
        <w:rPr>
          <w:rFonts w:hint="eastAsia" w:ascii="宋体" w:hAnsi="宋体" w:eastAsia="宋体" w:cs="宋体"/>
          <w:b w:val="0"/>
          <w:bCs w:val="0"/>
          <w:color w:val="auto"/>
          <w:spacing w:val="-2"/>
          <w:sz w:val="22"/>
          <w:szCs w:val="22"/>
          <w:highlight w:val="none"/>
        </w:rPr>
        <w:t>日期：</w:t>
      </w:r>
    </w:p>
    <w:p w14:paraId="11E0C4B9">
      <w:pPr>
        <w:rPr>
          <w:rFonts w:hint="eastAsia" w:ascii="宋体" w:hAnsi="宋体" w:cs="宋体"/>
          <w:b w:val="0"/>
          <w:bCs w:val="0"/>
          <w:color w:val="auto"/>
          <w:spacing w:val="-2"/>
          <w:sz w:val="22"/>
          <w:szCs w:val="22"/>
          <w:highlight w:val="none"/>
          <w:lang w:eastAsia="zh-CN"/>
        </w:rPr>
      </w:pPr>
    </w:p>
    <w:p w14:paraId="1EEF5437">
      <w:pPr>
        <w:rPr>
          <w:rFonts w:hint="eastAsia" w:ascii="宋体" w:hAnsi="宋体" w:cs="宋体"/>
          <w:b w:val="0"/>
          <w:bCs w:val="0"/>
          <w:color w:val="auto"/>
          <w:spacing w:val="-2"/>
          <w:sz w:val="22"/>
          <w:szCs w:val="22"/>
          <w:highlight w:val="none"/>
          <w:lang w:eastAsia="zh-CN"/>
        </w:rPr>
      </w:pPr>
    </w:p>
    <w:p w14:paraId="121FB6D2">
      <w:pPr>
        <w:rPr>
          <w:rFonts w:hint="eastAsia" w:ascii="宋体" w:hAnsi="宋体" w:cs="宋体"/>
          <w:b w:val="0"/>
          <w:bCs w:val="0"/>
          <w:color w:val="auto"/>
          <w:spacing w:val="-2"/>
          <w:sz w:val="22"/>
          <w:szCs w:val="22"/>
          <w:highlight w:val="none"/>
          <w:lang w:eastAsia="zh-CN"/>
        </w:rPr>
      </w:pPr>
    </w:p>
    <w:p w14:paraId="7E26C3A5">
      <w:pPr>
        <w:rPr>
          <w:rFonts w:hint="eastAsia" w:ascii="宋体" w:hAnsi="宋体" w:cs="宋体"/>
          <w:b w:val="0"/>
          <w:bCs w:val="0"/>
          <w:color w:val="auto"/>
          <w:spacing w:val="-2"/>
          <w:sz w:val="22"/>
          <w:szCs w:val="22"/>
          <w:highlight w:val="none"/>
          <w:lang w:eastAsia="zh-CN"/>
        </w:rPr>
      </w:pPr>
    </w:p>
    <w:p w14:paraId="6EC6612E">
      <w:pPr>
        <w:rPr>
          <w:rFonts w:hint="eastAsia" w:ascii="宋体" w:hAnsi="宋体" w:cs="宋体"/>
          <w:b w:val="0"/>
          <w:bCs w:val="0"/>
          <w:color w:val="auto"/>
          <w:spacing w:val="-2"/>
          <w:sz w:val="22"/>
          <w:szCs w:val="22"/>
          <w:highlight w:val="none"/>
          <w:lang w:eastAsia="zh-CN"/>
        </w:rPr>
      </w:pPr>
    </w:p>
    <w:p w14:paraId="4982AFA7">
      <w:pPr>
        <w:rPr>
          <w:rFonts w:hint="eastAsia" w:ascii="宋体" w:hAnsi="宋体" w:cs="宋体"/>
          <w:b w:val="0"/>
          <w:bCs w:val="0"/>
          <w:color w:val="auto"/>
          <w:spacing w:val="-2"/>
          <w:sz w:val="22"/>
          <w:szCs w:val="22"/>
          <w:highlight w:val="none"/>
          <w:lang w:eastAsia="zh-CN"/>
        </w:rPr>
      </w:pPr>
    </w:p>
    <w:p w14:paraId="1D853C46">
      <w:pPr>
        <w:rPr>
          <w:rFonts w:hint="eastAsia" w:ascii="宋体" w:hAnsi="宋体" w:cs="宋体"/>
          <w:b w:val="0"/>
          <w:bCs w:val="0"/>
          <w:color w:val="auto"/>
          <w:spacing w:val="-2"/>
          <w:sz w:val="22"/>
          <w:szCs w:val="22"/>
          <w:highlight w:val="none"/>
          <w:lang w:eastAsia="zh-CN"/>
        </w:rPr>
      </w:pPr>
    </w:p>
    <w:p w14:paraId="20975E48">
      <w:pPr>
        <w:rPr>
          <w:rFonts w:hint="eastAsia" w:ascii="宋体" w:hAnsi="宋体" w:cs="宋体"/>
          <w:b w:val="0"/>
          <w:bCs w:val="0"/>
          <w:color w:val="auto"/>
          <w:spacing w:val="-2"/>
          <w:sz w:val="22"/>
          <w:szCs w:val="22"/>
          <w:highlight w:val="none"/>
          <w:lang w:eastAsia="zh-CN"/>
        </w:rPr>
      </w:pPr>
    </w:p>
    <w:p w14:paraId="4C28AD21">
      <w:pPr>
        <w:rPr>
          <w:rFonts w:hint="eastAsia" w:ascii="宋体" w:hAnsi="宋体" w:cs="宋体"/>
          <w:b w:val="0"/>
          <w:bCs w:val="0"/>
          <w:color w:val="auto"/>
          <w:spacing w:val="-2"/>
          <w:sz w:val="22"/>
          <w:szCs w:val="22"/>
          <w:highlight w:val="none"/>
          <w:lang w:eastAsia="zh-CN"/>
        </w:rPr>
      </w:pPr>
    </w:p>
    <w:p w14:paraId="70E9BBD4">
      <w:pPr>
        <w:rPr>
          <w:rFonts w:hint="eastAsia" w:ascii="宋体" w:hAnsi="宋体" w:cs="宋体"/>
          <w:b w:val="0"/>
          <w:bCs w:val="0"/>
          <w:color w:val="auto"/>
          <w:spacing w:val="-2"/>
          <w:sz w:val="22"/>
          <w:szCs w:val="22"/>
          <w:highlight w:val="none"/>
          <w:lang w:eastAsia="zh-CN"/>
        </w:rPr>
      </w:pPr>
    </w:p>
    <w:p w14:paraId="1F4CE2DB">
      <w:pPr>
        <w:rPr>
          <w:rFonts w:hint="eastAsia" w:ascii="宋体" w:hAnsi="宋体" w:cs="宋体"/>
          <w:b w:val="0"/>
          <w:bCs w:val="0"/>
          <w:color w:val="auto"/>
          <w:spacing w:val="-2"/>
          <w:sz w:val="22"/>
          <w:szCs w:val="22"/>
          <w:highlight w:val="none"/>
          <w:lang w:eastAsia="zh-CN"/>
        </w:rPr>
      </w:pPr>
    </w:p>
    <w:p w14:paraId="277A1FA3">
      <w:pPr>
        <w:rPr>
          <w:rFonts w:hint="eastAsia" w:ascii="宋体" w:hAnsi="宋体" w:cs="宋体"/>
          <w:b w:val="0"/>
          <w:bCs w:val="0"/>
          <w:color w:val="auto"/>
          <w:spacing w:val="-2"/>
          <w:sz w:val="22"/>
          <w:szCs w:val="22"/>
          <w:highlight w:val="none"/>
          <w:lang w:eastAsia="zh-CN"/>
        </w:rPr>
      </w:pPr>
    </w:p>
    <w:p w14:paraId="2EB57309">
      <w:pPr>
        <w:keepNext w:val="0"/>
        <w:keepLines w:val="0"/>
        <w:pageBreakBefore w:val="0"/>
        <w:kinsoku/>
        <w:wordWrap/>
        <w:topLinePunct w:val="0"/>
        <w:bidi w:val="0"/>
        <w:snapToGrid/>
        <w:spacing w:line="240" w:lineRule="auto"/>
        <w:ind w:firstLine="420" w:firstLineChars="200"/>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szCs w:val="21"/>
          <w:highlight w:val="none"/>
          <w:u w:val="single"/>
        </w:rPr>
        <w:t>1、▲本“</w:t>
      </w:r>
      <w:r>
        <w:rPr>
          <w:rFonts w:hint="eastAsia" w:ascii="宋体" w:hAnsi="宋体" w:eastAsia="宋体" w:cs="宋体"/>
          <w:b w:val="0"/>
          <w:bCs w:val="0"/>
          <w:color w:val="auto"/>
          <w:sz w:val="21"/>
          <w:szCs w:val="21"/>
          <w:highlight w:val="none"/>
          <w:u w:val="single"/>
          <w:lang w:val="en-US" w:eastAsia="zh-CN"/>
        </w:rPr>
        <w:t>购买公众责任险</w:t>
      </w:r>
      <w:r>
        <w:rPr>
          <w:rFonts w:hint="eastAsia" w:ascii="宋体" w:hAnsi="宋体" w:eastAsia="宋体" w:cs="宋体"/>
          <w:b w:val="0"/>
          <w:bCs w:val="0"/>
          <w:color w:val="auto"/>
          <w:szCs w:val="21"/>
          <w:highlight w:val="none"/>
          <w:u w:val="single"/>
        </w:rPr>
        <w:t>”中的内容为实质性内容，投标供应商没有实质性响应该要求的，其投标作无效标处理。</w:t>
      </w:r>
    </w:p>
    <w:p w14:paraId="3AB7E429">
      <w:pPr>
        <w:ind w:firstLine="420" w:firstLineChars="200"/>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Cs w:val="21"/>
          <w:highlight w:val="none"/>
          <w:u w:val="single"/>
        </w:rPr>
        <w:t>2、▲投标供应商不提供此“</w:t>
      </w:r>
      <w:r>
        <w:rPr>
          <w:rFonts w:hint="eastAsia" w:ascii="宋体" w:hAnsi="宋体" w:eastAsia="宋体" w:cs="宋体"/>
          <w:b w:val="0"/>
          <w:bCs w:val="0"/>
          <w:color w:val="auto"/>
          <w:sz w:val="21"/>
          <w:szCs w:val="21"/>
          <w:highlight w:val="none"/>
          <w:u w:val="single"/>
          <w:lang w:val="en-US" w:eastAsia="zh-CN"/>
        </w:rPr>
        <w:t>购买公众责任险</w:t>
      </w:r>
      <w:r>
        <w:rPr>
          <w:rFonts w:hint="eastAsia" w:ascii="宋体" w:hAnsi="宋体" w:eastAsia="宋体" w:cs="宋体"/>
          <w:b w:val="0"/>
          <w:bCs w:val="0"/>
          <w:color w:val="auto"/>
          <w:szCs w:val="21"/>
          <w:highlight w:val="none"/>
          <w:u w:val="single"/>
        </w:rPr>
        <w:t>”，将被视为没有实质性响应采购文件要求, 作无效标处理。</w:t>
      </w:r>
    </w:p>
    <w:p w14:paraId="7BA907EA">
      <w:pPr>
        <w:pStyle w:val="16"/>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根据采购文件中的采购内容及要求以及技术资信评分项目逐项编制，需编制目录索引，注明评分细则项目所在投标文件页码。）</w:t>
      </w:r>
    </w:p>
    <w:p w14:paraId="38B12173">
      <w:pPr>
        <w:pStyle w:val="16"/>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本文件《第三部分  附件》附件中未提供格式的，可自行拟定格式，并按采购文件相关规定加盖单位公章并由法定代表人(负责人)或其授权代表签署（签字或盖章），否则视为未提供。</w:t>
      </w:r>
    </w:p>
    <w:p w14:paraId="54D62B96">
      <w:pPr>
        <w:pStyle w:val="16"/>
        <w:spacing w:line="360" w:lineRule="auto"/>
        <w:ind w:firstLine="562" w:firstLineChars="200"/>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投标供应商认为需要提供的其他文件和资料</w:t>
      </w:r>
      <w:r>
        <w:rPr>
          <w:rFonts w:hint="eastAsia" w:ascii="宋体" w:hAnsi="宋体" w:eastAsia="宋体" w:cs="宋体"/>
          <w:b/>
          <w:bCs/>
          <w:color w:val="auto"/>
          <w:sz w:val="28"/>
          <w:szCs w:val="28"/>
          <w:highlight w:val="none"/>
          <w:lang w:eastAsia="zh-CN"/>
        </w:rPr>
        <w:t>。</w:t>
      </w:r>
    </w:p>
    <w:p w14:paraId="56226E9B">
      <w:pPr>
        <w:pStyle w:val="16"/>
        <w:spacing w:line="360" w:lineRule="auto"/>
        <w:ind w:firstLine="562" w:firstLineChars="200"/>
        <w:rPr>
          <w:rFonts w:hint="eastAsia" w:ascii="宋体" w:hAnsi="宋体" w:eastAsia="宋体" w:cs="宋体"/>
          <w:b/>
          <w:bCs/>
          <w:color w:val="auto"/>
          <w:sz w:val="28"/>
          <w:szCs w:val="28"/>
          <w:highlight w:val="none"/>
        </w:rPr>
      </w:pPr>
    </w:p>
    <w:p w14:paraId="74BE29E8">
      <w:pPr>
        <w:spacing w:line="440" w:lineRule="exact"/>
        <w:rPr>
          <w:rFonts w:hint="eastAsia" w:ascii="宋体" w:hAnsi="宋体" w:eastAsia="宋体" w:cs="宋体"/>
          <w:color w:val="auto"/>
          <w:sz w:val="22"/>
          <w:szCs w:val="22"/>
          <w:highlight w:val="none"/>
        </w:rPr>
      </w:pPr>
    </w:p>
    <w:p w14:paraId="0733B278">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sz w:val="22"/>
          <w:szCs w:val="22"/>
          <w:highlight w:val="none"/>
        </w:rPr>
        <w:t>（商务（报价）标封面，供参考）</w:t>
      </w:r>
    </w:p>
    <w:p w14:paraId="76439969">
      <w:pPr>
        <w:jc w:val="right"/>
        <w:rPr>
          <w:rFonts w:hint="eastAsia" w:ascii="宋体" w:hAnsi="宋体" w:eastAsia="宋体" w:cs="宋体"/>
          <w:color w:val="auto"/>
          <w:highlight w:val="none"/>
        </w:rPr>
      </w:pPr>
    </w:p>
    <w:p w14:paraId="4F3F0DE2">
      <w:pPr>
        <w:jc w:val="right"/>
        <w:rPr>
          <w:rFonts w:hint="eastAsia" w:ascii="宋体" w:hAnsi="宋体" w:eastAsia="宋体" w:cs="宋体"/>
          <w:color w:val="auto"/>
          <w:highlight w:val="none"/>
        </w:rPr>
      </w:pPr>
      <w:r>
        <w:rPr>
          <w:rFonts w:hint="eastAsia" w:ascii="宋体" w:hAnsi="宋体" w:eastAsia="宋体" w:cs="宋体"/>
          <w:color w:val="auto"/>
          <w:highlight w:val="none"/>
        </w:rPr>
        <w:t>正/副本</w:t>
      </w:r>
    </w:p>
    <w:p w14:paraId="4B2804CB">
      <w:pPr>
        <w:pStyle w:val="13"/>
        <w:ind w:firstLine="210"/>
        <w:rPr>
          <w:rFonts w:hint="eastAsia" w:ascii="宋体" w:hAnsi="宋体" w:eastAsia="宋体" w:cs="宋体"/>
          <w:color w:val="auto"/>
          <w:highlight w:val="none"/>
        </w:rPr>
      </w:pPr>
    </w:p>
    <w:p w14:paraId="3340B602">
      <w:pPr>
        <w:pStyle w:val="26"/>
        <w:ind w:left="0"/>
        <w:rPr>
          <w:rFonts w:hint="eastAsia" w:ascii="宋体" w:hAnsi="宋体" w:eastAsia="宋体" w:cs="宋体"/>
          <w:color w:val="auto"/>
          <w:highlight w:val="none"/>
        </w:rPr>
      </w:pPr>
    </w:p>
    <w:p w14:paraId="166689DB">
      <w:pPr>
        <w:rPr>
          <w:rFonts w:hint="eastAsia" w:ascii="宋体" w:hAnsi="宋体" w:eastAsia="宋体" w:cs="宋体"/>
          <w:color w:val="auto"/>
          <w:highlight w:val="none"/>
        </w:rPr>
      </w:pPr>
    </w:p>
    <w:p w14:paraId="25EFBC78">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（项目名称）          </w:t>
      </w:r>
      <w:r>
        <w:rPr>
          <w:rFonts w:hint="eastAsia" w:ascii="宋体" w:hAnsi="宋体" w:eastAsia="宋体" w:cs="宋体"/>
          <w:color w:val="auto"/>
          <w:sz w:val="28"/>
          <w:szCs w:val="28"/>
          <w:highlight w:val="none"/>
        </w:rPr>
        <w:t>投标文件</w:t>
      </w:r>
    </w:p>
    <w:p w14:paraId="4F63C50B">
      <w:pPr>
        <w:rPr>
          <w:rFonts w:hint="eastAsia" w:ascii="宋体" w:hAnsi="宋体" w:eastAsia="宋体" w:cs="宋体"/>
          <w:color w:val="auto"/>
          <w:sz w:val="28"/>
          <w:szCs w:val="28"/>
          <w:highlight w:val="none"/>
        </w:rPr>
      </w:pPr>
    </w:p>
    <w:p w14:paraId="43299104">
      <w:pPr>
        <w:rPr>
          <w:rFonts w:hint="eastAsia" w:ascii="宋体" w:hAnsi="宋体" w:eastAsia="宋体" w:cs="宋体"/>
          <w:color w:val="auto"/>
          <w:sz w:val="28"/>
          <w:szCs w:val="28"/>
          <w:highlight w:val="none"/>
        </w:rPr>
      </w:pPr>
    </w:p>
    <w:p w14:paraId="6C7B70E3">
      <w:pPr>
        <w:pStyle w:val="13"/>
        <w:ind w:firstLine="280"/>
        <w:rPr>
          <w:rFonts w:hint="eastAsia" w:ascii="宋体" w:hAnsi="宋体" w:eastAsia="宋体" w:cs="宋体"/>
          <w:color w:val="auto"/>
          <w:sz w:val="28"/>
          <w:szCs w:val="28"/>
          <w:highlight w:val="none"/>
        </w:rPr>
      </w:pPr>
    </w:p>
    <w:p w14:paraId="422EB2E1">
      <w:pPr>
        <w:pStyle w:val="13"/>
        <w:ind w:firstLine="280"/>
        <w:rPr>
          <w:rFonts w:hint="eastAsia" w:ascii="宋体" w:hAnsi="宋体" w:eastAsia="宋体" w:cs="宋体"/>
          <w:color w:val="auto"/>
          <w:sz w:val="28"/>
          <w:szCs w:val="28"/>
          <w:highlight w:val="none"/>
        </w:rPr>
      </w:pPr>
    </w:p>
    <w:p w14:paraId="409D1043">
      <w:pPr>
        <w:rPr>
          <w:rFonts w:hint="eastAsia" w:ascii="宋体" w:hAnsi="宋体" w:eastAsia="宋体" w:cs="宋体"/>
          <w:color w:val="auto"/>
          <w:sz w:val="28"/>
          <w:szCs w:val="28"/>
          <w:highlight w:val="none"/>
        </w:rPr>
      </w:pPr>
    </w:p>
    <w:p w14:paraId="68390A2B">
      <w:pPr>
        <w:rPr>
          <w:rFonts w:hint="eastAsia" w:ascii="宋体" w:hAnsi="宋体" w:eastAsia="宋体" w:cs="宋体"/>
          <w:color w:val="auto"/>
          <w:sz w:val="28"/>
          <w:szCs w:val="28"/>
          <w:highlight w:val="none"/>
        </w:rPr>
      </w:pPr>
    </w:p>
    <w:p w14:paraId="07F24E88">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商 务（报 价） 标</w:t>
      </w:r>
    </w:p>
    <w:p w14:paraId="7B1C88C0">
      <w:pPr>
        <w:spacing w:line="360" w:lineRule="auto"/>
        <w:rPr>
          <w:rFonts w:hint="eastAsia" w:ascii="宋体" w:hAnsi="宋体" w:eastAsia="宋体" w:cs="宋体"/>
          <w:color w:val="auto"/>
          <w:szCs w:val="21"/>
          <w:highlight w:val="none"/>
        </w:rPr>
      </w:pPr>
    </w:p>
    <w:p w14:paraId="4B68EE15">
      <w:pPr>
        <w:spacing w:line="360" w:lineRule="auto"/>
        <w:rPr>
          <w:rFonts w:hint="eastAsia" w:ascii="宋体" w:hAnsi="宋体" w:eastAsia="宋体" w:cs="宋体"/>
          <w:color w:val="auto"/>
          <w:szCs w:val="21"/>
          <w:highlight w:val="none"/>
        </w:rPr>
      </w:pPr>
    </w:p>
    <w:p w14:paraId="56FE034A">
      <w:pPr>
        <w:spacing w:line="360" w:lineRule="auto"/>
        <w:rPr>
          <w:rFonts w:hint="eastAsia" w:ascii="宋体" w:hAnsi="宋体" w:eastAsia="宋体" w:cs="宋体"/>
          <w:color w:val="auto"/>
          <w:szCs w:val="21"/>
          <w:highlight w:val="none"/>
        </w:rPr>
      </w:pPr>
    </w:p>
    <w:p w14:paraId="37353372">
      <w:pPr>
        <w:spacing w:line="360" w:lineRule="auto"/>
        <w:rPr>
          <w:rFonts w:hint="eastAsia" w:ascii="宋体" w:hAnsi="宋体" w:eastAsia="宋体" w:cs="宋体"/>
          <w:color w:val="auto"/>
          <w:szCs w:val="21"/>
          <w:highlight w:val="none"/>
        </w:rPr>
      </w:pPr>
    </w:p>
    <w:p w14:paraId="4770355E">
      <w:pPr>
        <w:spacing w:line="360" w:lineRule="auto"/>
        <w:rPr>
          <w:rFonts w:hint="eastAsia" w:ascii="宋体" w:hAnsi="宋体" w:eastAsia="宋体" w:cs="宋体"/>
          <w:color w:val="auto"/>
          <w:szCs w:val="21"/>
          <w:highlight w:val="none"/>
        </w:rPr>
      </w:pPr>
    </w:p>
    <w:p w14:paraId="26B8850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p>
    <w:p w14:paraId="6743A368">
      <w:pPr>
        <w:rPr>
          <w:rFonts w:hint="eastAsia" w:ascii="宋体" w:hAnsi="宋体" w:eastAsia="宋体" w:cs="宋体"/>
          <w:color w:val="auto"/>
          <w:sz w:val="28"/>
          <w:szCs w:val="28"/>
          <w:highlight w:val="none"/>
          <w:u w:val="single"/>
        </w:rPr>
      </w:pPr>
    </w:p>
    <w:p w14:paraId="287DE360">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p>
    <w:p w14:paraId="5EE4B6FF">
      <w:pPr>
        <w:rPr>
          <w:rFonts w:hint="eastAsia" w:ascii="宋体" w:hAnsi="宋体" w:eastAsia="宋体" w:cs="宋体"/>
          <w:color w:val="auto"/>
          <w:sz w:val="28"/>
          <w:szCs w:val="28"/>
          <w:highlight w:val="none"/>
        </w:rPr>
      </w:pPr>
    </w:p>
    <w:p w14:paraId="0FBC6C9F">
      <w:pPr>
        <w:overflowPunct w:val="0"/>
        <w:spacing w:line="380" w:lineRule="exact"/>
        <w:ind w:firstLine="2738" w:firstLineChars="978"/>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4F8D0555">
      <w:pPr>
        <w:spacing w:line="380" w:lineRule="exact"/>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2"/>
          <w:szCs w:val="22"/>
          <w:highlight w:val="none"/>
        </w:rPr>
        <w:t>附件</w:t>
      </w:r>
      <w:r>
        <w:rPr>
          <w:rFonts w:hint="eastAsia" w:ascii="宋体" w:hAnsi="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 xml:space="preserve"> </w:t>
      </w:r>
    </w:p>
    <w:p w14:paraId="1701C770">
      <w:pPr>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开标一览表</w:t>
      </w:r>
    </w:p>
    <w:p w14:paraId="03A6DC38">
      <w:pPr>
        <w:autoSpaceDE w:val="0"/>
        <w:autoSpaceDN w:val="0"/>
        <w:adjustRightInd w:val="0"/>
        <w:spacing w:line="460" w:lineRule="atLeast"/>
        <w:rPr>
          <w:rFonts w:hint="eastAsia" w:ascii="宋体" w:hAnsi="宋体" w:eastAsia="宋体" w:cs="宋体"/>
          <w:b w:val="0"/>
          <w:color w:val="auto"/>
          <w:sz w:val="22"/>
          <w:szCs w:val="22"/>
          <w:highlight w:val="none"/>
          <w:u w:val="single"/>
          <w:lang w:val="zh-CN"/>
        </w:rPr>
      </w:pPr>
      <w:r>
        <w:rPr>
          <w:rFonts w:hint="eastAsia" w:ascii="宋体" w:hAnsi="宋体" w:eastAsia="宋体" w:cs="宋体"/>
          <w:b w:val="0"/>
          <w:color w:val="auto"/>
          <w:sz w:val="22"/>
          <w:szCs w:val="22"/>
          <w:highlight w:val="none"/>
          <w:lang w:val="zh-CN"/>
        </w:rPr>
        <w:t>项目名称：</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 xml:space="preserve">     </w:t>
      </w:r>
      <w:r>
        <w:rPr>
          <w:rFonts w:hint="eastAsia" w:ascii="宋体" w:hAnsi="宋体" w:eastAsia="宋体" w:cs="宋体"/>
          <w:b w:val="0"/>
          <w:color w:val="auto"/>
          <w:sz w:val="22"/>
          <w:szCs w:val="22"/>
          <w:highlight w:val="none"/>
          <w:lang w:val="en-US" w:eastAsia="zh-CN"/>
        </w:rPr>
        <w:t>项目</w:t>
      </w:r>
      <w:r>
        <w:rPr>
          <w:rFonts w:hint="eastAsia" w:ascii="宋体" w:hAnsi="宋体" w:eastAsia="宋体" w:cs="宋体"/>
          <w:b w:val="0"/>
          <w:color w:val="auto"/>
          <w:sz w:val="22"/>
          <w:szCs w:val="22"/>
          <w:highlight w:val="none"/>
          <w:lang w:val="zh-CN"/>
        </w:rPr>
        <w:t>编号：</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u w:val="single"/>
          <w:lang w:val="en-US" w:eastAsia="zh-CN"/>
        </w:rPr>
        <w:t xml:space="preserve">    </w:t>
      </w:r>
      <w:r>
        <w:rPr>
          <w:rFonts w:hint="eastAsia" w:ascii="宋体" w:hAnsi="宋体" w:eastAsia="宋体" w:cs="宋体"/>
          <w:b w:val="0"/>
          <w:color w:val="auto"/>
          <w:sz w:val="22"/>
          <w:szCs w:val="22"/>
          <w:highlight w:val="none"/>
          <w:u w:val="single"/>
          <w:lang w:val="zh-CN"/>
        </w:rPr>
        <w:t xml:space="preserve">       </w:t>
      </w:r>
      <w:r>
        <w:rPr>
          <w:rFonts w:hint="eastAsia" w:ascii="宋体" w:hAnsi="宋体" w:eastAsia="宋体" w:cs="宋体"/>
          <w:b w:val="0"/>
          <w:color w:val="auto"/>
          <w:sz w:val="22"/>
          <w:szCs w:val="22"/>
          <w:highlight w:val="none"/>
          <w:lang w:val="zh-CN"/>
        </w:rPr>
        <w:t xml:space="preserve">           </w:t>
      </w:r>
    </w:p>
    <w:tbl>
      <w:tblPr>
        <w:tblStyle w:val="33"/>
        <w:tblW w:w="8209" w:type="dxa"/>
        <w:jc w:val="center"/>
        <w:tblLayout w:type="autofit"/>
        <w:tblCellMar>
          <w:top w:w="0" w:type="dxa"/>
          <w:left w:w="108" w:type="dxa"/>
          <w:bottom w:w="0" w:type="dxa"/>
          <w:right w:w="108" w:type="dxa"/>
        </w:tblCellMar>
      </w:tblPr>
      <w:tblGrid>
        <w:gridCol w:w="615"/>
        <w:gridCol w:w="748"/>
        <w:gridCol w:w="1760"/>
        <w:gridCol w:w="2293"/>
        <w:gridCol w:w="1574"/>
        <w:gridCol w:w="1219"/>
      </w:tblGrid>
      <w:tr w14:paraId="18B3B454">
        <w:tblPrEx>
          <w:tblCellMar>
            <w:top w:w="0" w:type="dxa"/>
            <w:left w:w="108" w:type="dxa"/>
            <w:bottom w:w="0" w:type="dxa"/>
            <w:right w:w="108" w:type="dxa"/>
          </w:tblCellMar>
        </w:tblPrEx>
        <w:trPr>
          <w:trHeight w:val="737"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43267F04">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序号</w:t>
            </w:r>
          </w:p>
        </w:tc>
        <w:tc>
          <w:tcPr>
            <w:tcW w:w="2508" w:type="dxa"/>
            <w:gridSpan w:val="2"/>
            <w:tcBorders>
              <w:top w:val="single" w:color="auto" w:sz="4" w:space="0"/>
              <w:left w:val="nil"/>
              <w:bottom w:val="single" w:color="auto" w:sz="4" w:space="0"/>
              <w:right w:val="single" w:color="auto" w:sz="4" w:space="0"/>
            </w:tcBorders>
            <w:noWrap w:val="0"/>
            <w:vAlign w:val="center"/>
          </w:tcPr>
          <w:p w14:paraId="56BE6BBB">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服务</w:t>
            </w:r>
            <w:r>
              <w:rPr>
                <w:rFonts w:hint="eastAsia" w:ascii="宋体" w:hAnsi="宋体" w:eastAsia="宋体" w:cs="宋体"/>
                <w:b w:val="0"/>
                <w:color w:val="auto"/>
                <w:sz w:val="18"/>
                <w:szCs w:val="18"/>
                <w:highlight w:val="none"/>
              </w:rPr>
              <w:t>内容</w:t>
            </w:r>
          </w:p>
        </w:tc>
        <w:tc>
          <w:tcPr>
            <w:tcW w:w="2293" w:type="dxa"/>
            <w:tcBorders>
              <w:top w:val="single" w:color="auto" w:sz="4" w:space="0"/>
              <w:left w:val="nil"/>
              <w:bottom w:val="single" w:color="auto" w:sz="4" w:space="0"/>
              <w:right w:val="single" w:color="auto" w:sz="4" w:space="0"/>
            </w:tcBorders>
            <w:noWrap w:val="0"/>
            <w:vAlign w:val="center"/>
          </w:tcPr>
          <w:p w14:paraId="33057287">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综合单价</w:t>
            </w:r>
            <w:r>
              <w:rPr>
                <w:rFonts w:hint="eastAsia" w:ascii="宋体" w:hAnsi="宋体" w:eastAsia="宋体" w:cs="宋体"/>
                <w:b w:val="0"/>
                <w:color w:val="auto"/>
                <w:sz w:val="18"/>
                <w:szCs w:val="18"/>
                <w:highlight w:val="none"/>
              </w:rPr>
              <w:t>最高限价</w:t>
            </w:r>
          </w:p>
        </w:tc>
        <w:tc>
          <w:tcPr>
            <w:tcW w:w="1574" w:type="dxa"/>
            <w:tcBorders>
              <w:top w:val="single" w:color="auto" w:sz="4" w:space="0"/>
              <w:left w:val="nil"/>
              <w:bottom w:val="single" w:color="auto" w:sz="4" w:space="0"/>
              <w:right w:val="single" w:color="auto" w:sz="4" w:space="0"/>
            </w:tcBorders>
            <w:noWrap w:val="0"/>
            <w:vAlign w:val="center"/>
          </w:tcPr>
          <w:p w14:paraId="0A350EF1">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投标报价</w:t>
            </w:r>
          </w:p>
          <w:p w14:paraId="4CBC1042">
            <w:pPr>
              <w:pStyle w:val="16"/>
              <w:keepNext w:val="0"/>
              <w:keepLines w:val="0"/>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b w:val="0"/>
                <w:color w:val="auto"/>
                <w:sz w:val="18"/>
                <w:szCs w:val="18"/>
                <w:highlight w:val="none"/>
                <w:lang w:val="en-US" w:eastAsia="zh-CN"/>
              </w:rPr>
              <w:t>（折扣系数报价）</w:t>
            </w:r>
          </w:p>
        </w:tc>
        <w:tc>
          <w:tcPr>
            <w:tcW w:w="1219" w:type="dxa"/>
            <w:tcBorders>
              <w:top w:val="single" w:color="auto" w:sz="4" w:space="0"/>
              <w:left w:val="single" w:color="auto" w:sz="4" w:space="0"/>
              <w:bottom w:val="single" w:color="auto" w:sz="4" w:space="0"/>
              <w:right w:val="single" w:color="auto" w:sz="4" w:space="0"/>
            </w:tcBorders>
            <w:noWrap w:val="0"/>
            <w:vAlign w:val="center"/>
          </w:tcPr>
          <w:p w14:paraId="6268A077">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备注</w:t>
            </w:r>
          </w:p>
        </w:tc>
      </w:tr>
      <w:tr w14:paraId="2554F5BD">
        <w:tblPrEx>
          <w:tblCellMar>
            <w:top w:w="0" w:type="dxa"/>
            <w:left w:w="108" w:type="dxa"/>
            <w:bottom w:w="0" w:type="dxa"/>
            <w:right w:w="108" w:type="dxa"/>
          </w:tblCellMar>
        </w:tblPrEx>
        <w:trPr>
          <w:trHeight w:val="737" w:hRule="atLeast"/>
          <w:jc w:val="center"/>
        </w:trPr>
        <w:tc>
          <w:tcPr>
            <w:tcW w:w="615" w:type="dxa"/>
            <w:tcBorders>
              <w:top w:val="nil"/>
              <w:left w:val="single" w:color="auto" w:sz="4" w:space="0"/>
              <w:bottom w:val="single" w:color="auto" w:sz="4" w:space="0"/>
              <w:right w:val="single" w:color="auto" w:sz="4" w:space="0"/>
            </w:tcBorders>
            <w:noWrap w:val="0"/>
            <w:vAlign w:val="center"/>
          </w:tcPr>
          <w:p w14:paraId="6ABD3188">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1</w:t>
            </w:r>
          </w:p>
        </w:tc>
        <w:tc>
          <w:tcPr>
            <w:tcW w:w="2508" w:type="dxa"/>
            <w:gridSpan w:val="2"/>
            <w:tcBorders>
              <w:top w:val="nil"/>
              <w:left w:val="nil"/>
              <w:bottom w:val="single" w:color="auto" w:sz="4" w:space="0"/>
              <w:right w:val="single" w:color="auto" w:sz="4" w:space="0"/>
            </w:tcBorders>
            <w:noWrap w:val="0"/>
            <w:vAlign w:val="center"/>
          </w:tcPr>
          <w:p w14:paraId="346C7C72">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居民</w:t>
            </w:r>
            <w:r>
              <w:rPr>
                <w:rFonts w:hint="eastAsia" w:ascii="宋体" w:hAnsi="宋体" w:eastAsia="宋体" w:cs="宋体"/>
                <w:b w:val="0"/>
                <w:color w:val="auto"/>
                <w:sz w:val="18"/>
                <w:szCs w:val="18"/>
                <w:highlight w:val="none"/>
              </w:rPr>
              <w:t>安检业务服务</w:t>
            </w:r>
          </w:p>
        </w:tc>
        <w:tc>
          <w:tcPr>
            <w:tcW w:w="2293" w:type="dxa"/>
            <w:tcBorders>
              <w:top w:val="nil"/>
              <w:left w:val="nil"/>
              <w:bottom w:val="single" w:color="auto" w:sz="4" w:space="0"/>
              <w:right w:val="single" w:color="auto" w:sz="4" w:space="0"/>
            </w:tcBorders>
            <w:noWrap w:val="0"/>
            <w:vAlign w:val="center"/>
          </w:tcPr>
          <w:p w14:paraId="0F77862F">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14</w:t>
            </w:r>
            <w:r>
              <w:rPr>
                <w:rFonts w:hint="eastAsia" w:ascii="宋体" w:hAnsi="宋体" w:eastAsia="宋体" w:cs="宋体"/>
                <w:b w:val="0"/>
                <w:color w:val="auto"/>
                <w:sz w:val="18"/>
                <w:szCs w:val="18"/>
                <w:highlight w:val="none"/>
              </w:rPr>
              <w:t>（元/</w:t>
            </w:r>
            <w:r>
              <w:rPr>
                <w:rFonts w:hint="eastAsia" w:ascii="宋体" w:hAnsi="宋体" w:eastAsia="宋体" w:cs="宋体"/>
                <w:b w:val="0"/>
                <w:color w:val="auto"/>
                <w:sz w:val="18"/>
                <w:szCs w:val="18"/>
                <w:highlight w:val="none"/>
                <w:lang w:val="en-US" w:eastAsia="zh-CN"/>
              </w:rPr>
              <w:t>户·次</w:t>
            </w:r>
            <w:r>
              <w:rPr>
                <w:rFonts w:hint="eastAsia" w:ascii="宋体" w:hAnsi="宋体" w:eastAsia="宋体" w:cs="宋体"/>
                <w:b w:val="0"/>
                <w:color w:val="auto"/>
                <w:sz w:val="18"/>
                <w:szCs w:val="18"/>
                <w:highlight w:val="none"/>
              </w:rPr>
              <w:t>）</w:t>
            </w:r>
          </w:p>
        </w:tc>
        <w:tc>
          <w:tcPr>
            <w:tcW w:w="1574" w:type="dxa"/>
            <w:vMerge w:val="restart"/>
            <w:tcBorders>
              <w:top w:val="single" w:color="auto" w:sz="4" w:space="0"/>
              <w:left w:val="nil"/>
              <w:right w:val="single" w:color="auto" w:sz="4" w:space="0"/>
            </w:tcBorders>
            <w:noWrap w:val="0"/>
            <w:vAlign w:val="center"/>
          </w:tcPr>
          <w:p w14:paraId="1851EFB6">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u w:val="single"/>
              </w:rPr>
              <w:t xml:space="preserve">   </w:t>
            </w:r>
            <w:r>
              <w:rPr>
                <w:rFonts w:hint="eastAsia" w:ascii="宋体" w:hAnsi="宋体" w:eastAsia="宋体" w:cs="宋体"/>
                <w:b w:val="0"/>
                <w:color w:val="auto"/>
                <w:sz w:val="18"/>
                <w:szCs w:val="18"/>
                <w:highlight w:val="none"/>
                <w:u w:val="single"/>
                <w:lang w:val="en-US" w:eastAsia="zh-CN"/>
              </w:rPr>
              <w:t xml:space="preserve">  </w:t>
            </w:r>
            <w:r>
              <w:rPr>
                <w:rFonts w:hint="eastAsia" w:ascii="宋体" w:hAnsi="宋体" w:eastAsia="宋体" w:cs="宋体"/>
                <w:b w:val="0"/>
                <w:color w:val="auto"/>
                <w:sz w:val="18"/>
                <w:szCs w:val="18"/>
                <w:highlight w:val="none"/>
                <w:u w:val="single"/>
              </w:rPr>
              <w:t xml:space="preserve"> </w:t>
            </w:r>
            <w:r>
              <w:rPr>
                <w:rFonts w:hint="eastAsia" w:ascii="宋体" w:hAnsi="宋体" w:eastAsia="宋体" w:cs="宋体"/>
                <w:b w:val="0"/>
                <w:color w:val="auto"/>
                <w:sz w:val="18"/>
                <w:szCs w:val="18"/>
                <w:highlight w:val="none"/>
              </w:rPr>
              <w:t>%</w:t>
            </w:r>
          </w:p>
        </w:tc>
        <w:tc>
          <w:tcPr>
            <w:tcW w:w="1219" w:type="dxa"/>
            <w:tcBorders>
              <w:top w:val="nil"/>
              <w:left w:val="single" w:color="auto" w:sz="4" w:space="0"/>
              <w:bottom w:val="single" w:color="auto" w:sz="4" w:space="0"/>
              <w:right w:val="single" w:color="auto" w:sz="4" w:space="0"/>
            </w:tcBorders>
            <w:noWrap w:val="0"/>
            <w:vAlign w:val="center"/>
          </w:tcPr>
          <w:p w14:paraId="18F94981">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p>
        </w:tc>
      </w:tr>
      <w:tr w14:paraId="4AB249B2">
        <w:tblPrEx>
          <w:tblCellMar>
            <w:top w:w="0" w:type="dxa"/>
            <w:left w:w="108" w:type="dxa"/>
            <w:bottom w:w="0" w:type="dxa"/>
            <w:right w:w="108" w:type="dxa"/>
          </w:tblCellMar>
        </w:tblPrEx>
        <w:trPr>
          <w:trHeight w:val="737" w:hRule="atLeast"/>
          <w:jc w:val="center"/>
        </w:trPr>
        <w:tc>
          <w:tcPr>
            <w:tcW w:w="615" w:type="dxa"/>
            <w:tcBorders>
              <w:top w:val="nil"/>
              <w:left w:val="single" w:color="auto" w:sz="4" w:space="0"/>
              <w:bottom w:val="single" w:color="auto" w:sz="4" w:space="0"/>
              <w:right w:val="single" w:color="auto" w:sz="4" w:space="0"/>
            </w:tcBorders>
            <w:noWrap w:val="0"/>
            <w:vAlign w:val="center"/>
          </w:tcPr>
          <w:p w14:paraId="1F25E228">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2</w:t>
            </w:r>
          </w:p>
        </w:tc>
        <w:tc>
          <w:tcPr>
            <w:tcW w:w="2508" w:type="dxa"/>
            <w:gridSpan w:val="2"/>
            <w:tcBorders>
              <w:top w:val="nil"/>
              <w:left w:val="nil"/>
              <w:bottom w:val="single" w:color="auto" w:sz="4" w:space="0"/>
              <w:right w:val="single" w:color="auto" w:sz="4" w:space="0"/>
            </w:tcBorders>
            <w:noWrap w:val="0"/>
            <w:vAlign w:val="center"/>
          </w:tcPr>
          <w:p w14:paraId="2DC90C64">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居民</w:t>
            </w:r>
            <w:r>
              <w:rPr>
                <w:rFonts w:hint="eastAsia" w:ascii="宋体" w:hAnsi="宋体" w:eastAsia="宋体" w:cs="宋体"/>
                <w:b w:val="0"/>
                <w:color w:val="auto"/>
                <w:sz w:val="18"/>
                <w:szCs w:val="18"/>
                <w:highlight w:val="none"/>
              </w:rPr>
              <w:t>通气业务服务</w:t>
            </w:r>
          </w:p>
        </w:tc>
        <w:tc>
          <w:tcPr>
            <w:tcW w:w="2293" w:type="dxa"/>
            <w:tcBorders>
              <w:top w:val="nil"/>
              <w:left w:val="nil"/>
              <w:bottom w:val="single" w:color="auto" w:sz="4" w:space="0"/>
              <w:right w:val="single" w:color="auto" w:sz="4" w:space="0"/>
            </w:tcBorders>
            <w:noWrap w:val="0"/>
            <w:vAlign w:val="center"/>
          </w:tcPr>
          <w:p w14:paraId="54F7B176">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36</w:t>
            </w:r>
            <w:r>
              <w:rPr>
                <w:rFonts w:hint="eastAsia" w:ascii="宋体" w:hAnsi="宋体" w:eastAsia="宋体" w:cs="宋体"/>
                <w:b w:val="0"/>
                <w:color w:val="auto"/>
                <w:sz w:val="18"/>
                <w:szCs w:val="18"/>
                <w:highlight w:val="none"/>
              </w:rPr>
              <w:t>（元/</w:t>
            </w:r>
            <w:r>
              <w:rPr>
                <w:rFonts w:hint="eastAsia" w:ascii="宋体" w:hAnsi="宋体" w:eastAsia="宋体" w:cs="宋体"/>
                <w:b w:val="0"/>
                <w:color w:val="auto"/>
                <w:sz w:val="18"/>
                <w:szCs w:val="18"/>
                <w:highlight w:val="none"/>
                <w:lang w:val="en-US" w:eastAsia="zh-CN"/>
              </w:rPr>
              <w:t>户·次</w:t>
            </w:r>
            <w:r>
              <w:rPr>
                <w:rFonts w:hint="eastAsia" w:ascii="宋体" w:hAnsi="宋体" w:eastAsia="宋体" w:cs="宋体"/>
                <w:b w:val="0"/>
                <w:color w:val="auto"/>
                <w:sz w:val="18"/>
                <w:szCs w:val="18"/>
                <w:highlight w:val="none"/>
              </w:rPr>
              <w:t>）</w:t>
            </w:r>
          </w:p>
        </w:tc>
        <w:tc>
          <w:tcPr>
            <w:tcW w:w="1574" w:type="dxa"/>
            <w:vMerge w:val="continue"/>
            <w:tcBorders>
              <w:left w:val="nil"/>
              <w:right w:val="single" w:color="auto" w:sz="4" w:space="0"/>
            </w:tcBorders>
            <w:noWrap w:val="0"/>
            <w:vAlign w:val="top"/>
          </w:tcPr>
          <w:p w14:paraId="3F864FFE">
            <w:pPr>
              <w:keepNext w:val="0"/>
              <w:keepLines w:val="0"/>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p>
        </w:tc>
        <w:tc>
          <w:tcPr>
            <w:tcW w:w="1219" w:type="dxa"/>
            <w:tcBorders>
              <w:top w:val="nil"/>
              <w:left w:val="single" w:color="auto" w:sz="4" w:space="0"/>
              <w:bottom w:val="single" w:color="auto" w:sz="4" w:space="0"/>
              <w:right w:val="single" w:color="auto" w:sz="4" w:space="0"/>
            </w:tcBorders>
            <w:noWrap w:val="0"/>
            <w:vAlign w:val="center"/>
          </w:tcPr>
          <w:p w14:paraId="2A95D3AD">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r>
      <w:tr w14:paraId="37EA25FC">
        <w:tblPrEx>
          <w:tblCellMar>
            <w:top w:w="0" w:type="dxa"/>
            <w:left w:w="108" w:type="dxa"/>
            <w:bottom w:w="0" w:type="dxa"/>
            <w:right w:w="108" w:type="dxa"/>
          </w:tblCellMar>
        </w:tblPrEx>
        <w:trPr>
          <w:trHeight w:val="737" w:hRule="atLeast"/>
          <w:jc w:val="center"/>
        </w:trPr>
        <w:tc>
          <w:tcPr>
            <w:tcW w:w="615" w:type="dxa"/>
            <w:vMerge w:val="restart"/>
            <w:tcBorders>
              <w:top w:val="nil"/>
              <w:left w:val="single" w:color="auto" w:sz="4" w:space="0"/>
              <w:right w:val="single" w:color="auto" w:sz="4" w:space="0"/>
            </w:tcBorders>
            <w:noWrap w:val="0"/>
            <w:vAlign w:val="center"/>
          </w:tcPr>
          <w:p w14:paraId="38A4CC4B">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3</w:t>
            </w:r>
          </w:p>
        </w:tc>
        <w:tc>
          <w:tcPr>
            <w:tcW w:w="748" w:type="dxa"/>
            <w:vMerge w:val="restart"/>
            <w:tcBorders>
              <w:top w:val="nil"/>
              <w:left w:val="nil"/>
              <w:right w:val="single" w:color="auto" w:sz="4" w:space="0"/>
            </w:tcBorders>
            <w:noWrap w:val="0"/>
            <w:vAlign w:val="center"/>
          </w:tcPr>
          <w:p w14:paraId="4D4CB133">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居民</w:t>
            </w:r>
            <w:r>
              <w:rPr>
                <w:rFonts w:hint="eastAsia" w:ascii="宋体" w:hAnsi="宋体" w:eastAsia="宋体" w:cs="宋体"/>
                <w:b w:val="0"/>
                <w:color w:val="auto"/>
                <w:sz w:val="18"/>
                <w:szCs w:val="18"/>
                <w:highlight w:val="none"/>
              </w:rPr>
              <w:t>抄表业务服务</w:t>
            </w:r>
          </w:p>
        </w:tc>
        <w:tc>
          <w:tcPr>
            <w:tcW w:w="1760" w:type="dxa"/>
            <w:tcBorders>
              <w:top w:val="nil"/>
              <w:left w:val="nil"/>
              <w:bottom w:val="single" w:color="auto" w:sz="4" w:space="0"/>
              <w:right w:val="single" w:color="auto" w:sz="4" w:space="0"/>
            </w:tcBorders>
            <w:noWrap w:val="0"/>
            <w:vAlign w:val="center"/>
          </w:tcPr>
          <w:p w14:paraId="789F00DE">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普通表</w:t>
            </w:r>
          </w:p>
        </w:tc>
        <w:tc>
          <w:tcPr>
            <w:tcW w:w="2293" w:type="dxa"/>
            <w:tcBorders>
              <w:top w:val="nil"/>
              <w:left w:val="nil"/>
              <w:bottom w:val="single" w:color="auto" w:sz="4" w:space="0"/>
              <w:right w:val="single" w:color="auto" w:sz="4" w:space="0"/>
            </w:tcBorders>
            <w:noWrap w:val="0"/>
            <w:vAlign w:val="center"/>
          </w:tcPr>
          <w:p w14:paraId="370525C7">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1.77</w:t>
            </w:r>
            <w:r>
              <w:rPr>
                <w:rFonts w:hint="eastAsia" w:ascii="宋体" w:hAnsi="宋体" w:eastAsia="宋体" w:cs="宋体"/>
                <w:b w:val="0"/>
                <w:color w:val="auto"/>
                <w:sz w:val="18"/>
                <w:szCs w:val="18"/>
                <w:highlight w:val="none"/>
              </w:rPr>
              <w:t>（元/</w:t>
            </w:r>
            <w:r>
              <w:rPr>
                <w:rFonts w:hint="eastAsia" w:ascii="宋体" w:hAnsi="宋体" w:eastAsia="宋体" w:cs="宋体"/>
                <w:b w:val="0"/>
                <w:color w:val="auto"/>
                <w:sz w:val="18"/>
                <w:szCs w:val="18"/>
                <w:highlight w:val="none"/>
                <w:lang w:val="en-US" w:eastAsia="zh-CN"/>
              </w:rPr>
              <w:t>户·次</w:t>
            </w:r>
            <w:r>
              <w:rPr>
                <w:rFonts w:hint="eastAsia" w:ascii="宋体" w:hAnsi="宋体" w:eastAsia="宋体" w:cs="宋体"/>
                <w:b w:val="0"/>
                <w:color w:val="auto"/>
                <w:sz w:val="18"/>
                <w:szCs w:val="18"/>
                <w:highlight w:val="none"/>
              </w:rPr>
              <w:t>）</w:t>
            </w:r>
          </w:p>
        </w:tc>
        <w:tc>
          <w:tcPr>
            <w:tcW w:w="1574" w:type="dxa"/>
            <w:vMerge w:val="continue"/>
            <w:tcBorders>
              <w:left w:val="nil"/>
              <w:right w:val="single" w:color="auto" w:sz="4" w:space="0"/>
            </w:tcBorders>
            <w:noWrap w:val="0"/>
            <w:vAlign w:val="top"/>
          </w:tcPr>
          <w:p w14:paraId="13D0002A">
            <w:pPr>
              <w:keepNext w:val="0"/>
              <w:keepLines w:val="0"/>
              <w:suppressLineNumbers w:val="0"/>
              <w:spacing w:before="0" w:beforeAutospacing="0" w:after="0" w:afterAutospacing="0"/>
              <w:ind w:left="0" w:right="0"/>
              <w:jc w:val="center"/>
              <w:rPr>
                <w:rFonts w:hint="eastAsia" w:ascii="宋体" w:hAnsi="宋体" w:eastAsia="宋体" w:cs="宋体"/>
                <w:b w:val="0"/>
                <w:color w:val="auto"/>
                <w:sz w:val="18"/>
                <w:szCs w:val="18"/>
                <w:highlight w:val="none"/>
              </w:rPr>
            </w:pPr>
          </w:p>
        </w:tc>
        <w:tc>
          <w:tcPr>
            <w:tcW w:w="1219" w:type="dxa"/>
            <w:tcBorders>
              <w:top w:val="nil"/>
              <w:left w:val="single" w:color="auto" w:sz="4" w:space="0"/>
              <w:bottom w:val="single" w:color="auto" w:sz="4" w:space="0"/>
              <w:right w:val="single" w:color="auto" w:sz="4" w:space="0"/>
            </w:tcBorders>
            <w:noWrap w:val="0"/>
            <w:vAlign w:val="center"/>
          </w:tcPr>
          <w:p w14:paraId="6207A5D0">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r>
      <w:tr w14:paraId="2497ED02">
        <w:tblPrEx>
          <w:tblCellMar>
            <w:top w:w="0" w:type="dxa"/>
            <w:left w:w="108" w:type="dxa"/>
            <w:bottom w:w="0" w:type="dxa"/>
            <w:right w:w="108" w:type="dxa"/>
          </w:tblCellMar>
        </w:tblPrEx>
        <w:trPr>
          <w:trHeight w:val="737" w:hRule="atLeast"/>
          <w:jc w:val="center"/>
        </w:trPr>
        <w:tc>
          <w:tcPr>
            <w:tcW w:w="615" w:type="dxa"/>
            <w:vMerge w:val="continue"/>
            <w:tcBorders>
              <w:left w:val="single" w:color="auto" w:sz="4" w:space="0"/>
              <w:bottom w:val="single" w:color="auto" w:sz="4" w:space="0"/>
              <w:right w:val="single" w:color="auto" w:sz="4" w:space="0"/>
            </w:tcBorders>
            <w:noWrap w:val="0"/>
            <w:vAlign w:val="center"/>
          </w:tcPr>
          <w:p w14:paraId="3CC55864">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748" w:type="dxa"/>
            <w:vMerge w:val="continue"/>
            <w:tcBorders>
              <w:left w:val="nil"/>
              <w:bottom w:val="single" w:color="auto" w:sz="4" w:space="0"/>
              <w:right w:val="single" w:color="auto" w:sz="4" w:space="0"/>
            </w:tcBorders>
            <w:noWrap w:val="0"/>
            <w:vAlign w:val="center"/>
          </w:tcPr>
          <w:p w14:paraId="29728D71">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1760" w:type="dxa"/>
            <w:tcBorders>
              <w:top w:val="single" w:color="auto" w:sz="4" w:space="0"/>
              <w:left w:val="nil"/>
              <w:bottom w:val="single" w:color="auto" w:sz="4" w:space="0"/>
              <w:right w:val="single" w:color="auto" w:sz="4" w:space="0"/>
            </w:tcBorders>
            <w:noWrap w:val="0"/>
            <w:vAlign w:val="center"/>
          </w:tcPr>
          <w:p w14:paraId="53F4D0B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物联网表、恒芯远传表、微信自助抄表</w:t>
            </w:r>
          </w:p>
        </w:tc>
        <w:tc>
          <w:tcPr>
            <w:tcW w:w="2293" w:type="dxa"/>
            <w:tcBorders>
              <w:top w:val="nil"/>
              <w:left w:val="nil"/>
              <w:bottom w:val="single" w:color="auto" w:sz="4" w:space="0"/>
              <w:right w:val="single" w:color="auto" w:sz="4" w:space="0"/>
            </w:tcBorders>
            <w:noWrap w:val="0"/>
            <w:vAlign w:val="center"/>
          </w:tcPr>
          <w:p w14:paraId="0D1BF38A">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0.46</w:t>
            </w:r>
            <w:r>
              <w:rPr>
                <w:rFonts w:hint="eastAsia" w:ascii="宋体" w:hAnsi="宋体" w:eastAsia="宋体" w:cs="宋体"/>
                <w:b w:val="0"/>
                <w:color w:val="auto"/>
                <w:sz w:val="18"/>
                <w:szCs w:val="18"/>
                <w:highlight w:val="none"/>
              </w:rPr>
              <w:t>（元/</w:t>
            </w:r>
            <w:r>
              <w:rPr>
                <w:rFonts w:hint="eastAsia" w:ascii="宋体" w:hAnsi="宋体" w:eastAsia="宋体" w:cs="宋体"/>
                <w:b w:val="0"/>
                <w:color w:val="auto"/>
                <w:sz w:val="18"/>
                <w:szCs w:val="18"/>
                <w:highlight w:val="none"/>
                <w:lang w:val="en-US" w:eastAsia="zh-CN"/>
              </w:rPr>
              <w:t>户·次</w:t>
            </w:r>
            <w:r>
              <w:rPr>
                <w:rFonts w:hint="eastAsia" w:ascii="宋体" w:hAnsi="宋体" w:eastAsia="宋体" w:cs="宋体"/>
                <w:b w:val="0"/>
                <w:color w:val="auto"/>
                <w:sz w:val="18"/>
                <w:szCs w:val="18"/>
                <w:highlight w:val="none"/>
              </w:rPr>
              <w:t>）</w:t>
            </w:r>
          </w:p>
        </w:tc>
        <w:tc>
          <w:tcPr>
            <w:tcW w:w="1574" w:type="dxa"/>
            <w:vMerge w:val="continue"/>
            <w:tcBorders>
              <w:left w:val="nil"/>
              <w:right w:val="single" w:color="auto" w:sz="4" w:space="0"/>
            </w:tcBorders>
            <w:noWrap w:val="0"/>
            <w:vAlign w:val="top"/>
          </w:tcPr>
          <w:p w14:paraId="412ABD5B">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1D255EC">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p>
        </w:tc>
      </w:tr>
      <w:tr w14:paraId="2FBBB57D">
        <w:tblPrEx>
          <w:tblCellMar>
            <w:top w:w="0" w:type="dxa"/>
            <w:left w:w="108" w:type="dxa"/>
            <w:bottom w:w="0" w:type="dxa"/>
            <w:right w:w="108" w:type="dxa"/>
          </w:tblCellMar>
        </w:tblPrEx>
        <w:trPr>
          <w:trHeight w:val="737"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3CD5CB9C">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508" w:type="dxa"/>
            <w:gridSpan w:val="2"/>
            <w:tcBorders>
              <w:top w:val="single" w:color="auto" w:sz="4" w:space="0"/>
              <w:left w:val="nil"/>
              <w:bottom w:val="single" w:color="auto" w:sz="4" w:space="0"/>
              <w:right w:val="single" w:color="auto" w:sz="4" w:space="0"/>
            </w:tcBorders>
            <w:noWrap w:val="0"/>
            <w:vAlign w:val="center"/>
          </w:tcPr>
          <w:p w14:paraId="380C9362">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非居民</w:t>
            </w:r>
            <w:r>
              <w:rPr>
                <w:rFonts w:hint="eastAsia" w:ascii="宋体" w:hAnsi="宋体" w:eastAsia="宋体" w:cs="宋体"/>
                <w:b w:val="0"/>
                <w:color w:val="auto"/>
                <w:sz w:val="18"/>
                <w:szCs w:val="18"/>
                <w:highlight w:val="none"/>
              </w:rPr>
              <w:t>安检业务服务</w:t>
            </w:r>
          </w:p>
        </w:tc>
        <w:tc>
          <w:tcPr>
            <w:tcW w:w="2293" w:type="dxa"/>
            <w:tcBorders>
              <w:top w:val="single" w:color="auto" w:sz="4" w:space="0"/>
              <w:left w:val="nil"/>
              <w:bottom w:val="single" w:color="auto" w:sz="4" w:space="0"/>
              <w:right w:val="single" w:color="auto" w:sz="4" w:space="0"/>
            </w:tcBorders>
            <w:noWrap w:val="0"/>
            <w:vAlign w:val="center"/>
          </w:tcPr>
          <w:p w14:paraId="68DF0174">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u w:val="none"/>
                <w:lang w:val="en-US" w:eastAsia="zh-CN"/>
              </w:rPr>
            </w:pPr>
            <w:r>
              <w:rPr>
                <w:rFonts w:hint="eastAsia" w:ascii="宋体" w:hAnsi="宋体" w:eastAsia="宋体" w:cs="宋体"/>
                <w:b w:val="0"/>
                <w:color w:val="auto"/>
                <w:sz w:val="18"/>
                <w:szCs w:val="18"/>
                <w:highlight w:val="none"/>
                <w:u w:val="none"/>
                <w:lang w:val="en-US" w:eastAsia="zh-CN"/>
              </w:rPr>
              <w:t>120</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574" w:type="dxa"/>
            <w:vMerge w:val="continue"/>
            <w:tcBorders>
              <w:left w:val="nil"/>
              <w:right w:val="single" w:color="auto" w:sz="4" w:space="0"/>
            </w:tcBorders>
            <w:noWrap w:val="0"/>
            <w:vAlign w:val="top"/>
          </w:tcPr>
          <w:p w14:paraId="37C67F1E">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26EFB60C">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p>
        </w:tc>
      </w:tr>
      <w:tr w14:paraId="56B4E9B2">
        <w:tblPrEx>
          <w:tblCellMar>
            <w:top w:w="0" w:type="dxa"/>
            <w:left w:w="108" w:type="dxa"/>
            <w:bottom w:w="0" w:type="dxa"/>
            <w:right w:w="108" w:type="dxa"/>
          </w:tblCellMar>
        </w:tblPrEx>
        <w:trPr>
          <w:trHeight w:val="737" w:hRule="atLeast"/>
          <w:jc w:val="center"/>
        </w:trPr>
        <w:tc>
          <w:tcPr>
            <w:tcW w:w="615" w:type="dxa"/>
            <w:tcBorders>
              <w:top w:val="single" w:color="auto" w:sz="4" w:space="0"/>
              <w:left w:val="single" w:color="auto" w:sz="4" w:space="0"/>
              <w:bottom w:val="single" w:color="auto" w:sz="4" w:space="0"/>
              <w:right w:val="single" w:color="auto" w:sz="4" w:space="0"/>
            </w:tcBorders>
            <w:noWrap w:val="0"/>
            <w:vAlign w:val="center"/>
          </w:tcPr>
          <w:p w14:paraId="374365FD">
            <w:pPr>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508" w:type="dxa"/>
            <w:gridSpan w:val="2"/>
            <w:tcBorders>
              <w:top w:val="single" w:color="auto" w:sz="4" w:space="0"/>
              <w:left w:val="nil"/>
              <w:bottom w:val="single" w:color="auto" w:sz="4" w:space="0"/>
              <w:right w:val="single" w:color="auto" w:sz="4" w:space="0"/>
            </w:tcBorders>
            <w:noWrap w:val="0"/>
            <w:vAlign w:val="center"/>
          </w:tcPr>
          <w:p w14:paraId="00401ED5">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非居民</w:t>
            </w:r>
            <w:r>
              <w:rPr>
                <w:rFonts w:hint="eastAsia" w:ascii="宋体" w:hAnsi="宋体" w:eastAsia="宋体" w:cs="宋体"/>
                <w:b w:val="0"/>
                <w:color w:val="auto"/>
                <w:sz w:val="18"/>
                <w:szCs w:val="18"/>
                <w:highlight w:val="none"/>
              </w:rPr>
              <w:t>抄表业务服务</w:t>
            </w:r>
          </w:p>
        </w:tc>
        <w:tc>
          <w:tcPr>
            <w:tcW w:w="2293" w:type="dxa"/>
            <w:tcBorders>
              <w:top w:val="single" w:color="auto" w:sz="4" w:space="0"/>
              <w:left w:val="nil"/>
              <w:bottom w:val="single" w:color="auto" w:sz="4" w:space="0"/>
              <w:right w:val="single" w:color="auto" w:sz="4" w:space="0"/>
            </w:tcBorders>
            <w:noWrap w:val="0"/>
            <w:vAlign w:val="center"/>
          </w:tcPr>
          <w:p w14:paraId="2C98CE51">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u w:val="none"/>
                <w:lang w:val="en-US" w:eastAsia="zh-CN"/>
              </w:rPr>
            </w:pPr>
            <w:r>
              <w:rPr>
                <w:rFonts w:hint="eastAsia" w:ascii="宋体" w:hAnsi="宋体" w:eastAsia="宋体" w:cs="宋体"/>
                <w:b w:val="0"/>
                <w:color w:val="auto"/>
                <w:sz w:val="18"/>
                <w:szCs w:val="18"/>
                <w:highlight w:val="none"/>
                <w:u w:val="none"/>
                <w:lang w:val="en-US" w:eastAsia="zh-CN"/>
              </w:rPr>
              <w:t>16</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574" w:type="dxa"/>
            <w:vMerge w:val="continue"/>
            <w:tcBorders>
              <w:left w:val="nil"/>
              <w:bottom w:val="single" w:color="auto" w:sz="4" w:space="0"/>
              <w:right w:val="single" w:color="auto" w:sz="4" w:space="0"/>
            </w:tcBorders>
            <w:noWrap w:val="0"/>
            <w:vAlign w:val="top"/>
          </w:tcPr>
          <w:p w14:paraId="23C7B8E5">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7CFF6DC0">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lang w:val="en-US" w:eastAsia="zh-CN"/>
              </w:rPr>
            </w:pPr>
          </w:p>
        </w:tc>
      </w:tr>
    </w:tbl>
    <w:p w14:paraId="2BBFAD4A">
      <w:pPr>
        <w:autoSpaceDE w:val="0"/>
        <w:autoSpaceDN w:val="0"/>
        <w:adjustRightInd w:val="0"/>
        <w:spacing w:line="240" w:lineRule="auto"/>
        <w:rPr>
          <w:rFonts w:hint="eastAsia" w:ascii="宋体" w:hAnsi="宋体" w:eastAsia="宋体" w:cs="宋体"/>
          <w:b w:val="0"/>
          <w:color w:val="auto"/>
          <w:sz w:val="22"/>
          <w:szCs w:val="22"/>
          <w:highlight w:val="none"/>
          <w:lang w:val="zh-CN"/>
        </w:rPr>
      </w:pPr>
      <w:r>
        <w:rPr>
          <w:rFonts w:hint="eastAsia" w:ascii="宋体" w:hAnsi="宋体" w:eastAsia="宋体" w:cs="宋体"/>
          <w:b w:val="0"/>
          <w:color w:val="auto"/>
          <w:sz w:val="22"/>
          <w:szCs w:val="22"/>
          <w:highlight w:val="none"/>
        </w:rPr>
        <w:t>说明：</w:t>
      </w:r>
    </w:p>
    <w:p w14:paraId="4BBCEAFE">
      <w:pPr>
        <w:numPr>
          <w:ilvl w:val="0"/>
          <w:numId w:val="27"/>
        </w:numPr>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rPr>
        <w:t>投标报价</w:t>
      </w:r>
      <w:r>
        <w:rPr>
          <w:rFonts w:hint="eastAsia" w:ascii="宋体" w:hAnsi="宋体" w:eastAsia="宋体" w:cs="宋体"/>
          <w:b/>
          <w:bCs w:val="0"/>
          <w:color w:val="auto"/>
          <w:sz w:val="22"/>
          <w:szCs w:val="22"/>
          <w:highlight w:val="none"/>
          <w:lang w:eastAsia="zh-CN"/>
        </w:rPr>
        <w:t>（折扣系数报价、投标综合单价）</w:t>
      </w:r>
      <w:r>
        <w:rPr>
          <w:rFonts w:hint="eastAsia" w:ascii="宋体" w:hAnsi="宋体" w:eastAsia="宋体" w:cs="宋体"/>
          <w:b/>
          <w:bCs w:val="0"/>
          <w:color w:val="auto"/>
          <w:sz w:val="22"/>
          <w:szCs w:val="22"/>
          <w:highlight w:val="none"/>
        </w:rPr>
        <w:t>包含的内容详见投标供应商须知第12条及合同中的规定。</w:t>
      </w:r>
    </w:p>
    <w:p w14:paraId="4AC5CDD6">
      <w:pPr>
        <w:numPr>
          <w:ilvl w:val="0"/>
          <w:numId w:val="27"/>
        </w:numP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▲折扣系数报价最高限价为100%，投标供应商折扣系数报价超过100%的作无效标处理。</w:t>
      </w:r>
      <w:r>
        <w:rPr>
          <w:rFonts w:hint="eastAsia" w:ascii="宋体" w:hAnsi="宋体" w:eastAsia="宋体" w:cs="宋体"/>
          <w:b/>
          <w:color w:val="auto"/>
          <w:sz w:val="22"/>
          <w:szCs w:val="22"/>
          <w:highlight w:val="none"/>
          <w:u w:val="single"/>
        </w:rPr>
        <w:t>折扣系数以“%”形式填写（%前（指分子部分）</w:t>
      </w:r>
      <w:r>
        <w:rPr>
          <w:rFonts w:hint="eastAsia" w:ascii="宋体" w:hAnsi="宋体" w:eastAsia="宋体" w:cs="宋体"/>
          <w:b/>
          <w:color w:val="auto"/>
          <w:sz w:val="22"/>
          <w:szCs w:val="22"/>
          <w:highlight w:val="none"/>
          <w:u w:val="single"/>
          <w:lang w:val="en-US" w:eastAsia="zh-CN"/>
        </w:rPr>
        <w:t>要求为整数</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rPr>
        <w:t>例如“85%”。</w:t>
      </w:r>
      <w:r>
        <w:rPr>
          <w:rFonts w:hint="eastAsia" w:ascii="宋体" w:hAnsi="宋体" w:eastAsia="宋体" w:cs="宋体"/>
          <w:color w:val="auto"/>
          <w:sz w:val="22"/>
          <w:szCs w:val="22"/>
          <w:highlight w:val="none"/>
        </w:rPr>
        <w:t>如投标供应商的报价值分子部</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出现</w:t>
      </w:r>
      <w:r>
        <w:rPr>
          <w:rFonts w:hint="eastAsia" w:ascii="宋体" w:hAnsi="宋体" w:eastAsia="宋体" w:cs="宋体"/>
          <w:color w:val="auto"/>
          <w:sz w:val="22"/>
          <w:szCs w:val="22"/>
          <w:highlight w:val="none"/>
        </w:rPr>
        <w:t>小数的，</w:t>
      </w:r>
      <w:r>
        <w:rPr>
          <w:rFonts w:hint="eastAsia" w:ascii="宋体" w:hAnsi="宋体" w:eastAsia="宋体" w:cs="宋体"/>
          <w:color w:val="auto"/>
          <w:sz w:val="22"/>
          <w:szCs w:val="22"/>
          <w:highlight w:val="none"/>
          <w:lang w:val="en-US" w:eastAsia="zh-CN"/>
        </w:rPr>
        <w:t>小数</w:t>
      </w:r>
      <w:r>
        <w:rPr>
          <w:rFonts w:hint="eastAsia" w:ascii="宋体" w:hAnsi="宋体" w:eastAsia="宋体" w:cs="宋体"/>
          <w:color w:val="auto"/>
          <w:sz w:val="22"/>
          <w:szCs w:val="22"/>
          <w:highlight w:val="none"/>
        </w:rPr>
        <w:t>部分不论大小均不予考虑，例如折扣系数报价为85.9%的，开标记录时折扣系数报价就按85%记。计算商务（报价）得分时及合同也按85%计算。</w:t>
      </w:r>
    </w:p>
    <w:p w14:paraId="0B8F76CA">
      <w:pPr>
        <w:numPr>
          <w:ilvl w:val="0"/>
          <w:numId w:val="27"/>
        </w:numPr>
        <w:rPr>
          <w:rFonts w:hint="eastAsia"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w:t>
      </w:r>
      <w:r>
        <w:rPr>
          <w:rFonts w:hint="eastAsia" w:ascii="宋体" w:hAnsi="宋体" w:eastAsia="宋体" w:cs="宋体"/>
          <w:b/>
          <w:bCs/>
          <w:color w:val="auto"/>
          <w:sz w:val="22"/>
          <w:szCs w:val="22"/>
          <w:highlight w:val="none"/>
          <w:u w:val="single"/>
          <w:lang w:val="en-US" w:eastAsia="zh-CN"/>
        </w:rPr>
        <w:t>折扣系数报价</w:t>
      </w:r>
      <w:r>
        <w:rPr>
          <w:rFonts w:hint="eastAsia" w:ascii="宋体" w:hAnsi="宋体" w:eastAsia="宋体" w:cs="宋体"/>
          <w:b/>
          <w:bCs/>
          <w:color w:val="auto"/>
          <w:sz w:val="22"/>
          <w:szCs w:val="22"/>
          <w:highlight w:val="none"/>
          <w:u w:val="single"/>
        </w:rPr>
        <w:t>只允许一个折扣系数报价（不允许有选择性的报价，否则作无效标处理）。</w:t>
      </w:r>
    </w:p>
    <w:p w14:paraId="6162E8E9">
      <w:pPr>
        <w:numPr>
          <w:ilvl w:val="0"/>
          <w:numId w:val="27"/>
        </w:numPr>
        <w:overflowPunct w:val="0"/>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u w:val="single"/>
        </w:rPr>
        <w:t>▲不提供开标一览表的投标文件将被视为未实质性响应采购文件。</w:t>
      </w:r>
    </w:p>
    <w:p w14:paraId="4CB06F6B">
      <w:pPr>
        <w:numPr>
          <w:ilvl w:val="0"/>
          <w:numId w:val="27"/>
        </w:numPr>
        <w:overflowPunct w:val="0"/>
        <w:jc w:val="left"/>
        <w:rPr>
          <w:rFonts w:hint="eastAsia" w:ascii="宋体" w:hAnsi="宋体" w:eastAsia="宋体" w:cs="宋体"/>
          <w:b/>
          <w:bCs w:val="0"/>
          <w:color w:val="auto"/>
          <w:sz w:val="22"/>
          <w:highlight w:val="none"/>
        </w:rPr>
      </w:pPr>
      <w:r>
        <w:rPr>
          <w:rFonts w:hint="eastAsia" w:ascii="宋体" w:hAnsi="宋体" w:eastAsia="宋体" w:cs="宋体"/>
          <w:b/>
          <w:bCs w:val="0"/>
          <w:color w:val="auto"/>
          <w:sz w:val="22"/>
          <w:szCs w:val="22"/>
          <w:highlight w:val="none"/>
          <w:u w:val="single"/>
        </w:rPr>
        <w:t>▲</w:t>
      </w:r>
      <w:r>
        <w:rPr>
          <w:rFonts w:hint="eastAsia" w:ascii="宋体" w:hAnsi="宋体" w:eastAsia="宋体" w:cs="宋体"/>
          <w:b/>
          <w:bCs w:val="0"/>
          <w:color w:val="auto"/>
          <w:sz w:val="22"/>
          <w:highlight w:val="none"/>
          <w:u w:val="single"/>
          <w:lang w:val="en-US" w:eastAsia="zh-CN"/>
        </w:rPr>
        <w:t>中标折扣系数、中标合同综合单价按附件五“中标折扣系数承诺函”规定执行。</w:t>
      </w:r>
    </w:p>
    <w:p w14:paraId="31F7482C">
      <w:pPr>
        <w:numPr>
          <w:ilvl w:val="0"/>
          <w:numId w:val="27"/>
        </w:numPr>
        <w:overflowPunct w:val="0"/>
        <w:jc w:val="left"/>
        <w:rPr>
          <w:rFonts w:hint="eastAsia" w:ascii="宋体" w:hAnsi="宋体" w:eastAsia="宋体" w:cs="宋体"/>
          <w:color w:val="auto"/>
          <w:sz w:val="22"/>
          <w:highlight w:val="none"/>
        </w:rPr>
      </w:pPr>
      <w:r>
        <w:rPr>
          <w:rFonts w:hint="eastAsia" w:ascii="宋体" w:hAnsi="宋体" w:eastAsia="宋体" w:cs="宋体"/>
          <w:b/>
          <w:color w:val="auto"/>
          <w:sz w:val="22"/>
          <w:szCs w:val="22"/>
          <w:highlight w:val="none"/>
          <w:u w:val="single"/>
        </w:rPr>
        <w:t>▲以上报价不得出现在技术资信标中</w:t>
      </w:r>
      <w:r>
        <w:rPr>
          <w:rFonts w:hint="eastAsia" w:ascii="宋体" w:hAnsi="宋体" w:eastAsia="宋体" w:cs="宋体"/>
          <w:b/>
          <w:color w:val="auto"/>
          <w:sz w:val="22"/>
          <w:szCs w:val="22"/>
          <w:highlight w:val="none"/>
        </w:rPr>
        <w:t>。</w:t>
      </w:r>
    </w:p>
    <w:p w14:paraId="2E6EC1AD">
      <w:pPr>
        <w:spacing w:line="240" w:lineRule="auto"/>
        <w:rPr>
          <w:rFonts w:hint="eastAsia" w:ascii="宋体" w:hAnsi="宋体" w:eastAsia="宋体" w:cs="宋体"/>
          <w:color w:val="auto"/>
          <w:sz w:val="22"/>
          <w:szCs w:val="22"/>
          <w:highlight w:val="none"/>
        </w:rPr>
      </w:pPr>
    </w:p>
    <w:p w14:paraId="3D45A65F">
      <w:pPr>
        <w:spacing w:line="480" w:lineRule="auto"/>
        <w:rPr>
          <w:rFonts w:hint="eastAsia" w:ascii="宋体" w:hAnsi="宋体" w:eastAsia="宋体" w:cs="宋体"/>
          <w:color w:val="auto"/>
          <w:sz w:val="22"/>
          <w:szCs w:val="22"/>
          <w:highlight w:val="none"/>
        </w:rPr>
      </w:pPr>
    </w:p>
    <w:p w14:paraId="2A6B8C86">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投标供应商全称（盖公章）：</w:t>
      </w:r>
    </w:p>
    <w:p w14:paraId="286AFDB3">
      <w:pPr>
        <w:spacing w:line="48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法定代表人或授权代表（签字或盖章）：</w:t>
      </w:r>
    </w:p>
    <w:p w14:paraId="31B20C94">
      <w:pPr>
        <w:spacing w:line="48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日  期：</w:t>
      </w:r>
      <w:bookmarkStart w:id="191" w:name="_Toc448846626"/>
      <w:bookmarkStart w:id="192" w:name="_Toc262049425"/>
      <w:bookmarkStart w:id="193" w:name="_Toc249758871"/>
      <w:bookmarkStart w:id="194" w:name="_Toc249758721"/>
      <w:bookmarkStart w:id="195" w:name="_Toc262105510"/>
    </w:p>
    <w:p w14:paraId="416E54BB">
      <w:pPr>
        <w:pStyle w:val="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r>
        <w:rPr>
          <w:rFonts w:hint="eastAsia" w:ascii="宋体" w:hAnsi="宋体" w:eastAsia="宋体" w:cs="宋体"/>
          <w:color w:val="auto"/>
          <w:sz w:val="36"/>
          <w:szCs w:val="36"/>
          <w:highlight w:val="none"/>
        </w:rPr>
        <w:t>第四部分   采购内容及要求</w:t>
      </w:r>
      <w:bookmarkEnd w:id="191"/>
      <w:bookmarkEnd w:id="192"/>
      <w:bookmarkEnd w:id="193"/>
      <w:bookmarkEnd w:id="194"/>
      <w:bookmarkEnd w:id="195"/>
    </w:p>
    <w:p w14:paraId="207651FA">
      <w:pPr>
        <w:keepNext w:val="0"/>
        <w:keepLines w:val="0"/>
        <w:pageBreakBefore w:val="0"/>
        <w:kinsoku/>
        <w:wordWrap/>
        <w:overflowPunct/>
        <w:topLinePunct w:val="0"/>
        <w:bidi w:val="0"/>
        <w:snapToGrid/>
        <w:rPr>
          <w:rFonts w:hint="eastAsia" w:ascii="宋体" w:hAnsi="宋体" w:eastAsia="宋体" w:cs="宋体"/>
          <w:b/>
          <w:bCs/>
          <w:color w:val="auto"/>
          <w:sz w:val="21"/>
          <w:szCs w:val="21"/>
          <w:highlight w:val="none"/>
          <w:lang w:val="en-US" w:eastAsia="zh-CN"/>
        </w:rPr>
      </w:pPr>
      <w:bookmarkStart w:id="196" w:name="_Toc239145361"/>
      <w:bookmarkStart w:id="197" w:name="_Toc245722288"/>
      <w:bookmarkStart w:id="198" w:name="_Toc223716005"/>
      <w:bookmarkStart w:id="199" w:name="_Toc221374633"/>
      <w:bookmarkStart w:id="200" w:name="_Toc249758722"/>
      <w:bookmarkStart w:id="201" w:name="_Toc245191321"/>
      <w:bookmarkStart w:id="202" w:name="_Toc249758872"/>
      <w:bookmarkStart w:id="203" w:name="_Toc262049426"/>
      <w:bookmarkStart w:id="204" w:name="_Toc448846693"/>
      <w:bookmarkStart w:id="205" w:name="_Toc241404209"/>
      <w:bookmarkStart w:id="206" w:name="_Toc222114886"/>
      <w:bookmarkStart w:id="207" w:name="_Toc221356897"/>
      <w:bookmarkStart w:id="208" w:name="_Toc221356960"/>
      <w:bookmarkStart w:id="209" w:name="_Toc246261272"/>
      <w:bookmarkStart w:id="210" w:name="_Toc221423626"/>
      <w:bookmarkStart w:id="211" w:name="_Toc262105511"/>
      <w:r>
        <w:rPr>
          <w:rFonts w:hint="eastAsia" w:ascii="宋体" w:hAnsi="宋体" w:eastAsia="宋体" w:cs="宋体"/>
          <w:b/>
          <w:bCs/>
          <w:color w:val="auto"/>
          <w:sz w:val="21"/>
          <w:szCs w:val="21"/>
          <w:highlight w:val="none"/>
          <w:lang w:val="en-US" w:eastAsia="zh-CN"/>
        </w:rPr>
        <w:t>一、项目概况：</w:t>
      </w:r>
    </w:p>
    <w:p w14:paraId="50508351">
      <w:pPr>
        <w:keepNext w:val="0"/>
        <w:keepLines w:val="0"/>
        <w:pageBreakBefore w:val="0"/>
        <w:kinsoku/>
        <w:wordWrap/>
        <w:overflowPunct/>
        <w:topLinePunct w:val="0"/>
        <w:bidi w:val="0"/>
        <w:snapToGrid/>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1、项目名称：燃气客户服务外包供应商库。</w:t>
      </w:r>
    </w:p>
    <w:p w14:paraId="402576A3">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bCs/>
          <w:color w:val="auto"/>
          <w:sz w:val="21"/>
          <w:szCs w:val="21"/>
          <w:highlight w:val="none"/>
        </w:rPr>
        <w:t>基本情况</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温州市燃气集团有限公司现有</w:t>
      </w:r>
      <w:r>
        <w:rPr>
          <w:rFonts w:hint="eastAsia" w:ascii="宋体" w:hAnsi="宋体" w:eastAsia="宋体" w:cs="宋体"/>
          <w:color w:val="auto"/>
          <w:sz w:val="21"/>
          <w:szCs w:val="21"/>
          <w:highlight w:val="none"/>
          <w:lang w:val="en-US" w:eastAsia="zh-CN"/>
        </w:rPr>
        <w:t>居民</w:t>
      </w:r>
      <w:r>
        <w:rPr>
          <w:rFonts w:hint="eastAsia" w:ascii="宋体" w:hAnsi="宋体" w:eastAsia="宋体" w:cs="宋体"/>
          <w:color w:val="auto"/>
          <w:sz w:val="21"/>
          <w:szCs w:val="21"/>
          <w:highlight w:val="none"/>
        </w:rPr>
        <w:t>客户</w:t>
      </w:r>
      <w:r>
        <w:rPr>
          <w:rFonts w:hint="eastAsia" w:ascii="宋体" w:hAnsi="宋体" w:eastAsia="宋体" w:cs="宋体"/>
          <w:color w:val="auto"/>
          <w:sz w:val="21"/>
          <w:szCs w:val="21"/>
          <w:highlight w:val="none"/>
          <w:lang w:val="en-US" w:eastAsia="zh-CN"/>
        </w:rPr>
        <w:t>46.85</w:t>
      </w: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lang w:val="en-US" w:eastAsia="zh-CN"/>
        </w:rPr>
        <w:t>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包含非居民客户、少数尚未</w:t>
      </w:r>
      <w:r>
        <w:rPr>
          <w:rFonts w:hint="eastAsia" w:ascii="宋体" w:hAnsi="宋体" w:eastAsia="宋体" w:cs="宋体"/>
          <w:color w:val="auto"/>
          <w:sz w:val="21"/>
          <w:szCs w:val="21"/>
          <w:highlight w:val="none"/>
        </w:rPr>
        <w:t>通气</w:t>
      </w:r>
      <w:r>
        <w:rPr>
          <w:rFonts w:hint="eastAsia" w:ascii="宋体" w:hAnsi="宋体" w:eastAsia="宋体" w:cs="宋体"/>
          <w:color w:val="auto"/>
          <w:sz w:val="21"/>
          <w:szCs w:val="21"/>
          <w:highlight w:val="none"/>
          <w:lang w:val="en-US" w:eastAsia="zh-CN"/>
        </w:rPr>
        <w:t>客户）</w:t>
      </w:r>
      <w:r>
        <w:rPr>
          <w:rFonts w:hint="eastAsia" w:ascii="宋体" w:hAnsi="宋体" w:eastAsia="宋体" w:cs="宋体"/>
          <w:color w:val="auto"/>
          <w:sz w:val="21"/>
          <w:szCs w:val="21"/>
          <w:highlight w:val="none"/>
        </w:rPr>
        <w:t>，服务范围涵盖鹿城、瓯海、龙湾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瓯江口、空港、</w:t>
      </w:r>
      <w:r>
        <w:rPr>
          <w:rFonts w:hint="eastAsia" w:ascii="宋体" w:hAnsi="宋体" w:eastAsia="宋体" w:cs="宋体"/>
          <w:color w:val="auto"/>
          <w:sz w:val="21"/>
          <w:szCs w:val="21"/>
          <w:highlight w:val="none"/>
          <w:lang w:val="en-US" w:eastAsia="zh-CN"/>
        </w:rPr>
        <w:t>洞头</w:t>
      </w:r>
      <w:r>
        <w:rPr>
          <w:rFonts w:hint="eastAsia" w:ascii="宋体" w:hAnsi="宋体" w:eastAsia="宋体" w:cs="宋体"/>
          <w:color w:val="auto"/>
          <w:sz w:val="21"/>
          <w:szCs w:val="21"/>
          <w:highlight w:val="none"/>
        </w:rPr>
        <w:t>等区域。随着公司业务发展，相关客服业务也与日俱增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居民</w:t>
      </w:r>
      <w:r>
        <w:rPr>
          <w:rFonts w:hint="eastAsia" w:ascii="宋体" w:hAnsi="宋体" w:eastAsia="宋体" w:cs="宋体"/>
          <w:color w:val="auto"/>
          <w:sz w:val="21"/>
          <w:szCs w:val="21"/>
          <w:highlight w:val="none"/>
        </w:rPr>
        <w:t>客户通气（含再通气、封表、启封、</w:t>
      </w:r>
      <w:r>
        <w:rPr>
          <w:rFonts w:hint="eastAsia" w:ascii="宋体" w:hAnsi="宋体" w:eastAsia="宋体" w:cs="宋体"/>
          <w:color w:val="auto"/>
          <w:sz w:val="21"/>
          <w:szCs w:val="21"/>
          <w:highlight w:val="none"/>
          <w:lang w:val="en-US" w:eastAsia="zh-CN"/>
        </w:rPr>
        <w:t>波纹管更换</w:t>
      </w:r>
      <w:r>
        <w:rPr>
          <w:rFonts w:hint="eastAsia" w:ascii="宋体" w:hAnsi="宋体" w:eastAsia="宋体" w:cs="宋体"/>
          <w:color w:val="auto"/>
          <w:sz w:val="21"/>
          <w:szCs w:val="21"/>
          <w:highlight w:val="none"/>
        </w:rPr>
        <w:t>等）业务量为</w:t>
      </w:r>
      <w:r>
        <w:rPr>
          <w:rFonts w:hint="eastAsia" w:ascii="宋体" w:hAnsi="宋体" w:eastAsia="宋体" w:cs="宋体"/>
          <w:color w:val="auto"/>
          <w:sz w:val="21"/>
          <w:szCs w:val="21"/>
          <w:highlight w:val="none"/>
          <w:lang w:val="en-US" w:eastAsia="zh-CN"/>
        </w:rPr>
        <w:t>11.63</w:t>
      </w: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lang w:val="en-US" w:eastAsia="zh-CN"/>
        </w:rPr>
        <w:t>户</w:t>
      </w:r>
      <w:r>
        <w:rPr>
          <w:rFonts w:hint="eastAsia" w:ascii="宋体" w:hAnsi="宋体" w:eastAsia="宋体" w:cs="宋体"/>
          <w:color w:val="auto"/>
          <w:sz w:val="21"/>
          <w:szCs w:val="21"/>
          <w:highlight w:val="none"/>
        </w:rPr>
        <w:t>、抄表业务量</w:t>
      </w:r>
      <w:r>
        <w:rPr>
          <w:rFonts w:hint="eastAsia" w:ascii="宋体" w:hAnsi="宋体" w:eastAsia="宋体" w:cs="宋体"/>
          <w:color w:val="auto"/>
          <w:sz w:val="21"/>
          <w:szCs w:val="21"/>
          <w:highlight w:val="none"/>
          <w:lang w:val="en-US" w:eastAsia="zh-CN"/>
        </w:rPr>
        <w:t>205.85</w:t>
      </w: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lang w:val="en-US" w:eastAsia="zh-CN"/>
        </w:rPr>
        <w:t>户</w:t>
      </w:r>
      <w:r>
        <w:rPr>
          <w:rFonts w:hint="eastAsia" w:ascii="宋体" w:hAnsi="宋体" w:eastAsia="宋体" w:cs="宋体"/>
          <w:color w:val="auto"/>
          <w:sz w:val="21"/>
          <w:szCs w:val="21"/>
          <w:highlight w:val="none"/>
        </w:rPr>
        <w:t>次、安检业务量3</w:t>
      </w:r>
      <w:r>
        <w:rPr>
          <w:rFonts w:hint="eastAsia" w:ascii="宋体" w:hAnsi="宋体" w:eastAsia="宋体" w:cs="宋体"/>
          <w:color w:val="auto"/>
          <w:sz w:val="21"/>
          <w:szCs w:val="21"/>
          <w:highlight w:val="none"/>
          <w:lang w:val="en-US" w:eastAsia="zh-CN"/>
        </w:rPr>
        <w:t>6.35</w:t>
      </w:r>
      <w:r>
        <w:rPr>
          <w:rFonts w:hint="eastAsia" w:ascii="宋体" w:hAnsi="宋体" w:eastAsia="宋体" w:cs="宋体"/>
          <w:color w:val="auto"/>
          <w:sz w:val="21"/>
          <w:szCs w:val="21"/>
          <w:highlight w:val="none"/>
        </w:rPr>
        <w:t>万</w:t>
      </w:r>
      <w:r>
        <w:rPr>
          <w:rFonts w:hint="eastAsia" w:ascii="宋体" w:hAnsi="宋体" w:eastAsia="宋体" w:cs="宋体"/>
          <w:color w:val="auto"/>
          <w:sz w:val="21"/>
          <w:szCs w:val="21"/>
          <w:highlight w:val="none"/>
          <w:lang w:val="en-US" w:eastAsia="zh-CN"/>
        </w:rPr>
        <w:t>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非居民抄表业务量15062户次、安检业务量2085户。</w:t>
      </w:r>
    </w:p>
    <w:p w14:paraId="40C8EF99">
      <w:pPr>
        <w:keepNext w:val="0"/>
        <w:keepLines w:val="0"/>
        <w:pageBreakBefore w:val="0"/>
        <w:kinsoku/>
        <w:wordWrap/>
        <w:overflowPunct/>
        <w:topLinePunct w:val="0"/>
        <w:bidi w:val="0"/>
        <w:snapToGrid/>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3、服务质量标准：服务过程和成果符合现行国家、地方和行业规定，符合采购人要求。</w:t>
      </w:r>
    </w:p>
    <w:p w14:paraId="3CE54649">
      <w:pPr>
        <w:keepNext w:val="0"/>
        <w:keepLines w:val="0"/>
        <w:pageBreakBefore w:val="0"/>
        <w:kinsoku/>
        <w:wordWrap/>
        <w:overflowPunct/>
        <w:topLinePunct w:val="0"/>
        <w:bidi w:val="0"/>
        <w:snapToGrid/>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4、服务期限：本项目入围期限为3年，合同采用1+1+1年模式，一年一签</w:t>
      </w:r>
      <w:r>
        <w:rPr>
          <w:rFonts w:hint="eastAsia" w:ascii="宋体" w:hAnsi="宋体" w:eastAsia="宋体" w:cs="宋体"/>
          <w:color w:val="auto"/>
          <w:highlight w:val="none"/>
          <w:lang w:eastAsia="zh-CN"/>
        </w:rPr>
        <w:t>，续签合同的服务内容、要求和单价不变</w:t>
      </w:r>
      <w:r>
        <w:rPr>
          <w:rFonts w:hint="eastAsia" w:ascii="宋体" w:hAnsi="宋体" w:eastAsia="宋体" w:cs="宋体"/>
          <w:b w:val="0"/>
          <w:bCs w:val="0"/>
          <w:color w:val="auto"/>
          <w:sz w:val="21"/>
          <w:szCs w:val="21"/>
          <w:highlight w:val="none"/>
          <w:lang w:val="en-US" w:eastAsia="zh-CN"/>
        </w:rPr>
        <w:t>。具体规定详见采购文件第二部分合同条款第三条。</w:t>
      </w:r>
    </w:p>
    <w:p w14:paraId="4F21C538">
      <w:pPr>
        <w:keepNext w:val="0"/>
        <w:keepLines w:val="0"/>
        <w:pageBreakBefore w:val="0"/>
        <w:kinsoku/>
        <w:wordWrap/>
        <w:overflowPunct/>
        <w:topLinePunct w:val="0"/>
        <w:bidi w:val="0"/>
        <w:snapToGrid/>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5、投标前供应商自行去项目实施地进行现场勘察，充分了解现场实际情况后进行报价，自行承担报价风险。</w:t>
      </w:r>
    </w:p>
    <w:p w14:paraId="0B5FDB81">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lang w:val="en-US" w:eastAsia="zh-CN"/>
        </w:rPr>
      </w:pPr>
    </w:p>
    <w:p w14:paraId="6D14316F">
      <w:pPr>
        <w:keepNext w:val="0"/>
        <w:keepLines w:val="0"/>
        <w:pageBreakBefore w:val="0"/>
        <w:kinsoku/>
        <w:wordWrap/>
        <w:overflowPunct/>
        <w:topLinePunct w:val="0"/>
        <w:bidi w:val="0"/>
        <w:snapToGrid/>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外包具体</w:t>
      </w:r>
      <w:r>
        <w:rPr>
          <w:rFonts w:hint="eastAsia" w:ascii="宋体" w:hAnsi="宋体" w:eastAsia="宋体" w:cs="宋体"/>
          <w:b/>
          <w:bCs/>
          <w:color w:val="auto"/>
          <w:sz w:val="21"/>
          <w:szCs w:val="21"/>
          <w:highlight w:val="none"/>
          <w:lang w:eastAsia="zh-CN"/>
        </w:rPr>
        <w:t>实施</w:t>
      </w:r>
      <w:r>
        <w:rPr>
          <w:rFonts w:hint="eastAsia" w:ascii="宋体" w:hAnsi="宋体" w:eastAsia="宋体" w:cs="宋体"/>
          <w:b/>
          <w:bCs/>
          <w:color w:val="auto"/>
          <w:sz w:val="21"/>
          <w:szCs w:val="21"/>
          <w:highlight w:val="none"/>
        </w:rPr>
        <w:t>方案</w:t>
      </w:r>
    </w:p>
    <w:p w14:paraId="38714E7B">
      <w:pPr>
        <w:keepNext w:val="0"/>
        <w:keepLines w:val="0"/>
        <w:pageBreakBefore w:val="0"/>
        <w:kinsoku/>
        <w:wordWrap/>
        <w:overflowPunct/>
        <w:topLinePunct w:val="0"/>
        <w:bidi w:val="0"/>
        <w:snapToGrid/>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本项目采购公开招标方式</w:t>
      </w:r>
      <w:r>
        <w:rPr>
          <w:rFonts w:hint="eastAsia" w:ascii="宋体" w:hAnsi="宋体" w:eastAsia="宋体" w:cs="宋体"/>
          <w:color w:val="auto"/>
          <w:sz w:val="21"/>
          <w:szCs w:val="21"/>
          <w:highlight w:val="none"/>
          <w:lang w:val="en-US" w:eastAsia="zh-CN"/>
        </w:rPr>
        <w:t>，最多选定3家入围供应商组成供应商库，开展抄检等业务。为充分发挥库内单位工作积极性，首年度各项业务量分配比例根据招投标最终得分（即技术分与商务分之和）由高到低顺序，第一、第二、第三名依次为：41%、33%、26%，次年起各项业务量根据上一年度考核排名顺序按照上述比例分配。</w:t>
      </w:r>
    </w:p>
    <w:p w14:paraId="29437F47">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p>
    <w:p w14:paraId="2D1B3B9E">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）外包业务</w:t>
      </w:r>
      <w:r>
        <w:rPr>
          <w:rFonts w:hint="eastAsia" w:ascii="宋体" w:hAnsi="宋体" w:eastAsia="宋体" w:cs="宋体"/>
          <w:b/>
          <w:bCs/>
          <w:color w:val="auto"/>
          <w:sz w:val="21"/>
          <w:szCs w:val="21"/>
          <w:highlight w:val="none"/>
          <w:lang w:val="en-US" w:eastAsia="zh-CN"/>
        </w:rPr>
        <w:t>及</w:t>
      </w:r>
      <w:r>
        <w:rPr>
          <w:rFonts w:hint="eastAsia" w:ascii="宋体" w:hAnsi="宋体" w:eastAsia="宋体" w:cs="宋体"/>
          <w:b/>
          <w:bCs/>
          <w:color w:val="auto"/>
          <w:sz w:val="21"/>
          <w:szCs w:val="21"/>
          <w:highlight w:val="none"/>
        </w:rPr>
        <w:t>主要指标考核</w:t>
      </w:r>
    </w:p>
    <w:p w14:paraId="140BA8F2">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非居民抄表及催费业务，月度实抄率100%，</w:t>
      </w:r>
      <w:r>
        <w:rPr>
          <w:rFonts w:hint="eastAsia" w:ascii="宋体" w:hAnsi="宋体" w:eastAsia="宋体" w:cs="宋体"/>
          <w:color w:val="auto"/>
          <w:sz w:val="21"/>
          <w:szCs w:val="21"/>
          <w:highlight w:val="none"/>
        </w:rPr>
        <w:t>年度资金回</w:t>
      </w:r>
      <w:r>
        <w:rPr>
          <w:rFonts w:hint="eastAsia" w:ascii="宋体" w:hAnsi="宋体" w:eastAsia="宋体" w:cs="宋体"/>
          <w:color w:val="auto"/>
          <w:sz w:val="21"/>
          <w:szCs w:val="21"/>
          <w:highlight w:val="none"/>
          <w:lang w:val="en-US" w:eastAsia="zh-CN"/>
        </w:rPr>
        <w:t>笼率100%（恶意逃气除外）；</w:t>
      </w:r>
    </w:p>
    <w:p w14:paraId="79F6F6DB">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2.非居民安检业务，半年非居民安检入户率100%；</w:t>
      </w:r>
    </w:p>
    <w:p w14:paraId="39827DD8">
      <w:pPr>
        <w:keepNext w:val="0"/>
        <w:keepLines w:val="0"/>
        <w:pageBreakBefore w:val="0"/>
        <w:kinsoku/>
        <w:wordWrap/>
        <w:overflowPunct/>
        <w:topLinePunct w:val="0"/>
        <w:bidi w:val="0"/>
        <w:snapToGrid/>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居民抄表及催费业务，包括普通表入户抄表、恒芯远传表数据采集以及各类表具抄表后气费催收，要求普通表</w:t>
      </w:r>
      <w:r>
        <w:rPr>
          <w:rFonts w:hint="eastAsia" w:ascii="宋体" w:hAnsi="宋体" w:cs="宋体"/>
          <w:color w:val="auto"/>
          <w:sz w:val="21"/>
          <w:szCs w:val="21"/>
          <w:highlight w:val="none"/>
          <w:lang w:val="en-US" w:eastAsia="zh-CN"/>
        </w:rPr>
        <w:t>抄表和恒芯远传表数据采集开展率100%，月度</w:t>
      </w:r>
      <w:r>
        <w:rPr>
          <w:rFonts w:hint="eastAsia" w:ascii="宋体" w:hAnsi="宋体" w:eastAsia="宋体" w:cs="宋体"/>
          <w:color w:val="auto"/>
          <w:sz w:val="21"/>
          <w:szCs w:val="21"/>
          <w:highlight w:val="none"/>
          <w:lang w:val="en-US" w:eastAsia="zh-CN"/>
        </w:rPr>
        <w:t>入户实抄率不低于50%，</w:t>
      </w:r>
      <w:r>
        <w:rPr>
          <w:rFonts w:hint="eastAsia" w:ascii="宋体" w:hAnsi="宋体" w:cs="宋体"/>
          <w:color w:val="auto"/>
          <w:sz w:val="21"/>
          <w:szCs w:val="21"/>
          <w:highlight w:val="none"/>
          <w:lang w:val="en-US" w:eastAsia="zh-CN"/>
        </w:rPr>
        <w:t>月、</w:t>
      </w:r>
      <w:r>
        <w:rPr>
          <w:rFonts w:hint="eastAsia" w:ascii="宋体" w:hAnsi="宋体" w:eastAsia="宋体" w:cs="宋体"/>
          <w:color w:val="auto"/>
          <w:sz w:val="21"/>
          <w:szCs w:val="21"/>
          <w:highlight w:val="none"/>
        </w:rPr>
        <w:t>年度资金回笼率</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99</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p>
    <w:p w14:paraId="1FDBFD20">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居民安检业务，</w:t>
      </w:r>
      <w:r>
        <w:rPr>
          <w:rFonts w:hint="eastAsia" w:ascii="宋体" w:hAnsi="宋体" w:cs="宋体"/>
          <w:color w:val="auto"/>
          <w:sz w:val="21"/>
          <w:szCs w:val="21"/>
          <w:highlight w:val="none"/>
          <w:lang w:val="en-US" w:eastAsia="zh-CN"/>
        </w:rPr>
        <w:t>安检开展率100%，月、</w:t>
      </w:r>
      <w:r>
        <w:rPr>
          <w:rFonts w:hint="eastAsia" w:ascii="宋体" w:hAnsi="宋体" w:eastAsia="宋体" w:cs="宋体"/>
          <w:color w:val="auto"/>
          <w:sz w:val="21"/>
          <w:szCs w:val="21"/>
          <w:highlight w:val="none"/>
          <w:lang w:val="en-US" w:eastAsia="zh-CN"/>
        </w:rPr>
        <w:t>年度</w:t>
      </w:r>
      <w:r>
        <w:rPr>
          <w:rFonts w:hint="eastAsia" w:ascii="宋体" w:hAnsi="宋体" w:eastAsia="宋体" w:cs="宋体"/>
          <w:color w:val="auto"/>
          <w:sz w:val="21"/>
          <w:szCs w:val="21"/>
          <w:highlight w:val="none"/>
        </w:rPr>
        <w:t>居民安检入户率</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90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w:t>
      </w:r>
    </w:p>
    <w:p w14:paraId="47C6EDE7">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居民通气、波纹管更换业务，该项业务主体由</w:t>
      </w:r>
      <w:r>
        <w:rPr>
          <w:rFonts w:hint="eastAsia" w:ascii="宋体" w:hAnsi="宋体" w:cs="宋体"/>
          <w:color w:val="auto"/>
          <w:sz w:val="21"/>
          <w:szCs w:val="21"/>
          <w:highlight w:val="none"/>
          <w:lang w:val="en-US" w:eastAsia="zh-CN"/>
        </w:rPr>
        <w:t>招标单位</w:t>
      </w:r>
      <w:r>
        <w:rPr>
          <w:rFonts w:hint="eastAsia" w:ascii="宋体" w:hAnsi="宋体" w:eastAsia="宋体" w:cs="宋体"/>
          <w:color w:val="auto"/>
          <w:sz w:val="21"/>
          <w:szCs w:val="21"/>
          <w:highlight w:val="none"/>
          <w:lang w:val="en-US" w:eastAsia="zh-CN"/>
        </w:rPr>
        <w:t>通气验收员负责实施，库内单位仅在年底等业务暴增的特殊时期内派员开展。</w:t>
      </w:r>
    </w:p>
    <w:p w14:paraId="4F9B88F8">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除居民通气、波纹管更换业务外，</w:t>
      </w:r>
      <w:r>
        <w:rPr>
          <w:rFonts w:hint="eastAsia" w:ascii="宋体" w:hAnsi="宋体" w:eastAsia="宋体" w:cs="宋体"/>
          <w:color w:val="auto"/>
          <w:sz w:val="21"/>
          <w:szCs w:val="21"/>
          <w:highlight w:val="none"/>
        </w:rPr>
        <w:t>以上指标</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达标，</w:t>
      </w:r>
      <w:r>
        <w:rPr>
          <w:rFonts w:hint="eastAsia" w:ascii="宋体" w:hAnsi="宋体" w:eastAsia="宋体" w:cs="宋体"/>
          <w:color w:val="auto"/>
          <w:sz w:val="21"/>
          <w:szCs w:val="21"/>
          <w:highlight w:val="none"/>
          <w:lang w:val="en-US" w:eastAsia="zh-CN"/>
        </w:rPr>
        <w:t>每项</w:t>
      </w:r>
      <w:r>
        <w:rPr>
          <w:rFonts w:hint="eastAsia" w:ascii="宋体" w:hAnsi="宋体" w:eastAsia="宋体" w:cs="宋体"/>
          <w:color w:val="auto"/>
          <w:sz w:val="21"/>
          <w:szCs w:val="21"/>
          <w:highlight w:val="none"/>
        </w:rPr>
        <w:t>扣罚履约保证金的25%。</w:t>
      </w:r>
    </w:p>
    <w:p w14:paraId="32A53381">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6.月度实抄率计算 = 抄表见表户数/抄表计划总数</w:t>
      </w:r>
    </w:p>
    <w:p w14:paraId="13742F4C">
      <w:pPr>
        <w:spacing w:line="240" w:lineRule="auto"/>
        <w:ind w:firstLine="2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pacing w:val="-20"/>
          <w:position w:val="-26"/>
          <w:sz w:val="15"/>
          <w:szCs w:val="15"/>
          <w:highlight w:val="none"/>
        </w:rPr>
        <w:object>
          <v:shape id="_x0000_i1025" o:spt="75" type="#_x0000_t75" style="height:52pt;width:34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p>
    <w:p w14:paraId="105D3D53">
      <w:pPr>
        <w:spacing w:line="560" w:lineRule="exact"/>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安检入户率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安检</w:t>
      </w:r>
      <w:r>
        <w:rPr>
          <w:rFonts w:hint="eastAsia" w:ascii="宋体" w:hAnsi="宋体" w:eastAsia="宋体" w:cs="宋体"/>
          <w:color w:val="auto"/>
          <w:sz w:val="21"/>
          <w:szCs w:val="21"/>
          <w:highlight w:val="none"/>
          <w:lang w:val="en-US" w:eastAsia="zh-CN"/>
        </w:rPr>
        <w:t>检查</w:t>
      </w:r>
      <w:r>
        <w:rPr>
          <w:rFonts w:hint="eastAsia" w:ascii="宋体" w:hAnsi="宋体" w:eastAsia="宋体" w:cs="宋体"/>
          <w:color w:val="auto"/>
          <w:sz w:val="21"/>
          <w:szCs w:val="21"/>
          <w:highlight w:val="none"/>
        </w:rPr>
        <w:t>户数/安检</w:t>
      </w:r>
      <w:r>
        <w:rPr>
          <w:rFonts w:hint="eastAsia" w:ascii="宋体" w:hAnsi="宋体" w:eastAsia="宋体" w:cs="宋体"/>
          <w:color w:val="auto"/>
          <w:sz w:val="21"/>
          <w:szCs w:val="21"/>
          <w:highlight w:val="none"/>
          <w:lang w:val="en-US" w:eastAsia="zh-CN"/>
        </w:rPr>
        <w:t>计划</w:t>
      </w:r>
      <w:r>
        <w:rPr>
          <w:rFonts w:hint="eastAsia" w:ascii="宋体" w:hAnsi="宋体" w:eastAsia="宋体" w:cs="宋体"/>
          <w:color w:val="auto"/>
          <w:sz w:val="21"/>
          <w:szCs w:val="21"/>
          <w:highlight w:val="none"/>
        </w:rPr>
        <w:t>总数</w:t>
      </w:r>
    </w:p>
    <w:p w14:paraId="54339770">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p>
    <w:p w14:paraId="48F04768">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预算金额：</w:t>
      </w:r>
    </w:p>
    <w:p w14:paraId="1428F3D6">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预算金额及原则：</w:t>
      </w:r>
    </w:p>
    <w:p w14:paraId="303C84A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
        </w:rPr>
        <w:t>预计首个合同年度结算金额为</w:t>
      </w:r>
      <w:r>
        <w:rPr>
          <w:rFonts w:hint="eastAsia" w:ascii="宋体" w:hAnsi="宋体" w:cs="宋体"/>
          <w:b w:val="0"/>
          <w:bCs w:val="0"/>
          <w:color w:val="auto"/>
          <w:kern w:val="0"/>
          <w:sz w:val="21"/>
          <w:szCs w:val="21"/>
          <w:highlight w:val="none"/>
          <w:lang w:val="en-US" w:eastAsia="zh-CN" w:bidi="ar"/>
        </w:rPr>
        <w:t>1024</w:t>
      </w:r>
      <w:r>
        <w:rPr>
          <w:rFonts w:hint="eastAsia" w:ascii="宋体" w:hAnsi="宋体" w:eastAsia="宋体" w:cs="宋体"/>
          <w:b w:val="0"/>
          <w:bCs w:val="0"/>
          <w:color w:val="auto"/>
          <w:kern w:val="0"/>
          <w:sz w:val="21"/>
          <w:szCs w:val="21"/>
          <w:highlight w:val="none"/>
          <w:lang w:val="en-US" w:eastAsia="zh-CN" w:bidi="ar"/>
        </w:rPr>
        <w:t>万元，</w:t>
      </w:r>
      <w:r>
        <w:rPr>
          <w:rFonts w:hint="eastAsia" w:ascii="宋体" w:hAnsi="宋体" w:eastAsia="宋体" w:cs="宋体"/>
          <w:b/>
          <w:bCs/>
          <w:color w:val="auto"/>
          <w:sz w:val="21"/>
          <w:szCs w:val="21"/>
          <w:highlight w:val="none"/>
          <w:lang w:val="en-US" w:eastAsia="zh-CN"/>
        </w:rPr>
        <w:t>实际结算以中标单价和实际业务发生量为准。</w:t>
      </w:r>
    </w:p>
    <w:p w14:paraId="15D5B6B5">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p>
    <w:p w14:paraId="40153EAF">
      <w:pPr>
        <w:keepNext w:val="0"/>
        <w:keepLines w:val="0"/>
        <w:pageBreakBefore w:val="0"/>
        <w:kinsoku/>
        <w:wordWrap/>
        <w:overflowPunct/>
        <w:topLinePunct w:val="0"/>
        <w:bidi w:val="0"/>
        <w:snapToGrid/>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最高限价及相关规定：</w:t>
      </w:r>
    </w:p>
    <w:tbl>
      <w:tblPr>
        <w:tblStyle w:val="3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600"/>
        <w:gridCol w:w="1788"/>
        <w:gridCol w:w="1848"/>
        <w:gridCol w:w="1070"/>
        <w:gridCol w:w="1116"/>
        <w:gridCol w:w="2068"/>
      </w:tblGrid>
      <w:tr w14:paraId="7544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66" w:type="dxa"/>
            <w:noWrap w:val="0"/>
            <w:vAlign w:val="center"/>
          </w:tcPr>
          <w:p w14:paraId="796EC7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2388" w:type="dxa"/>
            <w:gridSpan w:val="2"/>
            <w:noWrap w:val="0"/>
            <w:vAlign w:val="center"/>
          </w:tcPr>
          <w:p w14:paraId="514975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服务内容</w:t>
            </w:r>
          </w:p>
        </w:tc>
        <w:tc>
          <w:tcPr>
            <w:tcW w:w="1848" w:type="dxa"/>
            <w:noWrap w:val="0"/>
            <w:vAlign w:val="center"/>
          </w:tcPr>
          <w:p w14:paraId="75AC9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最高限价</w:t>
            </w:r>
          </w:p>
        </w:tc>
        <w:tc>
          <w:tcPr>
            <w:tcW w:w="1070" w:type="dxa"/>
            <w:noWrap w:val="0"/>
            <w:vAlign w:val="center"/>
          </w:tcPr>
          <w:p w14:paraId="52B013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中标折扣系数</w:t>
            </w:r>
          </w:p>
        </w:tc>
        <w:tc>
          <w:tcPr>
            <w:tcW w:w="1116" w:type="dxa"/>
            <w:noWrap w:val="0"/>
            <w:vAlign w:val="center"/>
          </w:tcPr>
          <w:p w14:paraId="75FCD17A">
            <w:pPr>
              <w:pStyle w:val="1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8" w:firstLineChars="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综合单价（含税）</w:t>
            </w:r>
          </w:p>
        </w:tc>
        <w:tc>
          <w:tcPr>
            <w:tcW w:w="2068" w:type="dxa"/>
            <w:noWrap w:val="0"/>
            <w:vAlign w:val="center"/>
          </w:tcPr>
          <w:p w14:paraId="7DA3F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备注</w:t>
            </w:r>
          </w:p>
        </w:tc>
      </w:tr>
      <w:tr w14:paraId="2383B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66" w:type="dxa"/>
            <w:noWrap w:val="0"/>
            <w:vAlign w:val="center"/>
          </w:tcPr>
          <w:p w14:paraId="383D687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2388" w:type="dxa"/>
            <w:gridSpan w:val="2"/>
            <w:noWrap w:val="0"/>
            <w:vAlign w:val="center"/>
          </w:tcPr>
          <w:p w14:paraId="055A4F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lang w:val="en-US" w:eastAsia="zh-CN"/>
              </w:rPr>
              <w:t>居民</w:t>
            </w:r>
            <w:r>
              <w:rPr>
                <w:rFonts w:hint="eastAsia" w:ascii="宋体" w:hAnsi="宋体" w:eastAsia="宋体" w:cs="宋体"/>
                <w:b w:val="0"/>
                <w:color w:val="auto"/>
                <w:sz w:val="18"/>
                <w:szCs w:val="18"/>
                <w:highlight w:val="none"/>
              </w:rPr>
              <w:t>安检业务服务</w:t>
            </w:r>
          </w:p>
        </w:tc>
        <w:tc>
          <w:tcPr>
            <w:tcW w:w="1848" w:type="dxa"/>
            <w:noWrap w:val="0"/>
            <w:vAlign w:val="center"/>
          </w:tcPr>
          <w:p w14:paraId="0346C70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u w:val="none"/>
                <w:lang w:val="en-US" w:eastAsia="zh-CN"/>
              </w:rPr>
              <w:t>14</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070" w:type="dxa"/>
            <w:vMerge w:val="restart"/>
            <w:noWrap w:val="0"/>
            <w:vAlign w:val="center"/>
          </w:tcPr>
          <w:p w14:paraId="3696605A">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color w:val="auto"/>
                <w:sz w:val="18"/>
                <w:szCs w:val="18"/>
                <w:highlight w:val="none"/>
              </w:rPr>
            </w:pPr>
          </w:p>
        </w:tc>
        <w:tc>
          <w:tcPr>
            <w:tcW w:w="1116" w:type="dxa"/>
            <w:noWrap w:val="0"/>
            <w:vAlign w:val="center"/>
          </w:tcPr>
          <w:p w14:paraId="0883D22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2068" w:type="dxa"/>
            <w:noWrap w:val="0"/>
            <w:vAlign w:val="center"/>
          </w:tcPr>
          <w:p w14:paraId="5FBC999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color w:val="auto"/>
                <w:kern w:val="2"/>
                <w:sz w:val="18"/>
                <w:szCs w:val="18"/>
                <w:highlight w:val="none"/>
                <w:lang w:val="en-US" w:eastAsia="zh-CN" w:bidi="ar-SA"/>
              </w:rPr>
            </w:pPr>
          </w:p>
        </w:tc>
      </w:tr>
      <w:tr w14:paraId="49EE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66" w:type="dxa"/>
            <w:noWrap w:val="0"/>
            <w:vAlign w:val="center"/>
          </w:tcPr>
          <w:p w14:paraId="4C30D8E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2388" w:type="dxa"/>
            <w:gridSpan w:val="2"/>
            <w:noWrap w:val="0"/>
            <w:vAlign w:val="center"/>
          </w:tcPr>
          <w:p w14:paraId="269E84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lang w:val="en-US" w:eastAsia="zh-CN"/>
              </w:rPr>
              <w:t>居民</w:t>
            </w:r>
            <w:r>
              <w:rPr>
                <w:rFonts w:hint="eastAsia" w:ascii="宋体" w:hAnsi="宋体" w:eastAsia="宋体" w:cs="宋体"/>
                <w:b w:val="0"/>
                <w:color w:val="auto"/>
                <w:sz w:val="18"/>
                <w:szCs w:val="18"/>
                <w:highlight w:val="none"/>
              </w:rPr>
              <w:t>通气业务服务</w:t>
            </w:r>
          </w:p>
        </w:tc>
        <w:tc>
          <w:tcPr>
            <w:tcW w:w="1848" w:type="dxa"/>
            <w:noWrap w:val="0"/>
            <w:vAlign w:val="center"/>
          </w:tcPr>
          <w:p w14:paraId="598C1D7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u w:val="none"/>
                <w:lang w:val="en-US" w:eastAsia="zh-CN"/>
              </w:rPr>
              <w:t>36</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070" w:type="dxa"/>
            <w:vMerge w:val="continue"/>
            <w:noWrap w:val="0"/>
            <w:vAlign w:val="center"/>
          </w:tcPr>
          <w:p w14:paraId="0AE6DCE4">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color w:val="auto"/>
                <w:sz w:val="18"/>
                <w:szCs w:val="18"/>
                <w:highlight w:val="none"/>
              </w:rPr>
            </w:pPr>
          </w:p>
        </w:tc>
        <w:tc>
          <w:tcPr>
            <w:tcW w:w="1116" w:type="dxa"/>
            <w:noWrap w:val="0"/>
            <w:vAlign w:val="center"/>
          </w:tcPr>
          <w:p w14:paraId="1BEE483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2068" w:type="dxa"/>
            <w:noWrap w:val="0"/>
            <w:vAlign w:val="center"/>
          </w:tcPr>
          <w:p w14:paraId="4717B516">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color w:val="auto"/>
                <w:sz w:val="18"/>
                <w:szCs w:val="18"/>
                <w:highlight w:val="none"/>
                <w:lang w:val="zh-CN"/>
              </w:rPr>
            </w:pPr>
          </w:p>
        </w:tc>
      </w:tr>
      <w:tr w14:paraId="768F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vMerge w:val="restart"/>
            <w:noWrap w:val="0"/>
            <w:vAlign w:val="center"/>
          </w:tcPr>
          <w:p w14:paraId="1DFA084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600" w:type="dxa"/>
            <w:vMerge w:val="restart"/>
            <w:noWrap w:val="0"/>
            <w:vAlign w:val="center"/>
          </w:tcPr>
          <w:p w14:paraId="0F60DF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lang w:val="en-US" w:eastAsia="zh-CN"/>
              </w:rPr>
              <w:t>居民</w:t>
            </w:r>
            <w:r>
              <w:rPr>
                <w:rFonts w:hint="eastAsia" w:ascii="宋体" w:hAnsi="宋体" w:eastAsia="宋体" w:cs="宋体"/>
                <w:b w:val="0"/>
                <w:color w:val="auto"/>
                <w:sz w:val="18"/>
                <w:szCs w:val="18"/>
                <w:highlight w:val="none"/>
              </w:rPr>
              <w:t>抄表业务服务</w:t>
            </w:r>
          </w:p>
        </w:tc>
        <w:tc>
          <w:tcPr>
            <w:tcW w:w="1788" w:type="dxa"/>
            <w:noWrap w:val="0"/>
            <w:vAlign w:val="center"/>
          </w:tcPr>
          <w:p w14:paraId="398BFB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lang w:val="en-US" w:eastAsia="zh-CN"/>
              </w:rPr>
              <w:t>普通表</w:t>
            </w:r>
          </w:p>
        </w:tc>
        <w:tc>
          <w:tcPr>
            <w:tcW w:w="1848" w:type="dxa"/>
            <w:noWrap w:val="0"/>
            <w:vAlign w:val="center"/>
          </w:tcPr>
          <w:p w14:paraId="07A6926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u w:val="none"/>
                <w:lang w:val="en-US" w:eastAsia="zh-CN"/>
              </w:rPr>
              <w:t>1.77</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070" w:type="dxa"/>
            <w:vMerge w:val="continue"/>
            <w:noWrap w:val="0"/>
            <w:vAlign w:val="center"/>
          </w:tcPr>
          <w:p w14:paraId="147AADB0">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color w:val="auto"/>
                <w:sz w:val="18"/>
                <w:szCs w:val="18"/>
                <w:highlight w:val="none"/>
              </w:rPr>
            </w:pPr>
          </w:p>
        </w:tc>
        <w:tc>
          <w:tcPr>
            <w:tcW w:w="1116" w:type="dxa"/>
            <w:noWrap w:val="0"/>
            <w:vAlign w:val="center"/>
          </w:tcPr>
          <w:p w14:paraId="5A6EAEF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2068" w:type="dxa"/>
            <w:noWrap w:val="0"/>
            <w:vAlign w:val="center"/>
          </w:tcPr>
          <w:p w14:paraId="3C723A2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r>
      <w:tr w14:paraId="7B33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vMerge w:val="continue"/>
            <w:noWrap w:val="0"/>
            <w:vAlign w:val="center"/>
          </w:tcPr>
          <w:p w14:paraId="4E89CAF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600" w:type="dxa"/>
            <w:vMerge w:val="continue"/>
            <w:noWrap w:val="0"/>
            <w:vAlign w:val="center"/>
          </w:tcPr>
          <w:p w14:paraId="572D1AC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p>
        </w:tc>
        <w:tc>
          <w:tcPr>
            <w:tcW w:w="1788" w:type="dxa"/>
            <w:noWrap w:val="0"/>
            <w:vAlign w:val="center"/>
          </w:tcPr>
          <w:p w14:paraId="3A0422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物联网表、恒芯远传表、微信自助抄表</w:t>
            </w:r>
          </w:p>
        </w:tc>
        <w:tc>
          <w:tcPr>
            <w:tcW w:w="1848" w:type="dxa"/>
            <w:noWrap w:val="0"/>
            <w:vAlign w:val="center"/>
          </w:tcPr>
          <w:p w14:paraId="17F774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u w:val="none"/>
                <w:lang w:val="en-US" w:eastAsia="zh-CN"/>
              </w:rPr>
              <w:t>0.46</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070" w:type="dxa"/>
            <w:vMerge w:val="continue"/>
            <w:noWrap w:val="0"/>
            <w:vAlign w:val="center"/>
          </w:tcPr>
          <w:p w14:paraId="34CC3FC9">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color w:val="auto"/>
                <w:sz w:val="18"/>
                <w:szCs w:val="18"/>
                <w:highlight w:val="none"/>
              </w:rPr>
            </w:pPr>
          </w:p>
        </w:tc>
        <w:tc>
          <w:tcPr>
            <w:tcW w:w="1116" w:type="dxa"/>
            <w:noWrap w:val="0"/>
            <w:vAlign w:val="center"/>
          </w:tcPr>
          <w:p w14:paraId="2E7E654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2068" w:type="dxa"/>
            <w:noWrap w:val="0"/>
            <w:vAlign w:val="center"/>
          </w:tcPr>
          <w:p w14:paraId="0C061E6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r>
      <w:tr w14:paraId="5541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noWrap w:val="0"/>
            <w:vAlign w:val="center"/>
          </w:tcPr>
          <w:p w14:paraId="30B1F4E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2388" w:type="dxa"/>
            <w:gridSpan w:val="2"/>
            <w:noWrap w:val="0"/>
            <w:vAlign w:val="center"/>
          </w:tcPr>
          <w:p w14:paraId="78D2495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lang w:val="en-US" w:eastAsia="zh-CN"/>
              </w:rPr>
              <w:t>非居民</w:t>
            </w:r>
            <w:r>
              <w:rPr>
                <w:rFonts w:hint="eastAsia" w:ascii="宋体" w:hAnsi="宋体" w:eastAsia="宋体" w:cs="宋体"/>
                <w:b w:val="0"/>
                <w:color w:val="auto"/>
                <w:sz w:val="18"/>
                <w:szCs w:val="18"/>
                <w:highlight w:val="none"/>
              </w:rPr>
              <w:t>安检业务服务</w:t>
            </w:r>
          </w:p>
        </w:tc>
        <w:tc>
          <w:tcPr>
            <w:tcW w:w="1848" w:type="dxa"/>
            <w:noWrap w:val="0"/>
            <w:vAlign w:val="center"/>
          </w:tcPr>
          <w:p w14:paraId="37204AB8">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u w:val="single"/>
                <w:lang w:val="en-US" w:eastAsia="zh-CN"/>
              </w:rPr>
            </w:pPr>
            <w:r>
              <w:rPr>
                <w:rFonts w:hint="eastAsia" w:ascii="宋体" w:hAnsi="宋体" w:eastAsia="宋体" w:cs="宋体"/>
                <w:b w:val="0"/>
                <w:color w:val="auto"/>
                <w:sz w:val="18"/>
                <w:szCs w:val="18"/>
                <w:highlight w:val="none"/>
                <w:u w:val="none"/>
                <w:lang w:val="en-US" w:eastAsia="zh-CN"/>
              </w:rPr>
              <w:t>120</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070" w:type="dxa"/>
            <w:noWrap w:val="0"/>
            <w:vAlign w:val="center"/>
          </w:tcPr>
          <w:p w14:paraId="0814D170">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color w:val="auto"/>
                <w:sz w:val="18"/>
                <w:szCs w:val="18"/>
                <w:highlight w:val="none"/>
              </w:rPr>
            </w:pPr>
          </w:p>
        </w:tc>
        <w:tc>
          <w:tcPr>
            <w:tcW w:w="1116" w:type="dxa"/>
            <w:noWrap w:val="0"/>
            <w:vAlign w:val="center"/>
          </w:tcPr>
          <w:p w14:paraId="3830945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2068" w:type="dxa"/>
            <w:noWrap w:val="0"/>
            <w:vAlign w:val="center"/>
          </w:tcPr>
          <w:p w14:paraId="1313BC9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r>
      <w:tr w14:paraId="379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blHeader/>
          <w:jc w:val="center"/>
        </w:trPr>
        <w:tc>
          <w:tcPr>
            <w:tcW w:w="466" w:type="dxa"/>
            <w:noWrap w:val="0"/>
            <w:vAlign w:val="center"/>
          </w:tcPr>
          <w:p w14:paraId="3803099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2388" w:type="dxa"/>
            <w:gridSpan w:val="2"/>
            <w:noWrap w:val="0"/>
            <w:vAlign w:val="center"/>
          </w:tcPr>
          <w:p w14:paraId="1D969C5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highlight w:val="none"/>
              </w:rPr>
            </w:pPr>
            <w:r>
              <w:rPr>
                <w:rFonts w:hint="eastAsia" w:ascii="宋体" w:hAnsi="宋体" w:eastAsia="宋体" w:cs="宋体"/>
                <w:b w:val="0"/>
                <w:color w:val="auto"/>
                <w:sz w:val="18"/>
                <w:szCs w:val="18"/>
                <w:highlight w:val="none"/>
                <w:lang w:val="en-US" w:eastAsia="zh-CN"/>
              </w:rPr>
              <w:t>非居民</w:t>
            </w:r>
            <w:r>
              <w:rPr>
                <w:rFonts w:hint="eastAsia" w:ascii="宋体" w:hAnsi="宋体" w:eastAsia="宋体" w:cs="宋体"/>
                <w:b w:val="0"/>
                <w:color w:val="auto"/>
                <w:sz w:val="18"/>
                <w:szCs w:val="18"/>
                <w:highlight w:val="none"/>
              </w:rPr>
              <w:t>抄表业务服务</w:t>
            </w:r>
          </w:p>
        </w:tc>
        <w:tc>
          <w:tcPr>
            <w:tcW w:w="1848" w:type="dxa"/>
            <w:noWrap w:val="0"/>
            <w:vAlign w:val="center"/>
          </w:tcPr>
          <w:p w14:paraId="256C838E">
            <w:pPr>
              <w:keepNext w:val="0"/>
              <w:keepLines w:val="0"/>
              <w:widowControl/>
              <w:suppressLineNumbers w:val="0"/>
              <w:spacing w:before="0" w:beforeAutospacing="0" w:after="0" w:afterAutospacing="0"/>
              <w:ind w:left="0" w:right="0"/>
              <w:jc w:val="center"/>
              <w:rPr>
                <w:rFonts w:hint="eastAsia" w:ascii="宋体" w:hAnsi="宋体" w:eastAsia="宋体" w:cs="宋体"/>
                <w:b w:val="0"/>
                <w:color w:val="auto"/>
                <w:sz w:val="18"/>
                <w:szCs w:val="18"/>
                <w:highlight w:val="none"/>
                <w:u w:val="single"/>
                <w:lang w:val="en-US" w:eastAsia="zh-CN"/>
              </w:rPr>
            </w:pPr>
            <w:r>
              <w:rPr>
                <w:rFonts w:hint="eastAsia" w:ascii="宋体" w:hAnsi="宋体" w:eastAsia="宋体" w:cs="宋体"/>
                <w:b w:val="0"/>
                <w:color w:val="auto"/>
                <w:sz w:val="18"/>
                <w:szCs w:val="18"/>
                <w:highlight w:val="none"/>
                <w:u w:val="none"/>
                <w:lang w:val="en-US" w:eastAsia="zh-CN"/>
              </w:rPr>
              <w:t>16</w:t>
            </w:r>
            <w:r>
              <w:rPr>
                <w:rFonts w:hint="eastAsia" w:ascii="宋体" w:hAnsi="宋体" w:eastAsia="宋体" w:cs="宋体"/>
                <w:b w:val="0"/>
                <w:color w:val="auto"/>
                <w:sz w:val="18"/>
                <w:szCs w:val="18"/>
                <w:highlight w:val="none"/>
                <w:u w:val="none"/>
              </w:rPr>
              <w:t>（元/</w:t>
            </w:r>
            <w:r>
              <w:rPr>
                <w:rFonts w:hint="eastAsia" w:ascii="宋体" w:hAnsi="宋体" w:eastAsia="宋体" w:cs="宋体"/>
                <w:b w:val="0"/>
                <w:color w:val="auto"/>
                <w:sz w:val="18"/>
                <w:szCs w:val="18"/>
                <w:highlight w:val="none"/>
                <w:u w:val="none"/>
                <w:lang w:val="en-US" w:eastAsia="zh-CN"/>
              </w:rPr>
              <w:t>户·次</w:t>
            </w:r>
            <w:r>
              <w:rPr>
                <w:rFonts w:hint="eastAsia" w:ascii="宋体" w:hAnsi="宋体" w:eastAsia="宋体" w:cs="宋体"/>
                <w:b w:val="0"/>
                <w:color w:val="auto"/>
                <w:sz w:val="18"/>
                <w:szCs w:val="18"/>
                <w:highlight w:val="none"/>
                <w:u w:val="none"/>
              </w:rPr>
              <w:t>）</w:t>
            </w:r>
          </w:p>
        </w:tc>
        <w:tc>
          <w:tcPr>
            <w:tcW w:w="1070" w:type="dxa"/>
            <w:noWrap w:val="0"/>
            <w:vAlign w:val="center"/>
          </w:tcPr>
          <w:p w14:paraId="6EB00BFD">
            <w:pPr>
              <w:pStyle w:val="159"/>
              <w:keepNext w:val="0"/>
              <w:keepLines w:val="0"/>
              <w:suppressLineNumbers w:val="0"/>
              <w:spacing w:before="0" w:beforeAutospacing="0" w:after="0" w:afterAutospacing="0"/>
              <w:ind w:left="0" w:right="0" w:firstLine="52" w:firstLineChars="0"/>
              <w:jc w:val="center"/>
              <w:rPr>
                <w:rFonts w:hint="eastAsia" w:ascii="宋体" w:hAnsi="宋体" w:eastAsia="宋体" w:cs="宋体"/>
                <w:color w:val="auto"/>
                <w:sz w:val="18"/>
                <w:szCs w:val="18"/>
                <w:highlight w:val="none"/>
              </w:rPr>
            </w:pPr>
          </w:p>
        </w:tc>
        <w:tc>
          <w:tcPr>
            <w:tcW w:w="1116" w:type="dxa"/>
            <w:noWrap w:val="0"/>
            <w:vAlign w:val="center"/>
          </w:tcPr>
          <w:p w14:paraId="0A4AAE0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c>
          <w:tcPr>
            <w:tcW w:w="2068" w:type="dxa"/>
            <w:noWrap w:val="0"/>
            <w:vAlign w:val="center"/>
          </w:tcPr>
          <w:p w14:paraId="686BF29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18"/>
                <w:szCs w:val="18"/>
                <w:highlight w:val="none"/>
              </w:rPr>
            </w:pPr>
          </w:p>
        </w:tc>
      </w:tr>
      <w:tr w14:paraId="2D45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8956" w:type="dxa"/>
            <w:gridSpan w:val="7"/>
            <w:noWrap w:val="0"/>
            <w:vAlign w:val="center"/>
          </w:tcPr>
          <w:p w14:paraId="3912E5F2">
            <w:pPr>
              <w:keepNext w:val="0"/>
              <w:keepLines w:val="0"/>
              <w:suppressLineNumbers w:val="0"/>
              <w:adjustRightInd w:val="0"/>
              <w:snapToGrid w:val="0"/>
              <w:spacing w:before="0" w:beforeAutospacing="0" w:after="0" w:afterAutospacing="0"/>
              <w:ind w:left="0" w:right="0"/>
              <w:jc w:val="both"/>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注：</w:t>
            </w:r>
          </w:p>
          <w:p w14:paraId="4DE26BCE">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w:t>
            </w:r>
            <w:r>
              <w:rPr>
                <w:rFonts w:hint="eastAsia" w:ascii="宋体" w:hAnsi="宋体" w:eastAsia="宋体" w:cs="宋体"/>
                <w:b/>
                <w:bCs/>
                <w:color w:val="auto"/>
                <w:sz w:val="18"/>
                <w:szCs w:val="18"/>
                <w:highlight w:val="none"/>
              </w:rPr>
              <w:t>某类服务项目的综合单价 = 中标折扣系数 × 该类服务项目最高限价</w:t>
            </w:r>
            <w:r>
              <w:rPr>
                <w:rFonts w:hint="eastAsia" w:ascii="宋体" w:hAnsi="宋体" w:eastAsia="宋体" w:cs="宋体"/>
                <w:b/>
                <w:bCs/>
                <w:color w:val="auto"/>
                <w:sz w:val="18"/>
                <w:szCs w:val="18"/>
                <w:highlight w:val="none"/>
                <w:lang w:eastAsia="zh-CN"/>
              </w:rPr>
              <w:t>；</w:t>
            </w:r>
          </w:p>
          <w:p w14:paraId="447F7EBF">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2）中标折扣系数按照采购文件附件五“中标折扣系数承诺函”规定执行，并在中标入围通知书中明确。</w:t>
            </w:r>
          </w:p>
          <w:p w14:paraId="7387FF40">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3）本合同采用固定综合单价合同，结算以实际服务量进行结算。</w:t>
            </w:r>
          </w:p>
          <w:p w14:paraId="0C88971D">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4）甲方中标折扣系数，以及本项目实际合同价计算方法均在合同规定的期限内保持不变，结算以实际项目发生量进行结算。</w:t>
            </w:r>
          </w:p>
          <w:p w14:paraId="38F93ADD">
            <w:pPr>
              <w:keepNext w:val="0"/>
              <w:keepLines w:val="0"/>
              <w:suppressLineNumbers w:val="0"/>
              <w:adjustRightInd w:val="0"/>
              <w:snapToGrid w:val="0"/>
              <w:spacing w:before="0" w:beforeAutospacing="0" w:after="0" w:afterAutospacing="0"/>
              <w:ind w:left="0" w:right="0" w:firstLine="361" w:firstLineChars="200"/>
              <w:jc w:val="both"/>
              <w:rPr>
                <w:rFonts w:hint="eastAsia" w:ascii="宋体" w:hAnsi="宋体" w:eastAsia="宋体" w:cs="宋体"/>
                <w:b/>
                <w:color w:val="auto"/>
                <w:sz w:val="18"/>
                <w:szCs w:val="18"/>
                <w:highlight w:val="none"/>
                <w:lang w:val="en-US" w:eastAsia="zh-CN"/>
              </w:rPr>
            </w:pPr>
            <w:r>
              <w:rPr>
                <w:rFonts w:hint="eastAsia" w:ascii="宋体" w:hAnsi="宋体" w:eastAsia="宋体" w:cs="宋体"/>
                <w:b/>
                <w:color w:val="auto"/>
                <w:sz w:val="18"/>
                <w:szCs w:val="18"/>
                <w:highlight w:val="none"/>
                <w:lang w:val="en-US" w:eastAsia="zh-CN"/>
              </w:rPr>
              <w:t>5）其他：按具体合同条款执行。</w:t>
            </w:r>
          </w:p>
        </w:tc>
      </w:tr>
    </w:tbl>
    <w:p w14:paraId="04BF0192">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p>
    <w:p w14:paraId="79169AB5">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）外包业务服务质量要求及监管</w:t>
      </w:r>
    </w:p>
    <w:p w14:paraId="2B79184B">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居民</w:t>
      </w:r>
      <w:r>
        <w:rPr>
          <w:rFonts w:hint="eastAsia" w:ascii="宋体" w:hAnsi="宋体" w:eastAsia="宋体" w:cs="宋体"/>
          <w:color w:val="auto"/>
          <w:kern w:val="2"/>
          <w:sz w:val="21"/>
          <w:szCs w:val="21"/>
          <w:highlight w:val="none"/>
          <w:lang w:eastAsia="zh-CN"/>
        </w:rPr>
        <w:t>抄表、安检、</w:t>
      </w:r>
      <w:r>
        <w:rPr>
          <w:rFonts w:hint="eastAsia" w:ascii="宋体" w:hAnsi="宋体" w:eastAsia="宋体" w:cs="宋体"/>
          <w:color w:val="auto"/>
          <w:kern w:val="2"/>
          <w:sz w:val="21"/>
          <w:szCs w:val="21"/>
          <w:highlight w:val="none"/>
          <w:lang w:val="en-US" w:eastAsia="zh-CN"/>
        </w:rPr>
        <w:t>通气</w:t>
      </w:r>
      <w:r>
        <w:rPr>
          <w:rFonts w:hint="eastAsia" w:ascii="宋体" w:hAnsi="宋体" w:eastAsia="宋体" w:cs="宋体"/>
          <w:color w:val="auto"/>
          <w:sz w:val="21"/>
          <w:szCs w:val="21"/>
          <w:highlight w:val="none"/>
          <w:lang w:val="en-US" w:eastAsia="zh-CN"/>
        </w:rPr>
        <w:t>等业务</w:t>
      </w:r>
      <w:r>
        <w:rPr>
          <w:rFonts w:hint="eastAsia" w:ascii="宋体" w:hAnsi="宋体" w:eastAsia="宋体" w:cs="宋体"/>
          <w:color w:val="auto"/>
          <w:sz w:val="21"/>
          <w:szCs w:val="21"/>
          <w:highlight w:val="none"/>
        </w:rPr>
        <w:t>专门设立外包业务的监督管理</w:t>
      </w:r>
      <w:r>
        <w:rPr>
          <w:rFonts w:hint="eastAsia" w:ascii="宋体" w:hAnsi="宋体" w:eastAsia="宋体" w:cs="宋体"/>
          <w:color w:val="auto"/>
          <w:sz w:val="21"/>
          <w:szCs w:val="21"/>
          <w:highlight w:val="none"/>
          <w:lang w:val="en-US" w:eastAsia="zh-CN"/>
        </w:rPr>
        <w:t>班</w:t>
      </w:r>
      <w:r>
        <w:rPr>
          <w:rFonts w:hint="eastAsia" w:ascii="宋体" w:hAnsi="宋体" w:eastAsia="宋体" w:cs="宋体"/>
          <w:color w:val="auto"/>
          <w:sz w:val="21"/>
          <w:szCs w:val="21"/>
          <w:highlight w:val="none"/>
        </w:rPr>
        <w:t>组，负责外包业务的服务技能培训、检查、考核工作</w:t>
      </w:r>
      <w:r>
        <w:rPr>
          <w:rFonts w:hint="eastAsia" w:ascii="宋体" w:hAnsi="宋体" w:eastAsia="宋体" w:cs="宋体"/>
          <w:color w:val="auto"/>
          <w:sz w:val="21"/>
          <w:szCs w:val="21"/>
          <w:highlight w:val="none"/>
          <w:lang w:eastAsia="zh-CN"/>
        </w:rPr>
        <w:t>。</w:t>
      </w:r>
    </w:p>
    <w:p w14:paraId="2AB3FF25">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2.公司对所有业务制定详细的《</w:t>
      </w:r>
      <w:r>
        <w:rPr>
          <w:rFonts w:hint="eastAsia" w:ascii="宋体" w:hAnsi="宋体" w:eastAsia="宋体" w:cs="宋体"/>
          <w:color w:val="auto"/>
          <w:sz w:val="21"/>
          <w:szCs w:val="21"/>
          <w:highlight w:val="none"/>
          <w:lang w:val="en-US" w:eastAsia="zh-CN"/>
        </w:rPr>
        <w:t>工作职责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rPr>
        <w:t>《考核管理办法》，并作为合同附件予以明确，按月进行考核。</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val="en-US" w:eastAsia="zh-CN"/>
        </w:rPr>
        <w:t>工作职责及</w:t>
      </w:r>
      <w:r>
        <w:rPr>
          <w:rFonts w:hint="eastAsia" w:ascii="宋体" w:hAnsi="宋体" w:eastAsia="宋体" w:cs="宋体"/>
          <w:color w:val="auto"/>
          <w:sz w:val="21"/>
          <w:szCs w:val="21"/>
          <w:highlight w:val="none"/>
        </w:rPr>
        <w:t>考核细则，随工作开展将不断进行完善。</w:t>
      </w:r>
    </w:p>
    <w:p w14:paraId="3F0DBA16">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p>
    <w:p w14:paraId="08F07132">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）对外包单位的</w:t>
      </w:r>
      <w:r>
        <w:rPr>
          <w:rFonts w:hint="eastAsia" w:ascii="宋体" w:hAnsi="宋体" w:eastAsia="宋体" w:cs="宋体"/>
          <w:b/>
          <w:bCs/>
          <w:color w:val="auto"/>
          <w:sz w:val="21"/>
          <w:szCs w:val="21"/>
          <w:highlight w:val="none"/>
          <w:lang w:val="en-US" w:eastAsia="zh-CN"/>
        </w:rPr>
        <w:t>基本</w:t>
      </w:r>
      <w:r>
        <w:rPr>
          <w:rFonts w:hint="eastAsia" w:ascii="宋体" w:hAnsi="宋体" w:eastAsia="宋体" w:cs="宋体"/>
          <w:b/>
          <w:bCs/>
          <w:color w:val="auto"/>
          <w:sz w:val="21"/>
          <w:szCs w:val="21"/>
          <w:highlight w:val="none"/>
        </w:rPr>
        <w:t>要求</w:t>
      </w:r>
    </w:p>
    <w:p w14:paraId="14C643EB">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1、要求外包单位和项目班组人员具备：燃气燃烧器具安装、维修经验，</w:t>
      </w:r>
      <w:r>
        <w:rPr>
          <w:rFonts w:hint="eastAsia" w:ascii="宋体" w:hAnsi="宋体" w:eastAsia="宋体" w:cs="宋体"/>
          <w:color w:val="auto"/>
          <w:sz w:val="21"/>
          <w:szCs w:val="21"/>
          <w:highlight w:val="none"/>
        </w:rPr>
        <w:t>类似承接外包服务的工作业绩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从业人员上岗</w:t>
      </w:r>
      <w:r>
        <w:rPr>
          <w:rFonts w:hint="eastAsia" w:ascii="宋体" w:hAnsi="宋体" w:eastAsia="宋体" w:cs="宋体"/>
          <w:color w:val="auto"/>
          <w:sz w:val="21"/>
          <w:szCs w:val="21"/>
          <w:highlight w:val="none"/>
          <w:lang w:val="en-US" w:eastAsia="zh-CN"/>
        </w:rPr>
        <w:t>证书</w:t>
      </w:r>
      <w:r>
        <w:rPr>
          <w:rFonts w:hint="eastAsia" w:ascii="宋体" w:hAnsi="宋体" w:eastAsia="宋体" w:cs="宋体"/>
          <w:color w:val="auto"/>
          <w:sz w:val="21"/>
          <w:szCs w:val="21"/>
          <w:highlight w:val="none"/>
        </w:rPr>
        <w:t>。</w:t>
      </w:r>
    </w:p>
    <w:p w14:paraId="326D4630">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2、服务单位具有完善的管理制度和方案。</w:t>
      </w:r>
    </w:p>
    <w:p w14:paraId="104BA618">
      <w:pPr>
        <w:keepNext w:val="0"/>
        <w:keepLines w:val="0"/>
        <w:pageBreakBefore w:val="0"/>
        <w:kinsoku/>
        <w:wordWrap/>
        <w:overflowPunct/>
        <w:topLinePunct w:val="0"/>
        <w:bidi w:val="0"/>
        <w:snapToGrid/>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3、未经允许，不得借用甲方名义开展本项目无关的业务。</w:t>
      </w:r>
    </w:p>
    <w:p w14:paraId="2ACD82EB">
      <w:pPr>
        <w:keepNext w:val="0"/>
        <w:keepLines w:val="0"/>
        <w:pageBreakBefore w:val="0"/>
        <w:kinsoku/>
        <w:wordWrap/>
        <w:overflowPunct/>
        <w:topLinePunct w:val="0"/>
        <w:bidi w:val="0"/>
        <w:snapToGrid/>
        <w:ind w:firstLine="0" w:firstLineChars="0"/>
        <w:rPr>
          <w:rFonts w:hint="default" w:ascii="宋体" w:hAnsi="宋体" w:cs="宋体"/>
          <w:b/>
          <w:bCs/>
          <w:color w:val="auto"/>
          <w:sz w:val="21"/>
          <w:szCs w:val="21"/>
          <w:highlight w:val="none"/>
          <w:lang w:val="en-US" w:eastAsia="zh-CN"/>
        </w:rPr>
      </w:pPr>
    </w:p>
    <w:p w14:paraId="44E48B59">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p>
    <w:p w14:paraId="4F92FB4F">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）对外包单位的人员要求</w:t>
      </w:r>
    </w:p>
    <w:p w14:paraId="4656AE86">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rPr>
        <w:t>1.▲拟投入工作组</w:t>
      </w:r>
      <w:r>
        <w:rPr>
          <w:rFonts w:hint="eastAsia" w:ascii="宋体" w:hAnsi="宋体" w:eastAsia="宋体" w:cs="宋体"/>
          <w:b/>
          <w:bCs/>
          <w:color w:val="auto"/>
          <w:sz w:val="21"/>
          <w:szCs w:val="21"/>
          <w:highlight w:val="none"/>
          <w:u w:val="single"/>
          <w:lang w:val="en-US" w:eastAsia="zh-CN"/>
        </w:rPr>
        <w:t>人员总数不少于22人，其中：①</w:t>
      </w:r>
      <w:r>
        <w:rPr>
          <w:rFonts w:hint="eastAsia" w:ascii="宋体" w:hAnsi="宋体" w:eastAsia="宋体" w:cs="宋体"/>
          <w:b/>
          <w:bCs/>
          <w:color w:val="auto"/>
          <w:sz w:val="21"/>
          <w:szCs w:val="21"/>
          <w:highlight w:val="none"/>
          <w:u w:val="single"/>
        </w:rPr>
        <w:t>派驻</w:t>
      </w:r>
      <w:r>
        <w:rPr>
          <w:rFonts w:hint="eastAsia" w:ascii="宋体" w:hAnsi="宋体" w:eastAsia="宋体" w:cs="宋体"/>
          <w:b/>
          <w:bCs/>
          <w:color w:val="auto"/>
          <w:sz w:val="21"/>
          <w:szCs w:val="21"/>
          <w:highlight w:val="none"/>
          <w:u w:val="single"/>
          <w:lang w:val="en-US" w:eastAsia="zh-CN"/>
        </w:rPr>
        <w:t>的</w:t>
      </w:r>
      <w:r>
        <w:rPr>
          <w:rFonts w:hint="eastAsia" w:ascii="宋体" w:hAnsi="宋体" w:eastAsia="宋体" w:cs="宋体"/>
          <w:b/>
          <w:bCs/>
          <w:color w:val="auto"/>
          <w:sz w:val="21"/>
          <w:szCs w:val="21"/>
          <w:highlight w:val="none"/>
          <w:u w:val="single"/>
        </w:rPr>
        <w:t>本项目的管理人员不得少于</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人（年龄要求在20-55岁）</w:t>
      </w:r>
      <w:r>
        <w:rPr>
          <w:rFonts w:hint="eastAsia" w:ascii="宋体" w:hAnsi="宋体" w:eastAsia="宋体" w:cs="宋体"/>
          <w:b/>
          <w:bCs/>
          <w:color w:val="auto"/>
          <w:sz w:val="21"/>
          <w:szCs w:val="21"/>
          <w:highlight w:val="none"/>
          <w:u w:val="single"/>
          <w:lang w:eastAsia="zh-CN"/>
        </w:rPr>
        <w:t>，具备</w:t>
      </w:r>
      <w:r>
        <w:rPr>
          <w:rFonts w:hint="eastAsia" w:ascii="宋体" w:hAnsi="宋体" w:eastAsia="宋体" w:cs="宋体"/>
          <w:b/>
          <w:bCs/>
          <w:color w:val="auto"/>
          <w:sz w:val="21"/>
          <w:szCs w:val="21"/>
          <w:highlight w:val="none"/>
          <w:u w:val="single"/>
          <w:lang w:val="en-US" w:eastAsia="zh-CN"/>
        </w:rPr>
        <w:t>一年以上相关管理工作经验；②其他工作人员不少于20人。</w:t>
      </w:r>
    </w:p>
    <w:p w14:paraId="68434462">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u w:val="none"/>
          <w:lang w:val="en-US" w:eastAsia="zh-CN"/>
        </w:rPr>
      </w:pPr>
      <w:r>
        <w:rPr>
          <w:rFonts w:hint="eastAsia" w:ascii="宋体" w:hAnsi="宋体" w:eastAsia="宋体" w:cs="宋体"/>
          <w:b/>
          <w:bCs/>
          <w:color w:val="auto"/>
          <w:sz w:val="21"/>
          <w:szCs w:val="21"/>
          <w:highlight w:val="none"/>
          <w:u w:val="none"/>
          <w:lang w:val="en-US" w:eastAsia="zh-CN"/>
        </w:rPr>
        <w:t>必须配备安全管理人员，全面负责安全管理、负责与采购人的安全对接工作。</w:t>
      </w:r>
    </w:p>
    <w:p w14:paraId="05541CFD">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none"/>
          <w:lang w:val="en-US" w:eastAsia="zh-CN"/>
        </w:rPr>
        <w:t>所有工作组人员均须</w:t>
      </w:r>
      <w:r>
        <w:rPr>
          <w:rFonts w:hint="eastAsia" w:ascii="宋体" w:hAnsi="宋体" w:eastAsia="宋体" w:cs="宋体"/>
          <w:b/>
          <w:bCs/>
          <w:color w:val="auto"/>
          <w:sz w:val="21"/>
          <w:szCs w:val="21"/>
          <w:highlight w:val="none"/>
          <w:u w:val="none"/>
        </w:rPr>
        <w:t>提供人员劳动合同及本单位缴纳社保证明，从事相应工作的资格证书或工作记录</w:t>
      </w:r>
      <w:r>
        <w:rPr>
          <w:rFonts w:hint="eastAsia" w:ascii="宋体" w:hAnsi="宋体" w:eastAsia="宋体" w:cs="宋体"/>
          <w:b/>
          <w:bCs/>
          <w:color w:val="auto"/>
          <w:sz w:val="21"/>
          <w:szCs w:val="21"/>
          <w:highlight w:val="none"/>
          <w:u w:val="none"/>
          <w:lang w:eastAsia="zh-CN"/>
        </w:rPr>
        <w:t>。</w:t>
      </w:r>
    </w:p>
    <w:p w14:paraId="137E2549">
      <w:pPr>
        <w:keepNext w:val="0"/>
        <w:keepLines w:val="0"/>
        <w:pageBreakBefore w:val="0"/>
        <w:numPr>
          <w:ilvl w:val="-1"/>
          <w:numId w:val="0"/>
        </w:numPr>
        <w:kinsoku/>
        <w:wordWrap/>
        <w:overflowPunct/>
        <w:topLinePunct w:val="0"/>
        <w:bidi w:val="0"/>
        <w:snapToGrid/>
        <w:ind w:left="400" w:firstLine="0" w:firstLineChars="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rPr>
        <w:t>中途人员如有更换需提前通知</w:t>
      </w:r>
      <w:r>
        <w:rPr>
          <w:rFonts w:hint="eastAsia" w:ascii="宋体" w:hAnsi="宋体" w:cs="宋体"/>
          <w:b/>
          <w:bCs/>
          <w:color w:val="auto"/>
          <w:sz w:val="21"/>
          <w:szCs w:val="21"/>
          <w:highlight w:val="none"/>
          <w:u w:val="single"/>
          <w:lang w:val="en-US" w:eastAsia="zh-CN"/>
        </w:rPr>
        <w:t>招标单位</w:t>
      </w:r>
      <w:r>
        <w:rPr>
          <w:rFonts w:hint="eastAsia" w:ascii="宋体" w:hAnsi="宋体" w:eastAsia="宋体" w:cs="宋体"/>
          <w:b/>
          <w:bCs/>
          <w:color w:val="auto"/>
          <w:sz w:val="21"/>
          <w:szCs w:val="21"/>
          <w:highlight w:val="none"/>
          <w:u w:val="single"/>
        </w:rPr>
        <w:t>。</w:t>
      </w:r>
    </w:p>
    <w:p w14:paraId="37D9E9B3">
      <w:pPr>
        <w:keepNext w:val="0"/>
        <w:keepLines w:val="0"/>
        <w:pageBreakBefore w:val="0"/>
        <w:kinsoku/>
        <w:wordWrap/>
        <w:overflowPunct/>
        <w:topLinePunct w:val="0"/>
        <w:bidi w:val="0"/>
        <w:snapToGrid/>
        <w:ind w:firstLine="422" w:firstLineChars="200"/>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Cs w:val="21"/>
          <w:highlight w:val="none"/>
          <w:u w:val="single"/>
        </w:rPr>
        <w:t>3.安检、通气工作人员须持有燃气行业主管部门或其认可的行业协会颁发的考核合格证书或证明材料</w:t>
      </w:r>
    </w:p>
    <w:p w14:paraId="10E15501">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七</w:t>
      </w:r>
      <w:r>
        <w:rPr>
          <w:rFonts w:hint="eastAsia" w:ascii="宋体" w:hAnsi="宋体" w:eastAsia="宋体" w:cs="宋体"/>
          <w:b/>
          <w:bCs/>
          <w:color w:val="auto"/>
          <w:sz w:val="21"/>
          <w:szCs w:val="21"/>
          <w:highlight w:val="none"/>
          <w:u w:val="single"/>
        </w:rPr>
        <w:t>）业务结算时间与考核方式</w:t>
      </w:r>
    </w:p>
    <w:p w14:paraId="289B57F5">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季度</w:t>
      </w:r>
      <w:r>
        <w:rPr>
          <w:rFonts w:hint="eastAsia" w:ascii="宋体" w:hAnsi="宋体" w:eastAsia="宋体" w:cs="宋体"/>
          <w:color w:val="auto"/>
          <w:sz w:val="21"/>
          <w:szCs w:val="21"/>
          <w:highlight w:val="none"/>
        </w:rPr>
        <w:t>根据各项业务实际发生量经双方核对后予以开票结算。结算前，中标单位需根据</w:t>
      </w:r>
      <w:r>
        <w:rPr>
          <w:rFonts w:hint="eastAsia" w:ascii="宋体" w:hAnsi="宋体" w:cs="宋体"/>
          <w:color w:val="auto"/>
          <w:sz w:val="21"/>
          <w:szCs w:val="21"/>
          <w:highlight w:val="none"/>
          <w:lang w:val="en-US" w:eastAsia="zh-CN"/>
        </w:rPr>
        <w:t>招标单位</w:t>
      </w:r>
      <w:r>
        <w:rPr>
          <w:rFonts w:hint="eastAsia" w:ascii="宋体" w:hAnsi="宋体" w:eastAsia="宋体" w:cs="宋体"/>
          <w:color w:val="auto"/>
          <w:sz w:val="21"/>
          <w:szCs w:val="21"/>
          <w:highlight w:val="none"/>
          <w:lang w:val="en-US" w:eastAsia="zh-CN"/>
        </w:rPr>
        <w:t>每月</w:t>
      </w:r>
      <w:r>
        <w:rPr>
          <w:rFonts w:hint="eastAsia" w:ascii="宋体" w:hAnsi="宋体" w:eastAsia="宋体" w:cs="宋体"/>
          <w:color w:val="auto"/>
          <w:sz w:val="21"/>
          <w:szCs w:val="21"/>
          <w:highlight w:val="none"/>
        </w:rPr>
        <w:t>考核情况结清处罚金额。</w:t>
      </w:r>
    </w:p>
    <w:p w14:paraId="541282E9">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p>
    <w:p w14:paraId="0219D1BE">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）安全责任</w:t>
      </w:r>
    </w:p>
    <w:p w14:paraId="64782EA9">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1.业务服务的工作人员安全由中标单位全权负责；</w:t>
      </w:r>
    </w:p>
    <w:p w14:paraId="64319965">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2.业务安全责任，根据合同安全条款双方</w:t>
      </w:r>
      <w:r>
        <w:rPr>
          <w:rFonts w:hint="eastAsia" w:ascii="宋体" w:hAnsi="宋体" w:eastAsia="宋体" w:cs="宋体"/>
          <w:color w:val="auto"/>
          <w:sz w:val="21"/>
          <w:szCs w:val="21"/>
          <w:highlight w:val="none"/>
          <w:lang w:eastAsia="zh-CN"/>
        </w:rPr>
        <w:t>承担</w:t>
      </w:r>
      <w:r>
        <w:rPr>
          <w:rFonts w:hint="eastAsia" w:ascii="宋体" w:hAnsi="宋体" w:eastAsia="宋体" w:cs="宋体"/>
          <w:color w:val="auto"/>
          <w:sz w:val="21"/>
          <w:szCs w:val="21"/>
          <w:highlight w:val="none"/>
        </w:rPr>
        <w:t>相应的责任；</w:t>
      </w:r>
    </w:p>
    <w:p w14:paraId="44C6F7AB">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以上安全责任条款，中标后在合同中予以详细表述。</w:t>
      </w:r>
    </w:p>
    <w:p w14:paraId="41F1CEF8">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p>
    <w:p w14:paraId="2A6D5EA3">
      <w:pPr>
        <w:keepNext w:val="0"/>
        <w:keepLines w:val="0"/>
        <w:pageBreakBefore w:val="0"/>
        <w:kinsoku/>
        <w:wordWrap/>
        <w:overflowPunct/>
        <w:topLinePunct w:val="0"/>
        <w:bidi w:val="0"/>
        <w:snapToGrid/>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）客户信息保密责任</w:t>
      </w:r>
    </w:p>
    <w:p w14:paraId="4A9E59A2">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1.中标单位必须对</w:t>
      </w:r>
      <w:r>
        <w:rPr>
          <w:rFonts w:hint="eastAsia" w:ascii="宋体" w:hAnsi="宋体" w:cs="宋体"/>
          <w:color w:val="auto"/>
          <w:sz w:val="21"/>
          <w:szCs w:val="21"/>
          <w:highlight w:val="none"/>
          <w:lang w:val="en-US" w:eastAsia="zh-CN"/>
        </w:rPr>
        <w:t>招标单位</w:t>
      </w:r>
      <w:r>
        <w:rPr>
          <w:rFonts w:hint="eastAsia" w:ascii="宋体" w:hAnsi="宋体" w:eastAsia="宋体" w:cs="宋体"/>
          <w:color w:val="auto"/>
          <w:sz w:val="21"/>
          <w:szCs w:val="21"/>
          <w:highlight w:val="none"/>
        </w:rPr>
        <w:t>的客户资料进行保护和保密，不得出现丢失、损坏、泄露等情况，不得用</w:t>
      </w:r>
      <w:r>
        <w:rPr>
          <w:rFonts w:hint="eastAsia" w:ascii="宋体" w:hAnsi="宋体" w:eastAsia="宋体" w:cs="宋体"/>
          <w:color w:val="auto"/>
          <w:sz w:val="21"/>
          <w:szCs w:val="21"/>
          <w:highlight w:val="none"/>
          <w:lang w:eastAsia="zh-CN"/>
        </w:rPr>
        <w:t>作</w:t>
      </w:r>
      <w:r>
        <w:rPr>
          <w:rFonts w:hint="eastAsia" w:ascii="宋体" w:hAnsi="宋体" w:eastAsia="宋体" w:cs="宋体"/>
          <w:color w:val="auto"/>
          <w:sz w:val="21"/>
          <w:szCs w:val="21"/>
          <w:highlight w:val="none"/>
        </w:rPr>
        <w:t>合同业务规定范围以外</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任何用途。</w:t>
      </w:r>
    </w:p>
    <w:p w14:paraId="79456ACA">
      <w:pPr>
        <w:keepNext w:val="0"/>
        <w:keepLines w:val="0"/>
        <w:pageBreakBefore w:val="0"/>
        <w:kinsoku/>
        <w:wordWrap/>
        <w:overflowPunct/>
        <w:topLinePunct w:val="0"/>
        <w:bidi w:val="0"/>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2.如因中标单位原因出现公司的客户资料丢失、损坏、泄露等情况，或</w:t>
      </w:r>
      <w:r>
        <w:rPr>
          <w:rFonts w:hint="eastAsia" w:ascii="宋体" w:hAnsi="宋体" w:eastAsia="宋体" w:cs="宋体"/>
          <w:color w:val="auto"/>
          <w:sz w:val="21"/>
          <w:szCs w:val="21"/>
          <w:highlight w:val="none"/>
          <w:lang w:eastAsia="zh-CN"/>
        </w:rPr>
        <w:t>用作</w:t>
      </w:r>
      <w:r>
        <w:rPr>
          <w:rFonts w:hint="eastAsia" w:ascii="宋体" w:hAnsi="宋体" w:eastAsia="宋体" w:cs="宋体"/>
          <w:color w:val="auto"/>
          <w:sz w:val="21"/>
          <w:szCs w:val="21"/>
          <w:highlight w:val="none"/>
        </w:rPr>
        <w:t>合同业务规定范围以外</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任何用途，中标单位须承担由此对</w:t>
      </w:r>
      <w:r>
        <w:rPr>
          <w:rFonts w:hint="eastAsia" w:ascii="宋体" w:hAnsi="宋体" w:cs="宋体"/>
          <w:color w:val="auto"/>
          <w:sz w:val="21"/>
          <w:szCs w:val="21"/>
          <w:highlight w:val="none"/>
          <w:lang w:val="en-US" w:eastAsia="zh-CN"/>
        </w:rPr>
        <w:t>招标单位</w:t>
      </w:r>
      <w:r>
        <w:rPr>
          <w:rFonts w:hint="eastAsia" w:ascii="宋体" w:hAnsi="宋体" w:eastAsia="宋体" w:cs="宋体"/>
          <w:color w:val="auto"/>
          <w:sz w:val="21"/>
          <w:szCs w:val="21"/>
          <w:highlight w:val="none"/>
        </w:rPr>
        <w:t>造成的一切损失。（此条</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后仍然有效）</w:t>
      </w:r>
    </w:p>
    <w:p w14:paraId="5662F42A">
      <w:pPr>
        <w:pStyle w:val="12"/>
        <w:spacing w:after="0" w:line="24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以上保密责任条款，中标后在合同中予以详细表述。</w:t>
      </w:r>
    </w:p>
    <w:p w14:paraId="4AC84AF6">
      <w:pPr>
        <w:pStyle w:val="13"/>
        <w:rPr>
          <w:rFonts w:hint="eastAsia" w:ascii="宋体" w:hAnsi="宋体" w:eastAsia="宋体" w:cs="宋体"/>
          <w:color w:val="auto"/>
          <w:highlight w:val="none"/>
          <w:lang w:val="en-US" w:eastAsia="zh-CN"/>
        </w:rPr>
      </w:pPr>
    </w:p>
    <w:p w14:paraId="2E553571">
      <w:pPr>
        <w:pStyle w:val="12"/>
        <w:spacing w:after="0" w:line="24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（十）付款方式：详见合同条款。</w:t>
      </w:r>
    </w:p>
    <w:p w14:paraId="79AAF317">
      <w:pPr>
        <w:pStyle w:val="12"/>
        <w:spacing w:after="0" w:line="240" w:lineRule="auto"/>
        <w:ind w:firstLine="420" w:firstLineChars="200"/>
        <w:rPr>
          <w:rFonts w:hint="eastAsia" w:ascii="宋体" w:hAnsi="宋体" w:eastAsia="宋体" w:cs="宋体"/>
          <w:color w:val="auto"/>
          <w:kern w:val="0"/>
          <w:sz w:val="21"/>
          <w:szCs w:val="21"/>
          <w:highlight w:val="none"/>
          <w:lang w:val="en-US" w:eastAsia="zh-CN"/>
        </w:rPr>
      </w:pPr>
    </w:p>
    <w:p w14:paraId="4AFCE9C2">
      <w:pPr>
        <w:pStyle w:val="12"/>
        <w:spacing w:after="0" w:line="24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三、采购代理服务费</w:t>
      </w:r>
    </w:p>
    <w:p w14:paraId="1B6B0B15">
      <w:pPr>
        <w:pStyle w:val="12"/>
        <w:spacing w:after="0" w:line="240" w:lineRule="auto"/>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如入围供应商为3家的，则</w:t>
      </w:r>
      <w:r>
        <w:rPr>
          <w:rFonts w:hint="eastAsia" w:ascii="宋体" w:hAnsi="宋体" w:eastAsia="宋体" w:cs="宋体"/>
          <w:b w:val="0"/>
          <w:bCs/>
          <w:color w:val="auto"/>
          <w:sz w:val="21"/>
          <w:szCs w:val="21"/>
          <w:highlight w:val="none"/>
          <w:lang w:val="en-US" w:eastAsia="zh-Hans"/>
        </w:rPr>
        <w:t>每位入围</w:t>
      </w:r>
      <w:r>
        <w:rPr>
          <w:rFonts w:hint="eastAsia" w:ascii="宋体" w:hAnsi="宋体" w:eastAsia="宋体" w:cs="宋体"/>
          <w:b w:val="0"/>
          <w:bCs/>
          <w:color w:val="auto"/>
          <w:sz w:val="21"/>
          <w:szCs w:val="21"/>
          <w:highlight w:val="none"/>
        </w:rPr>
        <w:t>中标</w:t>
      </w: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在领取中标通知书</w:t>
      </w:r>
      <w:r>
        <w:rPr>
          <w:rFonts w:hint="eastAsia" w:ascii="宋体" w:hAnsi="宋体" w:eastAsia="宋体" w:cs="宋体"/>
          <w:b w:val="0"/>
          <w:bCs/>
          <w:color w:val="auto"/>
          <w:sz w:val="21"/>
          <w:szCs w:val="21"/>
          <w:highlight w:val="none"/>
          <w:lang w:val="en-US" w:eastAsia="zh-Hans"/>
        </w:rPr>
        <w:t>前</w:t>
      </w:r>
      <w:r>
        <w:rPr>
          <w:rFonts w:hint="eastAsia" w:ascii="宋体" w:hAnsi="宋体" w:eastAsia="宋体" w:cs="宋体"/>
          <w:b w:val="0"/>
          <w:bCs/>
          <w:color w:val="auto"/>
          <w:sz w:val="21"/>
          <w:szCs w:val="21"/>
          <w:highlight w:val="none"/>
          <w:lang w:eastAsia="zh-Hans"/>
        </w:rPr>
        <w:t>，</w:t>
      </w:r>
      <w:r>
        <w:rPr>
          <w:rFonts w:hint="eastAsia" w:ascii="宋体" w:hAnsi="宋体" w:eastAsia="宋体" w:cs="宋体"/>
          <w:b w:val="0"/>
          <w:bCs/>
          <w:color w:val="auto"/>
          <w:sz w:val="21"/>
          <w:szCs w:val="21"/>
          <w:highlight w:val="none"/>
        </w:rPr>
        <w:t>向</w:t>
      </w: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代理机构支付</w:t>
      </w:r>
      <w:r>
        <w:rPr>
          <w:rFonts w:hint="eastAsia" w:ascii="宋体" w:hAnsi="宋体" w:eastAsia="宋体" w:cs="宋体"/>
          <w:b w:val="0"/>
          <w:bCs/>
          <w:color w:val="auto"/>
          <w:sz w:val="21"/>
          <w:szCs w:val="21"/>
          <w:highlight w:val="none"/>
          <w:lang w:eastAsia="zh-CN"/>
        </w:rPr>
        <w:t>人民币</w:t>
      </w:r>
      <w:r>
        <w:rPr>
          <w:rFonts w:hint="eastAsia" w:ascii="宋体" w:hAnsi="宋体" w:eastAsia="宋体" w:cs="宋体"/>
          <w:b w:val="0"/>
          <w:bCs/>
          <w:color w:val="auto"/>
          <w:sz w:val="21"/>
          <w:szCs w:val="21"/>
          <w:highlight w:val="none"/>
          <w:u w:val="single"/>
          <w:lang w:val="en-US" w:eastAsia="zh-CN"/>
        </w:rPr>
        <w:t>￥8300</w:t>
      </w:r>
      <w:r>
        <w:rPr>
          <w:rFonts w:hint="eastAsia" w:ascii="宋体" w:hAnsi="宋体" w:eastAsia="宋体" w:cs="宋体"/>
          <w:b w:val="0"/>
          <w:bCs/>
          <w:color w:val="auto"/>
          <w:sz w:val="21"/>
          <w:szCs w:val="21"/>
          <w:highlight w:val="none"/>
          <w:u w:val="single"/>
        </w:rPr>
        <w:t>元</w:t>
      </w:r>
      <w:r>
        <w:rPr>
          <w:rFonts w:hint="eastAsia" w:ascii="宋体" w:hAnsi="宋体" w:eastAsia="宋体" w:cs="宋体"/>
          <w:b w:val="0"/>
          <w:bCs/>
          <w:color w:val="auto"/>
          <w:sz w:val="21"/>
          <w:szCs w:val="21"/>
          <w:highlight w:val="none"/>
        </w:rPr>
        <w:t>的</w:t>
      </w:r>
      <w:r>
        <w:rPr>
          <w:rFonts w:hint="eastAsia" w:ascii="宋体" w:hAnsi="宋体" w:eastAsia="宋体" w:cs="宋体"/>
          <w:b w:val="0"/>
          <w:bCs/>
          <w:color w:val="auto"/>
          <w:sz w:val="21"/>
          <w:szCs w:val="21"/>
          <w:highlight w:val="none"/>
          <w:lang w:eastAsia="zh-CN"/>
        </w:rPr>
        <w:t>采购</w:t>
      </w:r>
      <w:r>
        <w:rPr>
          <w:rFonts w:hint="eastAsia" w:ascii="宋体" w:hAnsi="宋体" w:eastAsia="宋体" w:cs="宋体"/>
          <w:b w:val="0"/>
          <w:bCs/>
          <w:color w:val="auto"/>
          <w:sz w:val="21"/>
          <w:szCs w:val="21"/>
          <w:highlight w:val="none"/>
        </w:rPr>
        <w:t>代理服务费（注明：投标家数不足</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家，按照总代理费</w:t>
      </w:r>
      <w:r>
        <w:rPr>
          <w:rFonts w:hint="eastAsia" w:ascii="宋体" w:hAnsi="宋体" w:eastAsia="宋体" w:cs="宋体"/>
          <w:b w:val="0"/>
          <w:bCs/>
          <w:color w:val="auto"/>
          <w:sz w:val="21"/>
          <w:szCs w:val="21"/>
          <w:highlight w:val="none"/>
          <w:lang w:val="en-US" w:eastAsia="zh-CN"/>
        </w:rPr>
        <w:t>24900</w:t>
      </w:r>
      <w:r>
        <w:rPr>
          <w:rFonts w:hint="eastAsia" w:ascii="宋体" w:hAnsi="宋体" w:eastAsia="宋体" w:cs="宋体"/>
          <w:b w:val="0"/>
          <w:bCs/>
          <w:color w:val="auto"/>
          <w:sz w:val="21"/>
          <w:szCs w:val="21"/>
          <w:highlight w:val="none"/>
        </w:rPr>
        <w:t>除以实际入围家数均摊）。</w:t>
      </w:r>
    </w:p>
    <w:p w14:paraId="1DD4E641">
      <w:pPr>
        <w:pStyle w:val="12"/>
        <w:spacing w:after="0" w:line="240" w:lineRule="auto"/>
        <w:ind w:firstLine="420" w:firstLineChars="200"/>
        <w:rPr>
          <w:rFonts w:hint="eastAsia" w:ascii="宋体" w:hAnsi="宋体" w:eastAsia="宋体" w:cs="宋体"/>
          <w:color w:val="auto"/>
          <w:kern w:val="0"/>
          <w:sz w:val="21"/>
          <w:szCs w:val="21"/>
          <w:highlight w:val="none"/>
          <w:lang w:val="en-US" w:eastAsia="zh-CN"/>
        </w:rPr>
      </w:pPr>
    </w:p>
    <w:p w14:paraId="418898C8">
      <w:pPr>
        <w:pStyle w:val="12"/>
        <w:spacing w:after="0" w:line="240" w:lineRule="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四、供应商库入围管理</w:t>
      </w:r>
    </w:p>
    <w:p w14:paraId="2AD3D4D0">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CN"/>
        </w:rPr>
        <w:t>（一）</w:t>
      </w:r>
      <w:r>
        <w:rPr>
          <w:rFonts w:hint="eastAsia" w:ascii="宋体" w:hAnsi="宋体" w:eastAsia="宋体" w:cs="宋体"/>
          <w:b w:val="0"/>
          <w:bCs/>
          <w:color w:val="auto"/>
          <w:sz w:val="21"/>
          <w:szCs w:val="21"/>
          <w:highlight w:val="none"/>
          <w:lang w:val="en-US" w:eastAsia="zh-Hans"/>
        </w:rPr>
        <w:t>管理</w:t>
      </w:r>
    </w:p>
    <w:p w14:paraId="03FC71EF">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Hans"/>
        </w:rPr>
        <w:t>采购人</w:t>
      </w:r>
      <w:r>
        <w:rPr>
          <w:rFonts w:hint="eastAsia" w:ascii="宋体" w:hAnsi="宋体" w:eastAsia="宋体" w:cs="宋体"/>
          <w:b w:val="0"/>
          <w:bCs/>
          <w:color w:val="auto"/>
          <w:sz w:val="21"/>
          <w:szCs w:val="21"/>
          <w:highlight w:val="none"/>
          <w:lang w:val="en-US" w:eastAsia="zh-CN"/>
        </w:rPr>
        <w:t>依照采购文件及其合同相关规定</w:t>
      </w:r>
      <w:r>
        <w:rPr>
          <w:rFonts w:hint="eastAsia" w:ascii="宋体" w:hAnsi="宋体" w:eastAsia="宋体" w:cs="宋体"/>
          <w:b w:val="0"/>
          <w:bCs/>
          <w:color w:val="auto"/>
          <w:sz w:val="21"/>
          <w:szCs w:val="21"/>
          <w:highlight w:val="none"/>
          <w:lang w:val="en-US" w:eastAsia="zh-Hans"/>
        </w:rPr>
        <w:t>对供应商前期服务情况进行考核，</w:t>
      </w:r>
      <w:r>
        <w:rPr>
          <w:rFonts w:hint="eastAsia" w:ascii="宋体" w:hAnsi="宋体" w:eastAsia="宋体" w:cs="宋体"/>
          <w:b w:val="0"/>
          <w:bCs/>
          <w:color w:val="auto"/>
          <w:sz w:val="21"/>
          <w:szCs w:val="21"/>
          <w:highlight w:val="none"/>
          <w:lang w:val="en-US" w:eastAsia="zh-CN"/>
        </w:rPr>
        <w:t>按相关规定对入围供应商进行奖惩</w:t>
      </w:r>
      <w:r>
        <w:rPr>
          <w:rFonts w:hint="eastAsia" w:ascii="宋体" w:hAnsi="宋体" w:eastAsia="宋体" w:cs="宋体"/>
          <w:b w:val="0"/>
          <w:bCs/>
          <w:color w:val="auto"/>
          <w:sz w:val="21"/>
          <w:szCs w:val="21"/>
          <w:highlight w:val="none"/>
          <w:lang w:val="en-US" w:eastAsia="zh-Hans"/>
        </w:rPr>
        <w:t>，</w:t>
      </w:r>
      <w:r>
        <w:rPr>
          <w:rFonts w:hint="eastAsia" w:ascii="宋体" w:hAnsi="宋体" w:eastAsia="宋体" w:cs="宋体"/>
          <w:b w:val="0"/>
          <w:bCs/>
          <w:color w:val="auto"/>
          <w:sz w:val="21"/>
          <w:szCs w:val="21"/>
          <w:highlight w:val="none"/>
          <w:lang w:val="en-US" w:eastAsia="zh-CN"/>
        </w:rPr>
        <w:t>按规定采取减少、暂停或者</w:t>
      </w:r>
      <w:r>
        <w:rPr>
          <w:rFonts w:hint="eastAsia" w:ascii="宋体" w:hAnsi="宋体" w:eastAsia="宋体" w:cs="宋体"/>
          <w:b w:val="0"/>
          <w:bCs/>
          <w:color w:val="auto"/>
          <w:sz w:val="21"/>
          <w:szCs w:val="21"/>
          <w:highlight w:val="none"/>
          <w:lang w:val="en-US" w:eastAsia="zh-Hans"/>
        </w:rPr>
        <w:t>取消</w:t>
      </w:r>
      <w:r>
        <w:rPr>
          <w:rFonts w:hint="eastAsia" w:ascii="宋体" w:hAnsi="宋体" w:eastAsia="宋体" w:cs="宋体"/>
          <w:b w:val="0"/>
          <w:bCs/>
          <w:color w:val="auto"/>
          <w:sz w:val="21"/>
          <w:szCs w:val="21"/>
          <w:highlight w:val="none"/>
          <w:lang w:val="en-US" w:eastAsia="zh-CN"/>
        </w:rPr>
        <w:t>相关</w:t>
      </w:r>
      <w:r>
        <w:rPr>
          <w:rFonts w:hint="eastAsia" w:ascii="宋体" w:hAnsi="宋体" w:eastAsia="宋体" w:cs="宋体"/>
          <w:b w:val="0"/>
          <w:bCs/>
          <w:color w:val="auto"/>
          <w:sz w:val="21"/>
          <w:szCs w:val="21"/>
          <w:highlight w:val="none"/>
          <w:lang w:val="en-US" w:eastAsia="zh-Hans"/>
        </w:rPr>
        <w:t>供应商后续</w:t>
      </w:r>
      <w:r>
        <w:rPr>
          <w:rFonts w:hint="eastAsia" w:ascii="宋体" w:hAnsi="宋体" w:eastAsia="宋体" w:cs="宋体"/>
          <w:b w:val="0"/>
          <w:bCs/>
          <w:color w:val="auto"/>
          <w:sz w:val="21"/>
          <w:szCs w:val="21"/>
          <w:highlight w:val="none"/>
          <w:lang w:val="en-US" w:eastAsia="zh-CN"/>
        </w:rPr>
        <w:t>服务</w:t>
      </w:r>
      <w:r>
        <w:rPr>
          <w:rFonts w:hint="eastAsia" w:ascii="宋体" w:hAnsi="宋体" w:eastAsia="宋体" w:cs="宋体"/>
          <w:b w:val="0"/>
          <w:bCs/>
          <w:color w:val="auto"/>
          <w:sz w:val="21"/>
          <w:szCs w:val="21"/>
          <w:highlight w:val="none"/>
          <w:lang w:val="en-US" w:eastAsia="zh-Hans"/>
        </w:rPr>
        <w:t>资格，给采购人造成损失的，采购人有权依法索赔。</w:t>
      </w:r>
    </w:p>
    <w:p w14:paraId="4F9DC655">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p>
    <w:p w14:paraId="1F575F63">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CN"/>
        </w:rPr>
        <w:t>（二）</w:t>
      </w:r>
      <w:r>
        <w:rPr>
          <w:rFonts w:hint="eastAsia" w:ascii="宋体" w:hAnsi="宋体" w:eastAsia="宋体" w:cs="宋体"/>
          <w:b w:val="0"/>
          <w:bCs/>
          <w:color w:val="auto"/>
          <w:sz w:val="21"/>
          <w:szCs w:val="21"/>
          <w:highlight w:val="none"/>
          <w:lang w:val="en-US" w:eastAsia="zh-Hans"/>
        </w:rPr>
        <w:t>退出</w:t>
      </w:r>
    </w:p>
    <w:p w14:paraId="336EC54E">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Hans"/>
        </w:rPr>
        <w:t>发生以下任一情况的供应商退出入围：</w:t>
      </w:r>
    </w:p>
    <w:p w14:paraId="1D4861B6">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Hans"/>
        </w:rPr>
        <w:t>采购人与入围供应商</w:t>
      </w:r>
      <w:r>
        <w:rPr>
          <w:rFonts w:hint="eastAsia" w:ascii="宋体" w:hAnsi="宋体" w:eastAsia="宋体" w:cs="宋体"/>
          <w:b w:val="0"/>
          <w:bCs/>
          <w:color w:val="auto"/>
          <w:sz w:val="21"/>
          <w:szCs w:val="21"/>
          <w:highlight w:val="none"/>
          <w:lang w:val="en-US" w:eastAsia="zh-CN"/>
        </w:rPr>
        <w:t>出现</w:t>
      </w:r>
      <w:r>
        <w:rPr>
          <w:rFonts w:hint="eastAsia" w:ascii="宋体" w:hAnsi="宋体" w:eastAsia="宋体" w:cs="宋体"/>
          <w:b w:val="0"/>
          <w:bCs/>
          <w:color w:val="auto"/>
          <w:sz w:val="21"/>
          <w:szCs w:val="21"/>
          <w:highlight w:val="none"/>
          <w:lang w:val="en-US" w:eastAsia="zh-Hans"/>
        </w:rPr>
        <w:t>合同</w:t>
      </w:r>
      <w:r>
        <w:rPr>
          <w:rFonts w:hint="eastAsia" w:ascii="宋体" w:hAnsi="宋体" w:eastAsia="宋体" w:cs="宋体"/>
          <w:b w:val="0"/>
          <w:bCs/>
          <w:color w:val="auto"/>
          <w:sz w:val="21"/>
          <w:szCs w:val="21"/>
          <w:highlight w:val="none"/>
          <w:lang w:val="en-US" w:eastAsia="zh-CN"/>
        </w:rPr>
        <w:t>规定的</w:t>
      </w:r>
      <w:r>
        <w:rPr>
          <w:rFonts w:hint="eastAsia" w:ascii="宋体" w:hAnsi="宋体" w:eastAsia="宋体" w:cs="宋体"/>
          <w:b w:val="0"/>
          <w:bCs/>
          <w:color w:val="auto"/>
          <w:sz w:val="21"/>
          <w:szCs w:val="21"/>
          <w:highlight w:val="none"/>
          <w:lang w:val="en-US" w:eastAsia="zh-Hans"/>
        </w:rPr>
        <w:t>终止情形的。</w:t>
      </w:r>
    </w:p>
    <w:p w14:paraId="2A0C7DBC">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Hans"/>
        </w:rPr>
        <w:t>入围供应商符合本规则约定的退出入围条件。</w:t>
      </w:r>
    </w:p>
    <w:p w14:paraId="698A11FD">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Hans"/>
        </w:rPr>
        <w:t>退出入围的供应商应</w:t>
      </w:r>
      <w:r>
        <w:rPr>
          <w:rFonts w:hint="eastAsia" w:ascii="宋体" w:hAnsi="宋体" w:eastAsia="宋体" w:cs="宋体"/>
          <w:b w:val="0"/>
          <w:bCs/>
          <w:color w:val="auto"/>
          <w:sz w:val="21"/>
          <w:szCs w:val="21"/>
          <w:highlight w:val="none"/>
          <w:lang w:val="en-US" w:eastAsia="zh-CN"/>
        </w:rPr>
        <w:t>按采购人要求</w:t>
      </w:r>
      <w:r>
        <w:rPr>
          <w:rFonts w:hint="eastAsia" w:ascii="宋体" w:hAnsi="宋体" w:eastAsia="宋体" w:cs="宋体"/>
          <w:b w:val="0"/>
          <w:bCs/>
          <w:color w:val="auto"/>
          <w:sz w:val="21"/>
          <w:szCs w:val="21"/>
          <w:highlight w:val="none"/>
          <w:lang w:val="en-US" w:eastAsia="zh-Hans"/>
        </w:rPr>
        <w:t>履行</w:t>
      </w:r>
      <w:r>
        <w:rPr>
          <w:rFonts w:hint="eastAsia" w:ascii="宋体" w:hAnsi="宋体" w:eastAsia="宋体" w:cs="宋体"/>
          <w:b w:val="0"/>
          <w:bCs/>
          <w:color w:val="auto"/>
          <w:sz w:val="21"/>
          <w:szCs w:val="21"/>
          <w:highlight w:val="none"/>
          <w:lang w:val="en-US" w:eastAsia="zh-CN"/>
        </w:rPr>
        <w:t>对实施项目</w:t>
      </w:r>
      <w:r>
        <w:rPr>
          <w:rFonts w:hint="eastAsia" w:ascii="宋体" w:hAnsi="宋体" w:eastAsia="宋体" w:cs="宋体"/>
          <w:b w:val="0"/>
          <w:bCs/>
          <w:color w:val="auto"/>
          <w:sz w:val="21"/>
          <w:szCs w:val="21"/>
          <w:highlight w:val="none"/>
          <w:lang w:val="en-US" w:eastAsia="zh-Hans"/>
        </w:rPr>
        <w:t>的</w:t>
      </w:r>
      <w:r>
        <w:rPr>
          <w:rFonts w:hint="eastAsia" w:ascii="宋体" w:hAnsi="宋体" w:eastAsia="宋体" w:cs="宋体"/>
          <w:b w:val="0"/>
          <w:bCs/>
          <w:color w:val="auto"/>
          <w:sz w:val="21"/>
          <w:szCs w:val="21"/>
          <w:highlight w:val="none"/>
          <w:lang w:val="en-US" w:eastAsia="zh-CN"/>
        </w:rPr>
        <w:t>善后服务工作，</w:t>
      </w:r>
      <w:r>
        <w:rPr>
          <w:rFonts w:hint="eastAsia" w:ascii="宋体" w:hAnsi="宋体" w:eastAsia="宋体" w:cs="宋体"/>
          <w:b w:val="0"/>
          <w:bCs/>
          <w:color w:val="auto"/>
          <w:sz w:val="21"/>
          <w:szCs w:val="21"/>
          <w:highlight w:val="none"/>
          <w:lang w:val="en-US" w:eastAsia="zh-Hans"/>
        </w:rPr>
        <w:t>移交</w:t>
      </w:r>
      <w:r>
        <w:rPr>
          <w:rFonts w:hint="eastAsia" w:ascii="宋体" w:hAnsi="宋体" w:eastAsia="宋体" w:cs="宋体"/>
          <w:b w:val="0"/>
          <w:bCs/>
          <w:color w:val="auto"/>
          <w:sz w:val="21"/>
          <w:szCs w:val="21"/>
          <w:highlight w:val="none"/>
          <w:lang w:val="en-US" w:eastAsia="zh-CN"/>
        </w:rPr>
        <w:t>相关资料，以便</w:t>
      </w:r>
      <w:r>
        <w:rPr>
          <w:rFonts w:hint="eastAsia" w:ascii="宋体" w:hAnsi="宋体" w:eastAsia="宋体" w:cs="宋体"/>
          <w:b w:val="0"/>
          <w:bCs/>
          <w:color w:val="auto"/>
          <w:sz w:val="21"/>
          <w:szCs w:val="21"/>
          <w:highlight w:val="none"/>
          <w:lang w:val="en-US" w:eastAsia="zh-Hans"/>
        </w:rPr>
        <w:t>其他入围供应商</w:t>
      </w:r>
      <w:r>
        <w:rPr>
          <w:rFonts w:hint="eastAsia" w:ascii="宋体" w:hAnsi="宋体" w:eastAsia="宋体" w:cs="宋体"/>
          <w:b w:val="0"/>
          <w:bCs/>
          <w:color w:val="auto"/>
          <w:sz w:val="21"/>
          <w:szCs w:val="21"/>
          <w:highlight w:val="none"/>
          <w:lang w:val="en-US" w:eastAsia="zh-CN"/>
        </w:rPr>
        <w:t>顺利</w:t>
      </w:r>
      <w:r>
        <w:rPr>
          <w:rFonts w:hint="eastAsia" w:ascii="宋体" w:hAnsi="宋体" w:eastAsia="宋体" w:cs="宋体"/>
          <w:b w:val="0"/>
          <w:bCs/>
          <w:color w:val="auto"/>
          <w:sz w:val="21"/>
          <w:szCs w:val="21"/>
          <w:highlight w:val="none"/>
          <w:lang w:val="en-US" w:eastAsia="zh-Hans"/>
        </w:rPr>
        <w:t>代为履行</w:t>
      </w:r>
      <w:r>
        <w:rPr>
          <w:rFonts w:hint="eastAsia" w:ascii="宋体" w:hAnsi="宋体" w:eastAsia="宋体" w:cs="宋体"/>
          <w:b w:val="0"/>
          <w:bCs/>
          <w:color w:val="auto"/>
          <w:sz w:val="21"/>
          <w:szCs w:val="21"/>
          <w:highlight w:val="none"/>
          <w:lang w:val="en-US" w:eastAsia="zh-CN"/>
        </w:rPr>
        <w:t>后续业务</w:t>
      </w:r>
      <w:r>
        <w:rPr>
          <w:rFonts w:hint="eastAsia" w:ascii="宋体" w:hAnsi="宋体" w:eastAsia="宋体" w:cs="宋体"/>
          <w:b w:val="0"/>
          <w:bCs/>
          <w:color w:val="auto"/>
          <w:sz w:val="21"/>
          <w:szCs w:val="21"/>
          <w:highlight w:val="none"/>
          <w:lang w:val="en-US" w:eastAsia="zh-Hans"/>
        </w:rPr>
        <w:t>，拒绝履行</w:t>
      </w:r>
      <w:r>
        <w:rPr>
          <w:rFonts w:hint="eastAsia" w:ascii="宋体" w:hAnsi="宋体" w:eastAsia="宋体" w:cs="宋体"/>
          <w:b w:val="0"/>
          <w:bCs/>
          <w:color w:val="auto"/>
          <w:sz w:val="21"/>
          <w:szCs w:val="21"/>
          <w:highlight w:val="none"/>
          <w:lang w:val="en-US" w:eastAsia="zh-CN"/>
        </w:rPr>
        <w:t>善后</w:t>
      </w:r>
      <w:r>
        <w:rPr>
          <w:rFonts w:hint="eastAsia" w:ascii="宋体" w:hAnsi="宋体" w:eastAsia="宋体" w:cs="宋体"/>
          <w:b w:val="0"/>
          <w:bCs/>
          <w:color w:val="auto"/>
          <w:sz w:val="21"/>
          <w:szCs w:val="21"/>
          <w:highlight w:val="none"/>
          <w:lang w:val="en-US" w:eastAsia="zh-Hans"/>
        </w:rPr>
        <w:t>服务</w:t>
      </w:r>
      <w:r>
        <w:rPr>
          <w:rFonts w:hint="eastAsia" w:ascii="宋体" w:hAnsi="宋体" w:eastAsia="宋体" w:cs="宋体"/>
          <w:b w:val="0"/>
          <w:bCs/>
          <w:color w:val="auto"/>
          <w:sz w:val="21"/>
          <w:szCs w:val="21"/>
          <w:highlight w:val="none"/>
          <w:lang w:val="en-US" w:eastAsia="zh-CN"/>
        </w:rPr>
        <w:t>工作</w:t>
      </w:r>
      <w:r>
        <w:rPr>
          <w:rFonts w:hint="eastAsia" w:ascii="宋体" w:hAnsi="宋体" w:eastAsia="宋体" w:cs="宋体"/>
          <w:b w:val="0"/>
          <w:bCs/>
          <w:color w:val="auto"/>
          <w:sz w:val="21"/>
          <w:szCs w:val="21"/>
          <w:highlight w:val="none"/>
          <w:lang w:val="en-US" w:eastAsia="zh-Hans"/>
        </w:rPr>
        <w:t>的，采购人有权向</w:t>
      </w:r>
      <w:r>
        <w:rPr>
          <w:rFonts w:hint="eastAsia" w:ascii="宋体" w:hAnsi="宋体" w:eastAsia="宋体" w:cs="宋体"/>
          <w:b w:val="0"/>
          <w:bCs/>
          <w:color w:val="auto"/>
          <w:sz w:val="21"/>
          <w:szCs w:val="21"/>
          <w:highlight w:val="none"/>
          <w:lang w:val="en-US" w:eastAsia="zh-CN"/>
        </w:rPr>
        <w:t>燃气</w:t>
      </w:r>
      <w:r>
        <w:rPr>
          <w:rFonts w:hint="eastAsia" w:ascii="宋体" w:hAnsi="宋体" w:eastAsia="宋体" w:cs="宋体"/>
          <w:b w:val="0"/>
          <w:bCs/>
          <w:color w:val="auto"/>
          <w:sz w:val="21"/>
          <w:szCs w:val="21"/>
          <w:highlight w:val="none"/>
          <w:lang w:val="en-US" w:eastAsia="zh-Hans"/>
        </w:rPr>
        <w:t>行业进行通报。</w:t>
      </w:r>
    </w:p>
    <w:p w14:paraId="0ABAA377">
      <w:pPr>
        <w:pStyle w:val="12"/>
        <w:spacing w:after="0" w:line="240" w:lineRule="auto"/>
        <w:ind w:firstLine="420" w:firstLineChars="200"/>
        <w:rPr>
          <w:rFonts w:hint="eastAsia" w:ascii="宋体" w:hAnsi="宋体" w:eastAsia="宋体" w:cs="宋体"/>
          <w:b w:val="0"/>
          <w:bCs/>
          <w:color w:val="auto"/>
          <w:sz w:val="21"/>
          <w:szCs w:val="21"/>
          <w:highlight w:val="none"/>
          <w:lang w:val="en-US" w:eastAsia="zh-Hans"/>
        </w:rPr>
      </w:pPr>
    </w:p>
    <w:p w14:paraId="694A7758">
      <w:pPr>
        <w:pStyle w:val="12"/>
        <w:spacing w:after="0" w:line="240" w:lineRule="auto"/>
        <w:rPr>
          <w:rFonts w:hint="eastAsia" w:ascii="宋体" w:hAnsi="宋体" w:eastAsia="宋体" w:cs="宋体"/>
          <w:b/>
          <w:color w:val="auto"/>
          <w:sz w:val="21"/>
          <w:szCs w:val="21"/>
          <w:highlight w:val="none"/>
          <w:lang w:val="en-US" w:eastAsia="zh-Hans"/>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Hans"/>
        </w:rPr>
        <w:t>、</w:t>
      </w:r>
      <w:r>
        <w:rPr>
          <w:rFonts w:hint="eastAsia" w:ascii="宋体" w:hAnsi="宋体" w:eastAsia="宋体" w:cs="宋体"/>
          <w:b/>
          <w:color w:val="auto"/>
          <w:sz w:val="21"/>
          <w:szCs w:val="21"/>
          <w:highlight w:val="none"/>
          <w:lang w:val="en-US" w:eastAsia="zh-CN"/>
        </w:rPr>
        <w:t>违约条款、合同终止及其他</w:t>
      </w:r>
      <w:r>
        <w:rPr>
          <w:rFonts w:hint="eastAsia" w:ascii="宋体" w:hAnsi="宋体" w:eastAsia="宋体" w:cs="宋体"/>
          <w:b/>
          <w:color w:val="auto"/>
          <w:sz w:val="21"/>
          <w:szCs w:val="21"/>
          <w:highlight w:val="none"/>
          <w:lang w:val="en-US" w:eastAsia="zh-Hans"/>
        </w:rPr>
        <w:t>：详见合同条款。</w:t>
      </w:r>
    </w:p>
    <w:p w14:paraId="6A64C504">
      <w:pPr>
        <w:pStyle w:val="13"/>
        <w:ind w:firstLine="0" w:firstLineChars="0"/>
        <w:jc w:val="center"/>
        <w:outlineLvl w:val="0"/>
        <w:rPr>
          <w:rFonts w:hint="eastAsia" w:ascii="宋体" w:hAnsi="宋体" w:eastAsia="宋体" w:cs="宋体"/>
          <w:color w:val="auto"/>
          <w:sz w:val="22"/>
          <w:szCs w:val="22"/>
          <w:highlight w:val="none"/>
        </w:rPr>
      </w:pPr>
    </w:p>
    <w:p w14:paraId="475FBCAF">
      <w:pPr>
        <w:pStyle w:val="13"/>
        <w:ind w:firstLine="0" w:firstLineChars="0"/>
        <w:jc w:val="center"/>
        <w:outlineLvl w:val="0"/>
        <w:rPr>
          <w:rFonts w:hint="eastAsia" w:ascii="宋体" w:hAnsi="宋体" w:eastAsia="宋体" w:cs="宋体"/>
          <w:color w:val="auto"/>
          <w:sz w:val="22"/>
          <w:szCs w:val="22"/>
          <w:highlight w:val="none"/>
        </w:rPr>
      </w:pPr>
    </w:p>
    <w:p w14:paraId="3D34634C">
      <w:pPr>
        <w:pStyle w:val="13"/>
        <w:ind w:firstLine="0" w:firstLineChars="0"/>
        <w:jc w:val="center"/>
        <w:outlineLvl w:val="0"/>
        <w:rPr>
          <w:rFonts w:hint="eastAsia" w:ascii="宋体" w:hAnsi="宋体" w:eastAsia="宋体" w:cs="宋体"/>
          <w:color w:val="auto"/>
          <w:sz w:val="22"/>
          <w:szCs w:val="22"/>
          <w:highlight w:val="none"/>
        </w:rPr>
      </w:pPr>
    </w:p>
    <w:p w14:paraId="1D605EEC">
      <w:pPr>
        <w:pStyle w:val="3"/>
        <w:rPr>
          <w:rFonts w:hint="eastAsia" w:ascii="宋体" w:hAnsi="宋体" w:eastAsia="宋体" w:cs="宋体"/>
          <w:color w:val="auto"/>
          <w:sz w:val="36"/>
          <w:szCs w:val="36"/>
          <w:highlight w:val="none"/>
        </w:rPr>
      </w:pPr>
      <w:r>
        <w:rPr>
          <w:rFonts w:hint="eastAsia" w:ascii="宋体" w:hAnsi="宋体" w:eastAsia="宋体" w:cs="宋体"/>
          <w:color w:val="auto"/>
          <w:sz w:val="22"/>
          <w:szCs w:val="22"/>
          <w:highlight w:val="none"/>
        </w:rPr>
        <w:br w:type="page"/>
      </w:r>
      <w:r>
        <w:rPr>
          <w:rFonts w:hint="eastAsia" w:ascii="宋体" w:hAnsi="宋体" w:eastAsia="宋体" w:cs="宋体"/>
          <w:color w:val="auto"/>
          <w:sz w:val="36"/>
          <w:szCs w:val="36"/>
          <w:highlight w:val="none"/>
        </w:rPr>
        <w:t>第五部分  评标原则及方法</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4C36FD8">
      <w:pPr>
        <w:jc w:val="center"/>
        <w:rPr>
          <w:rFonts w:hint="eastAsia" w:ascii="宋体" w:hAnsi="宋体" w:eastAsia="宋体" w:cs="宋体"/>
          <w:color w:val="auto"/>
          <w:sz w:val="22"/>
          <w:szCs w:val="22"/>
          <w:highlight w:val="none"/>
        </w:rPr>
      </w:pPr>
    </w:p>
    <w:p w14:paraId="15984C59">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本项目属非政府采购项目，根据《温州市市属国有企业采购管理办法（试行）》等有关法规、规定，结合本项目的实际，按照公平、公正、科学、择优的原则选择中标单位，特制定本评标办法。</w:t>
      </w:r>
    </w:p>
    <w:p w14:paraId="35E17168">
      <w:pPr>
        <w:outlineLvl w:val="1"/>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一、总则</w:t>
      </w:r>
    </w:p>
    <w:p w14:paraId="0589BC10">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评标工作遵循公平、公正、科学、择优原则和诚实、信誉、效率的服务原则。本着科学、严谨的态度，认真进行评标。择优选用，推进技术进步，确保</w:t>
      </w:r>
      <w:r>
        <w:rPr>
          <w:rFonts w:hint="eastAsia" w:ascii="宋体" w:hAnsi="宋体" w:eastAsia="宋体" w:cs="宋体"/>
          <w:color w:val="auto"/>
          <w:sz w:val="22"/>
          <w:szCs w:val="22"/>
          <w:highlight w:val="none"/>
          <w:lang w:val="en-US" w:eastAsia="zh-CN"/>
        </w:rPr>
        <w:t>服务</w:t>
      </w:r>
      <w:r>
        <w:rPr>
          <w:rFonts w:hint="eastAsia" w:ascii="宋体" w:hAnsi="宋体" w:eastAsia="宋体" w:cs="宋体"/>
          <w:color w:val="auto"/>
          <w:sz w:val="22"/>
          <w:szCs w:val="22"/>
          <w:highlight w:val="none"/>
        </w:rPr>
        <w:t>质量、服务期限，节约投资，最大限度的保护当事人权益，严格按照采购文件的商务、技术要求，对投标文件进行综合评定，提出优选方案，编写评标报告。对落标单位，评委会不作任何落标解释。投标供应商不得以任何方式干扰招投标工作的进行。</w:t>
      </w:r>
    </w:p>
    <w:p w14:paraId="4E2D7B5F">
      <w:pPr>
        <w:outlineLvl w:val="1"/>
        <w:rPr>
          <w:rFonts w:hint="eastAsia" w:ascii="宋体" w:hAnsi="宋体" w:eastAsia="宋体" w:cs="宋体"/>
          <w:b/>
          <w:bCs/>
          <w:color w:val="auto"/>
          <w:sz w:val="22"/>
          <w:highlight w:val="none"/>
        </w:rPr>
      </w:pPr>
    </w:p>
    <w:p w14:paraId="569A9421">
      <w:pPr>
        <w:outlineLvl w:val="1"/>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二、评标组织</w:t>
      </w:r>
    </w:p>
    <w:p w14:paraId="39F807FF">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评标工作由采购人依法组建的评标委员会负责，评标全过程由有关部门进行监督。</w:t>
      </w:r>
    </w:p>
    <w:p w14:paraId="0A33208D">
      <w:pPr>
        <w:outlineLvl w:val="1"/>
        <w:rPr>
          <w:rFonts w:hint="eastAsia" w:ascii="宋体" w:hAnsi="宋体" w:eastAsia="宋体" w:cs="宋体"/>
          <w:b/>
          <w:bCs/>
          <w:color w:val="auto"/>
          <w:sz w:val="22"/>
          <w:highlight w:val="none"/>
        </w:rPr>
      </w:pPr>
    </w:p>
    <w:p w14:paraId="5ADB4C9F">
      <w:pPr>
        <w:outlineLvl w:val="1"/>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三、评标程序</w:t>
      </w:r>
    </w:p>
    <w:p w14:paraId="2DF08546">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szCs w:val="22"/>
          <w:highlight w:val="none"/>
        </w:rPr>
        <w:t>评标委员会对各投标供应商的投标进行初审（资格性审查和符合性审查）；然后对合格投标供应商的技术资信标进行评审；技术资信标评审结束后，再进行商务（报价）标进行评审，最终得出各有效标的评审综合得分，根据综合评审结果，提交评审报告。</w:t>
      </w:r>
    </w:p>
    <w:p w14:paraId="37A8AF15">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1、本项目评标的依据为采购文件和投标文件。</w:t>
      </w:r>
    </w:p>
    <w:p w14:paraId="5216F41E">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2、先熟悉采购文件和评标办法。</w:t>
      </w:r>
    </w:p>
    <w:p w14:paraId="715DDDC0">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3、投标文件的初审：初审分为资格性检查和符合性检查。</w:t>
      </w:r>
    </w:p>
    <w:p w14:paraId="74B8A6C9">
      <w:pPr>
        <w:adjustRightInd w:val="0"/>
        <w:snapToGrid w:val="0"/>
        <w:ind w:firstLine="440" w:firstLineChars="200"/>
        <w:outlineLvl w:val="2"/>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（1）资格性检查</w:t>
      </w:r>
    </w:p>
    <w:p w14:paraId="3C518DAD">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依据法律法规和采购文件的规定，对投标文件中的资格条件、投标保证金等进行审查，以确定投标供应商是否具备投标资格。</w:t>
      </w:r>
    </w:p>
    <w:p w14:paraId="3053DC13">
      <w:pPr>
        <w:adjustRightInd w:val="0"/>
        <w:snapToGrid w:val="0"/>
        <w:ind w:firstLine="440" w:firstLineChars="200"/>
        <w:outlineLvl w:val="2"/>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（2）符合性检查</w:t>
      </w:r>
    </w:p>
    <w:p w14:paraId="6ED13A4C">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14:paraId="3992BD0B">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如果投标文件实质上没有响应采购文件的要求，评标委员会将予以拒绝，投标供应商不得通过修改或撤销不合要求的偏离或保留而使其投标成为实质性响应的投标。</w:t>
      </w:r>
    </w:p>
    <w:p w14:paraId="2820DA76">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4、澄清有关问题</w:t>
      </w:r>
    </w:p>
    <w:p w14:paraId="49BA666E">
      <w:pPr>
        <w:adjustRightInd w:val="0"/>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w:t>
      </w:r>
      <w:r>
        <w:rPr>
          <w:rFonts w:hint="eastAsia" w:ascii="宋体" w:hAnsi="宋体" w:eastAsia="宋体" w:cs="宋体"/>
          <w:snapToGrid w:val="0"/>
          <w:color w:val="auto"/>
          <w:kern w:val="0"/>
          <w:sz w:val="22"/>
          <w:szCs w:val="22"/>
          <w:highlight w:val="none"/>
        </w:rPr>
        <w:t>评标</w:t>
      </w:r>
      <w:r>
        <w:rPr>
          <w:rFonts w:hint="eastAsia" w:ascii="宋体" w:hAnsi="宋体" w:eastAsia="宋体" w:cs="宋体"/>
          <w:color w:val="auto"/>
          <w:sz w:val="22"/>
          <w:szCs w:val="22"/>
          <w:highlight w:val="none"/>
        </w:rPr>
        <w:t>期间，评标委员会可以书面方式要求投标供应商对投标文件中含义不明确、对同类问题前后表述不一致或者有明显文字和计算错误的内容作必要的澄清、说明或补正（</w:t>
      </w:r>
      <w:r>
        <w:rPr>
          <w:rFonts w:hint="eastAsia" w:ascii="宋体" w:hAnsi="宋体" w:eastAsia="宋体" w:cs="宋体"/>
          <w:snapToGrid w:val="0"/>
          <w:color w:val="auto"/>
          <w:kern w:val="0"/>
          <w:sz w:val="22"/>
          <w:szCs w:val="22"/>
          <w:highlight w:val="none"/>
        </w:rPr>
        <w:t>并非对每个投标供应商都要求做澄清</w:t>
      </w:r>
      <w:r>
        <w:rPr>
          <w:rFonts w:hint="eastAsia" w:ascii="宋体" w:hAnsi="宋体" w:eastAsia="宋体" w:cs="宋体"/>
          <w:color w:val="auto"/>
          <w:sz w:val="22"/>
          <w:szCs w:val="22"/>
          <w:highlight w:val="none"/>
        </w:rPr>
        <w:t>、说明或补正）。澄清、说明或补正应以书面形式并由法定代表人或其授权代表签署，但澄清内容不得超出投标文件的范围或者改变投标文件的实质性内容。</w:t>
      </w:r>
    </w:p>
    <w:p w14:paraId="306C96CE">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供应商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供应商自动放弃对投标文件的澄清,评标委员会对此所作的评标结果,其风险由投标供应商自行承担。</w:t>
      </w:r>
    </w:p>
    <w:p w14:paraId="32E689C7">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评标委员会对各投标供应商的商务报价进行核查时，如发现投标报价内容不清楚可要求投标供应商书面澄清，计算上的错误，按本采购文件投标供应商须知22.6条规定方法进行修正。</w:t>
      </w:r>
    </w:p>
    <w:p w14:paraId="6B3C9FB9">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5、比较与评价：评标委员会按采购文件中规定的评标方法和标准，对初审检查合格的投标文件分别进行技术资信和商务（报价）的综合比较与评审，并按照评标细则进行打分。</w:t>
      </w:r>
    </w:p>
    <w:p w14:paraId="46AE4C18">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6、推荐中标候选人：评标委员会依据法律、法规及</w:t>
      </w:r>
      <w:r>
        <w:rPr>
          <w:rFonts w:hint="eastAsia" w:ascii="宋体" w:hAnsi="宋体" w:eastAsia="宋体" w:cs="宋体"/>
          <w:snapToGrid w:val="0"/>
          <w:color w:val="auto"/>
          <w:kern w:val="0"/>
          <w:sz w:val="22"/>
          <w:szCs w:val="22"/>
          <w:highlight w:val="none"/>
        </w:rPr>
        <w:t>采购文件有关规定在有效标中按投标供应商的综合得分（即技术资信分与商务（报价）分之和）</w:t>
      </w:r>
      <w:r>
        <w:rPr>
          <w:rFonts w:hint="eastAsia" w:ascii="宋体" w:hAnsi="宋体" w:eastAsia="宋体" w:cs="宋体"/>
          <w:snapToGrid w:val="0"/>
          <w:color w:val="auto"/>
          <w:kern w:val="0"/>
          <w:sz w:val="22"/>
          <w:szCs w:val="22"/>
          <w:highlight w:val="none"/>
          <w:lang w:val="en-US" w:eastAsia="zh-CN"/>
        </w:rPr>
        <w:t>由</w:t>
      </w:r>
      <w:r>
        <w:rPr>
          <w:rFonts w:hint="eastAsia" w:ascii="宋体" w:hAnsi="宋体" w:eastAsia="宋体" w:cs="宋体"/>
          <w:snapToGrid w:val="0"/>
          <w:color w:val="auto"/>
          <w:kern w:val="0"/>
          <w:sz w:val="22"/>
          <w:szCs w:val="22"/>
          <w:highlight w:val="none"/>
        </w:rPr>
        <w:t>高</w:t>
      </w:r>
      <w:r>
        <w:rPr>
          <w:rFonts w:hint="eastAsia" w:ascii="宋体" w:hAnsi="宋体" w:eastAsia="宋体" w:cs="宋体"/>
          <w:snapToGrid w:val="0"/>
          <w:color w:val="auto"/>
          <w:kern w:val="0"/>
          <w:sz w:val="22"/>
          <w:szCs w:val="22"/>
          <w:highlight w:val="none"/>
          <w:lang w:val="en-US" w:eastAsia="zh-CN"/>
        </w:rPr>
        <w:t>到</w:t>
      </w:r>
      <w:r>
        <w:rPr>
          <w:rFonts w:hint="eastAsia" w:ascii="宋体" w:hAnsi="宋体" w:eastAsia="宋体" w:cs="宋体"/>
          <w:snapToGrid w:val="0"/>
          <w:color w:val="auto"/>
          <w:kern w:val="0"/>
          <w:sz w:val="22"/>
          <w:szCs w:val="22"/>
          <w:highlight w:val="none"/>
        </w:rPr>
        <w:t>低</w:t>
      </w:r>
      <w:r>
        <w:rPr>
          <w:rFonts w:hint="eastAsia" w:ascii="宋体" w:hAnsi="宋体" w:eastAsia="宋体" w:cs="宋体"/>
          <w:snapToGrid w:val="0"/>
          <w:color w:val="auto"/>
          <w:kern w:val="0"/>
          <w:sz w:val="22"/>
          <w:szCs w:val="22"/>
          <w:highlight w:val="none"/>
          <w:lang w:val="en-US" w:eastAsia="zh-CN"/>
        </w:rPr>
        <w:t>的顺序</w:t>
      </w:r>
      <w:r>
        <w:rPr>
          <w:rFonts w:hint="eastAsia" w:ascii="宋体" w:hAnsi="宋体" w:eastAsia="宋体" w:cs="宋体"/>
          <w:snapToGrid w:val="0"/>
          <w:color w:val="auto"/>
          <w:kern w:val="0"/>
          <w:sz w:val="22"/>
          <w:szCs w:val="22"/>
          <w:highlight w:val="none"/>
        </w:rPr>
        <w:t>进行排序，</w:t>
      </w:r>
      <w:r>
        <w:rPr>
          <w:rFonts w:hint="eastAsia" w:ascii="宋体" w:hAnsi="宋体" w:eastAsia="宋体" w:cs="宋体"/>
          <w:bCs/>
          <w:color w:val="auto"/>
          <w:sz w:val="22"/>
          <w:szCs w:val="22"/>
          <w:highlight w:val="none"/>
        </w:rPr>
        <w:t>推荐</w:t>
      </w:r>
      <w:r>
        <w:rPr>
          <w:rFonts w:hint="eastAsia" w:ascii="宋体" w:hAnsi="宋体" w:eastAsia="宋体" w:cs="宋体"/>
          <w:bCs/>
          <w:color w:val="auto"/>
          <w:sz w:val="22"/>
          <w:szCs w:val="22"/>
          <w:highlight w:val="none"/>
          <w:lang w:val="en-US" w:eastAsia="zh-CN"/>
        </w:rPr>
        <w:t>中</w:t>
      </w:r>
      <w:r>
        <w:rPr>
          <w:rFonts w:hint="eastAsia" w:ascii="宋体" w:hAnsi="宋体" w:eastAsia="宋体" w:cs="宋体"/>
          <w:bCs/>
          <w:color w:val="auto"/>
          <w:sz w:val="22"/>
          <w:szCs w:val="22"/>
          <w:highlight w:val="none"/>
        </w:rPr>
        <w:t>标候选入围供应商</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rPr>
        <w:t>并提交书面评审报告。</w:t>
      </w:r>
    </w:p>
    <w:p w14:paraId="14D72B2D">
      <w:pPr>
        <w:adjustRightInd w:val="0"/>
        <w:snapToGrid w:val="0"/>
        <w:ind w:firstLine="440" w:firstLineChars="2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lang w:val="en-US" w:eastAsia="zh-CN"/>
        </w:rPr>
        <w:t>7</w:t>
      </w:r>
      <w:r>
        <w:rPr>
          <w:rFonts w:hint="eastAsia" w:ascii="宋体" w:hAnsi="宋体" w:eastAsia="宋体" w:cs="宋体"/>
          <w:snapToGrid w:val="0"/>
          <w:color w:val="auto"/>
          <w:kern w:val="0"/>
          <w:sz w:val="22"/>
          <w:szCs w:val="22"/>
          <w:highlight w:val="none"/>
        </w:rPr>
        <w:t>、完成评标报告。评标报告是评标委员会根据全体评标成员签字的原始评标记录和评标结果编写的报告。</w:t>
      </w:r>
    </w:p>
    <w:p w14:paraId="3BFEB36A">
      <w:pPr>
        <w:outlineLvl w:val="1"/>
        <w:rPr>
          <w:rFonts w:hint="eastAsia" w:ascii="宋体" w:hAnsi="宋体" w:eastAsia="宋体" w:cs="宋体"/>
          <w:b/>
          <w:bCs/>
          <w:color w:val="auto"/>
          <w:sz w:val="22"/>
          <w:highlight w:val="none"/>
        </w:rPr>
      </w:pPr>
    </w:p>
    <w:p w14:paraId="11BB249B">
      <w:pPr>
        <w:outlineLvl w:val="1"/>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四、评标办法</w:t>
      </w:r>
    </w:p>
    <w:p w14:paraId="6CB4053E">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本次采购采用百分制综合评分法，即投标供应商最大限度地满足采购文件实质性要求的基础上，按照采购文件的各项因素进行综合评审后，以评标总得分最高的投标供应商作为第一的中标候选人的评标方法。根据采购要求，总分设定为100分；其中技术资信分</w:t>
      </w:r>
      <w:r>
        <w:rPr>
          <w:rFonts w:hint="eastAsia" w:ascii="宋体" w:hAnsi="宋体" w:eastAsia="宋体" w:cs="宋体"/>
          <w:color w:val="auto"/>
          <w:sz w:val="22"/>
          <w:highlight w:val="none"/>
          <w:lang w:val="en-US" w:eastAsia="zh-CN"/>
        </w:rPr>
        <w:t>6</w:t>
      </w:r>
      <w:r>
        <w:rPr>
          <w:rFonts w:hint="eastAsia" w:ascii="宋体" w:hAnsi="宋体" w:eastAsia="宋体" w:cs="宋体"/>
          <w:color w:val="auto"/>
          <w:sz w:val="22"/>
          <w:highlight w:val="none"/>
        </w:rPr>
        <w:t>0分，商务（报价）分</w:t>
      </w: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0分。</w:t>
      </w:r>
    </w:p>
    <w:p w14:paraId="352ACB69">
      <w:pPr>
        <w:outlineLvl w:val="1"/>
        <w:rPr>
          <w:rFonts w:hint="eastAsia" w:ascii="宋体" w:hAnsi="宋体" w:eastAsia="宋体" w:cs="宋体"/>
          <w:b/>
          <w:bCs/>
          <w:color w:val="auto"/>
          <w:sz w:val="22"/>
          <w:highlight w:val="none"/>
        </w:rPr>
      </w:pPr>
    </w:p>
    <w:p w14:paraId="21D4E256">
      <w:pPr>
        <w:outlineLvl w:val="1"/>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五、评分细则</w:t>
      </w:r>
    </w:p>
    <w:p w14:paraId="50AE7A50">
      <w:pPr>
        <w:adjustRightInd w:val="0"/>
        <w:snapToGrid w:val="0"/>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1、技术资信评审分值（</w:t>
      </w:r>
      <w:r>
        <w:rPr>
          <w:rFonts w:hint="eastAsia" w:ascii="宋体" w:hAnsi="宋体" w:eastAsia="宋体" w:cs="宋体"/>
          <w:b/>
          <w:bCs/>
          <w:color w:val="auto"/>
          <w:sz w:val="22"/>
          <w:szCs w:val="22"/>
          <w:highlight w:val="none"/>
          <w:lang w:val="en-US" w:eastAsia="zh-CN"/>
        </w:rPr>
        <w:t>满分6</w:t>
      </w:r>
      <w:r>
        <w:rPr>
          <w:rFonts w:hint="eastAsia" w:ascii="宋体" w:hAnsi="宋体" w:eastAsia="宋体" w:cs="宋体"/>
          <w:b/>
          <w:bCs/>
          <w:color w:val="auto"/>
          <w:sz w:val="22"/>
          <w:szCs w:val="22"/>
          <w:highlight w:val="none"/>
        </w:rPr>
        <w:t>0分）</w:t>
      </w:r>
    </w:p>
    <w:p w14:paraId="292358B0">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供应商的各项评分内容评分合计值的算术平均值为该投标供应商技术资信部分的最终得分（四舍五入，保留小数点后二位）：</w:t>
      </w:r>
    </w:p>
    <w:tbl>
      <w:tblPr>
        <w:tblStyle w:val="33"/>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792"/>
        <w:gridCol w:w="600"/>
        <w:gridCol w:w="7186"/>
      </w:tblGrid>
      <w:tr w14:paraId="31B3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44" w:type="dxa"/>
            <w:noWrap w:val="0"/>
            <w:vAlign w:val="center"/>
          </w:tcPr>
          <w:p w14:paraId="2ADAD1EC">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序号</w:t>
            </w:r>
          </w:p>
        </w:tc>
        <w:tc>
          <w:tcPr>
            <w:tcW w:w="792" w:type="dxa"/>
            <w:noWrap w:val="0"/>
            <w:vAlign w:val="center"/>
          </w:tcPr>
          <w:p w14:paraId="28F383BA">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评审项目</w:t>
            </w:r>
          </w:p>
        </w:tc>
        <w:tc>
          <w:tcPr>
            <w:tcW w:w="600" w:type="dxa"/>
            <w:noWrap w:val="0"/>
            <w:vAlign w:val="center"/>
          </w:tcPr>
          <w:p w14:paraId="3B9BC229">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满分值</w:t>
            </w:r>
          </w:p>
        </w:tc>
        <w:tc>
          <w:tcPr>
            <w:tcW w:w="7186" w:type="dxa"/>
            <w:noWrap w:val="0"/>
            <w:vAlign w:val="center"/>
          </w:tcPr>
          <w:p w14:paraId="6DA23B58">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评分内容及标准</w:t>
            </w:r>
          </w:p>
        </w:tc>
      </w:tr>
      <w:tr w14:paraId="4E75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2437660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auto"/>
                <w:sz w:val="18"/>
                <w:szCs w:val="18"/>
                <w:highlight w:val="none"/>
              </w:rPr>
            </w:pPr>
            <w:r>
              <w:rPr>
                <w:rFonts w:hint="eastAsia" w:ascii="宋体" w:hAnsi="宋体" w:eastAsia="宋体" w:cs="宋体"/>
                <w:b w:val="0"/>
                <w:strike w:val="0"/>
                <w:color w:val="auto"/>
                <w:sz w:val="18"/>
                <w:szCs w:val="18"/>
                <w:highlight w:val="none"/>
                <w:lang w:val="en-US" w:eastAsia="zh-CN"/>
              </w:rPr>
              <w:t>1</w:t>
            </w:r>
          </w:p>
        </w:tc>
        <w:tc>
          <w:tcPr>
            <w:tcW w:w="792" w:type="dxa"/>
            <w:vMerge w:val="restart"/>
            <w:noWrap w:val="0"/>
            <w:vAlign w:val="center"/>
          </w:tcPr>
          <w:p w14:paraId="25EBC015">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color w:val="auto"/>
                <w:sz w:val="18"/>
                <w:szCs w:val="18"/>
                <w:highlight w:val="none"/>
                <w:lang w:val="en-US" w:eastAsia="zh-CN"/>
              </w:rPr>
            </w:pPr>
            <w:r>
              <w:rPr>
                <w:rFonts w:hint="eastAsia" w:ascii="宋体" w:hAnsi="宋体" w:eastAsia="宋体" w:cs="宋体"/>
                <w:b w:val="0"/>
                <w:strike w:val="0"/>
                <w:color w:val="auto"/>
                <w:sz w:val="18"/>
                <w:szCs w:val="18"/>
                <w:highlight w:val="none"/>
                <w:lang w:val="en-US" w:eastAsia="zh-CN"/>
              </w:rPr>
              <w:t>企业综合实力</w:t>
            </w:r>
          </w:p>
        </w:tc>
        <w:tc>
          <w:tcPr>
            <w:tcW w:w="600" w:type="dxa"/>
            <w:noWrap w:val="0"/>
            <w:vAlign w:val="center"/>
          </w:tcPr>
          <w:p w14:paraId="6381D7E0">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color w:val="auto"/>
                <w:sz w:val="18"/>
                <w:szCs w:val="18"/>
                <w:highlight w:val="none"/>
                <w:lang w:val="en-US" w:eastAsia="zh-CN"/>
              </w:rPr>
            </w:pPr>
            <w:r>
              <w:rPr>
                <w:rFonts w:hint="eastAsia" w:ascii="宋体" w:hAnsi="宋体" w:eastAsia="宋体" w:cs="宋体"/>
                <w:b w:val="0"/>
                <w:strike w:val="0"/>
                <w:color w:val="auto"/>
                <w:sz w:val="18"/>
                <w:szCs w:val="18"/>
                <w:highlight w:val="none"/>
                <w:lang w:val="en-US" w:eastAsia="zh-CN"/>
              </w:rPr>
              <w:t>3</w:t>
            </w:r>
          </w:p>
        </w:tc>
        <w:tc>
          <w:tcPr>
            <w:tcW w:w="7186" w:type="dxa"/>
            <w:noWrap w:val="0"/>
            <w:vAlign w:val="center"/>
          </w:tcPr>
          <w:p w14:paraId="5BC7BD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综合考评投标供应商企业的综合能力：</w:t>
            </w:r>
            <w:r>
              <w:rPr>
                <w:rFonts w:hint="eastAsia" w:ascii="宋体" w:hAnsi="宋体" w:eastAsia="宋体" w:cs="宋体"/>
                <w:b/>
                <w:bCs/>
                <w:i w:val="0"/>
                <w:color w:val="auto"/>
                <w:kern w:val="0"/>
                <w:sz w:val="18"/>
                <w:szCs w:val="18"/>
                <w:highlight w:val="none"/>
                <w:u w:val="none"/>
                <w:lang w:val="en-US" w:eastAsia="zh-CN" w:bidi="ar"/>
              </w:rPr>
              <w:t>行业技术专业</w:t>
            </w:r>
            <w:r>
              <w:rPr>
                <w:rFonts w:hint="eastAsia" w:ascii="宋体" w:hAnsi="宋体" w:eastAsia="宋体" w:cs="宋体"/>
                <w:b w:val="0"/>
                <w:bCs w:val="0"/>
                <w:i w:val="0"/>
                <w:color w:val="auto"/>
                <w:kern w:val="0"/>
                <w:sz w:val="18"/>
                <w:szCs w:val="18"/>
                <w:highlight w:val="none"/>
                <w:u w:val="none"/>
                <w:lang w:val="en-US" w:eastAsia="zh-CN" w:bidi="ar"/>
              </w:rPr>
              <w:t>实力认可度、与行业主管单位合作成果、规模实力、安全评价、获奖情况等综合实力情况，由评委根据投标人提供的相关资料综合打分：一般0-1分，良1.1-2分，优2.1-3分</w:t>
            </w:r>
            <w:r>
              <w:rPr>
                <w:rFonts w:hint="eastAsia" w:ascii="宋体" w:hAnsi="宋体" w:eastAsia="宋体" w:cs="宋体"/>
                <w:i w:val="0"/>
                <w:color w:val="auto"/>
                <w:kern w:val="0"/>
                <w:sz w:val="18"/>
                <w:szCs w:val="18"/>
                <w:highlight w:val="none"/>
                <w:u w:val="none"/>
                <w:lang w:val="en-US" w:eastAsia="zh-CN" w:bidi="ar"/>
              </w:rPr>
              <w:t>。</w:t>
            </w:r>
          </w:p>
          <w:p w14:paraId="5C97587E">
            <w:pPr>
              <w:keepNext w:val="0"/>
              <w:keepLines w:val="0"/>
              <w:pageBreakBefore w:val="0"/>
              <w:suppressLineNumbers w:val="0"/>
              <w:kinsoku/>
              <w:wordWrap/>
              <w:topLinePunct w:val="0"/>
              <w:bidi w:val="0"/>
              <w:snapToGrid/>
              <w:spacing w:before="0" w:beforeAutospacing="0" w:after="0" w:afterAutospacing="0" w:line="240" w:lineRule="exact"/>
              <w:ind w:left="0" w:right="0"/>
              <w:jc w:val="left"/>
              <w:rPr>
                <w:rFonts w:hint="eastAsia" w:ascii="宋体" w:hAnsi="宋体" w:eastAsia="宋体" w:cs="宋体"/>
                <w:b w:val="0"/>
                <w:strike w:val="0"/>
                <w:color w:val="auto"/>
                <w:sz w:val="18"/>
                <w:szCs w:val="18"/>
                <w:highlight w:val="none"/>
              </w:rPr>
            </w:pPr>
            <w:r>
              <w:rPr>
                <w:rFonts w:hint="eastAsia" w:ascii="宋体" w:hAnsi="宋体" w:eastAsia="宋体" w:cs="宋体"/>
                <w:b w:val="0"/>
                <w:bCs w:val="0"/>
                <w:i w:val="0"/>
                <w:color w:val="auto"/>
                <w:kern w:val="0"/>
                <w:sz w:val="18"/>
                <w:szCs w:val="18"/>
                <w:highlight w:val="none"/>
                <w:u w:val="none"/>
                <w:lang w:val="en-US" w:eastAsia="zh-CN" w:bidi="ar"/>
              </w:rPr>
              <w:t>注：提供的有关证书、文件等证明资料，以政府部门（含人民政府、工商、税务、知识产权局、专利局等部门）文件为准。提供证明材料复印件加盖单位公章，未提供不得分</w:t>
            </w:r>
          </w:p>
        </w:tc>
      </w:tr>
      <w:tr w14:paraId="2ED8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44" w:type="dxa"/>
            <w:noWrap w:val="0"/>
            <w:vAlign w:val="center"/>
          </w:tcPr>
          <w:p w14:paraId="1E241660">
            <w:pPr>
              <w:keepNext w:val="0"/>
              <w:keepLines w:val="0"/>
              <w:suppressLineNumbers w:val="0"/>
              <w:spacing w:before="0" w:beforeAutospacing="0" w:after="0" w:afterAutospacing="0" w:line="240" w:lineRule="exact"/>
              <w:ind w:left="0" w:right="0"/>
              <w:jc w:val="center"/>
              <w:rPr>
                <w:rFonts w:hint="eastAsia" w:ascii="宋体" w:hAnsi="宋体" w:eastAsia="宋体" w:cs="宋体"/>
                <w:b w:val="0"/>
                <w:strike w:val="0"/>
                <w:color w:val="auto"/>
                <w:sz w:val="18"/>
                <w:szCs w:val="18"/>
                <w:highlight w:val="none"/>
                <w:lang w:val="en-US" w:eastAsia="zh-CN"/>
              </w:rPr>
            </w:pPr>
            <w:r>
              <w:rPr>
                <w:rFonts w:hint="eastAsia" w:ascii="宋体" w:hAnsi="宋体" w:eastAsia="宋体" w:cs="宋体"/>
                <w:b w:val="0"/>
                <w:strike w:val="0"/>
                <w:color w:val="auto"/>
                <w:sz w:val="18"/>
                <w:szCs w:val="18"/>
                <w:highlight w:val="none"/>
                <w:lang w:val="en-US" w:eastAsia="zh-CN"/>
              </w:rPr>
              <w:t>2</w:t>
            </w:r>
          </w:p>
        </w:tc>
        <w:tc>
          <w:tcPr>
            <w:tcW w:w="792" w:type="dxa"/>
            <w:vMerge w:val="continue"/>
            <w:noWrap w:val="0"/>
            <w:vAlign w:val="center"/>
          </w:tcPr>
          <w:p w14:paraId="2BE4D8A8">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color w:val="auto"/>
                <w:sz w:val="18"/>
                <w:szCs w:val="18"/>
                <w:highlight w:val="none"/>
                <w:lang w:val="en-US" w:eastAsia="zh-CN"/>
              </w:rPr>
            </w:pPr>
          </w:p>
        </w:tc>
        <w:tc>
          <w:tcPr>
            <w:tcW w:w="600" w:type="dxa"/>
            <w:noWrap w:val="0"/>
            <w:vAlign w:val="center"/>
          </w:tcPr>
          <w:p w14:paraId="0423846E">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color w:val="auto"/>
                <w:sz w:val="18"/>
                <w:szCs w:val="18"/>
                <w:highlight w:val="none"/>
                <w:lang w:val="en-US" w:eastAsia="zh-CN"/>
              </w:rPr>
            </w:pPr>
            <w:r>
              <w:rPr>
                <w:rFonts w:hint="eastAsia" w:ascii="宋体" w:hAnsi="宋体" w:eastAsia="宋体" w:cs="宋体"/>
                <w:b w:val="0"/>
                <w:strike w:val="0"/>
                <w:color w:val="auto"/>
                <w:sz w:val="18"/>
                <w:szCs w:val="18"/>
                <w:highlight w:val="none"/>
                <w:lang w:val="en-US" w:eastAsia="zh-CN"/>
              </w:rPr>
              <w:t>2</w:t>
            </w:r>
          </w:p>
        </w:tc>
        <w:tc>
          <w:tcPr>
            <w:tcW w:w="7186" w:type="dxa"/>
            <w:noWrap w:val="0"/>
            <w:vAlign w:val="center"/>
          </w:tcPr>
          <w:p w14:paraId="65ED5762">
            <w:pPr>
              <w:keepNext w:val="0"/>
              <w:keepLines w:val="0"/>
              <w:pageBreakBefore w:val="0"/>
              <w:suppressLineNumbers w:val="0"/>
              <w:kinsoku/>
              <w:wordWrap/>
              <w:topLinePunct w:val="0"/>
              <w:bidi w:val="0"/>
              <w:snapToGrid/>
              <w:spacing w:before="0" w:beforeAutospacing="0" w:after="0" w:afterAutospacing="0" w:line="240" w:lineRule="exact"/>
              <w:ind w:left="0" w:right="0"/>
              <w:jc w:val="left"/>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投标人财务状况进行综合评分：0-2分</w:t>
            </w:r>
          </w:p>
          <w:p w14:paraId="47849A2A">
            <w:pPr>
              <w:keepNext w:val="0"/>
              <w:keepLines w:val="0"/>
              <w:pageBreakBefore w:val="0"/>
              <w:suppressLineNumbers w:val="0"/>
              <w:kinsoku/>
              <w:wordWrap/>
              <w:topLinePunct w:val="0"/>
              <w:bidi w:val="0"/>
              <w:snapToGrid/>
              <w:spacing w:before="0" w:beforeAutospacing="0" w:after="0" w:afterAutospacing="0" w:line="240" w:lineRule="exact"/>
              <w:ind w:left="0" w:right="0"/>
              <w:jc w:val="left"/>
              <w:rPr>
                <w:rFonts w:hint="eastAsia" w:ascii="宋体" w:hAnsi="宋体" w:eastAsia="宋体" w:cs="宋体"/>
                <w:b w:val="0"/>
                <w:bCs w:val="0"/>
                <w:i w:val="0"/>
                <w:color w:val="auto"/>
                <w:kern w:val="0"/>
                <w:sz w:val="18"/>
                <w:szCs w:val="18"/>
                <w:highlight w:val="none"/>
                <w:u w:val="none"/>
                <w:lang w:val="en-US" w:eastAsia="zh-CN" w:bidi="ar"/>
              </w:rPr>
            </w:pPr>
            <w:r>
              <w:rPr>
                <w:rFonts w:hint="eastAsia" w:ascii="宋体" w:hAnsi="宋体" w:eastAsia="宋体" w:cs="宋体"/>
                <w:b w:val="0"/>
                <w:bCs w:val="0"/>
                <w:i w:val="0"/>
                <w:color w:val="auto"/>
                <w:kern w:val="0"/>
                <w:sz w:val="18"/>
                <w:szCs w:val="18"/>
                <w:highlight w:val="none"/>
                <w:u w:val="none"/>
                <w:lang w:val="en-US" w:eastAsia="zh-CN" w:bidi="ar"/>
              </w:rPr>
              <w:t>须提供有效的会计师事务所出具的2021年、2022年、2023年的财务审计报告（复印件加盖单位公章），</w:t>
            </w:r>
            <w:r>
              <w:rPr>
                <w:rFonts w:hint="eastAsia" w:ascii="宋体" w:hAnsi="宋体" w:eastAsia="宋体" w:cs="宋体"/>
                <w:color w:val="auto"/>
                <w:kern w:val="0"/>
                <w:sz w:val="18"/>
                <w:szCs w:val="18"/>
                <w:highlight w:val="none"/>
                <w:u w:val="none"/>
                <w:lang w:bidi="ar"/>
              </w:rPr>
              <w:t>对负债率、流动资金、净资产</w:t>
            </w:r>
            <w:r>
              <w:rPr>
                <w:rFonts w:hint="eastAsia" w:ascii="宋体" w:hAnsi="宋体" w:cs="宋体"/>
                <w:color w:val="auto"/>
                <w:kern w:val="0"/>
                <w:sz w:val="18"/>
                <w:szCs w:val="18"/>
                <w:highlight w:val="none"/>
                <w:u w:val="none"/>
                <w:lang w:val="en-US" w:eastAsia="zh-CN" w:bidi="ar"/>
              </w:rPr>
              <w:t>情况</w:t>
            </w:r>
            <w:r>
              <w:rPr>
                <w:rFonts w:hint="eastAsia" w:ascii="宋体" w:hAnsi="宋体" w:eastAsia="宋体" w:cs="宋体"/>
                <w:color w:val="auto"/>
                <w:kern w:val="0"/>
                <w:sz w:val="18"/>
                <w:szCs w:val="18"/>
                <w:highlight w:val="none"/>
                <w:u w:val="none"/>
                <w:lang w:bidi="ar"/>
              </w:rPr>
              <w:t>，</w:t>
            </w:r>
            <w:r>
              <w:rPr>
                <w:rFonts w:hint="eastAsia" w:ascii="宋体" w:hAnsi="宋体" w:cs="宋体"/>
                <w:color w:val="auto"/>
                <w:kern w:val="0"/>
                <w:sz w:val="18"/>
                <w:szCs w:val="18"/>
                <w:highlight w:val="none"/>
                <w:u w:val="none"/>
                <w:lang w:val="en-US" w:eastAsia="zh-CN" w:bidi="ar"/>
              </w:rPr>
              <w:t>从有利于采购人、减少项目风险角度进行</w:t>
            </w:r>
            <w:r>
              <w:rPr>
                <w:rFonts w:hint="eastAsia" w:ascii="宋体" w:hAnsi="宋体" w:eastAsia="宋体" w:cs="宋体"/>
                <w:color w:val="auto"/>
                <w:kern w:val="0"/>
                <w:sz w:val="18"/>
                <w:szCs w:val="18"/>
                <w:highlight w:val="none"/>
                <w:u w:val="none"/>
                <w:lang w:bidi="ar"/>
              </w:rPr>
              <w:t>综合</w:t>
            </w:r>
            <w:r>
              <w:rPr>
                <w:rFonts w:hint="eastAsia" w:ascii="宋体" w:hAnsi="宋体" w:cs="宋体"/>
                <w:color w:val="auto"/>
                <w:kern w:val="0"/>
                <w:sz w:val="18"/>
                <w:szCs w:val="18"/>
                <w:highlight w:val="none"/>
                <w:u w:val="none"/>
                <w:lang w:val="en-US" w:eastAsia="zh-CN" w:bidi="ar"/>
              </w:rPr>
              <w:t>评分：</w:t>
            </w:r>
            <w:r>
              <w:rPr>
                <w:rFonts w:hint="eastAsia" w:ascii="宋体" w:hAnsi="宋体" w:eastAsia="宋体" w:cs="宋体"/>
                <w:color w:val="auto"/>
                <w:kern w:val="0"/>
                <w:sz w:val="18"/>
                <w:szCs w:val="18"/>
                <w:highlight w:val="none"/>
                <w:u w:val="none"/>
                <w:lang w:bidi="ar"/>
              </w:rPr>
              <w:t>一般0-</w:t>
            </w:r>
            <w:r>
              <w:rPr>
                <w:rFonts w:hint="eastAsia" w:ascii="宋体" w:hAnsi="宋体" w:eastAsia="宋体" w:cs="宋体"/>
                <w:color w:val="auto"/>
                <w:kern w:val="0"/>
                <w:sz w:val="18"/>
                <w:szCs w:val="18"/>
                <w:highlight w:val="none"/>
                <w:u w:val="none"/>
                <w:lang w:val="en-US" w:eastAsia="zh-CN" w:bidi="ar"/>
              </w:rPr>
              <w:t>1</w:t>
            </w:r>
            <w:r>
              <w:rPr>
                <w:rFonts w:hint="eastAsia" w:ascii="宋体" w:hAnsi="宋体" w:eastAsia="宋体" w:cs="宋体"/>
                <w:color w:val="auto"/>
                <w:kern w:val="0"/>
                <w:sz w:val="18"/>
                <w:szCs w:val="18"/>
                <w:highlight w:val="none"/>
                <w:u w:val="none"/>
                <w:lang w:bidi="ar"/>
              </w:rPr>
              <w:t>分，</w:t>
            </w:r>
            <w:r>
              <w:rPr>
                <w:rFonts w:hint="eastAsia" w:ascii="宋体" w:hAnsi="宋体" w:eastAsia="宋体" w:cs="宋体"/>
                <w:color w:val="auto"/>
                <w:kern w:val="0"/>
                <w:sz w:val="18"/>
                <w:szCs w:val="18"/>
                <w:highlight w:val="none"/>
                <w:u w:val="none"/>
                <w:lang w:val="en-US" w:eastAsia="zh-CN" w:bidi="ar"/>
              </w:rPr>
              <w:t>较好1.1</w:t>
            </w:r>
            <w:r>
              <w:rPr>
                <w:rFonts w:hint="eastAsia" w:ascii="宋体" w:hAnsi="宋体" w:eastAsia="宋体" w:cs="宋体"/>
                <w:color w:val="auto"/>
                <w:kern w:val="0"/>
                <w:sz w:val="18"/>
                <w:szCs w:val="18"/>
                <w:highlight w:val="none"/>
                <w:u w:val="none"/>
                <w:lang w:bidi="ar"/>
              </w:rPr>
              <w:t>-</w:t>
            </w:r>
            <w:r>
              <w:rPr>
                <w:rFonts w:hint="eastAsia" w:ascii="宋体" w:hAnsi="宋体" w:eastAsia="宋体" w:cs="宋体"/>
                <w:color w:val="auto"/>
                <w:kern w:val="0"/>
                <w:sz w:val="18"/>
                <w:szCs w:val="18"/>
                <w:highlight w:val="none"/>
                <w:u w:val="none"/>
                <w:lang w:val="en-US" w:eastAsia="zh-CN" w:bidi="ar"/>
              </w:rPr>
              <w:t>2</w:t>
            </w:r>
            <w:r>
              <w:rPr>
                <w:rFonts w:hint="eastAsia" w:ascii="宋体" w:hAnsi="宋体" w:eastAsia="宋体" w:cs="宋体"/>
                <w:color w:val="auto"/>
                <w:kern w:val="0"/>
                <w:sz w:val="18"/>
                <w:szCs w:val="18"/>
                <w:highlight w:val="none"/>
                <w:u w:val="none"/>
                <w:lang w:bidi="ar"/>
              </w:rPr>
              <w:t>分</w:t>
            </w:r>
            <w:r>
              <w:rPr>
                <w:rFonts w:hint="eastAsia" w:ascii="宋体" w:hAnsi="宋体" w:eastAsia="宋体" w:cs="宋体"/>
                <w:color w:val="auto"/>
                <w:kern w:val="0"/>
                <w:sz w:val="18"/>
                <w:szCs w:val="18"/>
                <w:highlight w:val="none"/>
                <w:u w:val="none"/>
                <w:lang w:eastAsia="zh-CN" w:bidi="ar"/>
              </w:rPr>
              <w:t>，</w:t>
            </w:r>
            <w:r>
              <w:rPr>
                <w:rFonts w:hint="eastAsia" w:ascii="宋体" w:hAnsi="宋体" w:eastAsia="宋体" w:cs="宋体"/>
                <w:b w:val="0"/>
                <w:bCs w:val="0"/>
                <w:i w:val="0"/>
                <w:color w:val="auto"/>
                <w:kern w:val="0"/>
                <w:sz w:val="18"/>
                <w:szCs w:val="18"/>
                <w:highlight w:val="none"/>
                <w:u w:val="none"/>
                <w:lang w:val="en-US" w:eastAsia="zh-CN" w:bidi="ar"/>
              </w:rPr>
              <w:t>未提供的不得分。</w:t>
            </w:r>
          </w:p>
        </w:tc>
      </w:tr>
      <w:tr w14:paraId="4164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4A9070A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strike w:val="0"/>
                <w:color w:val="auto"/>
                <w:sz w:val="18"/>
                <w:szCs w:val="18"/>
                <w:highlight w:val="none"/>
                <w:lang w:val="en-US" w:eastAsia="zh-CN"/>
              </w:rPr>
            </w:pPr>
            <w:r>
              <w:rPr>
                <w:rFonts w:hint="eastAsia" w:ascii="宋体" w:hAnsi="宋体" w:eastAsia="宋体" w:cs="宋体"/>
                <w:b w:val="0"/>
                <w:strike w:val="0"/>
                <w:color w:val="auto"/>
                <w:sz w:val="18"/>
                <w:szCs w:val="18"/>
                <w:highlight w:val="none"/>
                <w:lang w:val="en-US" w:eastAsia="zh-CN"/>
              </w:rPr>
              <w:t>3</w:t>
            </w:r>
          </w:p>
        </w:tc>
        <w:tc>
          <w:tcPr>
            <w:tcW w:w="792" w:type="dxa"/>
            <w:vMerge w:val="continue"/>
            <w:noWrap w:val="0"/>
            <w:vAlign w:val="center"/>
          </w:tcPr>
          <w:p w14:paraId="347B0D9C">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color w:val="auto"/>
                <w:sz w:val="18"/>
                <w:szCs w:val="18"/>
                <w:highlight w:val="none"/>
                <w:lang w:val="en-US" w:eastAsia="zh-CN"/>
              </w:rPr>
            </w:pPr>
          </w:p>
        </w:tc>
        <w:tc>
          <w:tcPr>
            <w:tcW w:w="600" w:type="dxa"/>
            <w:noWrap w:val="0"/>
            <w:vAlign w:val="center"/>
          </w:tcPr>
          <w:p w14:paraId="2A71609F">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color w:val="auto"/>
                <w:kern w:val="2"/>
                <w:sz w:val="18"/>
                <w:szCs w:val="18"/>
                <w:highlight w:val="none"/>
                <w:lang w:val="en-US" w:eastAsia="zh-CN" w:bidi="ar-SA"/>
              </w:rPr>
            </w:pPr>
            <w:r>
              <w:rPr>
                <w:rFonts w:hint="eastAsia" w:ascii="宋体" w:hAnsi="宋体" w:cs="宋体"/>
                <w:b w:val="0"/>
                <w:strike w:val="0"/>
                <w:color w:val="auto"/>
                <w:kern w:val="2"/>
                <w:sz w:val="18"/>
                <w:szCs w:val="18"/>
                <w:highlight w:val="none"/>
                <w:lang w:val="en-US" w:eastAsia="zh-CN" w:bidi="ar-SA"/>
              </w:rPr>
              <w:t>5</w:t>
            </w:r>
          </w:p>
        </w:tc>
        <w:tc>
          <w:tcPr>
            <w:tcW w:w="7186" w:type="dxa"/>
            <w:noWrap w:val="0"/>
            <w:vAlign w:val="center"/>
          </w:tcPr>
          <w:p w14:paraId="42215EEA">
            <w:pPr>
              <w:keepNext w:val="0"/>
              <w:keepLines w:val="0"/>
              <w:pageBreakBefore w:val="0"/>
              <w:numPr>
                <w:ilvl w:val="-1"/>
                <w:numId w:val="0"/>
              </w:numPr>
              <w:suppressLineNumbers w:val="0"/>
              <w:kinsoku/>
              <w:wordWrap/>
              <w:topLinePunct w:val="0"/>
              <w:bidi w:val="0"/>
              <w:snapToGrid/>
              <w:spacing w:before="0" w:beforeAutospacing="0" w:after="0" w:afterAutospacing="0" w:line="240" w:lineRule="exact"/>
              <w:ind w:left="0" w:right="0"/>
              <w:jc w:val="left"/>
              <w:rPr>
                <w:rFonts w:hint="eastAsia" w:ascii="宋体" w:hAnsi="宋体" w:eastAsia="宋体" w:cs="宋体"/>
                <w:b w:val="0"/>
                <w:strike w:val="0"/>
                <w:color w:val="auto"/>
                <w:sz w:val="18"/>
                <w:szCs w:val="18"/>
                <w:highlight w:val="none"/>
              </w:rPr>
            </w:pPr>
            <w:r>
              <w:rPr>
                <w:rFonts w:hint="eastAsia" w:ascii="宋体" w:hAnsi="宋体" w:cs="宋体"/>
                <w:b w:val="0"/>
                <w:strike w:val="0"/>
                <w:color w:val="auto"/>
                <w:sz w:val="18"/>
                <w:szCs w:val="18"/>
                <w:highlight w:val="none"/>
                <w:lang w:val="en-US" w:eastAsia="zh-CN"/>
              </w:rPr>
              <w:t>1.</w:t>
            </w:r>
            <w:r>
              <w:rPr>
                <w:rFonts w:hint="eastAsia" w:ascii="宋体" w:hAnsi="宋体" w:eastAsia="宋体" w:cs="宋体"/>
                <w:b w:val="0"/>
                <w:strike w:val="0"/>
                <w:color w:val="auto"/>
                <w:sz w:val="18"/>
                <w:szCs w:val="18"/>
                <w:highlight w:val="none"/>
              </w:rPr>
              <w:t>投标</w:t>
            </w:r>
            <w:r>
              <w:rPr>
                <w:rFonts w:hint="eastAsia" w:ascii="宋体" w:hAnsi="宋体" w:eastAsia="宋体" w:cs="宋体"/>
                <w:b w:val="0"/>
                <w:strike w:val="0"/>
                <w:color w:val="auto"/>
                <w:sz w:val="18"/>
                <w:szCs w:val="18"/>
                <w:highlight w:val="none"/>
                <w:lang w:val="en-US" w:eastAsia="zh-CN"/>
              </w:rPr>
              <w:t>供应商</w:t>
            </w:r>
            <w:r>
              <w:rPr>
                <w:rFonts w:hint="eastAsia" w:ascii="宋体" w:hAnsi="宋体" w:eastAsia="宋体" w:cs="宋体"/>
                <w:b w:val="0"/>
                <w:strike w:val="0"/>
                <w:color w:val="auto"/>
                <w:sz w:val="18"/>
                <w:szCs w:val="18"/>
                <w:highlight w:val="none"/>
              </w:rPr>
              <w:t>具备《燃气燃烧器具安装、维修企业资质》的得</w:t>
            </w:r>
            <w:r>
              <w:rPr>
                <w:rFonts w:hint="eastAsia" w:ascii="宋体" w:hAnsi="宋体" w:eastAsia="宋体" w:cs="宋体"/>
                <w:b w:val="0"/>
                <w:strike w:val="0"/>
                <w:color w:val="auto"/>
                <w:sz w:val="18"/>
                <w:szCs w:val="18"/>
                <w:highlight w:val="none"/>
                <w:lang w:val="en-US" w:eastAsia="zh-CN"/>
              </w:rPr>
              <w:t>3</w:t>
            </w:r>
            <w:r>
              <w:rPr>
                <w:rFonts w:hint="eastAsia" w:ascii="宋体" w:hAnsi="宋体" w:eastAsia="宋体" w:cs="宋体"/>
                <w:b w:val="0"/>
                <w:strike w:val="0"/>
                <w:color w:val="auto"/>
                <w:sz w:val="18"/>
                <w:szCs w:val="18"/>
                <w:highlight w:val="none"/>
              </w:rPr>
              <w:t>分</w:t>
            </w:r>
            <w:r>
              <w:rPr>
                <w:rFonts w:hint="eastAsia" w:ascii="宋体" w:hAnsi="宋体" w:eastAsia="宋体" w:cs="宋体"/>
                <w:b w:val="0"/>
                <w:strike w:val="0"/>
                <w:color w:val="auto"/>
                <w:sz w:val="18"/>
                <w:szCs w:val="18"/>
                <w:highlight w:val="none"/>
                <w:lang w:eastAsia="zh-CN"/>
              </w:rPr>
              <w:t>，</w:t>
            </w:r>
            <w:r>
              <w:rPr>
                <w:rFonts w:hint="eastAsia" w:ascii="宋体" w:hAnsi="宋体" w:eastAsia="宋体" w:cs="宋体"/>
                <w:b w:val="0"/>
                <w:strike w:val="0"/>
                <w:color w:val="auto"/>
                <w:sz w:val="18"/>
                <w:szCs w:val="18"/>
                <w:highlight w:val="none"/>
                <w:lang w:val="en-US" w:eastAsia="zh-CN"/>
              </w:rPr>
              <w:t>没有不得分</w:t>
            </w:r>
            <w:r>
              <w:rPr>
                <w:rFonts w:hint="eastAsia" w:ascii="宋体" w:hAnsi="宋体" w:eastAsia="宋体" w:cs="宋体"/>
                <w:b w:val="0"/>
                <w:strike w:val="0"/>
                <w:color w:val="auto"/>
                <w:sz w:val="18"/>
                <w:szCs w:val="18"/>
                <w:highlight w:val="none"/>
              </w:rPr>
              <w:t>。</w:t>
            </w:r>
          </w:p>
          <w:p w14:paraId="429868BA">
            <w:pPr>
              <w:keepNext w:val="0"/>
              <w:keepLines w:val="0"/>
              <w:pageBreakBefore w:val="0"/>
              <w:numPr>
                <w:ilvl w:val="-1"/>
                <w:numId w:val="0"/>
              </w:numPr>
              <w:suppressLineNumbers w:val="0"/>
              <w:kinsoku/>
              <w:wordWrap/>
              <w:topLinePunct w:val="0"/>
              <w:bidi w:val="0"/>
              <w:snapToGrid/>
              <w:spacing w:before="0" w:beforeAutospacing="0" w:after="0" w:afterAutospacing="0" w:line="240" w:lineRule="exact"/>
              <w:ind w:left="0" w:right="0"/>
              <w:jc w:val="left"/>
              <w:rPr>
                <w:rFonts w:hint="default" w:ascii="宋体" w:hAnsi="宋体" w:eastAsia="宋体" w:cs="宋体"/>
                <w:b w:val="0"/>
                <w:strike w:val="0"/>
                <w:color w:val="auto"/>
                <w:sz w:val="18"/>
                <w:szCs w:val="18"/>
                <w:highlight w:val="none"/>
                <w:lang w:val="en-US" w:eastAsia="zh-CN"/>
              </w:rPr>
            </w:pPr>
            <w:r>
              <w:rPr>
                <w:rFonts w:hint="eastAsia" w:ascii="宋体" w:hAnsi="宋体" w:cs="宋体"/>
                <w:b w:val="0"/>
                <w:strike w:val="0"/>
                <w:color w:val="auto"/>
                <w:sz w:val="18"/>
                <w:szCs w:val="18"/>
                <w:highlight w:val="none"/>
                <w:lang w:val="en-US" w:eastAsia="zh-CN"/>
              </w:rPr>
              <w:t>2.</w:t>
            </w:r>
            <w:r>
              <w:rPr>
                <w:rFonts w:hint="eastAsia" w:ascii="宋体" w:hAnsi="宋体" w:eastAsia="宋体" w:cs="宋体"/>
                <w:b w:val="0"/>
                <w:strike w:val="0"/>
                <w:color w:val="auto"/>
                <w:sz w:val="18"/>
                <w:szCs w:val="18"/>
                <w:highlight w:val="none"/>
              </w:rPr>
              <w:t>投标</w:t>
            </w:r>
            <w:r>
              <w:rPr>
                <w:rFonts w:hint="eastAsia" w:ascii="宋体" w:hAnsi="宋体" w:eastAsia="宋体" w:cs="宋体"/>
                <w:b w:val="0"/>
                <w:strike w:val="0"/>
                <w:color w:val="auto"/>
                <w:sz w:val="18"/>
                <w:szCs w:val="18"/>
                <w:highlight w:val="none"/>
                <w:lang w:val="en-US" w:eastAsia="zh-CN"/>
              </w:rPr>
              <w:t>供应商</w:t>
            </w:r>
            <w:r>
              <w:rPr>
                <w:rFonts w:hint="eastAsia" w:ascii="宋体" w:hAnsi="宋体" w:eastAsia="宋体" w:cs="宋体"/>
                <w:b w:val="0"/>
                <w:strike w:val="0"/>
                <w:color w:val="auto"/>
                <w:sz w:val="18"/>
                <w:szCs w:val="18"/>
                <w:highlight w:val="none"/>
              </w:rPr>
              <w:t>具备</w:t>
            </w:r>
            <w:r>
              <w:rPr>
                <w:rFonts w:hint="eastAsia" w:ascii="宋体" w:hAnsi="宋体" w:cs="宋体"/>
                <w:b w:val="0"/>
                <w:strike w:val="0"/>
                <w:color w:val="auto"/>
                <w:sz w:val="18"/>
                <w:szCs w:val="18"/>
                <w:highlight w:val="none"/>
                <w:lang w:eastAsia="zh-CN"/>
              </w:rPr>
              <w:t>《</w:t>
            </w:r>
            <w:r>
              <w:rPr>
                <w:rFonts w:hint="eastAsia" w:ascii="宋体" w:hAnsi="宋体" w:cs="宋体"/>
                <w:b w:val="0"/>
                <w:strike w:val="0"/>
                <w:color w:val="auto"/>
                <w:sz w:val="18"/>
                <w:szCs w:val="18"/>
                <w:highlight w:val="none"/>
                <w:lang w:val="en-US" w:eastAsia="zh-CN"/>
              </w:rPr>
              <w:t>安全生产许可证</w:t>
            </w:r>
            <w:r>
              <w:rPr>
                <w:rFonts w:hint="eastAsia" w:ascii="宋体" w:hAnsi="宋体" w:cs="宋体"/>
                <w:b w:val="0"/>
                <w:strike w:val="0"/>
                <w:color w:val="auto"/>
                <w:sz w:val="18"/>
                <w:szCs w:val="18"/>
                <w:highlight w:val="none"/>
                <w:lang w:eastAsia="zh-CN"/>
              </w:rPr>
              <w:t>》</w:t>
            </w:r>
            <w:r>
              <w:rPr>
                <w:rFonts w:hint="eastAsia" w:ascii="宋体" w:hAnsi="宋体" w:cs="宋体"/>
                <w:b w:val="0"/>
                <w:strike w:val="0"/>
                <w:color w:val="auto"/>
                <w:sz w:val="18"/>
                <w:szCs w:val="18"/>
                <w:highlight w:val="none"/>
                <w:lang w:val="en-US" w:eastAsia="zh-CN"/>
              </w:rPr>
              <w:t>的得2分，没有不得分。</w:t>
            </w:r>
          </w:p>
          <w:p w14:paraId="520263EC">
            <w:pPr>
              <w:keepNext w:val="0"/>
              <w:keepLines w:val="0"/>
              <w:pageBreakBefore w:val="0"/>
              <w:suppressLineNumbers w:val="0"/>
              <w:kinsoku/>
              <w:wordWrap/>
              <w:topLinePunct w:val="0"/>
              <w:bidi w:val="0"/>
              <w:snapToGrid/>
              <w:spacing w:before="0" w:beforeAutospacing="0" w:after="0" w:afterAutospacing="0" w:line="240" w:lineRule="exact"/>
              <w:ind w:left="0" w:right="0"/>
              <w:jc w:val="left"/>
              <w:rPr>
                <w:rFonts w:hint="eastAsia" w:ascii="宋体" w:hAnsi="宋体" w:eastAsia="宋体" w:cs="宋体"/>
                <w:b w:val="0"/>
                <w:strike w:val="0"/>
                <w:color w:val="auto"/>
                <w:kern w:val="2"/>
                <w:sz w:val="18"/>
                <w:szCs w:val="18"/>
                <w:highlight w:val="none"/>
                <w:lang w:val="en-US" w:eastAsia="zh-CN" w:bidi="ar-SA"/>
              </w:rPr>
            </w:pPr>
            <w:r>
              <w:rPr>
                <w:rFonts w:hint="eastAsia" w:ascii="宋体" w:hAnsi="宋体" w:eastAsia="宋体" w:cs="宋体"/>
                <w:b w:val="0"/>
                <w:strike w:val="0"/>
                <w:color w:val="auto"/>
                <w:sz w:val="18"/>
                <w:szCs w:val="18"/>
                <w:highlight w:val="none"/>
              </w:rPr>
              <w:t>注：</w:t>
            </w:r>
            <w:r>
              <w:rPr>
                <w:rFonts w:hint="eastAsia" w:ascii="宋体" w:hAnsi="宋体" w:eastAsia="宋体" w:cs="宋体"/>
                <w:b w:val="0"/>
                <w:strike w:val="0"/>
                <w:color w:val="auto"/>
                <w:sz w:val="18"/>
                <w:szCs w:val="18"/>
                <w:highlight w:val="none"/>
                <w:lang w:val="en-US" w:eastAsia="zh-CN"/>
              </w:rPr>
              <w:t>须提供</w:t>
            </w:r>
            <w:r>
              <w:rPr>
                <w:rFonts w:hint="eastAsia" w:ascii="宋体" w:hAnsi="宋体" w:eastAsia="宋体" w:cs="宋体"/>
                <w:b w:val="0"/>
                <w:strike w:val="0"/>
                <w:color w:val="auto"/>
                <w:sz w:val="18"/>
                <w:szCs w:val="18"/>
                <w:highlight w:val="none"/>
              </w:rPr>
              <w:t>相关证明材料复印件加盖投标单位公章，所提供的证书需在有效期内，否则不得分。</w:t>
            </w:r>
          </w:p>
        </w:tc>
      </w:tr>
      <w:tr w14:paraId="1CB4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vMerge w:val="restart"/>
            <w:noWrap w:val="0"/>
            <w:vAlign w:val="center"/>
          </w:tcPr>
          <w:p w14:paraId="6504CF7F">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4</w:t>
            </w:r>
          </w:p>
        </w:tc>
        <w:tc>
          <w:tcPr>
            <w:tcW w:w="792" w:type="dxa"/>
            <w:vMerge w:val="restart"/>
            <w:noWrap w:val="0"/>
            <w:vAlign w:val="center"/>
          </w:tcPr>
          <w:p w14:paraId="316E413C">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rPr>
              <w:t>供应商业绩</w:t>
            </w:r>
          </w:p>
        </w:tc>
        <w:tc>
          <w:tcPr>
            <w:tcW w:w="600" w:type="dxa"/>
            <w:noWrap w:val="0"/>
            <w:vAlign w:val="center"/>
          </w:tcPr>
          <w:p w14:paraId="7A9C529E">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default" w:ascii="宋体" w:hAnsi="宋体" w:eastAsia="宋体" w:cs="宋体"/>
                <w:b w:val="0"/>
                <w:color w:val="auto"/>
                <w:sz w:val="18"/>
                <w:szCs w:val="18"/>
                <w:highlight w:val="none"/>
                <w:lang w:val="en-US"/>
              </w:rPr>
            </w:pPr>
            <w:r>
              <w:rPr>
                <w:rFonts w:hint="eastAsia" w:ascii="宋体" w:hAnsi="宋体" w:cs="宋体"/>
                <w:b w:val="0"/>
                <w:color w:val="auto"/>
                <w:sz w:val="18"/>
                <w:szCs w:val="18"/>
                <w:highlight w:val="none"/>
                <w:lang w:val="en-US" w:eastAsia="zh-CN"/>
              </w:rPr>
              <w:t>10</w:t>
            </w:r>
          </w:p>
        </w:tc>
        <w:tc>
          <w:tcPr>
            <w:tcW w:w="7186" w:type="dxa"/>
            <w:noWrap w:val="0"/>
            <w:vAlign w:val="center"/>
          </w:tcPr>
          <w:p w14:paraId="156C5CA9">
            <w:pPr>
              <w:keepNext w:val="0"/>
              <w:keepLines w:val="0"/>
              <w:pageBreakBefore w:val="0"/>
              <w:suppressLineNumbers w:val="0"/>
              <w:kinsoku/>
              <w:wordWrap/>
              <w:topLinePunct w:val="0"/>
              <w:bidi w:val="0"/>
              <w:snapToGrid/>
              <w:spacing w:before="0" w:beforeAutospacing="0" w:after="0" w:afterAutospacing="0" w:line="240" w:lineRule="exact"/>
              <w:ind w:left="0" w:right="0"/>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投标供应商20</w:t>
            </w:r>
            <w:r>
              <w:rPr>
                <w:rFonts w:hint="eastAsia" w:ascii="宋体" w:hAnsi="宋体" w:eastAsia="宋体" w:cs="宋体"/>
                <w:b w:val="0"/>
                <w:bCs/>
                <w:color w:val="auto"/>
                <w:sz w:val="18"/>
                <w:szCs w:val="18"/>
                <w:highlight w:val="none"/>
                <w:lang w:val="en-US" w:eastAsia="zh-CN"/>
              </w:rPr>
              <w:t>21</w:t>
            </w:r>
            <w:r>
              <w:rPr>
                <w:rFonts w:hint="eastAsia" w:ascii="宋体" w:hAnsi="宋体" w:eastAsia="宋体" w:cs="宋体"/>
                <w:b w:val="0"/>
                <w:bCs/>
                <w:color w:val="auto"/>
                <w:sz w:val="18"/>
                <w:szCs w:val="18"/>
                <w:highlight w:val="none"/>
              </w:rPr>
              <w:t>年1月1日以来</w:t>
            </w:r>
            <w:r>
              <w:rPr>
                <w:rFonts w:hint="eastAsia" w:ascii="宋体" w:hAnsi="宋体" w:eastAsia="宋体" w:cs="宋体"/>
                <w:b w:val="0"/>
                <w:bCs/>
                <w:color w:val="auto"/>
                <w:sz w:val="18"/>
                <w:szCs w:val="18"/>
                <w:highlight w:val="none"/>
                <w:lang w:val="en-US" w:eastAsia="zh-CN"/>
              </w:rPr>
              <w:t>具有</w:t>
            </w:r>
            <w:r>
              <w:rPr>
                <w:rFonts w:hint="eastAsia" w:ascii="宋体" w:hAnsi="宋体" w:eastAsia="宋体" w:cs="宋体"/>
                <w:b w:val="0"/>
                <w:bCs/>
                <w:color w:val="auto"/>
                <w:sz w:val="18"/>
                <w:szCs w:val="18"/>
                <w:highlight w:val="none"/>
              </w:rPr>
              <w:t>类似</w:t>
            </w:r>
            <w:r>
              <w:rPr>
                <w:rFonts w:hint="eastAsia" w:ascii="宋体" w:hAnsi="宋体" w:eastAsia="宋体" w:cs="宋体"/>
                <w:b w:val="0"/>
                <w:color w:val="auto"/>
                <w:sz w:val="18"/>
                <w:szCs w:val="18"/>
                <w:highlight w:val="none"/>
                <w:lang w:val="en-US" w:eastAsia="zh-CN"/>
              </w:rPr>
              <w:t>业绩</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lang w:val="en-US" w:eastAsia="zh-CN"/>
              </w:rPr>
              <w:t>指</w:t>
            </w:r>
            <w:r>
              <w:rPr>
                <w:rFonts w:hint="eastAsia" w:ascii="宋体" w:hAnsi="宋体" w:eastAsia="宋体" w:cs="宋体"/>
                <w:b w:val="0"/>
                <w:color w:val="auto"/>
                <w:sz w:val="18"/>
                <w:szCs w:val="18"/>
                <w:highlight w:val="none"/>
                <w:lang w:val="en-US" w:eastAsia="zh-CN"/>
              </w:rPr>
              <w:t>单个合同中至少包含</w:t>
            </w:r>
            <w:r>
              <w:rPr>
                <w:rFonts w:hint="eastAsia" w:ascii="宋体" w:hAnsi="宋体" w:eastAsia="宋体" w:cs="宋体"/>
                <w:b w:val="0"/>
                <w:bCs/>
                <w:color w:val="auto"/>
                <w:sz w:val="18"/>
                <w:szCs w:val="18"/>
                <w:highlight w:val="none"/>
                <w:lang w:val="en-US" w:eastAsia="zh-CN"/>
              </w:rPr>
              <w:t>燃气抄表、燃气安检或燃气</w:t>
            </w:r>
            <w:r>
              <w:rPr>
                <w:rFonts w:hint="eastAsia" w:ascii="宋体" w:hAnsi="宋体" w:eastAsia="宋体" w:cs="宋体"/>
                <w:b w:val="0"/>
                <w:color w:val="auto"/>
                <w:sz w:val="18"/>
                <w:szCs w:val="18"/>
                <w:highlight w:val="none"/>
              </w:rPr>
              <w:t>通气</w:t>
            </w:r>
            <w:r>
              <w:rPr>
                <w:rFonts w:hint="eastAsia" w:ascii="宋体" w:hAnsi="宋体" w:eastAsia="宋体" w:cs="宋体"/>
                <w:b w:val="0"/>
                <w:color w:val="auto"/>
                <w:sz w:val="18"/>
                <w:szCs w:val="18"/>
                <w:highlight w:val="none"/>
                <w:lang w:val="en-US" w:eastAsia="zh-CN"/>
              </w:rPr>
              <w:t>业务中的一项内容，否则不予认可）、且合同客户数≥2万户或者合同金额≥30万元以上（符合其中之一即可）</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rPr>
              <w:t>业绩的每个得</w:t>
            </w: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分</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lang w:val="en-US" w:eastAsia="zh-CN"/>
              </w:rPr>
              <w:t>最高得</w:t>
            </w:r>
            <w:r>
              <w:rPr>
                <w:rFonts w:hint="eastAsia" w:ascii="宋体" w:hAnsi="宋体" w:cs="宋体"/>
                <w:b w:val="0"/>
                <w:bCs/>
                <w:color w:val="auto"/>
                <w:sz w:val="18"/>
                <w:szCs w:val="18"/>
                <w:highlight w:val="none"/>
                <w:lang w:val="en-US" w:eastAsia="zh-CN"/>
              </w:rPr>
              <w:t>10</w:t>
            </w:r>
            <w:r>
              <w:rPr>
                <w:rFonts w:hint="eastAsia" w:ascii="宋体" w:hAnsi="宋体" w:eastAsia="宋体" w:cs="宋体"/>
                <w:b w:val="0"/>
                <w:bCs/>
                <w:color w:val="auto"/>
                <w:sz w:val="18"/>
                <w:szCs w:val="18"/>
                <w:highlight w:val="none"/>
                <w:lang w:val="en-US" w:eastAsia="zh-CN"/>
              </w:rPr>
              <w:t>分</w:t>
            </w:r>
            <w:r>
              <w:rPr>
                <w:rFonts w:hint="eastAsia" w:ascii="宋体" w:hAnsi="宋体" w:eastAsia="宋体" w:cs="宋体"/>
                <w:b w:val="0"/>
                <w:bCs/>
                <w:color w:val="auto"/>
                <w:sz w:val="18"/>
                <w:szCs w:val="18"/>
                <w:highlight w:val="none"/>
              </w:rPr>
              <w:t>。</w:t>
            </w:r>
          </w:p>
          <w:p w14:paraId="50E58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须同时提供合同复印件、发票复印件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二者缺一不可，金额以低者为准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否则业绩不予认可。如一个项目包含多</w:t>
            </w:r>
            <w:r>
              <w:rPr>
                <w:rFonts w:hint="eastAsia" w:ascii="宋体" w:hAnsi="宋体" w:eastAsia="宋体" w:cs="宋体"/>
                <w:color w:val="auto"/>
                <w:sz w:val="18"/>
                <w:szCs w:val="18"/>
                <w:highlight w:val="none"/>
                <w:lang w:val="en-US" w:eastAsia="zh-CN"/>
              </w:rPr>
              <w:t>张发票</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lang w:val="en-US" w:eastAsia="zh-CN"/>
              </w:rPr>
              <w:t>可以</w:t>
            </w:r>
            <w:r>
              <w:rPr>
                <w:rFonts w:hint="eastAsia" w:ascii="宋体" w:hAnsi="宋体" w:eastAsia="宋体" w:cs="宋体"/>
                <w:color w:val="auto"/>
                <w:sz w:val="18"/>
                <w:szCs w:val="18"/>
                <w:highlight w:val="none"/>
              </w:rPr>
              <w:t>按</w:t>
            </w:r>
            <w:r>
              <w:rPr>
                <w:rFonts w:hint="eastAsia" w:ascii="宋体" w:hAnsi="宋体" w:eastAsia="宋体" w:cs="宋体"/>
                <w:color w:val="auto"/>
                <w:sz w:val="18"/>
                <w:szCs w:val="18"/>
                <w:highlight w:val="none"/>
                <w:lang w:val="en-US" w:eastAsia="zh-CN"/>
              </w:rPr>
              <w:t>合计金额按</w:t>
            </w:r>
            <w:r>
              <w:rPr>
                <w:rFonts w:hint="eastAsia" w:ascii="宋体" w:hAnsi="宋体" w:eastAsia="宋体" w:cs="宋体"/>
                <w:color w:val="auto"/>
                <w:sz w:val="18"/>
                <w:szCs w:val="18"/>
                <w:highlight w:val="none"/>
              </w:rPr>
              <w:t>1个项目计分，</w:t>
            </w:r>
            <w:r>
              <w:rPr>
                <w:rFonts w:hint="eastAsia" w:ascii="宋体" w:hAnsi="宋体" w:eastAsia="宋体" w:cs="宋体"/>
                <w:color w:val="auto"/>
                <w:sz w:val="18"/>
                <w:szCs w:val="18"/>
                <w:highlight w:val="none"/>
                <w:lang w:val="en-US" w:eastAsia="zh-CN"/>
              </w:rPr>
              <w:t>但</w:t>
            </w:r>
            <w:r>
              <w:rPr>
                <w:rFonts w:hint="eastAsia" w:ascii="宋体" w:hAnsi="宋体" w:eastAsia="宋体" w:cs="宋体"/>
                <w:color w:val="auto"/>
                <w:sz w:val="18"/>
                <w:szCs w:val="18"/>
                <w:highlight w:val="none"/>
              </w:rPr>
              <w:t>不重复计分。</w:t>
            </w:r>
          </w:p>
          <w:p w14:paraId="6B5E62D9">
            <w:pPr>
              <w:keepNext w:val="0"/>
              <w:keepLines w:val="0"/>
              <w:pageBreakBefore w:val="0"/>
              <w:suppressLineNumbers w:val="0"/>
              <w:kinsoku/>
              <w:wordWrap w:val="0"/>
              <w:topLinePunct w:val="0"/>
              <w:bidi w:val="0"/>
              <w:snapToGrid/>
              <w:spacing w:before="0" w:beforeAutospacing="0" w:after="0" w:afterAutospacing="0" w:line="240" w:lineRule="exact"/>
              <w:ind w:left="0" w:right="0"/>
              <w:rPr>
                <w:rFonts w:hint="eastAsia" w:ascii="宋体" w:hAnsi="宋体" w:eastAsia="宋体" w:cs="宋体"/>
                <w:b w:val="0"/>
                <w:bCs/>
                <w:color w:val="auto"/>
                <w:sz w:val="18"/>
                <w:szCs w:val="18"/>
                <w:highlight w:val="none"/>
              </w:rPr>
            </w:pPr>
            <w:r>
              <w:rPr>
                <w:rFonts w:hint="eastAsia" w:ascii="宋体" w:hAnsi="宋体" w:eastAsia="宋体" w:cs="宋体"/>
                <w:b/>
                <w:bCs/>
                <w:color w:val="auto"/>
                <w:sz w:val="18"/>
                <w:szCs w:val="18"/>
                <w:highlight w:val="none"/>
                <w:lang w:val="en-US" w:eastAsia="zh-CN"/>
              </w:rPr>
              <w:t>业绩发票必须在国家税务总局全国增值税发票查验平台（https://inv-veri.chinatax.gov.cn/）可以查到，如发现（开标后至中标通知书发出前）发票查询不到、冲红、作废、或者重复的发票，一律认定为投标文件中提供虚假材料、投标文件作无效标处理，投标保证金不予退还</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lang w:val="en-US" w:eastAsia="zh-CN"/>
              </w:rPr>
              <w:t>时间以落款时间为准</w:t>
            </w:r>
            <w:r>
              <w:rPr>
                <w:rFonts w:hint="eastAsia" w:ascii="宋体" w:hAnsi="宋体" w:eastAsia="宋体" w:cs="宋体"/>
                <w:b w:val="0"/>
                <w:bCs/>
                <w:color w:val="auto"/>
                <w:sz w:val="18"/>
                <w:szCs w:val="18"/>
                <w:highlight w:val="none"/>
              </w:rPr>
              <w:t>）</w:t>
            </w:r>
          </w:p>
        </w:tc>
      </w:tr>
      <w:tr w14:paraId="1FB3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vMerge w:val="continue"/>
            <w:noWrap w:val="0"/>
            <w:vAlign w:val="center"/>
          </w:tcPr>
          <w:p w14:paraId="28B8F16A">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p>
        </w:tc>
        <w:tc>
          <w:tcPr>
            <w:tcW w:w="792" w:type="dxa"/>
            <w:vMerge w:val="continue"/>
            <w:noWrap w:val="0"/>
            <w:vAlign w:val="center"/>
          </w:tcPr>
          <w:p w14:paraId="4978430F">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p>
        </w:tc>
        <w:tc>
          <w:tcPr>
            <w:tcW w:w="600" w:type="dxa"/>
            <w:noWrap w:val="0"/>
            <w:vAlign w:val="center"/>
          </w:tcPr>
          <w:p w14:paraId="0D50DDE7">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3</w:t>
            </w:r>
          </w:p>
        </w:tc>
        <w:tc>
          <w:tcPr>
            <w:tcW w:w="7186" w:type="dxa"/>
            <w:noWrap w:val="0"/>
            <w:vAlign w:val="center"/>
          </w:tcPr>
          <w:p w14:paraId="08980835">
            <w:pPr>
              <w:keepNext w:val="0"/>
              <w:keepLines w:val="0"/>
              <w:widowControl/>
              <w:suppressLineNumbers w:val="0"/>
              <w:spacing w:before="0" w:beforeAutospacing="0" w:after="0" w:afterAutospacing="0" w:line="240" w:lineRule="exact"/>
              <w:ind w:left="0" w:right="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投标人自20</w:t>
            </w:r>
            <w:r>
              <w:rPr>
                <w:rFonts w:hint="eastAsia" w:ascii="宋体" w:hAnsi="宋体" w:eastAsia="宋体" w:cs="宋体"/>
                <w:color w:val="auto"/>
                <w:sz w:val="18"/>
                <w:szCs w:val="18"/>
                <w:highlight w:val="none"/>
                <w:lang w:val="en-US" w:eastAsia="zh-CN"/>
              </w:rPr>
              <w:t>21</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月1日至今（以合同签订时间为准），承接过的类似项目获得过业主综合评价</w:t>
            </w:r>
            <w:r>
              <w:rPr>
                <w:rFonts w:hint="eastAsia" w:ascii="宋体" w:hAnsi="宋体" w:cs="宋体"/>
                <w:color w:val="auto"/>
                <w:sz w:val="18"/>
                <w:szCs w:val="18"/>
                <w:highlight w:val="none"/>
                <w:lang w:val="en-US" w:eastAsia="zh-CN"/>
              </w:rPr>
              <w:t>优或者</w:t>
            </w:r>
            <w:r>
              <w:rPr>
                <w:rFonts w:hint="eastAsia" w:ascii="宋体" w:hAnsi="宋体" w:eastAsia="宋体" w:cs="宋体"/>
                <w:color w:val="auto"/>
                <w:sz w:val="18"/>
                <w:szCs w:val="18"/>
                <w:highlight w:val="none"/>
              </w:rPr>
              <w:t>优秀的，每个得1分，最高得</w:t>
            </w:r>
            <w:bookmarkStart w:id="214" w:name="_GoBack"/>
            <w:bookmarkEnd w:id="214"/>
            <w:r>
              <w:rPr>
                <w:rFonts w:hint="eastAsia" w:ascii="宋体" w:hAnsi="宋体" w:eastAsia="宋体" w:cs="宋体"/>
                <w:color w:val="auto"/>
                <w:sz w:val="18"/>
                <w:szCs w:val="18"/>
                <w:highlight w:val="none"/>
              </w:rPr>
              <w:t>3分。</w:t>
            </w:r>
          </w:p>
          <w:p w14:paraId="78001F34">
            <w:pPr>
              <w:keepNext w:val="0"/>
              <w:keepLines w:val="0"/>
              <w:pageBreakBefore w:val="0"/>
              <w:suppressLineNumbers w:val="0"/>
              <w:kinsoku/>
              <w:wordWrap/>
              <w:topLinePunct w:val="0"/>
              <w:bidi w:val="0"/>
              <w:snapToGrid/>
              <w:spacing w:before="0" w:beforeAutospacing="0" w:after="0" w:afterAutospacing="0" w:line="240" w:lineRule="exact"/>
              <w:ind w:left="0" w:right="0"/>
              <w:jc w:val="left"/>
              <w:rPr>
                <w:rFonts w:hint="eastAsia" w:ascii="宋体" w:hAnsi="宋体" w:eastAsia="宋体" w:cs="宋体"/>
                <w:b/>
                <w:bCs/>
                <w:color w:val="auto"/>
                <w:sz w:val="18"/>
                <w:szCs w:val="18"/>
                <w:highlight w:val="none"/>
                <w:lang w:val="en-US" w:eastAsia="zh-CN"/>
              </w:rPr>
            </w:pPr>
            <w:r>
              <w:rPr>
                <w:rFonts w:hint="eastAsia" w:ascii="宋体" w:hAnsi="宋体" w:eastAsia="宋体" w:cs="宋体"/>
                <w:b w:val="0"/>
                <w:color w:val="auto"/>
                <w:sz w:val="18"/>
                <w:szCs w:val="18"/>
                <w:highlight w:val="none"/>
              </w:rPr>
              <w:t>注：投标文件中提供加盖业主公章的业主评价证明材料及</w:t>
            </w:r>
            <w:r>
              <w:rPr>
                <w:rFonts w:hint="eastAsia" w:ascii="宋体" w:hAnsi="宋体" w:eastAsia="宋体" w:cs="宋体"/>
                <w:b w:val="0"/>
                <w:color w:val="auto"/>
                <w:sz w:val="18"/>
                <w:szCs w:val="18"/>
                <w:highlight w:val="none"/>
                <w:lang w:val="en-US" w:eastAsia="zh-CN"/>
              </w:rPr>
              <w:t>相关项目</w:t>
            </w:r>
            <w:r>
              <w:rPr>
                <w:rFonts w:hint="eastAsia" w:ascii="宋体" w:hAnsi="宋体" w:eastAsia="宋体" w:cs="宋体"/>
                <w:b w:val="0"/>
                <w:color w:val="auto"/>
                <w:sz w:val="18"/>
                <w:szCs w:val="18"/>
                <w:highlight w:val="none"/>
              </w:rPr>
              <w:t>合同复印件，并加盖投标人公章，未提供</w:t>
            </w:r>
            <w:r>
              <w:rPr>
                <w:rFonts w:hint="eastAsia" w:ascii="宋体" w:hAnsi="宋体" w:eastAsia="宋体" w:cs="宋体"/>
                <w:b w:val="0"/>
                <w:color w:val="auto"/>
                <w:sz w:val="18"/>
                <w:szCs w:val="18"/>
                <w:highlight w:val="none"/>
                <w:lang w:val="en-US" w:eastAsia="zh-CN"/>
              </w:rPr>
              <w:t>或者评价为良好及以下的</w:t>
            </w:r>
            <w:r>
              <w:rPr>
                <w:rFonts w:hint="eastAsia" w:ascii="宋体" w:hAnsi="宋体" w:eastAsia="宋体" w:cs="宋体"/>
                <w:b w:val="0"/>
                <w:color w:val="auto"/>
                <w:sz w:val="18"/>
                <w:szCs w:val="18"/>
                <w:highlight w:val="none"/>
              </w:rPr>
              <w:t>不得分。</w:t>
            </w:r>
          </w:p>
        </w:tc>
      </w:tr>
      <w:tr w14:paraId="4F1B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2574296D">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r>
              <w:rPr>
                <w:rFonts w:hint="eastAsia" w:ascii="宋体" w:hAnsi="宋体" w:eastAsia="宋体" w:cs="宋体"/>
                <w:b w:val="0"/>
                <w:color w:val="auto"/>
                <w:sz w:val="18"/>
                <w:szCs w:val="18"/>
                <w:highlight w:val="none"/>
                <w:lang w:val="en-US" w:eastAsia="zh-CN"/>
              </w:rPr>
              <w:t>5</w:t>
            </w:r>
          </w:p>
        </w:tc>
        <w:tc>
          <w:tcPr>
            <w:tcW w:w="792" w:type="dxa"/>
            <w:noWrap w:val="0"/>
            <w:vAlign w:val="center"/>
          </w:tcPr>
          <w:p w14:paraId="11CBD1C4">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kern w:val="2"/>
                <w:sz w:val="18"/>
                <w:szCs w:val="18"/>
                <w:highlight w:val="none"/>
                <w:lang w:val="en-US" w:eastAsia="zh-CN" w:bidi="ar-SA"/>
              </w:rPr>
            </w:pPr>
            <w:r>
              <w:rPr>
                <w:rFonts w:hint="eastAsia" w:ascii="宋体" w:hAnsi="宋体" w:eastAsia="宋体" w:cs="宋体"/>
                <w:b w:val="0"/>
                <w:color w:val="auto"/>
                <w:sz w:val="18"/>
                <w:szCs w:val="18"/>
                <w:highlight w:val="none"/>
                <w:lang w:val="en-US" w:eastAsia="zh-CN"/>
              </w:rPr>
              <w:t>人员配备情况</w:t>
            </w:r>
          </w:p>
        </w:tc>
        <w:tc>
          <w:tcPr>
            <w:tcW w:w="600" w:type="dxa"/>
            <w:noWrap w:val="0"/>
            <w:vAlign w:val="center"/>
          </w:tcPr>
          <w:p w14:paraId="68BEA30A">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default"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11</w:t>
            </w:r>
          </w:p>
        </w:tc>
        <w:tc>
          <w:tcPr>
            <w:tcW w:w="7186" w:type="dxa"/>
            <w:noWrap w:val="0"/>
            <w:vAlign w:val="center"/>
          </w:tcPr>
          <w:p w14:paraId="2CA5D091">
            <w:pPr>
              <w:keepNext w:val="0"/>
              <w:keepLines w:val="0"/>
              <w:suppressLineNumbers w:val="0"/>
              <w:spacing w:before="0" w:beforeAutospacing="0" w:after="0" w:afterAutospacing="0" w:line="276" w:lineRule="auto"/>
              <w:ind w:left="0" w:right="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人员配备情况：</w:t>
            </w:r>
          </w:p>
          <w:p w14:paraId="30CEF02C">
            <w:pPr>
              <w:keepNext w:val="0"/>
              <w:keepLines w:val="0"/>
              <w:numPr>
                <w:ilvl w:val="0"/>
                <w:numId w:val="28"/>
              </w:numPr>
              <w:suppressLineNumbers w:val="0"/>
              <w:spacing w:before="0" w:beforeAutospacing="0" w:after="0" w:afterAutospacing="0" w:line="276" w:lineRule="auto"/>
              <w:ind w:left="0" w:right="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拟派项目组成员中项目负责人具有市政工程类</w:t>
            </w:r>
            <w:r>
              <w:rPr>
                <w:rFonts w:hint="eastAsia" w:ascii="宋体" w:hAnsi="宋体" w:cs="宋体"/>
                <w:color w:val="auto"/>
                <w:sz w:val="18"/>
                <w:szCs w:val="18"/>
                <w:highlight w:val="none"/>
                <w:lang w:val="en-US" w:eastAsia="zh-CN"/>
              </w:rPr>
              <w:t>或管理类</w:t>
            </w:r>
            <w:r>
              <w:rPr>
                <w:rFonts w:hint="eastAsia" w:ascii="宋体" w:hAnsi="宋体" w:eastAsia="宋体" w:cs="宋体"/>
                <w:color w:val="auto"/>
                <w:sz w:val="18"/>
                <w:szCs w:val="18"/>
                <w:highlight w:val="none"/>
                <w:lang w:val="en-US" w:eastAsia="zh-CN"/>
              </w:rPr>
              <w:t>中级及以上职称得1分；</w:t>
            </w:r>
          </w:p>
          <w:p w14:paraId="52258AC5">
            <w:pPr>
              <w:keepNext w:val="0"/>
              <w:keepLines w:val="0"/>
              <w:numPr>
                <w:ilvl w:val="0"/>
                <w:numId w:val="28"/>
              </w:numPr>
              <w:suppressLineNumbers w:val="0"/>
              <w:spacing w:before="0" w:beforeAutospacing="0" w:after="0" w:afterAutospacing="0" w:line="276" w:lineRule="auto"/>
              <w:ind w:left="0" w:right="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拟派项目组成员中项目负责人具有</w:t>
            </w:r>
            <w:r>
              <w:rPr>
                <w:rFonts w:hint="eastAsia" w:ascii="宋体" w:hAnsi="宋体" w:cs="宋体"/>
                <w:color w:val="auto"/>
                <w:sz w:val="18"/>
                <w:szCs w:val="18"/>
                <w:highlight w:val="none"/>
                <w:lang w:val="en-US" w:eastAsia="zh-CN"/>
              </w:rPr>
              <w:t>安全员证书</w:t>
            </w:r>
            <w:r>
              <w:rPr>
                <w:rFonts w:hint="eastAsia" w:ascii="宋体" w:hAnsi="宋体" w:eastAsia="宋体" w:cs="宋体"/>
                <w:color w:val="auto"/>
                <w:sz w:val="18"/>
                <w:szCs w:val="18"/>
                <w:highlight w:val="none"/>
                <w:lang w:val="en-US" w:eastAsia="zh-CN"/>
              </w:rPr>
              <w:t>得1分</w:t>
            </w:r>
            <w:r>
              <w:rPr>
                <w:rFonts w:hint="eastAsia" w:ascii="宋体" w:hAnsi="宋体" w:cs="宋体"/>
                <w:color w:val="auto"/>
                <w:sz w:val="18"/>
                <w:szCs w:val="18"/>
                <w:highlight w:val="none"/>
                <w:lang w:val="en-US" w:eastAsia="zh-CN"/>
              </w:rPr>
              <w:t>；</w:t>
            </w:r>
          </w:p>
          <w:p w14:paraId="6A18ABCD">
            <w:pPr>
              <w:keepNext w:val="0"/>
              <w:keepLines w:val="0"/>
              <w:suppressLineNumbers w:val="0"/>
              <w:spacing w:before="0" w:beforeAutospacing="0" w:after="0" w:afterAutospacing="0" w:line="276" w:lineRule="auto"/>
              <w:ind w:left="0" w:right="0" w:firstLine="0" w:firstLineChars="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2.具有燃气用户检修工或燃气器具安装维修工资质证书的，每个人得0.5分，最多得</w:t>
            </w: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lang w:val="en-US" w:eastAsia="zh-CN"/>
              </w:rPr>
              <w:t>分。</w:t>
            </w:r>
          </w:p>
          <w:p w14:paraId="05BD2D6A">
            <w:pPr>
              <w:keepNext w:val="0"/>
              <w:keepLines w:val="0"/>
              <w:suppressLineNumbers w:val="0"/>
              <w:spacing w:before="0" w:beforeAutospacing="0" w:after="0" w:afterAutospacing="0" w:line="276" w:lineRule="auto"/>
              <w:ind w:left="0" w:right="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拟派项目组成员须为投标人在职职工（在职职工不包括离、退休返聘人员），</w:t>
            </w:r>
            <w:r>
              <w:rPr>
                <w:rFonts w:hint="eastAsia" w:ascii="宋体" w:hAnsi="宋体" w:eastAsia="宋体" w:cs="宋体"/>
                <w:strike w:val="0"/>
                <w:color w:val="auto"/>
                <w:sz w:val="18"/>
                <w:szCs w:val="18"/>
                <w:highlight w:val="none"/>
                <w:lang w:val="en-US" w:eastAsia="zh-CN"/>
              </w:rPr>
              <w:t>投标文件中须提供人员社保证明及相关证书复印件并加盖投标人公章。人员</w:t>
            </w:r>
            <w:r>
              <w:rPr>
                <w:rFonts w:hint="eastAsia" w:ascii="宋体" w:hAnsi="宋体" w:eastAsia="宋体" w:cs="宋体"/>
                <w:color w:val="auto"/>
                <w:sz w:val="18"/>
                <w:szCs w:val="18"/>
                <w:highlight w:val="none"/>
                <w:lang w:val="en-US" w:eastAsia="zh-CN"/>
              </w:rPr>
              <w:t>以提供的缴费期限为投标截止日前</w:t>
            </w:r>
            <w:r>
              <w:rPr>
                <w:rFonts w:hint="eastAsia" w:ascii="宋体" w:hAnsi="宋体" w:cs="宋体"/>
                <w:color w:val="auto"/>
                <w:sz w:val="18"/>
                <w:szCs w:val="18"/>
                <w:highlight w:val="none"/>
                <w:lang w:val="en-US" w:eastAsia="zh-CN"/>
              </w:rPr>
              <w:t>半年内</w:t>
            </w:r>
            <w:r>
              <w:rPr>
                <w:rFonts w:hint="eastAsia" w:ascii="宋体" w:hAnsi="宋体" w:eastAsia="宋体" w:cs="宋体"/>
                <w:color w:val="auto"/>
                <w:sz w:val="18"/>
                <w:szCs w:val="18"/>
                <w:highlight w:val="none"/>
                <w:lang w:val="en-US" w:eastAsia="zh-CN"/>
              </w:rPr>
              <w:t>至少3个月的社保证明记录为准，否则不得分。</w:t>
            </w:r>
          </w:p>
        </w:tc>
      </w:tr>
      <w:tr w14:paraId="4E87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6CE5A740">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6</w:t>
            </w:r>
          </w:p>
        </w:tc>
        <w:tc>
          <w:tcPr>
            <w:tcW w:w="792" w:type="dxa"/>
            <w:vMerge w:val="restart"/>
            <w:noWrap w:val="0"/>
            <w:vAlign w:val="center"/>
          </w:tcPr>
          <w:p w14:paraId="11CE2658">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服务方案</w:t>
            </w:r>
          </w:p>
        </w:tc>
        <w:tc>
          <w:tcPr>
            <w:tcW w:w="600" w:type="dxa"/>
            <w:noWrap w:val="0"/>
            <w:vAlign w:val="center"/>
          </w:tcPr>
          <w:p w14:paraId="1C8552A6">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4</w:t>
            </w:r>
          </w:p>
        </w:tc>
        <w:tc>
          <w:tcPr>
            <w:tcW w:w="7186" w:type="dxa"/>
            <w:noWrap w:val="0"/>
            <w:vAlign w:val="center"/>
          </w:tcPr>
          <w:p w14:paraId="3B59C03C">
            <w:pPr>
              <w:keepNext w:val="0"/>
              <w:keepLines w:val="0"/>
              <w:suppressLineNumbers w:val="0"/>
              <w:spacing w:before="0" w:beforeAutospacing="0" w:after="0" w:afterAutospacing="0"/>
              <w:ind w:left="0" w:right="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对</w:t>
            </w:r>
            <w:r>
              <w:rPr>
                <w:rFonts w:hint="eastAsia" w:ascii="宋体" w:hAnsi="宋体" w:eastAsia="宋体" w:cs="宋体"/>
                <w:color w:val="auto"/>
                <w:sz w:val="18"/>
                <w:szCs w:val="18"/>
                <w:highlight w:val="none"/>
                <w:lang w:val="en-US" w:eastAsia="zh-CN"/>
              </w:rPr>
              <w:t>采购人</w:t>
            </w:r>
            <w:r>
              <w:rPr>
                <w:rFonts w:hint="eastAsia" w:ascii="宋体" w:hAnsi="宋体" w:eastAsia="宋体" w:cs="宋体"/>
                <w:color w:val="auto"/>
                <w:sz w:val="18"/>
                <w:szCs w:val="18"/>
                <w:highlight w:val="none"/>
                <w:lang w:eastAsia="zh-CN"/>
              </w:rPr>
              <w:t>经营情况、</w:t>
            </w:r>
            <w:r>
              <w:rPr>
                <w:rFonts w:hint="eastAsia" w:ascii="宋体" w:hAnsi="宋体" w:eastAsia="宋体" w:cs="宋体"/>
                <w:color w:val="auto"/>
                <w:sz w:val="18"/>
                <w:szCs w:val="18"/>
                <w:highlight w:val="none"/>
                <w:lang w:val="en-US" w:eastAsia="zh-CN"/>
              </w:rPr>
              <w:t>业务需求及管理架构</w:t>
            </w:r>
            <w:r>
              <w:rPr>
                <w:rFonts w:hint="eastAsia" w:ascii="宋体" w:hAnsi="宋体" w:eastAsia="宋体" w:cs="宋体"/>
                <w:color w:val="auto"/>
                <w:sz w:val="18"/>
                <w:szCs w:val="18"/>
                <w:highlight w:val="none"/>
                <w:lang w:eastAsia="zh-CN"/>
              </w:rPr>
              <w:t>的了解，对燃气客户服务</w:t>
            </w:r>
            <w:r>
              <w:rPr>
                <w:rFonts w:hint="eastAsia" w:ascii="宋体" w:hAnsi="宋体" w:eastAsia="宋体" w:cs="宋体"/>
                <w:color w:val="auto"/>
                <w:sz w:val="18"/>
                <w:szCs w:val="18"/>
                <w:highlight w:val="none"/>
                <w:lang w:val="en-US" w:eastAsia="zh-CN"/>
              </w:rPr>
              <w:t>外包</w:t>
            </w:r>
            <w:r>
              <w:rPr>
                <w:rFonts w:hint="eastAsia" w:ascii="宋体" w:hAnsi="宋体" w:eastAsia="宋体" w:cs="宋体"/>
                <w:color w:val="auto"/>
                <w:sz w:val="18"/>
                <w:szCs w:val="18"/>
                <w:highlight w:val="none"/>
                <w:lang w:eastAsia="zh-CN"/>
              </w:rPr>
              <w:t>工作的关键点有清晰的认识和解读，</w:t>
            </w:r>
            <w:r>
              <w:rPr>
                <w:rFonts w:hint="eastAsia" w:ascii="宋体" w:hAnsi="宋体" w:eastAsia="宋体" w:cs="宋体"/>
                <w:color w:val="auto"/>
                <w:sz w:val="18"/>
                <w:szCs w:val="18"/>
                <w:highlight w:val="none"/>
                <w:lang w:val="en-US" w:eastAsia="zh-CN"/>
              </w:rPr>
              <w:t>服务</w:t>
            </w:r>
            <w:r>
              <w:rPr>
                <w:rFonts w:hint="eastAsia" w:ascii="宋体" w:hAnsi="宋体" w:eastAsia="宋体" w:cs="宋体"/>
                <w:color w:val="auto"/>
                <w:sz w:val="18"/>
                <w:szCs w:val="18"/>
                <w:highlight w:val="none"/>
                <w:lang w:eastAsia="zh-CN"/>
              </w:rPr>
              <w:t>目标清晰，有明确的</w:t>
            </w:r>
            <w:r>
              <w:rPr>
                <w:rFonts w:hint="eastAsia" w:ascii="宋体" w:hAnsi="宋体" w:eastAsia="宋体" w:cs="宋体"/>
                <w:color w:val="auto"/>
                <w:sz w:val="18"/>
                <w:szCs w:val="18"/>
                <w:highlight w:val="none"/>
                <w:lang w:val="en-US" w:eastAsia="zh-CN"/>
              </w:rPr>
              <w:t>服务方案</w:t>
            </w:r>
            <w:r>
              <w:rPr>
                <w:rFonts w:hint="eastAsia" w:ascii="宋体" w:hAnsi="宋体" w:eastAsia="宋体" w:cs="宋体"/>
                <w:color w:val="auto"/>
                <w:sz w:val="18"/>
                <w:szCs w:val="18"/>
                <w:highlight w:val="none"/>
                <w:lang w:eastAsia="zh-CN"/>
              </w:rPr>
              <w:t>，由评委综合打分：</w:t>
            </w:r>
            <w:r>
              <w:rPr>
                <w:rFonts w:hint="eastAsia" w:ascii="宋体" w:hAnsi="宋体" w:eastAsia="宋体" w:cs="宋体"/>
                <w:b w:val="0"/>
                <w:bCs w:val="0"/>
                <w:i w:val="0"/>
                <w:color w:val="auto"/>
                <w:kern w:val="0"/>
                <w:sz w:val="18"/>
                <w:szCs w:val="18"/>
                <w:highlight w:val="none"/>
                <w:u w:val="none"/>
                <w:lang w:val="en-US" w:eastAsia="zh-CN" w:bidi="ar"/>
              </w:rPr>
              <w:t>一般0-</w:t>
            </w:r>
            <w:r>
              <w:rPr>
                <w:rFonts w:hint="eastAsia" w:ascii="宋体" w:hAnsi="宋体" w:cs="宋体"/>
                <w:b w:val="0"/>
                <w:bCs w:val="0"/>
                <w:i w:val="0"/>
                <w:color w:val="auto"/>
                <w:kern w:val="0"/>
                <w:sz w:val="18"/>
                <w:szCs w:val="18"/>
                <w:highlight w:val="none"/>
                <w:u w:val="none"/>
                <w:lang w:val="en-US" w:eastAsia="zh-CN" w:bidi="ar"/>
              </w:rPr>
              <w:t>1</w:t>
            </w:r>
            <w:r>
              <w:rPr>
                <w:rFonts w:hint="eastAsia" w:ascii="宋体" w:hAnsi="宋体" w:eastAsia="宋体" w:cs="宋体"/>
                <w:b w:val="0"/>
                <w:bCs w:val="0"/>
                <w:i w:val="0"/>
                <w:color w:val="auto"/>
                <w:kern w:val="0"/>
                <w:sz w:val="18"/>
                <w:szCs w:val="18"/>
                <w:highlight w:val="none"/>
                <w:u w:val="none"/>
                <w:lang w:val="en-US" w:eastAsia="zh-CN" w:bidi="ar"/>
              </w:rPr>
              <w:t>分，良</w:t>
            </w:r>
            <w:r>
              <w:rPr>
                <w:rFonts w:hint="eastAsia" w:ascii="宋体" w:hAnsi="宋体" w:cs="宋体"/>
                <w:b w:val="0"/>
                <w:bCs w:val="0"/>
                <w:i w:val="0"/>
                <w:color w:val="auto"/>
                <w:kern w:val="0"/>
                <w:sz w:val="18"/>
                <w:szCs w:val="18"/>
                <w:highlight w:val="none"/>
                <w:u w:val="none"/>
                <w:lang w:val="en-US" w:eastAsia="zh-CN" w:bidi="ar"/>
              </w:rPr>
              <w:t>1</w:t>
            </w:r>
            <w:r>
              <w:rPr>
                <w:rFonts w:hint="eastAsia" w:ascii="宋体" w:hAnsi="宋体" w:eastAsia="宋体" w:cs="宋体"/>
                <w:b w:val="0"/>
                <w:bCs w:val="0"/>
                <w:i w:val="0"/>
                <w:color w:val="auto"/>
                <w:kern w:val="0"/>
                <w:sz w:val="18"/>
                <w:szCs w:val="18"/>
                <w:highlight w:val="none"/>
                <w:u w:val="none"/>
                <w:lang w:val="en-US" w:eastAsia="zh-CN" w:bidi="ar"/>
              </w:rPr>
              <w:t>.1-</w:t>
            </w:r>
            <w:r>
              <w:rPr>
                <w:rFonts w:hint="eastAsia" w:ascii="宋体" w:hAnsi="宋体" w:cs="宋体"/>
                <w:b w:val="0"/>
                <w:bCs w:val="0"/>
                <w:i w:val="0"/>
                <w:color w:val="auto"/>
                <w:kern w:val="0"/>
                <w:sz w:val="18"/>
                <w:szCs w:val="18"/>
                <w:highlight w:val="none"/>
                <w:u w:val="none"/>
                <w:lang w:val="en-US" w:eastAsia="zh-CN" w:bidi="ar"/>
              </w:rPr>
              <w:t>3</w:t>
            </w:r>
            <w:r>
              <w:rPr>
                <w:rFonts w:hint="eastAsia" w:ascii="宋体" w:hAnsi="宋体" w:eastAsia="宋体" w:cs="宋体"/>
                <w:b w:val="0"/>
                <w:bCs w:val="0"/>
                <w:i w:val="0"/>
                <w:color w:val="auto"/>
                <w:kern w:val="0"/>
                <w:sz w:val="18"/>
                <w:szCs w:val="18"/>
                <w:highlight w:val="none"/>
                <w:u w:val="none"/>
                <w:lang w:val="en-US" w:eastAsia="zh-CN" w:bidi="ar"/>
              </w:rPr>
              <w:t>分，优</w:t>
            </w:r>
            <w:r>
              <w:rPr>
                <w:rFonts w:hint="eastAsia" w:ascii="宋体" w:hAnsi="宋体" w:cs="宋体"/>
                <w:b w:val="0"/>
                <w:bCs w:val="0"/>
                <w:i w:val="0"/>
                <w:color w:val="auto"/>
                <w:kern w:val="0"/>
                <w:sz w:val="18"/>
                <w:szCs w:val="18"/>
                <w:highlight w:val="none"/>
                <w:u w:val="none"/>
                <w:lang w:val="en-US" w:eastAsia="zh-CN" w:bidi="ar"/>
              </w:rPr>
              <w:t>3</w:t>
            </w:r>
            <w:r>
              <w:rPr>
                <w:rFonts w:hint="eastAsia" w:ascii="宋体" w:hAnsi="宋体" w:eastAsia="宋体" w:cs="宋体"/>
                <w:b w:val="0"/>
                <w:bCs w:val="0"/>
                <w:i w:val="0"/>
                <w:color w:val="auto"/>
                <w:kern w:val="0"/>
                <w:sz w:val="18"/>
                <w:szCs w:val="18"/>
                <w:highlight w:val="none"/>
                <w:u w:val="none"/>
                <w:lang w:val="en-US" w:eastAsia="zh-CN" w:bidi="ar"/>
              </w:rPr>
              <w:t>.1-</w:t>
            </w:r>
            <w:r>
              <w:rPr>
                <w:rFonts w:hint="eastAsia" w:ascii="宋体" w:hAnsi="宋体" w:cs="宋体"/>
                <w:b w:val="0"/>
                <w:bCs w:val="0"/>
                <w:i w:val="0"/>
                <w:color w:val="auto"/>
                <w:kern w:val="0"/>
                <w:sz w:val="18"/>
                <w:szCs w:val="18"/>
                <w:highlight w:val="none"/>
                <w:u w:val="none"/>
                <w:lang w:val="en-US" w:eastAsia="zh-CN" w:bidi="ar"/>
              </w:rPr>
              <w:t>4</w:t>
            </w:r>
            <w:r>
              <w:rPr>
                <w:rFonts w:hint="eastAsia" w:ascii="宋体" w:hAnsi="宋体" w:eastAsia="宋体" w:cs="宋体"/>
                <w:b w:val="0"/>
                <w:bCs w:val="0"/>
                <w:i w:val="0"/>
                <w:color w:val="auto"/>
                <w:kern w:val="0"/>
                <w:sz w:val="18"/>
                <w:szCs w:val="18"/>
                <w:highlight w:val="none"/>
                <w:u w:val="none"/>
                <w:lang w:val="en-US" w:eastAsia="zh-CN" w:bidi="ar"/>
              </w:rPr>
              <w:t>分</w:t>
            </w:r>
          </w:p>
        </w:tc>
      </w:tr>
      <w:tr w14:paraId="0A9C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0ED006B1">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7</w:t>
            </w:r>
          </w:p>
        </w:tc>
        <w:tc>
          <w:tcPr>
            <w:tcW w:w="792" w:type="dxa"/>
            <w:vMerge w:val="continue"/>
            <w:noWrap w:val="0"/>
            <w:vAlign w:val="center"/>
          </w:tcPr>
          <w:p w14:paraId="52174F19">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p>
        </w:tc>
        <w:tc>
          <w:tcPr>
            <w:tcW w:w="600" w:type="dxa"/>
            <w:noWrap w:val="0"/>
            <w:vAlign w:val="center"/>
          </w:tcPr>
          <w:p w14:paraId="561879B4">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4</w:t>
            </w:r>
          </w:p>
        </w:tc>
        <w:tc>
          <w:tcPr>
            <w:tcW w:w="7186" w:type="dxa"/>
            <w:noWrap w:val="0"/>
            <w:vAlign w:val="center"/>
          </w:tcPr>
          <w:p w14:paraId="7D031A5E">
            <w:pPr>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20" w:rightChars="0"/>
              <w:jc w:val="both"/>
              <w:textAlignment w:val="auto"/>
              <w:rPr>
                <w:rFonts w:hint="eastAsia" w:ascii="宋体" w:hAnsi="宋体" w:eastAsia="宋体" w:cs="宋体"/>
                <w:color w:val="auto"/>
                <w:kern w:val="2"/>
                <w:position w:val="-1"/>
                <w:sz w:val="18"/>
                <w:szCs w:val="18"/>
                <w:highlight w:val="none"/>
                <w:lang w:val="en-US" w:eastAsia="zh-CN" w:bidi="ar-SA"/>
              </w:rPr>
            </w:pPr>
            <w:r>
              <w:rPr>
                <w:rFonts w:hint="eastAsia" w:ascii="宋体" w:hAnsi="宋体" w:eastAsia="宋体" w:cs="宋体"/>
                <w:color w:val="auto"/>
                <w:sz w:val="18"/>
                <w:szCs w:val="18"/>
                <w:highlight w:val="none"/>
              </w:rPr>
              <w:t>对燃气客户服务外包</w:t>
            </w:r>
            <w:r>
              <w:rPr>
                <w:rFonts w:hint="eastAsia" w:ascii="宋体" w:hAnsi="宋体" w:eastAsia="宋体" w:cs="宋体"/>
                <w:color w:val="auto"/>
                <w:sz w:val="18"/>
                <w:szCs w:val="18"/>
                <w:highlight w:val="none"/>
                <w:lang w:val="en-US" w:eastAsia="zh-CN"/>
              </w:rPr>
              <w:t>服务</w:t>
            </w:r>
            <w:r>
              <w:rPr>
                <w:rFonts w:hint="eastAsia" w:ascii="宋体" w:hAnsi="宋体" w:eastAsia="宋体" w:cs="宋体"/>
                <w:color w:val="auto"/>
                <w:sz w:val="18"/>
                <w:szCs w:val="18"/>
                <w:highlight w:val="none"/>
              </w:rPr>
              <w:t>的</w:t>
            </w:r>
            <w:r>
              <w:rPr>
                <w:rFonts w:hint="eastAsia" w:ascii="宋体" w:hAnsi="宋体" w:eastAsia="宋体" w:cs="宋体"/>
                <w:color w:val="auto"/>
                <w:sz w:val="18"/>
                <w:szCs w:val="18"/>
                <w:highlight w:val="none"/>
                <w:lang w:val="en-US" w:eastAsia="zh-CN"/>
              </w:rPr>
              <w:t>熟悉程度</w:t>
            </w:r>
            <w:r>
              <w:rPr>
                <w:rFonts w:hint="eastAsia" w:ascii="宋体" w:hAnsi="宋体" w:eastAsia="宋体" w:cs="宋体"/>
                <w:color w:val="auto"/>
                <w:sz w:val="18"/>
                <w:szCs w:val="18"/>
                <w:highlight w:val="none"/>
              </w:rPr>
              <w:t>，了解项目行业背景、运营特点、业务流程，</w:t>
            </w:r>
            <w:r>
              <w:rPr>
                <w:rFonts w:hint="eastAsia" w:ascii="宋体" w:hAnsi="宋体" w:eastAsia="宋体" w:cs="宋体"/>
                <w:color w:val="auto"/>
                <w:sz w:val="18"/>
                <w:szCs w:val="18"/>
                <w:highlight w:val="none"/>
                <w:lang w:val="en-US" w:eastAsia="zh-CN"/>
              </w:rPr>
              <w:t>由评委综合打分：</w:t>
            </w:r>
            <w:r>
              <w:rPr>
                <w:rFonts w:hint="eastAsia" w:ascii="宋体" w:hAnsi="宋体" w:eastAsia="宋体" w:cs="宋体"/>
                <w:b w:val="0"/>
                <w:bCs w:val="0"/>
                <w:i w:val="0"/>
                <w:color w:val="auto"/>
                <w:kern w:val="0"/>
                <w:sz w:val="18"/>
                <w:szCs w:val="18"/>
                <w:highlight w:val="none"/>
                <w:u w:val="none"/>
                <w:lang w:val="en-US" w:eastAsia="zh-CN" w:bidi="ar"/>
              </w:rPr>
              <w:t>一般0-</w:t>
            </w:r>
            <w:r>
              <w:rPr>
                <w:rFonts w:hint="eastAsia" w:ascii="宋体" w:hAnsi="宋体" w:cs="宋体"/>
                <w:b w:val="0"/>
                <w:bCs w:val="0"/>
                <w:i w:val="0"/>
                <w:color w:val="auto"/>
                <w:kern w:val="0"/>
                <w:sz w:val="18"/>
                <w:szCs w:val="18"/>
                <w:highlight w:val="none"/>
                <w:u w:val="none"/>
                <w:lang w:val="en-US" w:eastAsia="zh-CN" w:bidi="ar"/>
              </w:rPr>
              <w:t>1</w:t>
            </w:r>
            <w:r>
              <w:rPr>
                <w:rFonts w:hint="eastAsia" w:ascii="宋体" w:hAnsi="宋体" w:eastAsia="宋体" w:cs="宋体"/>
                <w:b w:val="0"/>
                <w:bCs w:val="0"/>
                <w:i w:val="0"/>
                <w:color w:val="auto"/>
                <w:kern w:val="0"/>
                <w:sz w:val="18"/>
                <w:szCs w:val="18"/>
                <w:highlight w:val="none"/>
                <w:u w:val="none"/>
                <w:lang w:val="en-US" w:eastAsia="zh-CN" w:bidi="ar"/>
              </w:rPr>
              <w:t>分，良</w:t>
            </w:r>
            <w:r>
              <w:rPr>
                <w:rFonts w:hint="eastAsia" w:ascii="宋体" w:hAnsi="宋体" w:cs="宋体"/>
                <w:b w:val="0"/>
                <w:bCs w:val="0"/>
                <w:i w:val="0"/>
                <w:color w:val="auto"/>
                <w:kern w:val="0"/>
                <w:sz w:val="18"/>
                <w:szCs w:val="18"/>
                <w:highlight w:val="none"/>
                <w:u w:val="none"/>
                <w:lang w:val="en-US" w:eastAsia="zh-CN" w:bidi="ar"/>
              </w:rPr>
              <w:t>1</w:t>
            </w:r>
            <w:r>
              <w:rPr>
                <w:rFonts w:hint="eastAsia" w:ascii="宋体" w:hAnsi="宋体" w:eastAsia="宋体" w:cs="宋体"/>
                <w:b w:val="0"/>
                <w:bCs w:val="0"/>
                <w:i w:val="0"/>
                <w:color w:val="auto"/>
                <w:kern w:val="0"/>
                <w:sz w:val="18"/>
                <w:szCs w:val="18"/>
                <w:highlight w:val="none"/>
                <w:u w:val="none"/>
                <w:lang w:val="en-US" w:eastAsia="zh-CN" w:bidi="ar"/>
              </w:rPr>
              <w:t>.1-</w:t>
            </w:r>
            <w:r>
              <w:rPr>
                <w:rFonts w:hint="eastAsia" w:ascii="宋体" w:hAnsi="宋体" w:cs="宋体"/>
                <w:b w:val="0"/>
                <w:bCs w:val="0"/>
                <w:i w:val="0"/>
                <w:color w:val="auto"/>
                <w:kern w:val="0"/>
                <w:sz w:val="18"/>
                <w:szCs w:val="18"/>
                <w:highlight w:val="none"/>
                <w:u w:val="none"/>
                <w:lang w:val="en-US" w:eastAsia="zh-CN" w:bidi="ar"/>
              </w:rPr>
              <w:t>2</w:t>
            </w:r>
            <w:r>
              <w:rPr>
                <w:rFonts w:hint="eastAsia" w:ascii="宋体" w:hAnsi="宋体" w:eastAsia="宋体" w:cs="宋体"/>
                <w:b w:val="0"/>
                <w:bCs w:val="0"/>
                <w:i w:val="0"/>
                <w:color w:val="auto"/>
                <w:kern w:val="0"/>
                <w:sz w:val="18"/>
                <w:szCs w:val="18"/>
                <w:highlight w:val="none"/>
                <w:u w:val="none"/>
                <w:lang w:val="en-US" w:eastAsia="zh-CN" w:bidi="ar"/>
              </w:rPr>
              <w:t>分，优</w:t>
            </w:r>
            <w:r>
              <w:rPr>
                <w:rFonts w:hint="eastAsia" w:ascii="宋体" w:hAnsi="宋体" w:cs="宋体"/>
                <w:b w:val="0"/>
                <w:bCs w:val="0"/>
                <w:i w:val="0"/>
                <w:color w:val="auto"/>
                <w:kern w:val="0"/>
                <w:sz w:val="18"/>
                <w:szCs w:val="18"/>
                <w:highlight w:val="none"/>
                <w:u w:val="none"/>
                <w:lang w:val="en-US" w:eastAsia="zh-CN" w:bidi="ar"/>
              </w:rPr>
              <w:t>2</w:t>
            </w:r>
            <w:r>
              <w:rPr>
                <w:rFonts w:hint="eastAsia" w:ascii="宋体" w:hAnsi="宋体" w:eastAsia="宋体" w:cs="宋体"/>
                <w:b w:val="0"/>
                <w:bCs w:val="0"/>
                <w:i w:val="0"/>
                <w:color w:val="auto"/>
                <w:kern w:val="0"/>
                <w:sz w:val="18"/>
                <w:szCs w:val="18"/>
                <w:highlight w:val="none"/>
                <w:u w:val="none"/>
                <w:lang w:val="en-US" w:eastAsia="zh-CN" w:bidi="ar"/>
              </w:rPr>
              <w:t>.1-</w:t>
            </w:r>
            <w:r>
              <w:rPr>
                <w:rFonts w:hint="eastAsia" w:ascii="宋体" w:hAnsi="宋体" w:cs="宋体"/>
                <w:b w:val="0"/>
                <w:bCs w:val="0"/>
                <w:i w:val="0"/>
                <w:color w:val="auto"/>
                <w:kern w:val="0"/>
                <w:sz w:val="18"/>
                <w:szCs w:val="18"/>
                <w:highlight w:val="none"/>
                <w:u w:val="none"/>
                <w:lang w:val="en-US" w:eastAsia="zh-CN" w:bidi="ar"/>
              </w:rPr>
              <w:t>4</w:t>
            </w:r>
            <w:r>
              <w:rPr>
                <w:rFonts w:hint="eastAsia" w:ascii="宋体" w:hAnsi="宋体" w:eastAsia="宋体" w:cs="宋体"/>
                <w:b w:val="0"/>
                <w:bCs w:val="0"/>
                <w:i w:val="0"/>
                <w:color w:val="auto"/>
                <w:kern w:val="0"/>
                <w:sz w:val="18"/>
                <w:szCs w:val="18"/>
                <w:highlight w:val="none"/>
                <w:u w:val="none"/>
                <w:lang w:val="en-US" w:eastAsia="zh-CN" w:bidi="ar"/>
              </w:rPr>
              <w:t>分</w:t>
            </w:r>
          </w:p>
        </w:tc>
      </w:tr>
      <w:tr w14:paraId="0512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219E363B">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8</w:t>
            </w:r>
          </w:p>
        </w:tc>
        <w:tc>
          <w:tcPr>
            <w:tcW w:w="792" w:type="dxa"/>
            <w:vMerge w:val="continue"/>
            <w:noWrap w:val="0"/>
            <w:vAlign w:val="center"/>
          </w:tcPr>
          <w:p w14:paraId="74B40460">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rPr>
            </w:pPr>
          </w:p>
        </w:tc>
        <w:tc>
          <w:tcPr>
            <w:tcW w:w="600" w:type="dxa"/>
            <w:noWrap w:val="0"/>
            <w:vAlign w:val="center"/>
          </w:tcPr>
          <w:p w14:paraId="311C7817">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9</w:t>
            </w:r>
          </w:p>
        </w:tc>
        <w:tc>
          <w:tcPr>
            <w:tcW w:w="7186" w:type="dxa"/>
            <w:noWrap w:val="0"/>
            <w:vAlign w:val="center"/>
          </w:tcPr>
          <w:p w14:paraId="610E7878">
            <w:pPr>
              <w:keepNext w:val="0"/>
              <w:keepLines w:val="0"/>
              <w:suppressLineNumbers w:val="0"/>
              <w:spacing w:before="0" w:beforeAutospacing="0" w:after="0" w:afterAutospacing="0"/>
              <w:ind w:left="0" w:right="0"/>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项目服务</w:t>
            </w:r>
            <w:r>
              <w:rPr>
                <w:rFonts w:hint="eastAsia" w:ascii="宋体" w:hAnsi="宋体" w:eastAsia="宋体" w:cs="宋体"/>
                <w:color w:val="auto"/>
                <w:sz w:val="18"/>
                <w:szCs w:val="18"/>
                <w:highlight w:val="none"/>
              </w:rPr>
              <w:t>方案</w:t>
            </w:r>
            <w:r>
              <w:rPr>
                <w:rFonts w:hint="eastAsia" w:ascii="宋体" w:hAnsi="宋体" w:eastAsia="宋体" w:cs="宋体"/>
                <w:color w:val="auto"/>
                <w:sz w:val="18"/>
                <w:szCs w:val="18"/>
                <w:highlight w:val="none"/>
                <w:lang w:eastAsia="zh-CN"/>
              </w:rPr>
              <w:t>（包括各阶段工作内容、具体</w:t>
            </w:r>
            <w:r>
              <w:rPr>
                <w:rFonts w:hint="eastAsia" w:ascii="宋体" w:hAnsi="宋体" w:eastAsia="宋体" w:cs="宋体"/>
                <w:color w:val="auto"/>
                <w:sz w:val="18"/>
                <w:szCs w:val="18"/>
                <w:highlight w:val="none"/>
                <w:lang w:val="en-US" w:eastAsia="zh-CN"/>
              </w:rPr>
              <w:t>服务</w:t>
            </w:r>
            <w:r>
              <w:rPr>
                <w:rFonts w:hint="eastAsia" w:ascii="宋体" w:hAnsi="宋体" w:eastAsia="宋体" w:cs="宋体"/>
                <w:color w:val="auto"/>
                <w:sz w:val="18"/>
                <w:szCs w:val="18"/>
                <w:highlight w:val="none"/>
                <w:lang w:eastAsia="zh-CN"/>
              </w:rPr>
              <w:t>方案分解及落实、人材机方案等）</w:t>
            </w:r>
            <w:r>
              <w:rPr>
                <w:rFonts w:hint="eastAsia" w:ascii="宋体" w:hAnsi="宋体" w:eastAsia="宋体" w:cs="宋体"/>
                <w:color w:val="auto"/>
                <w:sz w:val="18"/>
                <w:szCs w:val="18"/>
                <w:highlight w:val="none"/>
                <w:lang w:val="en-US" w:eastAsia="zh-CN"/>
              </w:rPr>
              <w:t>，根据各投标人方案进行全面综合评价：</w:t>
            </w:r>
            <w:r>
              <w:rPr>
                <w:rFonts w:hint="eastAsia" w:ascii="宋体" w:hAnsi="宋体" w:eastAsia="宋体" w:cs="宋体"/>
                <w:color w:val="auto"/>
                <w:sz w:val="18"/>
                <w:szCs w:val="18"/>
                <w:highlight w:val="none"/>
              </w:rPr>
              <w:t>一般0-</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rPr>
              <w:t>分，较好</w:t>
            </w:r>
            <w:r>
              <w:rPr>
                <w:rFonts w:hint="eastAsia" w:ascii="宋体" w:hAnsi="宋体" w:cs="宋体"/>
                <w:color w:val="auto"/>
                <w:sz w:val="18"/>
                <w:szCs w:val="18"/>
                <w:highlight w:val="none"/>
                <w:lang w:val="en-US" w:eastAsia="zh-CN"/>
              </w:rPr>
              <w:t>3</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分，优</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9</w:t>
            </w:r>
            <w:r>
              <w:rPr>
                <w:rFonts w:hint="eastAsia" w:ascii="宋体" w:hAnsi="宋体" w:eastAsia="宋体" w:cs="宋体"/>
                <w:color w:val="auto"/>
                <w:sz w:val="18"/>
                <w:szCs w:val="18"/>
                <w:highlight w:val="none"/>
              </w:rPr>
              <w:t>分</w:t>
            </w:r>
          </w:p>
        </w:tc>
      </w:tr>
      <w:tr w14:paraId="2AAE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1164A91C">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9</w:t>
            </w:r>
          </w:p>
        </w:tc>
        <w:tc>
          <w:tcPr>
            <w:tcW w:w="792" w:type="dxa"/>
            <w:noWrap w:val="0"/>
            <w:vAlign w:val="center"/>
          </w:tcPr>
          <w:p w14:paraId="1CD13CFB">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管理制度和管理方案</w:t>
            </w:r>
          </w:p>
        </w:tc>
        <w:tc>
          <w:tcPr>
            <w:tcW w:w="600" w:type="dxa"/>
            <w:noWrap w:val="0"/>
            <w:vAlign w:val="center"/>
          </w:tcPr>
          <w:p w14:paraId="4877D58D">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default"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6</w:t>
            </w:r>
          </w:p>
        </w:tc>
        <w:tc>
          <w:tcPr>
            <w:tcW w:w="7186" w:type="dxa"/>
            <w:noWrap w:val="0"/>
            <w:vAlign w:val="center"/>
          </w:tcPr>
          <w:p w14:paraId="5DE13E4F">
            <w:pPr>
              <w:pStyle w:val="11"/>
              <w:keepNext w:val="0"/>
              <w:keepLines w:val="0"/>
              <w:suppressLineNumbers w:val="0"/>
              <w:spacing w:before="0" w:beforeAutospacing="0" w:after="0" w:afterAutospacing="0"/>
              <w:ind w:left="0" w:right="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根据投标人提供的</w:t>
            </w:r>
            <w:r>
              <w:rPr>
                <w:rFonts w:hint="eastAsia" w:ascii="宋体" w:hAnsi="宋体" w:eastAsia="宋体" w:cs="宋体"/>
                <w:color w:val="auto"/>
                <w:sz w:val="18"/>
                <w:szCs w:val="18"/>
                <w:highlight w:val="none"/>
                <w:lang w:val="en-US" w:eastAsia="zh-CN"/>
              </w:rPr>
              <w:t>管理制度和管理方案（包括但不限于安全管理方案、文明服务方案等）</w:t>
            </w:r>
            <w:r>
              <w:rPr>
                <w:rFonts w:hint="eastAsia" w:ascii="宋体" w:hAnsi="宋体" w:eastAsia="宋体" w:cs="宋体"/>
                <w:color w:val="auto"/>
                <w:sz w:val="18"/>
                <w:szCs w:val="18"/>
                <w:highlight w:val="none"/>
              </w:rPr>
              <w:t>进行</w:t>
            </w:r>
            <w:r>
              <w:rPr>
                <w:rFonts w:hint="eastAsia" w:ascii="宋体" w:hAnsi="宋体" w:cs="宋体"/>
                <w:color w:val="auto"/>
                <w:sz w:val="18"/>
                <w:szCs w:val="18"/>
                <w:highlight w:val="none"/>
                <w:lang w:val="en-US" w:eastAsia="zh-CN"/>
              </w:rPr>
              <w:t>全面</w:t>
            </w:r>
            <w:r>
              <w:rPr>
                <w:rFonts w:hint="eastAsia" w:ascii="宋体" w:hAnsi="宋体" w:eastAsia="宋体" w:cs="宋体"/>
                <w:color w:val="auto"/>
                <w:sz w:val="18"/>
                <w:szCs w:val="18"/>
                <w:highlight w:val="none"/>
                <w:lang w:val="en-US" w:eastAsia="zh-CN"/>
              </w:rPr>
              <w:t>综合</w:t>
            </w:r>
            <w:r>
              <w:rPr>
                <w:rFonts w:hint="eastAsia" w:ascii="宋体" w:hAnsi="宋体" w:eastAsia="宋体" w:cs="宋体"/>
                <w:color w:val="auto"/>
                <w:sz w:val="18"/>
                <w:szCs w:val="18"/>
                <w:highlight w:val="none"/>
              </w:rPr>
              <w:t>评分：</w:t>
            </w:r>
            <w:r>
              <w:rPr>
                <w:rFonts w:hint="eastAsia" w:ascii="宋体" w:hAnsi="宋体" w:eastAsia="宋体" w:cs="宋体"/>
                <w:color w:val="auto"/>
                <w:sz w:val="18"/>
                <w:szCs w:val="18"/>
                <w:highlight w:val="none"/>
                <w:lang w:val="en-US" w:eastAsia="zh-CN"/>
              </w:rPr>
              <w:t>一般</w:t>
            </w: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2分</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较好2.1</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4分</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优4.1</w:t>
            </w:r>
            <w:r>
              <w:rPr>
                <w:rFonts w:hint="eastAsia" w:ascii="宋体" w:hAnsi="宋体" w:eastAsia="宋体" w:cs="宋体"/>
                <w:color w:val="auto"/>
                <w:sz w:val="18"/>
                <w:szCs w:val="18"/>
                <w:highlight w:val="none"/>
              </w:rPr>
              <w:t>-</w:t>
            </w:r>
            <w:r>
              <w:rPr>
                <w:rFonts w:hint="eastAsia" w:ascii="宋体" w:hAnsi="宋体" w:cs="宋体"/>
                <w:color w:val="auto"/>
                <w:sz w:val="18"/>
                <w:szCs w:val="18"/>
                <w:highlight w:val="none"/>
                <w:lang w:val="en-US" w:eastAsia="zh-CN"/>
              </w:rPr>
              <w:t>6</w:t>
            </w:r>
            <w:r>
              <w:rPr>
                <w:rFonts w:hint="eastAsia" w:ascii="宋体" w:hAnsi="宋体" w:eastAsia="宋体" w:cs="宋体"/>
                <w:color w:val="auto"/>
                <w:sz w:val="18"/>
                <w:szCs w:val="18"/>
                <w:highlight w:val="none"/>
              </w:rPr>
              <w:t>分，不提供不得分。</w:t>
            </w:r>
          </w:p>
        </w:tc>
      </w:tr>
      <w:tr w14:paraId="0653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6C71D234">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10</w:t>
            </w:r>
          </w:p>
        </w:tc>
        <w:tc>
          <w:tcPr>
            <w:tcW w:w="792" w:type="dxa"/>
            <w:noWrap w:val="0"/>
            <w:vAlign w:val="center"/>
          </w:tcPr>
          <w:p w14:paraId="17E332B9">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eastAsia="宋体" w:cs="宋体"/>
                <w:b w:val="0"/>
                <w:color w:val="auto"/>
                <w:sz w:val="18"/>
                <w:szCs w:val="18"/>
                <w:highlight w:val="none"/>
                <w:lang w:val="en-US" w:eastAsia="zh-CN"/>
              </w:rPr>
              <w:t>售后服务有利性</w:t>
            </w:r>
          </w:p>
        </w:tc>
        <w:tc>
          <w:tcPr>
            <w:tcW w:w="600" w:type="dxa"/>
            <w:noWrap w:val="0"/>
            <w:vAlign w:val="center"/>
          </w:tcPr>
          <w:p w14:paraId="4E998A3D">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color w:val="auto"/>
                <w:sz w:val="18"/>
                <w:szCs w:val="18"/>
                <w:highlight w:val="none"/>
                <w:lang w:val="en-US" w:eastAsia="zh-CN"/>
              </w:rPr>
            </w:pPr>
            <w:r>
              <w:rPr>
                <w:rFonts w:hint="eastAsia" w:ascii="宋体" w:hAnsi="宋体" w:cs="宋体"/>
                <w:b w:val="0"/>
                <w:color w:val="auto"/>
                <w:sz w:val="18"/>
                <w:szCs w:val="18"/>
                <w:highlight w:val="none"/>
                <w:lang w:val="en-US" w:eastAsia="zh-CN"/>
              </w:rPr>
              <w:t>3</w:t>
            </w:r>
          </w:p>
        </w:tc>
        <w:tc>
          <w:tcPr>
            <w:tcW w:w="7186" w:type="dxa"/>
            <w:noWrap w:val="0"/>
            <w:vAlign w:val="center"/>
          </w:tcPr>
          <w:p w14:paraId="799E1B52">
            <w:pPr>
              <w:keepNext w:val="0"/>
              <w:keepLines w:val="0"/>
              <w:suppressLineNumbers w:val="0"/>
              <w:spacing w:before="0" w:beforeAutospacing="0" w:after="0" w:afterAutospacing="0" w:line="276" w:lineRule="auto"/>
              <w:ind w:left="0" w:right="0"/>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投标人针对本项目的服务能力情况（包括不仅限于服务机构设置</w:t>
            </w:r>
            <w:r>
              <w:rPr>
                <w:rFonts w:hint="eastAsia" w:ascii="宋体" w:hAnsi="宋体" w:eastAsia="宋体" w:cs="宋体"/>
                <w:color w:val="auto"/>
                <w:kern w:val="0"/>
                <w:sz w:val="18"/>
                <w:szCs w:val="18"/>
                <w:highlight w:val="none"/>
                <w:lang w:val="en-US" w:eastAsia="zh-CN"/>
              </w:rPr>
              <w:t>情况</w:t>
            </w:r>
            <w:r>
              <w:rPr>
                <w:rFonts w:hint="eastAsia" w:ascii="宋体" w:hAnsi="宋体" w:eastAsia="宋体" w:cs="宋体"/>
                <w:color w:val="auto"/>
                <w:kern w:val="0"/>
                <w:sz w:val="18"/>
                <w:szCs w:val="18"/>
                <w:highlight w:val="none"/>
              </w:rPr>
              <w:t>、机构</w:t>
            </w:r>
            <w:r>
              <w:rPr>
                <w:rFonts w:hint="eastAsia" w:ascii="宋体" w:hAnsi="宋体" w:eastAsia="宋体" w:cs="宋体"/>
                <w:color w:val="auto"/>
                <w:kern w:val="0"/>
                <w:sz w:val="18"/>
                <w:szCs w:val="18"/>
                <w:highlight w:val="none"/>
                <w:lang w:val="en-US" w:eastAsia="zh-CN"/>
              </w:rPr>
              <w:t>专业</w:t>
            </w:r>
            <w:r>
              <w:rPr>
                <w:rFonts w:hint="eastAsia" w:ascii="宋体" w:hAnsi="宋体" w:eastAsia="宋体" w:cs="宋体"/>
                <w:color w:val="auto"/>
                <w:kern w:val="0"/>
                <w:sz w:val="18"/>
                <w:szCs w:val="18"/>
                <w:highlight w:val="none"/>
              </w:rPr>
              <w:t>实力</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售后服务人员配备等情况），有利于及时响应采购人的服务需求，有利于及时处理问题</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业主声誉</w:t>
            </w:r>
            <w:r>
              <w:rPr>
                <w:rFonts w:hint="eastAsia" w:ascii="宋体" w:hAnsi="宋体" w:eastAsia="宋体" w:cs="宋体"/>
                <w:color w:val="auto"/>
                <w:kern w:val="0"/>
                <w:sz w:val="18"/>
                <w:szCs w:val="18"/>
                <w:highlight w:val="none"/>
              </w:rPr>
              <w:t>、</w:t>
            </w:r>
            <w:r>
              <w:rPr>
                <w:rFonts w:hint="eastAsia" w:ascii="宋体" w:hAnsi="宋体" w:eastAsia="宋体" w:cs="宋体"/>
                <w:b/>
                <w:bCs/>
                <w:color w:val="auto"/>
                <w:kern w:val="0"/>
                <w:sz w:val="18"/>
                <w:szCs w:val="18"/>
                <w:highlight w:val="none"/>
              </w:rPr>
              <w:t>可信度</w:t>
            </w:r>
            <w:r>
              <w:rPr>
                <w:rFonts w:hint="eastAsia" w:ascii="宋体" w:hAnsi="宋体" w:eastAsia="宋体" w:cs="宋体"/>
                <w:color w:val="auto"/>
                <w:kern w:val="0"/>
                <w:sz w:val="18"/>
                <w:szCs w:val="18"/>
                <w:highlight w:val="none"/>
              </w:rPr>
              <w:t>等进行</w:t>
            </w:r>
            <w:r>
              <w:rPr>
                <w:rFonts w:hint="eastAsia" w:ascii="宋体" w:hAnsi="宋体" w:eastAsia="宋体" w:cs="宋体"/>
                <w:color w:val="auto"/>
                <w:kern w:val="0"/>
                <w:sz w:val="18"/>
                <w:szCs w:val="18"/>
                <w:highlight w:val="none"/>
                <w:lang w:val="en-US" w:eastAsia="zh-CN"/>
              </w:rPr>
              <w:t>综合</w:t>
            </w:r>
            <w:r>
              <w:rPr>
                <w:rFonts w:hint="eastAsia" w:ascii="宋体" w:hAnsi="宋体" w:eastAsia="宋体" w:cs="宋体"/>
                <w:color w:val="auto"/>
                <w:kern w:val="0"/>
                <w:sz w:val="18"/>
                <w:szCs w:val="18"/>
                <w:highlight w:val="none"/>
              </w:rPr>
              <w:t>评价：</w:t>
            </w:r>
            <w:r>
              <w:rPr>
                <w:rFonts w:hint="eastAsia" w:ascii="宋体" w:hAnsi="宋体" w:eastAsia="宋体" w:cs="宋体"/>
                <w:b w:val="0"/>
                <w:bCs w:val="0"/>
                <w:i w:val="0"/>
                <w:color w:val="auto"/>
                <w:kern w:val="0"/>
                <w:sz w:val="18"/>
                <w:szCs w:val="18"/>
                <w:highlight w:val="none"/>
                <w:u w:val="none"/>
                <w:lang w:val="en-US" w:eastAsia="zh-CN" w:bidi="ar"/>
              </w:rPr>
              <w:t>一般0-1分，良</w:t>
            </w:r>
            <w:r>
              <w:rPr>
                <w:rFonts w:hint="eastAsia" w:ascii="宋体" w:hAnsi="宋体" w:cs="宋体"/>
                <w:b w:val="0"/>
                <w:bCs w:val="0"/>
                <w:i w:val="0"/>
                <w:color w:val="auto"/>
                <w:kern w:val="0"/>
                <w:sz w:val="18"/>
                <w:szCs w:val="18"/>
                <w:highlight w:val="none"/>
                <w:u w:val="none"/>
                <w:lang w:val="en-US" w:eastAsia="zh-CN" w:bidi="ar"/>
              </w:rPr>
              <w:t>1</w:t>
            </w:r>
            <w:r>
              <w:rPr>
                <w:rFonts w:hint="eastAsia" w:ascii="宋体" w:hAnsi="宋体" w:eastAsia="宋体" w:cs="宋体"/>
                <w:b w:val="0"/>
                <w:bCs w:val="0"/>
                <w:i w:val="0"/>
                <w:color w:val="auto"/>
                <w:kern w:val="0"/>
                <w:sz w:val="18"/>
                <w:szCs w:val="18"/>
                <w:highlight w:val="none"/>
                <w:u w:val="none"/>
                <w:lang w:val="en-US" w:eastAsia="zh-CN" w:bidi="ar"/>
              </w:rPr>
              <w:t>.1-</w:t>
            </w:r>
            <w:r>
              <w:rPr>
                <w:rFonts w:hint="eastAsia" w:ascii="宋体" w:hAnsi="宋体" w:cs="宋体"/>
                <w:b w:val="0"/>
                <w:bCs w:val="0"/>
                <w:i w:val="0"/>
                <w:color w:val="auto"/>
                <w:kern w:val="0"/>
                <w:sz w:val="18"/>
                <w:szCs w:val="18"/>
                <w:highlight w:val="none"/>
                <w:u w:val="none"/>
                <w:lang w:val="en-US" w:eastAsia="zh-CN" w:bidi="ar"/>
              </w:rPr>
              <w:t>2</w:t>
            </w:r>
            <w:r>
              <w:rPr>
                <w:rFonts w:hint="eastAsia" w:ascii="宋体" w:hAnsi="宋体" w:eastAsia="宋体" w:cs="宋体"/>
                <w:b w:val="0"/>
                <w:bCs w:val="0"/>
                <w:i w:val="0"/>
                <w:color w:val="auto"/>
                <w:kern w:val="0"/>
                <w:sz w:val="18"/>
                <w:szCs w:val="18"/>
                <w:highlight w:val="none"/>
                <w:u w:val="none"/>
                <w:lang w:val="en-US" w:eastAsia="zh-CN" w:bidi="ar"/>
              </w:rPr>
              <w:t>分，优</w:t>
            </w:r>
            <w:r>
              <w:rPr>
                <w:rFonts w:hint="eastAsia" w:ascii="宋体" w:hAnsi="宋体" w:cs="宋体"/>
                <w:b w:val="0"/>
                <w:bCs w:val="0"/>
                <w:i w:val="0"/>
                <w:color w:val="auto"/>
                <w:kern w:val="0"/>
                <w:sz w:val="18"/>
                <w:szCs w:val="18"/>
                <w:highlight w:val="none"/>
                <w:u w:val="none"/>
                <w:lang w:val="en-US" w:eastAsia="zh-CN" w:bidi="ar"/>
              </w:rPr>
              <w:t>2</w:t>
            </w:r>
            <w:r>
              <w:rPr>
                <w:rFonts w:hint="eastAsia" w:ascii="宋体" w:hAnsi="宋体" w:eastAsia="宋体" w:cs="宋体"/>
                <w:b w:val="0"/>
                <w:bCs w:val="0"/>
                <w:i w:val="0"/>
                <w:color w:val="auto"/>
                <w:kern w:val="0"/>
                <w:sz w:val="18"/>
                <w:szCs w:val="18"/>
                <w:highlight w:val="none"/>
                <w:u w:val="none"/>
                <w:lang w:val="en-US" w:eastAsia="zh-CN" w:bidi="ar"/>
              </w:rPr>
              <w:t>.1-</w:t>
            </w:r>
            <w:r>
              <w:rPr>
                <w:rFonts w:hint="eastAsia" w:ascii="宋体" w:hAnsi="宋体" w:cs="宋体"/>
                <w:b w:val="0"/>
                <w:bCs w:val="0"/>
                <w:i w:val="0"/>
                <w:color w:val="auto"/>
                <w:kern w:val="0"/>
                <w:sz w:val="18"/>
                <w:szCs w:val="18"/>
                <w:highlight w:val="none"/>
                <w:u w:val="none"/>
                <w:lang w:val="en-US" w:eastAsia="zh-CN" w:bidi="ar"/>
              </w:rPr>
              <w:t>3</w:t>
            </w:r>
            <w:r>
              <w:rPr>
                <w:rFonts w:hint="eastAsia" w:ascii="宋体" w:hAnsi="宋体" w:eastAsia="宋体" w:cs="宋体"/>
                <w:b w:val="0"/>
                <w:bCs w:val="0"/>
                <w:i w:val="0"/>
                <w:color w:val="auto"/>
                <w:kern w:val="0"/>
                <w:sz w:val="18"/>
                <w:szCs w:val="18"/>
                <w:highlight w:val="none"/>
                <w:u w:val="none"/>
                <w:lang w:val="en-US" w:eastAsia="zh-CN" w:bidi="ar"/>
              </w:rPr>
              <w:t>分</w:t>
            </w:r>
            <w:r>
              <w:rPr>
                <w:rFonts w:hint="eastAsia" w:ascii="宋体" w:hAnsi="宋体" w:eastAsia="宋体" w:cs="宋体"/>
                <w:color w:val="auto"/>
                <w:sz w:val="18"/>
                <w:szCs w:val="18"/>
                <w:highlight w:val="none"/>
                <w:lang w:val="en-US" w:eastAsia="zh-CN"/>
              </w:rPr>
              <w:t>。</w:t>
            </w:r>
          </w:p>
        </w:tc>
      </w:tr>
      <w:tr w14:paraId="1841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4" w:type="dxa"/>
            <w:noWrap w:val="0"/>
            <w:vAlign w:val="center"/>
          </w:tcPr>
          <w:p w14:paraId="585C5F7B">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dstrike w:val="0"/>
                <w:color w:val="auto"/>
                <w:sz w:val="18"/>
                <w:szCs w:val="18"/>
                <w:highlight w:val="none"/>
                <w:lang w:val="en-US" w:eastAsia="zh-CN"/>
              </w:rPr>
            </w:pPr>
            <w:r>
              <w:rPr>
                <w:rFonts w:hint="eastAsia" w:ascii="宋体" w:hAnsi="宋体" w:eastAsia="宋体" w:cs="宋体"/>
                <w:b w:val="0"/>
                <w:strike w:val="0"/>
                <w:dstrike w:val="0"/>
                <w:color w:val="auto"/>
                <w:sz w:val="18"/>
                <w:szCs w:val="18"/>
                <w:highlight w:val="none"/>
                <w:lang w:val="en-US" w:eastAsia="zh-CN"/>
              </w:rPr>
              <w:t>11</w:t>
            </w:r>
          </w:p>
        </w:tc>
        <w:tc>
          <w:tcPr>
            <w:tcW w:w="792" w:type="dxa"/>
            <w:noWrap w:val="0"/>
            <w:vAlign w:val="center"/>
          </w:tcPr>
          <w:p w14:paraId="11AEBC85">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dstrike w:val="0"/>
                <w:color w:val="auto"/>
                <w:sz w:val="18"/>
                <w:szCs w:val="18"/>
                <w:highlight w:val="none"/>
              </w:rPr>
            </w:pPr>
            <w:r>
              <w:rPr>
                <w:rFonts w:hint="eastAsia" w:ascii="宋体" w:hAnsi="宋体" w:eastAsia="宋体" w:cs="宋体"/>
                <w:b w:val="0"/>
                <w:strike w:val="0"/>
                <w:dstrike w:val="0"/>
                <w:color w:val="auto"/>
                <w:sz w:val="18"/>
                <w:szCs w:val="18"/>
                <w:highlight w:val="none"/>
                <w:lang w:val="en-US" w:eastAsia="zh-CN"/>
              </w:rPr>
              <w:t>合计</w:t>
            </w:r>
          </w:p>
        </w:tc>
        <w:tc>
          <w:tcPr>
            <w:tcW w:w="600" w:type="dxa"/>
            <w:noWrap w:val="0"/>
            <w:vAlign w:val="center"/>
          </w:tcPr>
          <w:p w14:paraId="0B51066D">
            <w:pPr>
              <w:keepNext w:val="0"/>
              <w:keepLines w:val="0"/>
              <w:pageBreakBefore w:val="0"/>
              <w:suppressLineNumbers w:val="0"/>
              <w:kinsoku/>
              <w:wordWrap/>
              <w:topLinePunct w:val="0"/>
              <w:bidi w:val="0"/>
              <w:snapToGrid/>
              <w:spacing w:before="0" w:beforeAutospacing="0" w:after="0" w:afterAutospacing="0" w:line="240" w:lineRule="exact"/>
              <w:ind w:left="0" w:right="0"/>
              <w:jc w:val="center"/>
              <w:rPr>
                <w:rFonts w:hint="eastAsia" w:ascii="宋体" w:hAnsi="宋体" w:eastAsia="宋体" w:cs="宋体"/>
                <w:b w:val="0"/>
                <w:strike w:val="0"/>
                <w:dstrike w:val="0"/>
                <w:color w:val="auto"/>
                <w:sz w:val="18"/>
                <w:szCs w:val="18"/>
                <w:highlight w:val="none"/>
              </w:rPr>
            </w:pPr>
            <w:r>
              <w:rPr>
                <w:rFonts w:hint="eastAsia" w:ascii="宋体" w:hAnsi="宋体" w:eastAsia="宋体" w:cs="宋体"/>
                <w:b w:val="0"/>
                <w:strike w:val="0"/>
                <w:dstrike w:val="0"/>
                <w:color w:val="auto"/>
                <w:sz w:val="18"/>
                <w:szCs w:val="18"/>
                <w:highlight w:val="none"/>
              </w:rPr>
              <w:fldChar w:fldCharType="begin"/>
            </w:r>
            <w:r>
              <w:rPr>
                <w:rFonts w:hint="eastAsia" w:ascii="宋体" w:hAnsi="宋体" w:eastAsia="宋体" w:cs="宋体"/>
                <w:b w:val="0"/>
                <w:strike w:val="0"/>
                <w:dstrike w:val="0"/>
                <w:color w:val="auto"/>
                <w:sz w:val="18"/>
                <w:szCs w:val="18"/>
                <w:highlight w:val="none"/>
              </w:rPr>
              <w:instrText xml:space="preserve"> =SUM(ABOVE) \* MERGEFORMAT </w:instrText>
            </w:r>
            <w:r>
              <w:rPr>
                <w:rFonts w:hint="eastAsia" w:ascii="宋体" w:hAnsi="宋体" w:eastAsia="宋体" w:cs="宋体"/>
                <w:b w:val="0"/>
                <w:strike w:val="0"/>
                <w:dstrike w:val="0"/>
                <w:color w:val="auto"/>
                <w:sz w:val="18"/>
                <w:szCs w:val="18"/>
                <w:highlight w:val="none"/>
              </w:rPr>
              <w:fldChar w:fldCharType="separate"/>
            </w:r>
            <w:r>
              <w:rPr>
                <w:rFonts w:hint="eastAsia" w:ascii="宋体" w:hAnsi="宋体" w:eastAsia="宋体" w:cs="宋体"/>
                <w:b w:val="0"/>
                <w:strike w:val="0"/>
                <w:dstrike w:val="0"/>
                <w:color w:val="auto"/>
                <w:sz w:val="18"/>
                <w:szCs w:val="18"/>
                <w:highlight w:val="none"/>
              </w:rPr>
              <w:t>60</w:t>
            </w:r>
            <w:r>
              <w:rPr>
                <w:rFonts w:hint="eastAsia" w:ascii="宋体" w:hAnsi="宋体" w:eastAsia="宋体" w:cs="宋体"/>
                <w:b w:val="0"/>
                <w:strike w:val="0"/>
                <w:dstrike w:val="0"/>
                <w:color w:val="auto"/>
                <w:sz w:val="18"/>
                <w:szCs w:val="18"/>
                <w:highlight w:val="none"/>
              </w:rPr>
              <w:fldChar w:fldCharType="end"/>
            </w:r>
          </w:p>
        </w:tc>
        <w:tc>
          <w:tcPr>
            <w:tcW w:w="7186" w:type="dxa"/>
            <w:noWrap w:val="0"/>
            <w:vAlign w:val="center"/>
          </w:tcPr>
          <w:p w14:paraId="0D5D85DC">
            <w:pPr>
              <w:keepNext w:val="0"/>
              <w:keepLines w:val="0"/>
              <w:pageBreakBefore w:val="0"/>
              <w:suppressLineNumbers w:val="0"/>
              <w:kinsoku/>
              <w:wordWrap/>
              <w:topLinePunct w:val="0"/>
              <w:bidi w:val="0"/>
              <w:snapToGrid/>
              <w:spacing w:before="0" w:beforeAutospacing="0" w:after="0" w:afterAutospacing="0" w:line="240" w:lineRule="exact"/>
              <w:ind w:left="0" w:right="0"/>
              <w:rPr>
                <w:rFonts w:hint="eastAsia" w:ascii="宋体" w:hAnsi="宋体" w:eastAsia="宋体" w:cs="宋体"/>
                <w:b w:val="0"/>
                <w:strike w:val="0"/>
                <w:dstrike w:val="0"/>
                <w:color w:val="auto"/>
                <w:sz w:val="18"/>
                <w:szCs w:val="18"/>
                <w:highlight w:val="none"/>
              </w:rPr>
            </w:pPr>
          </w:p>
        </w:tc>
      </w:tr>
    </w:tbl>
    <w:p w14:paraId="5A65A174">
      <w:pPr>
        <w:overflowPunct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评标委员会、采购机构在项目评审直至合同签订、履约期间，有权要求投标供应商出具投标文件中的合同文本，予以确认其真实性和有效性，如出现与事实不符等情况，将根据有关规定以“提供虚假材料谋取中标”予以处理。</w:t>
      </w:r>
    </w:p>
    <w:p w14:paraId="574A1856">
      <w:pPr>
        <w:overflowPunct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2）如果上述技术资信评审分值细则中某项评分细则在技术标中没有描述或不符合评分要求或严重离题，则此项可按零分处理。</w:t>
      </w:r>
    </w:p>
    <w:p w14:paraId="25BB0977">
      <w:pPr>
        <w:overflowPunct w:val="0"/>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3）投标供应商提供的相关证明资料、截图查询证明等资料模糊不清，评委无法判断或者难以辨认时，评委评审时将作未提供相关资料处理。</w:t>
      </w:r>
    </w:p>
    <w:p w14:paraId="57F3B959">
      <w:pPr>
        <w:ind w:firstLine="442" w:firstLineChars="200"/>
        <w:rPr>
          <w:rFonts w:hint="eastAsia" w:ascii="宋体" w:hAnsi="宋体" w:eastAsia="宋体" w:cs="宋体"/>
          <w:b/>
          <w:color w:val="auto"/>
          <w:sz w:val="22"/>
          <w:szCs w:val="22"/>
          <w:highlight w:val="none"/>
        </w:rPr>
      </w:pPr>
    </w:p>
    <w:p w14:paraId="26942ACA">
      <w:pPr>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2、商务（报价）评分（</w:t>
      </w:r>
      <w:r>
        <w:rPr>
          <w:rFonts w:hint="eastAsia" w:ascii="宋体" w:hAnsi="宋体" w:eastAsia="宋体" w:cs="宋体"/>
          <w:b/>
          <w:color w:val="auto"/>
          <w:sz w:val="22"/>
          <w:szCs w:val="22"/>
          <w:highlight w:val="none"/>
          <w:lang w:val="en-US" w:eastAsia="zh-CN"/>
        </w:rPr>
        <w:t>满分4</w:t>
      </w:r>
      <w:r>
        <w:rPr>
          <w:rFonts w:hint="eastAsia" w:ascii="宋体" w:hAnsi="宋体" w:eastAsia="宋体" w:cs="宋体"/>
          <w:b/>
          <w:color w:val="auto"/>
          <w:sz w:val="22"/>
          <w:szCs w:val="22"/>
          <w:highlight w:val="none"/>
        </w:rPr>
        <w:t>0分）：</w:t>
      </w:r>
    </w:p>
    <w:p w14:paraId="548F9059">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2.1</w:t>
      </w:r>
      <w:r>
        <w:rPr>
          <w:rFonts w:hint="eastAsia" w:ascii="宋体" w:hAnsi="宋体" w:eastAsia="宋体" w:cs="宋体"/>
          <w:color w:val="auto"/>
          <w:sz w:val="22"/>
          <w:highlight w:val="none"/>
        </w:rPr>
        <w:t>商务（报价）指采购文件“开标一览表”中的“投标报价（折扣系数报价）”，满足采购文件要求且投标报价（折扣系数报价）最低的有效投标报价为评标基准价。</w:t>
      </w:r>
    </w:p>
    <w:p w14:paraId="13415033">
      <w:pPr>
        <w:ind w:left="548" w:leftChars="261"/>
        <w:rPr>
          <w:rFonts w:hint="eastAsia" w:ascii="宋体" w:hAnsi="宋体" w:eastAsia="宋体" w:cs="宋体"/>
          <w:color w:val="auto"/>
          <w:sz w:val="22"/>
          <w:highlight w:val="none"/>
        </w:rPr>
      </w:pPr>
      <w:r>
        <w:rPr>
          <w:rFonts w:hint="eastAsia" w:ascii="宋体" w:hAnsi="宋体" w:eastAsia="宋体" w:cs="宋体"/>
          <w:color w:val="auto"/>
          <w:sz w:val="22"/>
          <w:highlight w:val="none"/>
        </w:rPr>
        <w:t>（1）投标报价等于评标基准价的得满分，即</w:t>
      </w:r>
      <w:r>
        <w:rPr>
          <w:rFonts w:hint="eastAsia" w:ascii="宋体" w:hAnsi="宋体" w:eastAsia="宋体" w:cs="宋体"/>
          <w:color w:val="auto"/>
          <w:sz w:val="22"/>
          <w:highlight w:val="none"/>
          <w:lang w:val="en-US" w:eastAsia="zh-CN"/>
        </w:rPr>
        <w:t>40</w:t>
      </w:r>
      <w:r>
        <w:rPr>
          <w:rFonts w:hint="eastAsia" w:ascii="宋体" w:hAnsi="宋体" w:eastAsia="宋体" w:cs="宋体"/>
          <w:color w:val="auto"/>
          <w:sz w:val="22"/>
          <w:highlight w:val="none"/>
        </w:rPr>
        <w:t>分；</w:t>
      </w:r>
    </w:p>
    <w:p w14:paraId="558D2DF9">
      <w:pPr>
        <w:ind w:left="548" w:leftChars="261"/>
        <w:rPr>
          <w:rFonts w:hint="eastAsia" w:ascii="宋体" w:hAnsi="宋体" w:eastAsia="宋体" w:cs="宋体"/>
          <w:color w:val="auto"/>
          <w:sz w:val="22"/>
          <w:highlight w:val="none"/>
        </w:rPr>
      </w:pPr>
      <w:r>
        <w:rPr>
          <w:rFonts w:hint="eastAsia" w:ascii="宋体" w:hAnsi="宋体" w:eastAsia="宋体" w:cs="宋体"/>
          <w:color w:val="auto"/>
          <w:sz w:val="22"/>
          <w:highlight w:val="none"/>
        </w:rPr>
        <w:t>（2）投标报价在评标基准价以上的，每上升1个百分点扣0.</w:t>
      </w:r>
      <w:r>
        <w:rPr>
          <w:rFonts w:hint="eastAsia" w:ascii="宋体" w:hAnsi="宋体" w:eastAsia="宋体" w:cs="宋体"/>
          <w:color w:val="auto"/>
          <w:sz w:val="22"/>
          <w:highlight w:val="none"/>
          <w:lang w:val="en-US" w:eastAsia="zh-CN"/>
        </w:rPr>
        <w:t>15</w:t>
      </w:r>
      <w:r>
        <w:rPr>
          <w:rFonts w:hint="eastAsia" w:ascii="宋体" w:hAnsi="宋体" w:eastAsia="宋体" w:cs="宋体"/>
          <w:color w:val="auto"/>
          <w:sz w:val="22"/>
          <w:highlight w:val="none"/>
        </w:rPr>
        <w:t>分；</w:t>
      </w:r>
    </w:p>
    <w:p w14:paraId="6088B791">
      <w:pPr>
        <w:ind w:left="548" w:leftChars="261"/>
        <w:rPr>
          <w:rFonts w:hint="eastAsia" w:ascii="宋体" w:hAnsi="宋体" w:eastAsia="宋体" w:cs="宋体"/>
          <w:color w:val="auto"/>
          <w:sz w:val="22"/>
          <w:highlight w:val="none"/>
        </w:rPr>
      </w:pPr>
      <w:r>
        <w:rPr>
          <w:rFonts w:hint="eastAsia" w:ascii="宋体" w:hAnsi="宋体" w:eastAsia="宋体" w:cs="宋体"/>
          <w:color w:val="auto"/>
          <w:sz w:val="22"/>
          <w:highlight w:val="none"/>
        </w:rPr>
        <w:t>（3）计算商务（报价）得分不足1个百分点时，使用直线插入法计算商务（报价）得分。</w:t>
      </w:r>
    </w:p>
    <w:p w14:paraId="5D3531AC">
      <w:pPr>
        <w:ind w:left="548" w:leftChars="261"/>
        <w:rPr>
          <w:rFonts w:hint="eastAsia" w:ascii="宋体" w:hAnsi="宋体" w:eastAsia="宋体" w:cs="宋体"/>
          <w:color w:val="auto"/>
          <w:sz w:val="22"/>
          <w:highlight w:val="none"/>
        </w:rPr>
      </w:pPr>
      <w:r>
        <w:rPr>
          <w:rFonts w:hint="eastAsia" w:ascii="宋体" w:hAnsi="宋体" w:eastAsia="宋体" w:cs="宋体"/>
          <w:color w:val="auto"/>
          <w:sz w:val="22"/>
          <w:highlight w:val="none"/>
        </w:rPr>
        <w:t>（4）计算商务（报价）分时四舍五入，保留小数点后二位。</w:t>
      </w:r>
    </w:p>
    <w:p w14:paraId="46E4D281">
      <w:pPr>
        <w:ind w:firstLine="442" w:firstLineChars="200"/>
        <w:rPr>
          <w:rFonts w:hint="eastAsia" w:ascii="宋体" w:hAnsi="宋体" w:eastAsia="宋体" w:cs="宋体"/>
          <w:b/>
          <w:bCs/>
          <w:color w:val="auto"/>
          <w:highlight w:val="none"/>
          <w:u w:val="single"/>
        </w:rPr>
      </w:pPr>
      <w:r>
        <w:rPr>
          <w:rFonts w:hint="eastAsia" w:ascii="宋体" w:hAnsi="宋体" w:eastAsia="宋体" w:cs="宋体"/>
          <w:b/>
          <w:color w:val="auto"/>
          <w:sz w:val="22"/>
          <w:highlight w:val="none"/>
          <w:lang w:val="en-US" w:eastAsia="zh-CN"/>
        </w:rPr>
        <w:t>2.2</w:t>
      </w:r>
      <w:r>
        <w:rPr>
          <w:rFonts w:hint="eastAsia" w:ascii="宋体" w:hAnsi="宋体" w:eastAsia="宋体" w:cs="宋体"/>
          <w:b/>
          <w:color w:val="auto"/>
          <w:sz w:val="22"/>
          <w:highlight w:val="none"/>
          <w:u w:val="single"/>
        </w:rPr>
        <w:t>▲本项目投标报价（折扣系数报价）最高限价为100%，</w:t>
      </w:r>
      <w:r>
        <w:rPr>
          <w:rFonts w:hint="eastAsia" w:ascii="宋体" w:hAnsi="宋体" w:eastAsia="宋体" w:cs="宋体"/>
          <w:b/>
          <w:color w:val="auto"/>
          <w:sz w:val="22"/>
          <w:highlight w:val="none"/>
          <w:u w:val="single"/>
          <w:lang w:eastAsia="zh-CN"/>
        </w:rPr>
        <w:t>投标供应商</w:t>
      </w:r>
      <w:r>
        <w:rPr>
          <w:rFonts w:hint="eastAsia" w:ascii="宋体" w:hAnsi="宋体" w:eastAsia="宋体" w:cs="宋体"/>
          <w:b/>
          <w:color w:val="auto"/>
          <w:sz w:val="22"/>
          <w:highlight w:val="none"/>
          <w:u w:val="single"/>
        </w:rPr>
        <w:t>投标报价（折扣系数报价）报价超过100%的作无效标处理。</w:t>
      </w:r>
    </w:p>
    <w:p w14:paraId="5FE05310">
      <w:pPr>
        <w:ind w:firstLine="440" w:firstLineChars="200"/>
        <w:rPr>
          <w:rFonts w:hint="eastAsia" w:ascii="宋体" w:hAnsi="宋体" w:eastAsia="宋体" w:cs="宋体"/>
          <w:color w:val="auto"/>
          <w:sz w:val="22"/>
          <w:highlight w:val="none"/>
        </w:rPr>
      </w:pPr>
    </w:p>
    <w:p w14:paraId="4EA9D0E1">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3、有效投标供应商的综合得分为技术资信分和</w:t>
      </w:r>
      <w:r>
        <w:rPr>
          <w:rFonts w:hint="eastAsia" w:ascii="宋体" w:hAnsi="宋体" w:eastAsia="宋体" w:cs="宋体"/>
          <w:color w:val="auto"/>
          <w:sz w:val="22"/>
          <w:highlight w:val="none"/>
          <w:lang w:eastAsia="zh-CN"/>
        </w:rPr>
        <w:t>商务（报价）分</w:t>
      </w:r>
      <w:r>
        <w:rPr>
          <w:rFonts w:hint="eastAsia" w:ascii="宋体" w:hAnsi="宋体" w:eastAsia="宋体" w:cs="宋体"/>
          <w:color w:val="auto"/>
          <w:sz w:val="22"/>
          <w:highlight w:val="none"/>
        </w:rPr>
        <w:t>的总和。</w:t>
      </w:r>
    </w:p>
    <w:p w14:paraId="0510D28E">
      <w:pPr>
        <w:adjustRightInd w:val="0"/>
        <w:snapToGrid w:val="0"/>
        <w:ind w:firstLine="440" w:firstLineChars="20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4、评标委员会依据法律、法规及采购文件有关规定在有效标中按投标供应商的综合得分（即技术资信分与</w:t>
      </w:r>
      <w:r>
        <w:rPr>
          <w:rFonts w:hint="eastAsia" w:ascii="宋体" w:hAnsi="宋体" w:eastAsia="宋体" w:cs="宋体"/>
          <w:bCs/>
          <w:color w:val="auto"/>
          <w:sz w:val="22"/>
          <w:szCs w:val="22"/>
          <w:highlight w:val="none"/>
          <w:lang w:eastAsia="zh-CN"/>
        </w:rPr>
        <w:t>商务（报价）分</w:t>
      </w:r>
      <w:r>
        <w:rPr>
          <w:rFonts w:hint="eastAsia" w:ascii="宋体" w:hAnsi="宋体" w:eastAsia="宋体" w:cs="宋体"/>
          <w:bCs/>
          <w:color w:val="auto"/>
          <w:sz w:val="22"/>
          <w:szCs w:val="22"/>
          <w:highlight w:val="none"/>
        </w:rPr>
        <w:t>之和）</w:t>
      </w:r>
      <w:r>
        <w:rPr>
          <w:rFonts w:hint="eastAsia" w:ascii="宋体" w:hAnsi="宋体" w:eastAsia="宋体" w:cs="宋体"/>
          <w:bCs/>
          <w:color w:val="auto"/>
          <w:sz w:val="22"/>
          <w:szCs w:val="22"/>
          <w:highlight w:val="none"/>
          <w:lang w:val="en-US" w:eastAsia="zh-CN"/>
        </w:rPr>
        <w:t>由</w:t>
      </w:r>
      <w:r>
        <w:rPr>
          <w:rFonts w:hint="eastAsia" w:ascii="宋体" w:hAnsi="宋体" w:eastAsia="宋体" w:cs="宋体"/>
          <w:bCs/>
          <w:color w:val="auto"/>
          <w:sz w:val="22"/>
          <w:szCs w:val="22"/>
          <w:highlight w:val="none"/>
        </w:rPr>
        <w:t>高</w:t>
      </w:r>
      <w:r>
        <w:rPr>
          <w:rFonts w:hint="eastAsia" w:ascii="宋体" w:hAnsi="宋体" w:eastAsia="宋体" w:cs="宋体"/>
          <w:bCs/>
          <w:color w:val="auto"/>
          <w:sz w:val="22"/>
          <w:szCs w:val="22"/>
          <w:highlight w:val="none"/>
          <w:lang w:val="en-US" w:eastAsia="zh-CN"/>
        </w:rPr>
        <w:t>到</w:t>
      </w:r>
      <w:r>
        <w:rPr>
          <w:rFonts w:hint="eastAsia" w:ascii="宋体" w:hAnsi="宋体" w:eastAsia="宋体" w:cs="宋体"/>
          <w:bCs/>
          <w:color w:val="auto"/>
          <w:sz w:val="22"/>
          <w:szCs w:val="22"/>
          <w:highlight w:val="none"/>
        </w:rPr>
        <w:t>低进行排序</w:t>
      </w:r>
      <w:r>
        <w:rPr>
          <w:rFonts w:hint="eastAsia" w:ascii="宋体" w:hAnsi="宋体" w:eastAsia="宋体" w:cs="宋体"/>
          <w:color w:val="auto"/>
          <w:sz w:val="22"/>
          <w:szCs w:val="22"/>
          <w:highlight w:val="none"/>
        </w:rPr>
        <w:t>（综合得分相同的，按投标报价由低到高进行排序；综合得分且投标报价相同的，由评标委员会抽签决定排序），</w:t>
      </w:r>
      <w:r>
        <w:rPr>
          <w:rFonts w:hint="eastAsia" w:ascii="宋体" w:hAnsi="宋体" w:eastAsia="宋体" w:cs="宋体"/>
          <w:b/>
          <w:bCs/>
          <w:color w:val="auto"/>
          <w:sz w:val="22"/>
          <w:szCs w:val="22"/>
          <w:highlight w:val="none"/>
        </w:rPr>
        <w:t>确定中标入围候选人数量</w:t>
      </w:r>
      <w:r>
        <w:rPr>
          <w:rFonts w:hint="eastAsia" w:ascii="宋体" w:hAnsi="宋体" w:eastAsia="宋体" w:cs="宋体"/>
          <w:color w:val="auto"/>
          <w:sz w:val="22"/>
          <w:szCs w:val="22"/>
          <w:highlight w:val="none"/>
        </w:rPr>
        <w:t>，并向采购人推荐，具体规则如下：</w:t>
      </w:r>
    </w:p>
    <w:p w14:paraId="1661D5DE">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有效</w:t>
      </w:r>
      <w:r>
        <w:rPr>
          <w:rFonts w:hint="eastAsia" w:ascii="宋体" w:hAnsi="宋体" w:eastAsia="宋体" w:cs="宋体"/>
          <w:color w:val="auto"/>
          <w:sz w:val="22"/>
          <w:szCs w:val="22"/>
          <w:highlight w:val="none"/>
          <w:lang w:eastAsia="zh-CN"/>
        </w:rPr>
        <w:t>投标供应商</w:t>
      </w:r>
      <w:r>
        <w:rPr>
          <w:rFonts w:hint="eastAsia" w:ascii="宋体" w:hAnsi="宋体" w:eastAsia="宋体" w:cs="宋体"/>
          <w:b w:val="0"/>
          <w:bCs w:val="0"/>
          <w:strike w:val="0"/>
          <w:dstrike w:val="0"/>
          <w:color w:val="auto"/>
          <w:sz w:val="22"/>
          <w:szCs w:val="22"/>
          <w:highlight w:val="none"/>
        </w:rPr>
        <w:t xml:space="preserve"> ＜ </w:t>
      </w:r>
      <w:r>
        <w:rPr>
          <w:rFonts w:hint="eastAsia" w:ascii="宋体" w:hAnsi="宋体" w:eastAsia="宋体" w:cs="宋体"/>
          <w:b w:val="0"/>
          <w:bCs w:val="0"/>
          <w:strike w:val="0"/>
          <w:dstrike w:val="0"/>
          <w:color w:val="auto"/>
          <w:sz w:val="22"/>
          <w:szCs w:val="22"/>
          <w:highlight w:val="none"/>
          <w:lang w:val="en-US" w:eastAsia="zh-CN"/>
        </w:rPr>
        <w:t>3</w:t>
      </w:r>
      <w:r>
        <w:rPr>
          <w:rFonts w:hint="eastAsia" w:ascii="宋体" w:hAnsi="宋体" w:eastAsia="宋体" w:cs="宋体"/>
          <w:color w:val="auto"/>
          <w:sz w:val="22"/>
          <w:szCs w:val="22"/>
          <w:highlight w:val="none"/>
        </w:rPr>
        <w:t>家时，本项目作废标处理。</w:t>
      </w:r>
    </w:p>
    <w:p w14:paraId="482D80D3">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有效</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等于</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家时，按综合得分由高到低排序取前</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名</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推荐为中标入围候选人。</w:t>
      </w:r>
    </w:p>
    <w:p w14:paraId="13B9D50F">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有效</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 xml:space="preserve"> ≥ </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家时，按综合得分由高到低排序取前</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名</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推荐为中标入围候选人。</w:t>
      </w:r>
    </w:p>
    <w:p w14:paraId="347879E6">
      <w:pPr>
        <w:ind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5</w:t>
      </w:r>
      <w:r>
        <w:rPr>
          <w:rFonts w:hint="eastAsia" w:ascii="宋体" w:hAnsi="宋体" w:eastAsia="宋体" w:cs="宋体"/>
          <w:b/>
          <w:bCs/>
          <w:color w:val="auto"/>
          <w:sz w:val="22"/>
          <w:szCs w:val="22"/>
          <w:highlight w:val="none"/>
        </w:rPr>
        <w:t>、采购人根据评标委员会的意见，按照如下原则确认中标</w:t>
      </w:r>
      <w:r>
        <w:rPr>
          <w:rFonts w:hint="eastAsia" w:ascii="宋体" w:hAnsi="宋体" w:eastAsia="宋体" w:cs="宋体"/>
          <w:b/>
          <w:bCs/>
          <w:color w:val="auto"/>
          <w:sz w:val="22"/>
          <w:szCs w:val="22"/>
          <w:highlight w:val="none"/>
          <w:lang w:val="en-US" w:eastAsia="zh-CN"/>
        </w:rPr>
        <w:t>入围</w:t>
      </w:r>
      <w:r>
        <w:rPr>
          <w:rFonts w:hint="eastAsia" w:ascii="宋体" w:hAnsi="宋体" w:eastAsia="宋体" w:cs="宋体"/>
          <w:b/>
          <w:bCs/>
          <w:color w:val="auto"/>
          <w:sz w:val="22"/>
          <w:szCs w:val="22"/>
          <w:highlight w:val="none"/>
        </w:rPr>
        <w:t>人：</w:t>
      </w:r>
    </w:p>
    <w:p w14:paraId="45B78134">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有效</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等于</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家时，按综合得分由高到低排序取前</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名</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为中标入围人。</w:t>
      </w:r>
    </w:p>
    <w:p w14:paraId="25174E4D">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有效</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家时，按综合得分由高到低排序取前</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名</w:t>
      </w:r>
      <w:r>
        <w:rPr>
          <w:rFonts w:hint="eastAsia" w:ascii="宋体" w:hAnsi="宋体" w:eastAsia="宋体" w:cs="宋体"/>
          <w:color w:val="auto"/>
          <w:sz w:val="22"/>
          <w:szCs w:val="22"/>
          <w:highlight w:val="none"/>
          <w:lang w:eastAsia="zh-CN"/>
        </w:rPr>
        <w:t>投标供应商</w:t>
      </w:r>
      <w:r>
        <w:rPr>
          <w:rFonts w:hint="eastAsia" w:ascii="宋体" w:hAnsi="宋体" w:eastAsia="宋体" w:cs="宋体"/>
          <w:color w:val="auto"/>
          <w:sz w:val="22"/>
          <w:szCs w:val="22"/>
          <w:highlight w:val="none"/>
        </w:rPr>
        <w:t>为中标入围人。</w:t>
      </w:r>
    </w:p>
    <w:p w14:paraId="1BD4D868">
      <w:pPr>
        <w:adjustRightInd w:val="0"/>
        <w:snapToGrid w:val="0"/>
        <w:ind w:firstLine="422" w:firstLineChars="200"/>
        <w:rPr>
          <w:rFonts w:hint="eastAsia" w:ascii="宋体" w:hAnsi="宋体" w:eastAsia="宋体" w:cs="宋体"/>
          <w:bCs/>
          <w:color w:val="auto"/>
          <w:sz w:val="22"/>
          <w:szCs w:val="22"/>
          <w:highlight w:val="none"/>
        </w:rPr>
      </w:pPr>
      <w:r>
        <w:rPr>
          <w:rFonts w:hint="eastAsia" w:ascii="宋体" w:hAnsi="宋体" w:eastAsia="宋体" w:cs="宋体"/>
          <w:b/>
          <w:bCs/>
          <w:color w:val="auto"/>
          <w:highlight w:val="none"/>
          <w:u w:val="single"/>
          <w:lang w:val="en-US" w:eastAsia="zh-CN"/>
        </w:rPr>
        <w:t>6、</w:t>
      </w:r>
      <w:r>
        <w:rPr>
          <w:rFonts w:hint="eastAsia" w:ascii="宋体" w:hAnsi="宋体" w:eastAsia="宋体" w:cs="宋体"/>
          <w:b/>
          <w:bCs w:val="0"/>
          <w:color w:val="auto"/>
          <w:sz w:val="22"/>
          <w:szCs w:val="22"/>
          <w:highlight w:val="none"/>
          <w:u w:val="single"/>
        </w:rPr>
        <w:t>▲</w:t>
      </w:r>
      <w:r>
        <w:rPr>
          <w:rFonts w:hint="eastAsia" w:ascii="宋体" w:hAnsi="宋体" w:eastAsia="宋体" w:cs="宋体"/>
          <w:b/>
          <w:bCs w:val="0"/>
          <w:color w:val="auto"/>
          <w:sz w:val="22"/>
          <w:highlight w:val="none"/>
          <w:u w:val="single"/>
          <w:lang w:val="en-US" w:eastAsia="zh-CN"/>
        </w:rPr>
        <w:t>中标折扣系数、中标合同综合单价按附件五“中标折扣系数承诺函”规定执行</w:t>
      </w:r>
      <w:r>
        <w:rPr>
          <w:rFonts w:hint="eastAsia" w:ascii="宋体" w:hAnsi="宋体" w:eastAsia="宋体" w:cs="宋体"/>
          <w:b/>
          <w:bCs/>
          <w:color w:val="auto"/>
          <w:highlight w:val="none"/>
          <w:u w:val="single"/>
          <w:lang w:val="en-US" w:eastAsia="zh-CN"/>
        </w:rPr>
        <w:t>。投标供应商不按要求提供附件五“中标折扣系数承诺函”，将被视为没有实质性响应采购文件要求, 作无效标处理。</w:t>
      </w:r>
    </w:p>
    <w:p w14:paraId="385958E4">
      <w:pPr>
        <w:adjustRightInd w:val="0"/>
        <w:snapToGrid w:val="0"/>
        <w:ind w:firstLine="440" w:firstLineChars="20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7</w:t>
      </w:r>
      <w:r>
        <w:rPr>
          <w:rFonts w:hint="eastAsia" w:ascii="宋体" w:hAnsi="宋体" w:eastAsia="宋体" w:cs="宋体"/>
          <w:bCs/>
          <w:color w:val="auto"/>
          <w:sz w:val="22"/>
          <w:szCs w:val="22"/>
          <w:highlight w:val="none"/>
        </w:rPr>
        <w:t>、评标委员会、采购人对决标结果不做任何解释，也不保证最低价中标。</w:t>
      </w:r>
    </w:p>
    <w:p w14:paraId="1F7E58B6">
      <w:pPr>
        <w:tabs>
          <w:tab w:val="left" w:pos="1365"/>
        </w:tabs>
        <w:rPr>
          <w:rFonts w:hint="eastAsia" w:ascii="宋体" w:hAnsi="宋体" w:eastAsia="宋体" w:cs="宋体"/>
          <w:bCs/>
          <w:color w:val="auto"/>
          <w:sz w:val="22"/>
          <w:szCs w:val="22"/>
          <w:highlight w:val="none"/>
        </w:rPr>
      </w:pPr>
    </w:p>
    <w:p w14:paraId="2752EDFB">
      <w:pPr>
        <w:outlineLvl w:val="1"/>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六、定标办法</w:t>
      </w:r>
      <w:bookmarkStart w:id="212" w:name="_Toc221356967"/>
      <w:bookmarkStart w:id="213" w:name="_Toc221356904"/>
    </w:p>
    <w:p w14:paraId="5413E0BA">
      <w:pPr>
        <w:ind w:firstLine="440" w:firstLineChars="20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1、采购人根据评标委员会的意见最终确认中标入围人。</w:t>
      </w:r>
    </w:p>
    <w:p w14:paraId="38016E38">
      <w:pPr>
        <w:ind w:firstLine="440" w:firstLineChars="20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2、中标通知书发出后，采购人不得违法改变中标结果，中标入围人无正当理由不得放弃中标。</w:t>
      </w:r>
    </w:p>
    <w:p w14:paraId="525C3202">
      <w:pPr>
        <w:ind w:firstLine="440" w:firstLineChars="20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3、若有中标入围人放弃中标；或因不可抗力提出不能履行合同；或者采购文件规定应当提交履约担保而在规定的期限</w:t>
      </w:r>
      <w:r>
        <w:rPr>
          <w:rFonts w:hint="eastAsia" w:ascii="宋体" w:hAnsi="宋体" w:eastAsia="宋体" w:cs="宋体"/>
          <w:color w:val="auto"/>
          <w:sz w:val="22"/>
          <w:szCs w:val="22"/>
          <w:highlight w:val="none"/>
        </w:rPr>
        <w:t>内未能提交的；或未能在规定时间内与采购人签订合同的；或者经质疑，经审查后，确因中标入围人在本次采购活动中存在违法违规行为或其他原因使质疑成立的，采购人有权视具体情况决定是否由后续综合得分排名靠前的</w:t>
      </w:r>
      <w:r>
        <w:rPr>
          <w:rFonts w:hint="eastAsia" w:ascii="宋体" w:hAnsi="宋体" w:eastAsia="宋体" w:cs="宋体"/>
          <w:b/>
          <w:bCs/>
          <w:color w:val="auto"/>
          <w:sz w:val="22"/>
          <w:szCs w:val="22"/>
          <w:highlight w:val="none"/>
          <w:lang w:val="en-US" w:eastAsia="zh-CN"/>
        </w:rPr>
        <w:t>备选</w:t>
      </w:r>
      <w:r>
        <w:rPr>
          <w:rFonts w:hint="eastAsia" w:ascii="宋体" w:hAnsi="宋体" w:eastAsia="宋体" w:cs="宋体"/>
          <w:color w:val="auto"/>
          <w:sz w:val="22"/>
          <w:szCs w:val="22"/>
          <w:highlight w:val="none"/>
        </w:rPr>
        <w:t>中标入围候选人替补为中标入围人。若最终中标入围人数量少于</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家的，本次采购失败，重新组织采购。</w:t>
      </w:r>
    </w:p>
    <w:p w14:paraId="6852FF38">
      <w:pPr>
        <w:outlineLvl w:val="1"/>
        <w:rPr>
          <w:rFonts w:hint="eastAsia" w:ascii="宋体" w:hAnsi="宋体" w:eastAsia="宋体" w:cs="宋体"/>
          <w:b/>
          <w:color w:val="auto"/>
          <w:sz w:val="22"/>
          <w:highlight w:val="none"/>
        </w:rPr>
      </w:pPr>
    </w:p>
    <w:p w14:paraId="65A588C0">
      <w:pPr>
        <w:outlineLvl w:val="1"/>
        <w:rPr>
          <w:rFonts w:hint="eastAsia" w:ascii="宋体" w:hAnsi="宋体" w:eastAsia="宋体" w:cs="宋体"/>
          <w:b/>
          <w:color w:val="auto"/>
          <w:sz w:val="22"/>
          <w:highlight w:val="none"/>
        </w:rPr>
      </w:pPr>
      <w:r>
        <w:rPr>
          <w:rFonts w:hint="eastAsia" w:ascii="宋体" w:hAnsi="宋体" w:eastAsia="宋体" w:cs="宋体"/>
          <w:b/>
          <w:color w:val="auto"/>
          <w:sz w:val="22"/>
          <w:highlight w:val="none"/>
        </w:rPr>
        <w:t>七、确定中标人</w:t>
      </w:r>
      <w:bookmarkEnd w:id="212"/>
      <w:bookmarkEnd w:id="213"/>
    </w:p>
    <w:p w14:paraId="49892367">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评标结束后，采购人将在发布采购公告的网站上公示中标结果。中标公告期为1个工作日，中标公告期限结束无异议的，采购人与中标入围人按照采购文件和中标入围人投标文件的约定签订合同。</w:t>
      </w:r>
    </w:p>
    <w:p w14:paraId="2CD08D2D">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highlight w:val="none"/>
        </w:rPr>
        <w:t>各投标供应商对评标结果如有异议，可在中标结果公告之日起7个工作日内以书面形式向采购人进行署名投诉或提出质疑，但需对投诉或质疑内容的真实性承担法律责任。</w:t>
      </w:r>
    </w:p>
    <w:p w14:paraId="60CBA773">
      <w:pPr>
        <w:outlineLvl w:val="1"/>
        <w:rPr>
          <w:rFonts w:hint="eastAsia" w:ascii="宋体" w:hAnsi="宋体" w:eastAsia="宋体" w:cs="宋体"/>
          <w:b/>
          <w:color w:val="auto"/>
          <w:sz w:val="22"/>
          <w:highlight w:val="none"/>
        </w:rPr>
      </w:pPr>
    </w:p>
    <w:p w14:paraId="517BD2E7">
      <w:pPr>
        <w:outlineLvl w:val="1"/>
        <w:rPr>
          <w:rFonts w:hint="eastAsia" w:ascii="宋体" w:hAnsi="宋体" w:eastAsia="宋体" w:cs="宋体"/>
          <w:b/>
          <w:color w:val="auto"/>
          <w:sz w:val="22"/>
          <w:highlight w:val="none"/>
        </w:rPr>
      </w:pPr>
      <w:r>
        <w:rPr>
          <w:rFonts w:hint="eastAsia" w:ascii="宋体" w:hAnsi="宋体" w:eastAsia="宋体" w:cs="宋体"/>
          <w:b/>
          <w:color w:val="auto"/>
          <w:sz w:val="22"/>
          <w:highlight w:val="none"/>
        </w:rPr>
        <w:t>八、投标供应商义务</w:t>
      </w:r>
    </w:p>
    <w:p w14:paraId="01A7C3B7">
      <w:pPr>
        <w:ind w:firstLine="440" w:firstLineChars="200"/>
        <w:rPr>
          <w:rFonts w:hint="eastAsia" w:ascii="宋体" w:hAnsi="宋体" w:eastAsia="宋体" w:cs="宋体"/>
          <w:color w:val="auto"/>
          <w:sz w:val="28"/>
          <w:szCs w:val="28"/>
          <w:highlight w:val="none"/>
        </w:rPr>
      </w:pPr>
      <w:r>
        <w:rPr>
          <w:rFonts w:hint="eastAsia" w:ascii="宋体" w:hAnsi="宋体" w:eastAsia="宋体" w:cs="宋体"/>
          <w:color w:val="auto"/>
          <w:kern w:val="0"/>
          <w:sz w:val="22"/>
          <w:szCs w:val="22"/>
          <w:highlight w:val="none"/>
          <w:lang w:bidi="ar"/>
        </w:rPr>
        <w:t>投标供应商应随时</w:t>
      </w:r>
      <w:r>
        <w:rPr>
          <w:rFonts w:hint="eastAsia" w:ascii="宋体" w:hAnsi="宋体" w:eastAsia="宋体" w:cs="宋体"/>
          <w:color w:val="auto"/>
          <w:sz w:val="22"/>
          <w:szCs w:val="22"/>
          <w:highlight w:val="none"/>
        </w:rPr>
        <w:t>接受评标</w:t>
      </w:r>
      <w:r>
        <w:rPr>
          <w:rFonts w:hint="eastAsia" w:ascii="宋体" w:hAnsi="宋体" w:eastAsia="宋体" w:cs="宋体"/>
          <w:color w:val="auto"/>
          <w:kern w:val="0"/>
          <w:sz w:val="22"/>
          <w:szCs w:val="22"/>
          <w:highlight w:val="none"/>
          <w:lang w:bidi="ar"/>
        </w:rPr>
        <w:t>委员会的询标，解答包括有关的商务、技术问题等。评标结束，所有评标资料存采购机构备查。</w:t>
      </w:r>
    </w:p>
    <w:sectPr>
      <w:pgSz w:w="11906" w:h="16838"/>
      <w:pgMar w:top="1474" w:right="1417" w:bottom="1417" w:left="1417" w:header="737" w:footer="73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锦绣宋体">
    <w:altName w:val="宋体"/>
    <w:panose1 w:val="02000503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PingFangSC-Medium">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9E9D9">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5100" cy="1822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5100" cy="182245"/>
                      </a:xfrm>
                      <a:prstGeom prst="rect">
                        <a:avLst/>
                      </a:prstGeom>
                      <a:noFill/>
                      <a:ln>
                        <a:noFill/>
                      </a:ln>
                    </wps:spPr>
                    <wps:txbx>
                      <w:txbxContent>
                        <w:p w14:paraId="47AF0CFE">
                          <w:pPr>
                            <w:pStyle w:val="21"/>
                            <w:pBdr>
                              <w:top w:val="single" w:color="auto" w:sz="4" w:space="1"/>
                            </w:pBdr>
                            <w:wordWrap w:val="0"/>
                            <w:ind w:right="360"/>
                          </w:pPr>
                          <w:r>
                            <w:fldChar w:fldCharType="begin"/>
                          </w:r>
                          <w:r>
                            <w:instrText xml:space="preserve">PAGE   \* MERGEFORMAT</w:instrText>
                          </w:r>
                          <w:r>
                            <w:fldChar w:fldCharType="separate"/>
                          </w:r>
                          <w:r>
                            <w:rPr>
                              <w:lang w:val="zh-CN"/>
                            </w:rPr>
                            <w:t>45</w:t>
                          </w:r>
                          <w:r>
                            <w:rPr>
                              <w:lang w:val="zh-CN"/>
                            </w:rPr>
                            <w:fldChar w:fldCharType="end"/>
                          </w:r>
                          <w:r>
                            <w:rPr>
                              <w:rFonts w:hint="eastAsia"/>
                            </w:rPr>
                            <w:t xml:space="preserve">                 </w:t>
                          </w:r>
                        </w:p>
                      </w:txbxContent>
                    </wps:txbx>
                    <wps:bodyPr wrap="square" lIns="0" tIns="0" rIns="0" bIns="0" upright="0"/>
                  </wps:wsp>
                </a:graphicData>
              </a:graphic>
            </wp:anchor>
          </w:drawing>
        </mc:Choice>
        <mc:Fallback>
          <w:pict>
            <v:shape id="文本框 2" o:spid="_x0000_s1026" o:spt="202" type="#_x0000_t202" style="position:absolute;left:0pt;margin-top:0pt;height:14.35pt;width:13pt;mso-position-horizontal:center;mso-position-horizontal-relative:margin;z-index:251659264;mso-width-relative:page;mso-height-relative:page;" filled="f" stroked="f" coordsize="21600,21600" o:gfxdata="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M+AxtIAAAADAQAADwAAAAAAAAABACAAAAAiAAAAZHJzL2Rvd25yZXYueG1sUEsB&#10;AhQAFAAAAAgAh07iQEIwo8DCAQAAfwMAAA4AAAAAAAAAAQAgAAAAIQEAAGRycy9lMm9Eb2MueG1s&#10;UEsFBgAAAAAGAAYAWQEAAFUFAAAAAA==&#10;">
              <v:fill on="f" focussize="0,0"/>
              <v:stroke on="f"/>
              <v:imagedata o:title=""/>
              <o:lock v:ext="edit" aspectratio="f"/>
              <v:textbox inset="0mm,0mm,0mm,0mm">
                <w:txbxContent>
                  <w:p w14:paraId="47AF0CFE">
                    <w:pPr>
                      <w:pStyle w:val="21"/>
                      <w:pBdr>
                        <w:top w:val="single" w:color="auto" w:sz="4" w:space="1"/>
                      </w:pBdr>
                      <w:wordWrap w:val="0"/>
                      <w:ind w:right="360"/>
                    </w:pPr>
                    <w:r>
                      <w:fldChar w:fldCharType="begin"/>
                    </w:r>
                    <w:r>
                      <w:instrText xml:space="preserve">PAGE   \* MERGEFORMAT</w:instrText>
                    </w:r>
                    <w:r>
                      <w:fldChar w:fldCharType="separate"/>
                    </w:r>
                    <w:r>
                      <w:rPr>
                        <w:lang w:val="zh-CN"/>
                      </w:rPr>
                      <w:t>45</w:t>
                    </w:r>
                    <w:r>
                      <w:rPr>
                        <w:lang w:val="zh-CN"/>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CD05">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8E95C">
                          <w:pPr>
                            <w:pStyle w:val="2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68E95C">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C166F">
    <w:pPr>
      <w:pStyle w:val="2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6C63E">
                          <w:pPr>
                            <w:pStyle w:val="21"/>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26C63E">
                    <w:pPr>
                      <w:pStyle w:val="21"/>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kern w:val="0"/>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A6505"/>
    <w:multiLevelType w:val="singleLevel"/>
    <w:tmpl w:val="9BFA6505"/>
    <w:lvl w:ilvl="0" w:tentative="0">
      <w:start w:val="1"/>
      <w:numFmt w:val="decimal"/>
      <w:lvlText w:val="%1."/>
      <w:lvlJc w:val="left"/>
      <w:pPr>
        <w:tabs>
          <w:tab w:val="left" w:pos="312"/>
        </w:tabs>
      </w:p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F62AFF8"/>
    <w:multiLevelType w:val="singleLevel"/>
    <w:tmpl w:val="AF62AFF8"/>
    <w:lvl w:ilvl="0" w:tentative="0">
      <w:start w:val="1"/>
      <w:numFmt w:val="decimal"/>
      <w:lvlText w:val="(%1)"/>
      <w:lvlJc w:val="left"/>
      <w:pPr>
        <w:tabs>
          <w:tab w:val="left" w:pos="420"/>
        </w:tabs>
        <w:ind w:left="845" w:hanging="425"/>
      </w:pPr>
      <w:rPr>
        <w:rFonts w:hint="default"/>
      </w:rPr>
    </w:lvl>
  </w:abstractNum>
  <w:abstractNum w:abstractNumId="3">
    <w:nsid w:val="B1EDCE05"/>
    <w:multiLevelType w:val="singleLevel"/>
    <w:tmpl w:val="B1EDCE05"/>
    <w:lvl w:ilvl="0" w:tentative="0">
      <w:start w:val="1"/>
      <w:numFmt w:val="decimal"/>
      <w:suff w:val="nothing"/>
      <w:lvlText w:val="%1、"/>
      <w:lvlJc w:val="left"/>
    </w:lvl>
  </w:abstractNum>
  <w:abstractNum w:abstractNumId="4">
    <w:nsid w:val="C0EBCD01"/>
    <w:multiLevelType w:val="singleLevel"/>
    <w:tmpl w:val="C0EBCD01"/>
    <w:lvl w:ilvl="0" w:tentative="0">
      <w:start w:val="1"/>
      <w:numFmt w:val="chineseCounting"/>
      <w:suff w:val="nothing"/>
      <w:lvlText w:val="%1、"/>
      <w:lvlJc w:val="left"/>
      <w:rPr>
        <w:rFonts w:hint="eastAsia"/>
      </w:rPr>
    </w:lvl>
  </w:abstractNum>
  <w:abstractNum w:abstractNumId="5">
    <w:nsid w:val="E4E75620"/>
    <w:multiLevelType w:val="singleLevel"/>
    <w:tmpl w:val="E4E75620"/>
    <w:lvl w:ilvl="0" w:tentative="0">
      <w:start w:val="2"/>
      <w:numFmt w:val="decimal"/>
      <w:suff w:val="nothing"/>
      <w:lvlText w:val="%1、"/>
      <w:lvlJc w:val="left"/>
    </w:lvl>
  </w:abstractNum>
  <w:abstractNum w:abstractNumId="6">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9">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multilevel"/>
    <w:tmpl w:val="00000016"/>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9">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1B4ACCFB"/>
    <w:multiLevelType w:val="singleLevel"/>
    <w:tmpl w:val="1B4ACCFB"/>
    <w:lvl w:ilvl="0" w:tentative="0">
      <w:start w:val="1"/>
      <w:numFmt w:val="chineseCounting"/>
      <w:suff w:val="nothing"/>
      <w:lvlText w:val="（%1）"/>
      <w:lvlJc w:val="left"/>
      <w:rPr>
        <w:rFonts w:hint="eastAsia"/>
      </w:rPr>
    </w:lvl>
  </w:abstractNum>
  <w:abstractNum w:abstractNumId="21">
    <w:nsid w:val="22E9BDF3"/>
    <w:multiLevelType w:val="singleLevel"/>
    <w:tmpl w:val="22E9BDF3"/>
    <w:lvl w:ilvl="0" w:tentative="0">
      <w:start w:val="1"/>
      <w:numFmt w:val="decimal"/>
      <w:lvlText w:val="%1."/>
      <w:lvlJc w:val="left"/>
      <w:pPr>
        <w:ind w:left="425" w:hanging="425"/>
      </w:pPr>
      <w:rPr>
        <w:rFonts w:hint="default"/>
      </w:rPr>
    </w:lvl>
  </w:abstractNum>
  <w:abstractNum w:abstractNumId="22">
    <w:nsid w:val="47CDB4A8"/>
    <w:multiLevelType w:val="singleLevel"/>
    <w:tmpl w:val="47CDB4A8"/>
    <w:lvl w:ilvl="0" w:tentative="0">
      <w:start w:val="1"/>
      <w:numFmt w:val="decimal"/>
      <w:suff w:val="nothing"/>
      <w:lvlText w:val="%1、"/>
      <w:lvlJc w:val="left"/>
    </w:lvl>
  </w:abstractNum>
  <w:abstractNum w:abstractNumId="23">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24">
    <w:nsid w:val="4913EA8A"/>
    <w:multiLevelType w:val="multilevel"/>
    <w:tmpl w:val="4913EA8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default"/>
        <w:highlight w:val="cyan"/>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5">
    <w:nsid w:val="5A1B873B"/>
    <w:multiLevelType w:val="singleLevel"/>
    <w:tmpl w:val="5A1B873B"/>
    <w:lvl w:ilvl="0" w:tentative="0">
      <w:start w:val="1"/>
      <w:numFmt w:val="decimal"/>
      <w:pStyle w:val="101"/>
      <w:suff w:val="space"/>
      <w:lvlText w:val="%1."/>
      <w:lvlJc w:val="left"/>
    </w:lvl>
  </w:abstractNum>
  <w:abstractNum w:abstractNumId="26">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5"/>
  </w:num>
  <w:num w:numId="2">
    <w:abstractNumId w:val="4"/>
  </w:num>
  <w:num w:numId="3">
    <w:abstractNumId w:val="26"/>
  </w:num>
  <w:num w:numId="4">
    <w:abstractNumId w:val="7"/>
  </w:num>
  <w:num w:numId="5">
    <w:abstractNumId w:val="6"/>
  </w:num>
  <w:num w:numId="6">
    <w:abstractNumId w:val="9"/>
  </w:num>
  <w:num w:numId="7">
    <w:abstractNumId w:val="18"/>
  </w:num>
  <w:num w:numId="8">
    <w:abstractNumId w:val="15"/>
  </w:num>
  <w:num w:numId="9">
    <w:abstractNumId w:val="17"/>
  </w:num>
  <w:num w:numId="10">
    <w:abstractNumId w:val="27"/>
  </w:num>
  <w:num w:numId="11">
    <w:abstractNumId w:val="13"/>
  </w:num>
  <w:num w:numId="12">
    <w:abstractNumId w:val="14"/>
  </w:num>
  <w:num w:numId="13">
    <w:abstractNumId w:val="8"/>
  </w:num>
  <w:num w:numId="14">
    <w:abstractNumId w:val="1"/>
  </w:num>
  <w:num w:numId="15">
    <w:abstractNumId w:val="16"/>
  </w:num>
  <w:num w:numId="16">
    <w:abstractNumId w:val="11"/>
  </w:num>
  <w:num w:numId="17">
    <w:abstractNumId w:val="12"/>
  </w:num>
  <w:num w:numId="18">
    <w:abstractNumId w:val="19"/>
  </w:num>
  <w:num w:numId="19">
    <w:abstractNumId w:val="10"/>
  </w:num>
  <w:num w:numId="20">
    <w:abstractNumId w:val="24"/>
  </w:num>
  <w:num w:numId="21">
    <w:abstractNumId w:val="2"/>
  </w:num>
  <w:num w:numId="22">
    <w:abstractNumId w:val="3"/>
  </w:num>
  <w:num w:numId="23">
    <w:abstractNumId w:val="20"/>
  </w:num>
  <w:num w:numId="24">
    <w:abstractNumId w:val="5"/>
  </w:num>
  <w:num w:numId="25">
    <w:abstractNumId w:val="23"/>
  </w:num>
  <w:num w:numId="26">
    <w:abstractNumId w:val="22"/>
  </w:num>
  <w:num w:numId="27">
    <w:abstractNumId w:val="2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6661A8"/>
    <w:rsid w:val="00024B76"/>
    <w:rsid w:val="00057374"/>
    <w:rsid w:val="00066967"/>
    <w:rsid w:val="000D475A"/>
    <w:rsid w:val="00123B97"/>
    <w:rsid w:val="001255AC"/>
    <w:rsid w:val="00174563"/>
    <w:rsid w:val="00190C2C"/>
    <w:rsid w:val="00191845"/>
    <w:rsid w:val="001B1693"/>
    <w:rsid w:val="001C354F"/>
    <w:rsid w:val="001D0EAD"/>
    <w:rsid w:val="001E2672"/>
    <w:rsid w:val="00203D89"/>
    <w:rsid w:val="00207B0C"/>
    <w:rsid w:val="00211121"/>
    <w:rsid w:val="00303B29"/>
    <w:rsid w:val="0034572D"/>
    <w:rsid w:val="003661AD"/>
    <w:rsid w:val="00383135"/>
    <w:rsid w:val="003A6CF1"/>
    <w:rsid w:val="003F0EB7"/>
    <w:rsid w:val="003F24FD"/>
    <w:rsid w:val="0040722E"/>
    <w:rsid w:val="0042761F"/>
    <w:rsid w:val="00430F6D"/>
    <w:rsid w:val="004524D6"/>
    <w:rsid w:val="0047312A"/>
    <w:rsid w:val="00487B4A"/>
    <w:rsid w:val="004E7913"/>
    <w:rsid w:val="00501DC3"/>
    <w:rsid w:val="00543B45"/>
    <w:rsid w:val="005661B0"/>
    <w:rsid w:val="00575639"/>
    <w:rsid w:val="005762EC"/>
    <w:rsid w:val="005765F5"/>
    <w:rsid w:val="005836E5"/>
    <w:rsid w:val="005A6D92"/>
    <w:rsid w:val="00613663"/>
    <w:rsid w:val="00657446"/>
    <w:rsid w:val="006661A8"/>
    <w:rsid w:val="006746C1"/>
    <w:rsid w:val="00693C27"/>
    <w:rsid w:val="00697729"/>
    <w:rsid w:val="006A36D9"/>
    <w:rsid w:val="006B5DF8"/>
    <w:rsid w:val="006E1861"/>
    <w:rsid w:val="006E763F"/>
    <w:rsid w:val="007115EF"/>
    <w:rsid w:val="00752E46"/>
    <w:rsid w:val="00795C59"/>
    <w:rsid w:val="007B1DA6"/>
    <w:rsid w:val="007B1F01"/>
    <w:rsid w:val="007C0FAA"/>
    <w:rsid w:val="007D66F4"/>
    <w:rsid w:val="007E726C"/>
    <w:rsid w:val="00812591"/>
    <w:rsid w:val="00814E47"/>
    <w:rsid w:val="00824797"/>
    <w:rsid w:val="008805C6"/>
    <w:rsid w:val="00893889"/>
    <w:rsid w:val="008C3D2C"/>
    <w:rsid w:val="008D7F08"/>
    <w:rsid w:val="00903460"/>
    <w:rsid w:val="009436A9"/>
    <w:rsid w:val="009C3A5D"/>
    <w:rsid w:val="009F2DEA"/>
    <w:rsid w:val="00A42BF0"/>
    <w:rsid w:val="00A704FC"/>
    <w:rsid w:val="00A81F36"/>
    <w:rsid w:val="00A953E0"/>
    <w:rsid w:val="00A9696B"/>
    <w:rsid w:val="00AD4BBF"/>
    <w:rsid w:val="00AD59D3"/>
    <w:rsid w:val="00AD74A7"/>
    <w:rsid w:val="00AF539E"/>
    <w:rsid w:val="00B16F48"/>
    <w:rsid w:val="00B32CBC"/>
    <w:rsid w:val="00B431D0"/>
    <w:rsid w:val="00B564AE"/>
    <w:rsid w:val="00B613E6"/>
    <w:rsid w:val="00B9710F"/>
    <w:rsid w:val="00BF273C"/>
    <w:rsid w:val="00C12A3C"/>
    <w:rsid w:val="00C30A6F"/>
    <w:rsid w:val="00C33A47"/>
    <w:rsid w:val="00CC2796"/>
    <w:rsid w:val="00CD1AB0"/>
    <w:rsid w:val="00D04066"/>
    <w:rsid w:val="00D417A9"/>
    <w:rsid w:val="00D54471"/>
    <w:rsid w:val="00DB1A88"/>
    <w:rsid w:val="00DC2EEA"/>
    <w:rsid w:val="00E07213"/>
    <w:rsid w:val="00E53A71"/>
    <w:rsid w:val="00E86708"/>
    <w:rsid w:val="00EC6200"/>
    <w:rsid w:val="00F05EDB"/>
    <w:rsid w:val="00F21312"/>
    <w:rsid w:val="00F26FDA"/>
    <w:rsid w:val="00F3487A"/>
    <w:rsid w:val="00F36DBE"/>
    <w:rsid w:val="00F61BB5"/>
    <w:rsid w:val="00F63109"/>
    <w:rsid w:val="00F63146"/>
    <w:rsid w:val="00FB7C67"/>
    <w:rsid w:val="00FC5900"/>
    <w:rsid w:val="00FD291D"/>
    <w:rsid w:val="00FD4EFB"/>
    <w:rsid w:val="012869FD"/>
    <w:rsid w:val="01F601F0"/>
    <w:rsid w:val="02300C0E"/>
    <w:rsid w:val="02525CB4"/>
    <w:rsid w:val="02623ED8"/>
    <w:rsid w:val="028E4139"/>
    <w:rsid w:val="02B61CAC"/>
    <w:rsid w:val="038210E6"/>
    <w:rsid w:val="038A1C0E"/>
    <w:rsid w:val="042665B9"/>
    <w:rsid w:val="04536D9E"/>
    <w:rsid w:val="046A0704"/>
    <w:rsid w:val="04C5348B"/>
    <w:rsid w:val="04DD175A"/>
    <w:rsid w:val="04FC43EA"/>
    <w:rsid w:val="050C0A26"/>
    <w:rsid w:val="0519127B"/>
    <w:rsid w:val="051959E7"/>
    <w:rsid w:val="052535F9"/>
    <w:rsid w:val="05A86944"/>
    <w:rsid w:val="05CE371C"/>
    <w:rsid w:val="05E16390"/>
    <w:rsid w:val="061B4D44"/>
    <w:rsid w:val="062465AB"/>
    <w:rsid w:val="06393620"/>
    <w:rsid w:val="06494738"/>
    <w:rsid w:val="066825A8"/>
    <w:rsid w:val="06BC291A"/>
    <w:rsid w:val="06BE7EDE"/>
    <w:rsid w:val="06CC61D4"/>
    <w:rsid w:val="07AD5484"/>
    <w:rsid w:val="07B25B8F"/>
    <w:rsid w:val="08085659"/>
    <w:rsid w:val="081827F6"/>
    <w:rsid w:val="083F5001"/>
    <w:rsid w:val="08F31517"/>
    <w:rsid w:val="090A32A9"/>
    <w:rsid w:val="0950319D"/>
    <w:rsid w:val="09846EB2"/>
    <w:rsid w:val="09924FEA"/>
    <w:rsid w:val="099645F7"/>
    <w:rsid w:val="099F5C8C"/>
    <w:rsid w:val="09D84F2D"/>
    <w:rsid w:val="0A754573"/>
    <w:rsid w:val="0AD84E1A"/>
    <w:rsid w:val="0B0D07DB"/>
    <w:rsid w:val="0C2F283E"/>
    <w:rsid w:val="0C424430"/>
    <w:rsid w:val="0CE1722F"/>
    <w:rsid w:val="0CE9023C"/>
    <w:rsid w:val="0D5C2438"/>
    <w:rsid w:val="0DDE56DE"/>
    <w:rsid w:val="0DEB615C"/>
    <w:rsid w:val="0E0B1B42"/>
    <w:rsid w:val="0E392A9F"/>
    <w:rsid w:val="0E3B0578"/>
    <w:rsid w:val="0E4D78DF"/>
    <w:rsid w:val="0E4E12A6"/>
    <w:rsid w:val="0E674A89"/>
    <w:rsid w:val="0E842F34"/>
    <w:rsid w:val="0E8B3673"/>
    <w:rsid w:val="0E9F0EF3"/>
    <w:rsid w:val="0EA31D7A"/>
    <w:rsid w:val="0FD910EA"/>
    <w:rsid w:val="0FD96102"/>
    <w:rsid w:val="0FDC7227"/>
    <w:rsid w:val="1003380A"/>
    <w:rsid w:val="10133DDF"/>
    <w:rsid w:val="1040181C"/>
    <w:rsid w:val="106C23FA"/>
    <w:rsid w:val="108D52DE"/>
    <w:rsid w:val="109C0331"/>
    <w:rsid w:val="10AD3DF7"/>
    <w:rsid w:val="11E25835"/>
    <w:rsid w:val="11F10BEB"/>
    <w:rsid w:val="120C1834"/>
    <w:rsid w:val="120E3FCD"/>
    <w:rsid w:val="12500ABA"/>
    <w:rsid w:val="12A02D3F"/>
    <w:rsid w:val="12B811D5"/>
    <w:rsid w:val="12EE084D"/>
    <w:rsid w:val="130948F8"/>
    <w:rsid w:val="13284447"/>
    <w:rsid w:val="13833787"/>
    <w:rsid w:val="13A95791"/>
    <w:rsid w:val="13C56323"/>
    <w:rsid w:val="13EB4AC2"/>
    <w:rsid w:val="1407311A"/>
    <w:rsid w:val="14251B1A"/>
    <w:rsid w:val="14503468"/>
    <w:rsid w:val="14753C1E"/>
    <w:rsid w:val="14903635"/>
    <w:rsid w:val="149C284C"/>
    <w:rsid w:val="14A93952"/>
    <w:rsid w:val="150E0963"/>
    <w:rsid w:val="1517746F"/>
    <w:rsid w:val="152874B2"/>
    <w:rsid w:val="155C7A32"/>
    <w:rsid w:val="157B0401"/>
    <w:rsid w:val="15AD7C9F"/>
    <w:rsid w:val="160A49D4"/>
    <w:rsid w:val="1617255C"/>
    <w:rsid w:val="16370D91"/>
    <w:rsid w:val="16592714"/>
    <w:rsid w:val="17654071"/>
    <w:rsid w:val="17B900EF"/>
    <w:rsid w:val="17EB3036"/>
    <w:rsid w:val="1831088B"/>
    <w:rsid w:val="1857751D"/>
    <w:rsid w:val="18881038"/>
    <w:rsid w:val="18CB0376"/>
    <w:rsid w:val="18F26C99"/>
    <w:rsid w:val="19492888"/>
    <w:rsid w:val="19594326"/>
    <w:rsid w:val="198E73E8"/>
    <w:rsid w:val="19D22D65"/>
    <w:rsid w:val="1A11372E"/>
    <w:rsid w:val="1A1D2DFE"/>
    <w:rsid w:val="1A33460E"/>
    <w:rsid w:val="1A4B7E15"/>
    <w:rsid w:val="1B0E1F29"/>
    <w:rsid w:val="1B390822"/>
    <w:rsid w:val="1B456BE7"/>
    <w:rsid w:val="1B571BE8"/>
    <w:rsid w:val="1B7D6F89"/>
    <w:rsid w:val="1C1057B3"/>
    <w:rsid w:val="1C395A7C"/>
    <w:rsid w:val="1C6568C1"/>
    <w:rsid w:val="1D850ABA"/>
    <w:rsid w:val="1E2A0557"/>
    <w:rsid w:val="1E584EBE"/>
    <w:rsid w:val="1E760A31"/>
    <w:rsid w:val="1EAD7554"/>
    <w:rsid w:val="1EBF745A"/>
    <w:rsid w:val="1ED83035"/>
    <w:rsid w:val="1EE26428"/>
    <w:rsid w:val="1F761FD6"/>
    <w:rsid w:val="1F7A2683"/>
    <w:rsid w:val="1F9472E8"/>
    <w:rsid w:val="20112272"/>
    <w:rsid w:val="201B2773"/>
    <w:rsid w:val="202D1DEC"/>
    <w:rsid w:val="203E4445"/>
    <w:rsid w:val="205E6EA0"/>
    <w:rsid w:val="20880CAE"/>
    <w:rsid w:val="20CB5934"/>
    <w:rsid w:val="20DE5653"/>
    <w:rsid w:val="210F60CA"/>
    <w:rsid w:val="213836EF"/>
    <w:rsid w:val="213D3D4C"/>
    <w:rsid w:val="217D3437"/>
    <w:rsid w:val="21A134C6"/>
    <w:rsid w:val="21BD2FDB"/>
    <w:rsid w:val="22253FA0"/>
    <w:rsid w:val="22400707"/>
    <w:rsid w:val="225118E5"/>
    <w:rsid w:val="2296743F"/>
    <w:rsid w:val="229F32AE"/>
    <w:rsid w:val="23764FAD"/>
    <w:rsid w:val="237E7967"/>
    <w:rsid w:val="238C0BD7"/>
    <w:rsid w:val="23A14774"/>
    <w:rsid w:val="23C52C54"/>
    <w:rsid w:val="23F12C71"/>
    <w:rsid w:val="243074AF"/>
    <w:rsid w:val="247444F8"/>
    <w:rsid w:val="24833D88"/>
    <w:rsid w:val="251F4B0B"/>
    <w:rsid w:val="252B028C"/>
    <w:rsid w:val="254B7524"/>
    <w:rsid w:val="25582CA4"/>
    <w:rsid w:val="259C22C1"/>
    <w:rsid w:val="25AD56CD"/>
    <w:rsid w:val="26977384"/>
    <w:rsid w:val="26C80178"/>
    <w:rsid w:val="27647826"/>
    <w:rsid w:val="278D4143"/>
    <w:rsid w:val="27AE781D"/>
    <w:rsid w:val="27BA4C53"/>
    <w:rsid w:val="27C43035"/>
    <w:rsid w:val="27D738D5"/>
    <w:rsid w:val="27DE1CB6"/>
    <w:rsid w:val="28A80D3F"/>
    <w:rsid w:val="28C3509B"/>
    <w:rsid w:val="291579C2"/>
    <w:rsid w:val="295C07BD"/>
    <w:rsid w:val="29BD115F"/>
    <w:rsid w:val="2A567644"/>
    <w:rsid w:val="2A9E3669"/>
    <w:rsid w:val="2AAD7DC8"/>
    <w:rsid w:val="2ADC4FA6"/>
    <w:rsid w:val="2B1B2D7F"/>
    <w:rsid w:val="2B3B20E6"/>
    <w:rsid w:val="2B486876"/>
    <w:rsid w:val="2B590A70"/>
    <w:rsid w:val="2B6636FE"/>
    <w:rsid w:val="2B663F17"/>
    <w:rsid w:val="2B8117F8"/>
    <w:rsid w:val="2BB16542"/>
    <w:rsid w:val="2BB31FF4"/>
    <w:rsid w:val="2BF33DE3"/>
    <w:rsid w:val="2C6D6FF6"/>
    <w:rsid w:val="2C7469AA"/>
    <w:rsid w:val="2C753656"/>
    <w:rsid w:val="2C861C2C"/>
    <w:rsid w:val="2C997082"/>
    <w:rsid w:val="2CD84105"/>
    <w:rsid w:val="2CFB74EB"/>
    <w:rsid w:val="2CFF18E8"/>
    <w:rsid w:val="2D005A86"/>
    <w:rsid w:val="2DF81B5F"/>
    <w:rsid w:val="2E29045C"/>
    <w:rsid w:val="2E89108C"/>
    <w:rsid w:val="2F362819"/>
    <w:rsid w:val="2F456936"/>
    <w:rsid w:val="2F961070"/>
    <w:rsid w:val="2FCC3A16"/>
    <w:rsid w:val="2FF67241"/>
    <w:rsid w:val="304E372C"/>
    <w:rsid w:val="30A21EA4"/>
    <w:rsid w:val="30A36E0B"/>
    <w:rsid w:val="30AA6583"/>
    <w:rsid w:val="30B72D99"/>
    <w:rsid w:val="31112C2A"/>
    <w:rsid w:val="314B715A"/>
    <w:rsid w:val="31610A60"/>
    <w:rsid w:val="31843C18"/>
    <w:rsid w:val="31BB6452"/>
    <w:rsid w:val="31CE214C"/>
    <w:rsid w:val="31D33DF8"/>
    <w:rsid w:val="32697414"/>
    <w:rsid w:val="32722AE8"/>
    <w:rsid w:val="32E76CB3"/>
    <w:rsid w:val="32EF304C"/>
    <w:rsid w:val="32EF5B1D"/>
    <w:rsid w:val="32F55D09"/>
    <w:rsid w:val="333207A2"/>
    <w:rsid w:val="333506CF"/>
    <w:rsid w:val="33375494"/>
    <w:rsid w:val="33AC4A65"/>
    <w:rsid w:val="33B96006"/>
    <w:rsid w:val="33CD20ED"/>
    <w:rsid w:val="34185CDA"/>
    <w:rsid w:val="35217C4B"/>
    <w:rsid w:val="35374691"/>
    <w:rsid w:val="35704B9F"/>
    <w:rsid w:val="35732DAC"/>
    <w:rsid w:val="358A4E98"/>
    <w:rsid w:val="35D46ADA"/>
    <w:rsid w:val="35F96723"/>
    <w:rsid w:val="364336F3"/>
    <w:rsid w:val="36CE4D01"/>
    <w:rsid w:val="36D81480"/>
    <w:rsid w:val="36F5007E"/>
    <w:rsid w:val="36F845E5"/>
    <w:rsid w:val="3715740A"/>
    <w:rsid w:val="3824196F"/>
    <w:rsid w:val="382E7351"/>
    <w:rsid w:val="388F4DBF"/>
    <w:rsid w:val="38D7423F"/>
    <w:rsid w:val="38F62AB0"/>
    <w:rsid w:val="39113E17"/>
    <w:rsid w:val="394835EC"/>
    <w:rsid w:val="39B63939"/>
    <w:rsid w:val="39CF0972"/>
    <w:rsid w:val="39D62C68"/>
    <w:rsid w:val="3A04754F"/>
    <w:rsid w:val="3A691974"/>
    <w:rsid w:val="3AA80C13"/>
    <w:rsid w:val="3AB07BED"/>
    <w:rsid w:val="3AC23AEA"/>
    <w:rsid w:val="3AFB70C6"/>
    <w:rsid w:val="3AFE607B"/>
    <w:rsid w:val="3B2B54DE"/>
    <w:rsid w:val="3B661DE3"/>
    <w:rsid w:val="3B815C5D"/>
    <w:rsid w:val="3B985BF3"/>
    <w:rsid w:val="3BE775D1"/>
    <w:rsid w:val="3BEA2BA6"/>
    <w:rsid w:val="3C04716F"/>
    <w:rsid w:val="3C96657D"/>
    <w:rsid w:val="3D0B076A"/>
    <w:rsid w:val="3D801C60"/>
    <w:rsid w:val="3D8C2947"/>
    <w:rsid w:val="3DC8312F"/>
    <w:rsid w:val="3E1F1B28"/>
    <w:rsid w:val="3E854E75"/>
    <w:rsid w:val="3ED61708"/>
    <w:rsid w:val="3F182BE0"/>
    <w:rsid w:val="3F1924E6"/>
    <w:rsid w:val="3F7112D6"/>
    <w:rsid w:val="3FAC34D9"/>
    <w:rsid w:val="40224714"/>
    <w:rsid w:val="402A30AD"/>
    <w:rsid w:val="403717F2"/>
    <w:rsid w:val="40B35FF6"/>
    <w:rsid w:val="40EE0325"/>
    <w:rsid w:val="41554B90"/>
    <w:rsid w:val="417D0085"/>
    <w:rsid w:val="4191438A"/>
    <w:rsid w:val="41C0168E"/>
    <w:rsid w:val="41D409C3"/>
    <w:rsid w:val="41D91422"/>
    <w:rsid w:val="41FE09F5"/>
    <w:rsid w:val="421019F5"/>
    <w:rsid w:val="42364150"/>
    <w:rsid w:val="42424E2B"/>
    <w:rsid w:val="4279024E"/>
    <w:rsid w:val="42C01001"/>
    <w:rsid w:val="42C02DDE"/>
    <w:rsid w:val="42C21203"/>
    <w:rsid w:val="42E001C2"/>
    <w:rsid w:val="42F22CF9"/>
    <w:rsid w:val="42FC0983"/>
    <w:rsid w:val="43076536"/>
    <w:rsid w:val="43713172"/>
    <w:rsid w:val="437A59F4"/>
    <w:rsid w:val="43897BB4"/>
    <w:rsid w:val="43B02E44"/>
    <w:rsid w:val="43BD55B6"/>
    <w:rsid w:val="43C17662"/>
    <w:rsid w:val="44472BCC"/>
    <w:rsid w:val="44910EE1"/>
    <w:rsid w:val="44A65BEA"/>
    <w:rsid w:val="44C67136"/>
    <w:rsid w:val="44D17CE8"/>
    <w:rsid w:val="44E9288D"/>
    <w:rsid w:val="450C52D4"/>
    <w:rsid w:val="455603E0"/>
    <w:rsid w:val="457A0594"/>
    <w:rsid w:val="45FA105A"/>
    <w:rsid w:val="45FE21DB"/>
    <w:rsid w:val="462365DC"/>
    <w:rsid w:val="46322A21"/>
    <w:rsid w:val="465A6364"/>
    <w:rsid w:val="468E7E9C"/>
    <w:rsid w:val="469805A8"/>
    <w:rsid w:val="46A02F2E"/>
    <w:rsid w:val="46F51562"/>
    <w:rsid w:val="46F76307"/>
    <w:rsid w:val="47163A5A"/>
    <w:rsid w:val="47444C77"/>
    <w:rsid w:val="47490F65"/>
    <w:rsid w:val="475671FF"/>
    <w:rsid w:val="476944F1"/>
    <w:rsid w:val="478B6647"/>
    <w:rsid w:val="47F062F9"/>
    <w:rsid w:val="47FB2AA9"/>
    <w:rsid w:val="48203A12"/>
    <w:rsid w:val="483B1F11"/>
    <w:rsid w:val="489471B1"/>
    <w:rsid w:val="4902515D"/>
    <w:rsid w:val="495855AE"/>
    <w:rsid w:val="496272E0"/>
    <w:rsid w:val="49854BDC"/>
    <w:rsid w:val="49EB094C"/>
    <w:rsid w:val="4A247AF3"/>
    <w:rsid w:val="4A860B84"/>
    <w:rsid w:val="4AA4208F"/>
    <w:rsid w:val="4AAE6326"/>
    <w:rsid w:val="4AEF0135"/>
    <w:rsid w:val="4B541D75"/>
    <w:rsid w:val="4B725771"/>
    <w:rsid w:val="4B950F47"/>
    <w:rsid w:val="4BB17E28"/>
    <w:rsid w:val="4BFA410D"/>
    <w:rsid w:val="4C03712A"/>
    <w:rsid w:val="4C03731C"/>
    <w:rsid w:val="4C693A04"/>
    <w:rsid w:val="4CA6544A"/>
    <w:rsid w:val="4CE227EC"/>
    <w:rsid w:val="4CEB2434"/>
    <w:rsid w:val="4D066BB1"/>
    <w:rsid w:val="4D30327B"/>
    <w:rsid w:val="4D662315"/>
    <w:rsid w:val="4DB3237F"/>
    <w:rsid w:val="4E2C17A5"/>
    <w:rsid w:val="4E567099"/>
    <w:rsid w:val="4E69704E"/>
    <w:rsid w:val="4EAC6E91"/>
    <w:rsid w:val="4EE259CC"/>
    <w:rsid w:val="4F1836BC"/>
    <w:rsid w:val="4F762AFB"/>
    <w:rsid w:val="4F7E75DA"/>
    <w:rsid w:val="4FEA17E1"/>
    <w:rsid w:val="4FEB6958"/>
    <w:rsid w:val="500B59A1"/>
    <w:rsid w:val="500E101A"/>
    <w:rsid w:val="500F4026"/>
    <w:rsid w:val="504F0EA8"/>
    <w:rsid w:val="507101E3"/>
    <w:rsid w:val="507B29E2"/>
    <w:rsid w:val="508919D6"/>
    <w:rsid w:val="513C5932"/>
    <w:rsid w:val="51792FE3"/>
    <w:rsid w:val="51895527"/>
    <w:rsid w:val="51FC1BE1"/>
    <w:rsid w:val="51FD3626"/>
    <w:rsid w:val="526275D4"/>
    <w:rsid w:val="52BE64A6"/>
    <w:rsid w:val="534E3FB7"/>
    <w:rsid w:val="53923E52"/>
    <w:rsid w:val="53935110"/>
    <w:rsid w:val="539644F3"/>
    <w:rsid w:val="539F7555"/>
    <w:rsid w:val="53F7274E"/>
    <w:rsid w:val="545271D9"/>
    <w:rsid w:val="545C6CAC"/>
    <w:rsid w:val="54732510"/>
    <w:rsid w:val="54B85307"/>
    <w:rsid w:val="54CB7C08"/>
    <w:rsid w:val="54E74148"/>
    <w:rsid w:val="551C3A9F"/>
    <w:rsid w:val="553A28BA"/>
    <w:rsid w:val="553F2088"/>
    <w:rsid w:val="55435B2D"/>
    <w:rsid w:val="558D39C7"/>
    <w:rsid w:val="559C3405"/>
    <w:rsid w:val="55AA4D69"/>
    <w:rsid w:val="55D04E92"/>
    <w:rsid w:val="55DF4A18"/>
    <w:rsid w:val="55FC595C"/>
    <w:rsid w:val="56204B23"/>
    <w:rsid w:val="568E4CE5"/>
    <w:rsid w:val="56A83DF7"/>
    <w:rsid w:val="56D67691"/>
    <w:rsid w:val="56DA235B"/>
    <w:rsid w:val="571876A2"/>
    <w:rsid w:val="572B3C93"/>
    <w:rsid w:val="575A5016"/>
    <w:rsid w:val="59152618"/>
    <w:rsid w:val="59296C55"/>
    <w:rsid w:val="594F5CA4"/>
    <w:rsid w:val="59786E8A"/>
    <w:rsid w:val="59C821A1"/>
    <w:rsid w:val="59CF0B19"/>
    <w:rsid w:val="5A323B7E"/>
    <w:rsid w:val="5A767910"/>
    <w:rsid w:val="5A801A4B"/>
    <w:rsid w:val="5B3A0B06"/>
    <w:rsid w:val="5B5F31E2"/>
    <w:rsid w:val="5B7D7B26"/>
    <w:rsid w:val="5BD334F3"/>
    <w:rsid w:val="5BFD0321"/>
    <w:rsid w:val="5C894882"/>
    <w:rsid w:val="5C9657C8"/>
    <w:rsid w:val="5CB2559B"/>
    <w:rsid w:val="5CCD7FF9"/>
    <w:rsid w:val="5CD1581F"/>
    <w:rsid w:val="5CD87669"/>
    <w:rsid w:val="5D275A43"/>
    <w:rsid w:val="5D604282"/>
    <w:rsid w:val="5DBB5D65"/>
    <w:rsid w:val="5DC75989"/>
    <w:rsid w:val="5DF80F15"/>
    <w:rsid w:val="5E003F76"/>
    <w:rsid w:val="5E3236E2"/>
    <w:rsid w:val="5EB149F1"/>
    <w:rsid w:val="5F041609"/>
    <w:rsid w:val="5F8B2A27"/>
    <w:rsid w:val="603040BD"/>
    <w:rsid w:val="607608B4"/>
    <w:rsid w:val="60A45888"/>
    <w:rsid w:val="60B858BD"/>
    <w:rsid w:val="60DF2579"/>
    <w:rsid w:val="60E04A90"/>
    <w:rsid w:val="61E363A1"/>
    <w:rsid w:val="61E57267"/>
    <w:rsid w:val="61F718D5"/>
    <w:rsid w:val="62180535"/>
    <w:rsid w:val="626C20C3"/>
    <w:rsid w:val="62C5523D"/>
    <w:rsid w:val="62EC3B70"/>
    <w:rsid w:val="62EE1ED0"/>
    <w:rsid w:val="630C3261"/>
    <w:rsid w:val="637F6440"/>
    <w:rsid w:val="63AC7FCD"/>
    <w:rsid w:val="63B74933"/>
    <w:rsid w:val="64177D84"/>
    <w:rsid w:val="645E010B"/>
    <w:rsid w:val="64656AE7"/>
    <w:rsid w:val="649029E6"/>
    <w:rsid w:val="64BD6E7B"/>
    <w:rsid w:val="652D4527"/>
    <w:rsid w:val="65383937"/>
    <w:rsid w:val="65B21C6C"/>
    <w:rsid w:val="65BF392E"/>
    <w:rsid w:val="65D6334D"/>
    <w:rsid w:val="664D028F"/>
    <w:rsid w:val="66735228"/>
    <w:rsid w:val="6696235A"/>
    <w:rsid w:val="67084DF8"/>
    <w:rsid w:val="670F21F4"/>
    <w:rsid w:val="674C42CB"/>
    <w:rsid w:val="675E42E7"/>
    <w:rsid w:val="679B30A1"/>
    <w:rsid w:val="679C58FB"/>
    <w:rsid w:val="67E013F6"/>
    <w:rsid w:val="68245CE5"/>
    <w:rsid w:val="68874732"/>
    <w:rsid w:val="68F30B9F"/>
    <w:rsid w:val="68FA2371"/>
    <w:rsid w:val="691C2D95"/>
    <w:rsid w:val="69397798"/>
    <w:rsid w:val="696C43B8"/>
    <w:rsid w:val="696F3F51"/>
    <w:rsid w:val="6A0A6626"/>
    <w:rsid w:val="6A5308C5"/>
    <w:rsid w:val="6A6F2CE3"/>
    <w:rsid w:val="6A955ED8"/>
    <w:rsid w:val="6B1541BA"/>
    <w:rsid w:val="6B3266AB"/>
    <w:rsid w:val="6B794260"/>
    <w:rsid w:val="6B834C6B"/>
    <w:rsid w:val="6B882FFF"/>
    <w:rsid w:val="6C1742E6"/>
    <w:rsid w:val="6C3718B9"/>
    <w:rsid w:val="6CEA499C"/>
    <w:rsid w:val="6D0F2EB8"/>
    <w:rsid w:val="6D36298C"/>
    <w:rsid w:val="6D3D2257"/>
    <w:rsid w:val="6D8434D4"/>
    <w:rsid w:val="6D871CDA"/>
    <w:rsid w:val="6D9C41F7"/>
    <w:rsid w:val="6DA52D78"/>
    <w:rsid w:val="6DC064C4"/>
    <w:rsid w:val="6E125076"/>
    <w:rsid w:val="6E263DBB"/>
    <w:rsid w:val="6E441637"/>
    <w:rsid w:val="6E4953A7"/>
    <w:rsid w:val="6F1159C8"/>
    <w:rsid w:val="6F2F210F"/>
    <w:rsid w:val="6F300740"/>
    <w:rsid w:val="6F5778AB"/>
    <w:rsid w:val="6F685621"/>
    <w:rsid w:val="6F747D47"/>
    <w:rsid w:val="6F926549"/>
    <w:rsid w:val="6FE1235B"/>
    <w:rsid w:val="6FFF7891"/>
    <w:rsid w:val="700D1D45"/>
    <w:rsid w:val="70A83C03"/>
    <w:rsid w:val="70B9479F"/>
    <w:rsid w:val="70F269F2"/>
    <w:rsid w:val="70F473C2"/>
    <w:rsid w:val="710C2816"/>
    <w:rsid w:val="714B1D65"/>
    <w:rsid w:val="71737DAE"/>
    <w:rsid w:val="7178473F"/>
    <w:rsid w:val="71E60365"/>
    <w:rsid w:val="71EF2452"/>
    <w:rsid w:val="71EF7202"/>
    <w:rsid w:val="71F15A0B"/>
    <w:rsid w:val="72164002"/>
    <w:rsid w:val="72392FC2"/>
    <w:rsid w:val="72645924"/>
    <w:rsid w:val="72CF0F94"/>
    <w:rsid w:val="72D9211E"/>
    <w:rsid w:val="72E83CAF"/>
    <w:rsid w:val="72F90540"/>
    <w:rsid w:val="72FB055A"/>
    <w:rsid w:val="73124942"/>
    <w:rsid w:val="736008E6"/>
    <w:rsid w:val="7398135C"/>
    <w:rsid w:val="73A142E6"/>
    <w:rsid w:val="73C35666"/>
    <w:rsid w:val="73DE4726"/>
    <w:rsid w:val="7437251C"/>
    <w:rsid w:val="749A0115"/>
    <w:rsid w:val="74CD344C"/>
    <w:rsid w:val="74F06D64"/>
    <w:rsid w:val="75407928"/>
    <w:rsid w:val="75905874"/>
    <w:rsid w:val="75A414BE"/>
    <w:rsid w:val="75A42D21"/>
    <w:rsid w:val="764F75E1"/>
    <w:rsid w:val="765102D8"/>
    <w:rsid w:val="768B73DF"/>
    <w:rsid w:val="76B44EFD"/>
    <w:rsid w:val="772F5D19"/>
    <w:rsid w:val="7737790A"/>
    <w:rsid w:val="773A7654"/>
    <w:rsid w:val="77441530"/>
    <w:rsid w:val="777B63AE"/>
    <w:rsid w:val="778D24E1"/>
    <w:rsid w:val="780D0D05"/>
    <w:rsid w:val="781A70A8"/>
    <w:rsid w:val="784F54CD"/>
    <w:rsid w:val="7877499B"/>
    <w:rsid w:val="78826B91"/>
    <w:rsid w:val="789A4C0A"/>
    <w:rsid w:val="78BF5924"/>
    <w:rsid w:val="78D333AB"/>
    <w:rsid w:val="78D36855"/>
    <w:rsid w:val="79983868"/>
    <w:rsid w:val="79AD4211"/>
    <w:rsid w:val="7A0A0172"/>
    <w:rsid w:val="7A3C0E30"/>
    <w:rsid w:val="7A462DBE"/>
    <w:rsid w:val="7B0F0C3D"/>
    <w:rsid w:val="7BB3231A"/>
    <w:rsid w:val="7BF30969"/>
    <w:rsid w:val="7C1B1EDA"/>
    <w:rsid w:val="7C405498"/>
    <w:rsid w:val="7C41363E"/>
    <w:rsid w:val="7C5E4A32"/>
    <w:rsid w:val="7D0C2758"/>
    <w:rsid w:val="7D133070"/>
    <w:rsid w:val="7D445062"/>
    <w:rsid w:val="7D8128A9"/>
    <w:rsid w:val="7D93751D"/>
    <w:rsid w:val="7D940FED"/>
    <w:rsid w:val="7DA04CC1"/>
    <w:rsid w:val="7DC64C69"/>
    <w:rsid w:val="7DED4AC0"/>
    <w:rsid w:val="7E12104F"/>
    <w:rsid w:val="7E346471"/>
    <w:rsid w:val="7E62604B"/>
    <w:rsid w:val="7E947E7E"/>
    <w:rsid w:val="7EC32874"/>
    <w:rsid w:val="7EE85473"/>
    <w:rsid w:val="7F1B04B6"/>
    <w:rsid w:val="7F1F6B46"/>
    <w:rsid w:val="7F2A534E"/>
    <w:rsid w:val="7F7B5D55"/>
    <w:rsid w:val="7FC50B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Tahoma" w:eastAsia="Tahoma" w:cs="Times New Roman"/>
      <w:b/>
      <w:bCs/>
    </w:rPr>
  </w:style>
  <w:style w:type="paragraph" w:styleId="4">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1"/>
    <w:next w:val="1"/>
    <w:link w:val="53"/>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54"/>
    <w:qFormat/>
    <w:uiPriority w:val="0"/>
    <w:pPr>
      <w:spacing w:before="100" w:beforeAutospacing="1" w:after="100" w:afterAutospacing="1"/>
      <w:jc w:val="left"/>
      <w:outlineLvl w:val="4"/>
    </w:pPr>
    <w:rPr>
      <w:rFonts w:ascii="宋体" w:hAnsi="宋体"/>
      <w:b/>
      <w:kern w:val="0"/>
      <w:sz w:val="20"/>
      <w:szCs w:val="20"/>
    </w:rPr>
  </w:style>
  <w:style w:type="paragraph" w:styleId="8">
    <w:name w:val="heading 6"/>
    <w:basedOn w:val="1"/>
    <w:next w:val="1"/>
    <w:link w:val="55"/>
    <w:qFormat/>
    <w:uiPriority w:val="0"/>
    <w:pPr>
      <w:keepNext/>
      <w:keepLines/>
      <w:spacing w:before="240" w:after="64" w:line="320" w:lineRule="auto"/>
      <w:outlineLvl w:val="5"/>
    </w:pPr>
    <w:rPr>
      <w:rFonts w:ascii="Arial" w:hAnsi="Arial" w:eastAsia="黑体"/>
      <w:b/>
      <w:bCs/>
      <w:sz w:val="24"/>
    </w:rPr>
  </w:style>
  <w:style w:type="character" w:default="1" w:styleId="35">
    <w:name w:val="Default Paragraph Font"/>
    <w:semiHidden/>
    <w:qFormat/>
    <w:uiPriority w:val="0"/>
  </w:style>
  <w:style w:type="table" w:default="1" w:styleId="33">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lock Text"/>
    <w:basedOn w:val="1"/>
    <w:qFormat/>
    <w:uiPriority w:val="0"/>
    <w:pPr>
      <w:spacing w:line="572" w:lineRule="exact"/>
      <w:ind w:left="1264" w:leftChars="100" w:right="316" w:hanging="948" w:hangingChars="300"/>
    </w:pPr>
    <w:rPr>
      <w:rFonts w:ascii="Times New Roman" w:hAnsi="Times New Roman" w:eastAsia="仿宋_GB2312"/>
      <w:snapToGrid w:val="0"/>
      <w:sz w:val="32"/>
      <w:szCs w:val="20"/>
    </w:rPr>
  </w:style>
  <w:style w:type="paragraph" w:styleId="9">
    <w:name w:val="Normal Indent"/>
    <w:basedOn w:val="1"/>
    <w:next w:val="1"/>
    <w:link w:val="56"/>
    <w:qFormat/>
    <w:uiPriority w:val="0"/>
    <w:pPr>
      <w:adjustRightInd w:val="0"/>
      <w:spacing w:line="312" w:lineRule="atLeast"/>
      <w:ind w:firstLine="420"/>
      <w:textAlignment w:val="baseline"/>
    </w:pPr>
    <w:rPr>
      <w:rFonts w:ascii="Calibri" w:hAnsi="Calibri" w:eastAsia="锦绣宋体"/>
      <w:kern w:val="0"/>
      <w:szCs w:val="20"/>
    </w:rPr>
  </w:style>
  <w:style w:type="paragraph" w:styleId="10">
    <w:name w:val="Document Map"/>
    <w:basedOn w:val="1"/>
    <w:link w:val="57"/>
    <w:qFormat/>
    <w:uiPriority w:val="0"/>
    <w:pPr>
      <w:shd w:val="clear" w:color="auto" w:fill="000080"/>
    </w:pPr>
  </w:style>
  <w:style w:type="paragraph" w:styleId="11">
    <w:name w:val="annotation text"/>
    <w:basedOn w:val="1"/>
    <w:link w:val="58"/>
    <w:unhideWhenUsed/>
    <w:qFormat/>
    <w:uiPriority w:val="0"/>
    <w:pPr>
      <w:jc w:val="left"/>
    </w:pPr>
    <w:rPr>
      <w:rFonts w:ascii="Calibri" w:hAnsi="Calibri"/>
    </w:rPr>
  </w:style>
  <w:style w:type="paragraph" w:styleId="12">
    <w:name w:val="Body Text"/>
    <w:basedOn w:val="1"/>
    <w:next w:val="13"/>
    <w:link w:val="59"/>
    <w:qFormat/>
    <w:uiPriority w:val="0"/>
    <w:pPr>
      <w:spacing w:after="120"/>
    </w:pPr>
    <w:rPr>
      <w:rFonts w:ascii="Calibri" w:hAnsi="Calibri" w:eastAsia="锦绣宋体"/>
    </w:rPr>
  </w:style>
  <w:style w:type="paragraph" w:styleId="13">
    <w:name w:val="Body Text First Indent"/>
    <w:basedOn w:val="12"/>
    <w:link w:val="60"/>
    <w:qFormat/>
    <w:uiPriority w:val="0"/>
    <w:pPr>
      <w:autoSpaceDE w:val="0"/>
      <w:autoSpaceDN w:val="0"/>
      <w:adjustRightInd w:val="0"/>
      <w:ind w:firstLine="420" w:firstLineChars="100"/>
      <w:jc w:val="left"/>
    </w:pPr>
    <w:rPr>
      <w:rFonts w:ascii="Calibri" w:hAnsi="Calibri"/>
    </w:rPr>
  </w:style>
  <w:style w:type="paragraph" w:styleId="14">
    <w:name w:val="Body Text Indent"/>
    <w:basedOn w:val="1"/>
    <w:next w:val="1"/>
    <w:qFormat/>
    <w:uiPriority w:val="0"/>
    <w:pPr>
      <w:ind w:left="480" w:hanging="480" w:hangingChars="200"/>
    </w:pPr>
    <w:rPr>
      <w:sz w:val="24"/>
    </w:rPr>
  </w:style>
  <w:style w:type="paragraph" w:styleId="15">
    <w:name w:val="toc 3"/>
    <w:basedOn w:val="1"/>
    <w:next w:val="1"/>
    <w:qFormat/>
    <w:uiPriority w:val="0"/>
    <w:pPr>
      <w:ind w:left="840" w:leftChars="400"/>
    </w:pPr>
    <w:rPr>
      <w:rFonts w:ascii="Times New Roman" w:hAnsi="Times New Roman"/>
    </w:rPr>
  </w:style>
  <w:style w:type="paragraph" w:styleId="16">
    <w:name w:val="Plain Text"/>
    <w:basedOn w:val="1"/>
    <w:next w:val="17"/>
    <w:link w:val="61"/>
    <w:qFormat/>
    <w:uiPriority w:val="0"/>
    <w:pPr>
      <w:widowControl/>
      <w:overflowPunct w:val="0"/>
      <w:autoSpaceDE w:val="0"/>
      <w:autoSpaceDN w:val="0"/>
      <w:adjustRightInd w:val="0"/>
      <w:jc w:val="left"/>
      <w:textAlignment w:val="baseline"/>
    </w:pPr>
    <w:rPr>
      <w:rFonts w:ascii="锦绣宋体" w:hAnsi="Tahoma" w:eastAsia="锦绣宋体"/>
      <w:kern w:val="0"/>
      <w:szCs w:val="21"/>
    </w:rPr>
  </w:style>
  <w:style w:type="paragraph" w:styleId="17">
    <w:name w:val="toc 2"/>
    <w:basedOn w:val="1"/>
    <w:next w:val="1"/>
    <w:qFormat/>
    <w:uiPriority w:val="39"/>
    <w:pPr>
      <w:ind w:left="420" w:leftChars="200"/>
    </w:pPr>
    <w:rPr>
      <w:rFonts w:ascii="Times New Roman" w:hAnsi="Times New Roman"/>
    </w:rPr>
  </w:style>
  <w:style w:type="paragraph" w:styleId="18">
    <w:name w:val="Date"/>
    <w:basedOn w:val="1"/>
    <w:next w:val="1"/>
    <w:link w:val="62"/>
    <w:qFormat/>
    <w:uiPriority w:val="0"/>
    <w:pPr>
      <w:ind w:left="100" w:leftChars="2500"/>
    </w:pPr>
  </w:style>
  <w:style w:type="paragraph" w:styleId="19">
    <w:name w:val="Body Text Indent 2"/>
    <w:basedOn w:val="1"/>
    <w:link w:val="63"/>
    <w:qFormat/>
    <w:uiPriority w:val="0"/>
    <w:pPr>
      <w:spacing w:line="500" w:lineRule="exact"/>
      <w:ind w:firstLine="511" w:firstLineChars="213"/>
    </w:pPr>
    <w:rPr>
      <w:sz w:val="24"/>
    </w:rPr>
  </w:style>
  <w:style w:type="paragraph" w:styleId="20">
    <w:name w:val="Balloon Text"/>
    <w:basedOn w:val="1"/>
    <w:link w:val="64"/>
    <w:qFormat/>
    <w:uiPriority w:val="0"/>
    <w:rPr>
      <w:sz w:val="18"/>
      <w:szCs w:val="18"/>
    </w:rPr>
  </w:style>
  <w:style w:type="paragraph" w:styleId="21">
    <w:name w:val="footer"/>
    <w:basedOn w:val="1"/>
    <w:link w:val="65"/>
    <w:qFormat/>
    <w:uiPriority w:val="99"/>
    <w:pPr>
      <w:tabs>
        <w:tab w:val="center" w:pos="4153"/>
        <w:tab w:val="right" w:pos="8306"/>
      </w:tabs>
      <w:snapToGrid w:val="0"/>
      <w:jc w:val="left"/>
    </w:pPr>
    <w:rPr>
      <w:rFonts w:ascii="Calibri" w:hAnsi="Calibri"/>
      <w:sz w:val="18"/>
      <w:szCs w:val="18"/>
    </w:rPr>
  </w:style>
  <w:style w:type="paragraph" w:styleId="22">
    <w:name w:val="header"/>
    <w:basedOn w:val="1"/>
    <w:link w:val="6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23">
    <w:name w:val="toc 1"/>
    <w:basedOn w:val="1"/>
    <w:next w:val="1"/>
    <w:qFormat/>
    <w:uiPriority w:val="39"/>
    <w:pPr>
      <w:tabs>
        <w:tab w:val="right" w:leader="dot" w:pos="9660"/>
      </w:tabs>
      <w:spacing w:line="480" w:lineRule="auto"/>
    </w:pPr>
  </w:style>
  <w:style w:type="paragraph" w:styleId="24">
    <w:name w:val="toc 4"/>
    <w:basedOn w:val="1"/>
    <w:next w:val="1"/>
    <w:qFormat/>
    <w:uiPriority w:val="0"/>
    <w:pPr>
      <w:wordWrap w:val="0"/>
      <w:ind w:left="850"/>
      <w:jc w:val="both"/>
    </w:pPr>
    <w:rPr>
      <w:sz w:val="21"/>
      <w:lang w:val="en-US" w:eastAsia="zh-CN" w:bidi="ar-SA"/>
    </w:rPr>
  </w:style>
  <w:style w:type="paragraph" w:styleId="25">
    <w:name w:val="footnote text"/>
    <w:basedOn w:val="1"/>
    <w:link w:val="67"/>
    <w:qFormat/>
    <w:uiPriority w:val="0"/>
    <w:pPr>
      <w:snapToGrid w:val="0"/>
      <w:jc w:val="left"/>
    </w:pPr>
    <w:rPr>
      <w:sz w:val="18"/>
    </w:rPr>
  </w:style>
  <w:style w:type="paragraph" w:styleId="26">
    <w:name w:val="toc 6"/>
    <w:basedOn w:val="1"/>
    <w:next w:val="1"/>
    <w:semiHidden/>
    <w:qFormat/>
    <w:uiPriority w:val="0"/>
    <w:pPr>
      <w:ind w:left="1050"/>
      <w:jc w:val="left"/>
    </w:pPr>
    <w:rPr>
      <w:sz w:val="18"/>
      <w:szCs w:val="18"/>
    </w:rPr>
  </w:style>
  <w:style w:type="paragraph" w:styleId="27">
    <w:name w:val="Body Text Indent 3"/>
    <w:basedOn w:val="1"/>
    <w:link w:val="68"/>
    <w:qFormat/>
    <w:uiPriority w:val="0"/>
    <w:pPr>
      <w:spacing w:line="500" w:lineRule="exact"/>
      <w:ind w:left="511" w:hanging="511" w:hangingChars="213"/>
    </w:pPr>
    <w:rPr>
      <w:sz w:val="24"/>
    </w:rPr>
  </w:style>
  <w:style w:type="paragraph" w:styleId="28">
    <w:name w:val="HTML Preformatted"/>
    <w:basedOn w:val="1"/>
    <w:link w:val="69"/>
    <w:qFormat/>
    <w:uiPriority w:val="0"/>
    <w:rPr>
      <w:rFonts w:ascii="Courier New" w:hAnsi="Courier New"/>
      <w:sz w:val="20"/>
      <w:szCs w:val="20"/>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Title"/>
    <w:basedOn w:val="1"/>
    <w:next w:val="1"/>
    <w:link w:val="70"/>
    <w:qFormat/>
    <w:uiPriority w:val="0"/>
    <w:pPr>
      <w:spacing w:before="240" w:after="60"/>
      <w:jc w:val="center"/>
      <w:outlineLvl w:val="0"/>
    </w:pPr>
    <w:rPr>
      <w:rFonts w:ascii="Arial" w:hAnsi="Arial"/>
      <w:b/>
      <w:bCs/>
      <w:color w:val="000000"/>
      <w:kern w:val="0"/>
      <w:sz w:val="32"/>
      <w:szCs w:val="32"/>
    </w:rPr>
  </w:style>
  <w:style w:type="paragraph" w:styleId="31">
    <w:name w:val="annotation subject"/>
    <w:basedOn w:val="11"/>
    <w:next w:val="11"/>
    <w:link w:val="71"/>
    <w:qFormat/>
    <w:uiPriority w:val="0"/>
    <w:rPr>
      <w:rFonts w:ascii="Calibri" w:hAnsi="Calibri"/>
      <w:b/>
      <w:bCs/>
    </w:rPr>
  </w:style>
  <w:style w:type="paragraph" w:styleId="32">
    <w:name w:val="Body Text First Indent 2"/>
    <w:basedOn w:val="14"/>
    <w:qFormat/>
    <w:uiPriority w:val="99"/>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none"/>
    </w:rPr>
  </w:style>
  <w:style w:type="character" w:styleId="39">
    <w:name w:val="HTML Definition"/>
    <w:qFormat/>
    <w:uiPriority w:val="0"/>
  </w:style>
  <w:style w:type="character" w:styleId="40">
    <w:name w:val="HTML Typewriter"/>
    <w:qFormat/>
    <w:uiPriority w:val="0"/>
    <w:rPr>
      <w:rFonts w:ascii="Courier New" w:hAnsi="Courier New"/>
      <w:sz w:val="24"/>
      <w:szCs w:val="24"/>
    </w:rPr>
  </w:style>
  <w:style w:type="character" w:styleId="41">
    <w:name w:val="HTML Acronym"/>
    <w:qFormat/>
    <w:uiPriority w:val="0"/>
  </w:style>
  <w:style w:type="character" w:styleId="42">
    <w:name w:val="HTML Variable"/>
    <w:qFormat/>
    <w:uiPriority w:val="0"/>
  </w:style>
  <w:style w:type="character" w:styleId="43">
    <w:name w:val="Hyperlink"/>
    <w:qFormat/>
    <w:uiPriority w:val="99"/>
    <w:rPr>
      <w:color w:val="454545"/>
      <w:u w:val="single"/>
    </w:rPr>
  </w:style>
  <w:style w:type="character" w:styleId="44">
    <w:name w:val="HTML Code"/>
    <w:qFormat/>
    <w:uiPriority w:val="0"/>
    <w:rPr>
      <w:rFonts w:ascii="Courier New" w:hAnsi="Courier New"/>
      <w:sz w:val="24"/>
      <w:szCs w:val="24"/>
    </w:rPr>
  </w:style>
  <w:style w:type="character" w:styleId="45">
    <w:name w:val="annotation reference"/>
    <w:qFormat/>
    <w:uiPriority w:val="0"/>
    <w:rPr>
      <w:sz w:val="21"/>
      <w:szCs w:val="21"/>
    </w:rPr>
  </w:style>
  <w:style w:type="character" w:styleId="46">
    <w:name w:val="HTML Cite"/>
    <w:qFormat/>
    <w:uiPriority w:val="0"/>
  </w:style>
  <w:style w:type="character" w:styleId="47">
    <w:name w:val="footnote reference"/>
    <w:qFormat/>
    <w:uiPriority w:val="0"/>
    <w:rPr>
      <w:vertAlign w:val="superscript"/>
    </w:rPr>
  </w:style>
  <w:style w:type="character" w:styleId="48">
    <w:name w:val="HTML Keyboard"/>
    <w:qFormat/>
    <w:uiPriority w:val="0"/>
    <w:rPr>
      <w:rFonts w:ascii="Courier New" w:hAnsi="Courier New"/>
      <w:sz w:val="24"/>
      <w:szCs w:val="24"/>
    </w:rPr>
  </w:style>
  <w:style w:type="character" w:styleId="49">
    <w:name w:val="HTML Sample"/>
    <w:qFormat/>
    <w:uiPriority w:val="0"/>
    <w:rPr>
      <w:rFonts w:ascii="Courier New" w:hAnsi="Courier New"/>
      <w:sz w:val="24"/>
      <w:szCs w:val="24"/>
    </w:rPr>
  </w:style>
  <w:style w:type="paragraph" w:customStyle="1" w:styleId="50">
    <w:name w:val="表格文字"/>
    <w:basedOn w:val="16"/>
    <w:next w:val="12"/>
    <w:qFormat/>
    <w:uiPriority w:val="0"/>
    <w:pPr>
      <w:adjustRightInd w:val="0"/>
      <w:spacing w:line="420" w:lineRule="atLeast"/>
      <w:jc w:val="left"/>
      <w:textAlignment w:val="baseline"/>
    </w:pPr>
    <w:rPr>
      <w:kern w:val="0"/>
    </w:rPr>
  </w:style>
  <w:style w:type="character" w:customStyle="1" w:styleId="51">
    <w:name w:val="标题 2 Char"/>
    <w:link w:val="4"/>
    <w:qFormat/>
    <w:uiPriority w:val="0"/>
    <w:rPr>
      <w:rFonts w:ascii="Cambria" w:hAnsi="Cambria"/>
      <w:b/>
      <w:bCs/>
      <w:kern w:val="2"/>
      <w:sz w:val="32"/>
      <w:szCs w:val="32"/>
    </w:rPr>
  </w:style>
  <w:style w:type="character" w:customStyle="1" w:styleId="52">
    <w:name w:val="标题 3 Char"/>
    <w:link w:val="5"/>
    <w:qFormat/>
    <w:uiPriority w:val="0"/>
    <w:rPr>
      <w:b/>
      <w:bCs/>
      <w:kern w:val="2"/>
      <w:sz w:val="32"/>
      <w:szCs w:val="32"/>
    </w:rPr>
  </w:style>
  <w:style w:type="character" w:customStyle="1" w:styleId="53">
    <w:name w:val="标题 4 Char"/>
    <w:link w:val="6"/>
    <w:qFormat/>
    <w:uiPriority w:val="0"/>
    <w:rPr>
      <w:rFonts w:ascii="Cambria" w:hAnsi="Cambria"/>
      <w:b/>
      <w:bCs/>
      <w:kern w:val="2"/>
      <w:sz w:val="28"/>
      <w:szCs w:val="28"/>
    </w:rPr>
  </w:style>
  <w:style w:type="character" w:customStyle="1" w:styleId="54">
    <w:name w:val="标题 5 Char"/>
    <w:link w:val="7"/>
    <w:qFormat/>
    <w:uiPriority w:val="0"/>
    <w:rPr>
      <w:rFonts w:ascii="宋体" w:hAnsi="宋体"/>
      <w:b/>
    </w:rPr>
  </w:style>
  <w:style w:type="character" w:customStyle="1" w:styleId="55">
    <w:name w:val="标题 6 Char"/>
    <w:link w:val="8"/>
    <w:qFormat/>
    <w:uiPriority w:val="0"/>
    <w:rPr>
      <w:rFonts w:ascii="Arial" w:hAnsi="Arial" w:eastAsia="黑体"/>
      <w:b/>
      <w:bCs/>
      <w:kern w:val="2"/>
      <w:sz w:val="24"/>
      <w:szCs w:val="24"/>
    </w:rPr>
  </w:style>
  <w:style w:type="character" w:customStyle="1" w:styleId="56">
    <w:name w:val="正文缩进 Char"/>
    <w:link w:val="9"/>
    <w:qFormat/>
    <w:uiPriority w:val="0"/>
    <w:rPr>
      <w:rFonts w:ascii="Calibri" w:hAnsi="Calibri" w:eastAsia="锦绣宋体"/>
      <w:sz w:val="21"/>
    </w:rPr>
  </w:style>
  <w:style w:type="character" w:customStyle="1" w:styleId="57">
    <w:name w:val="文档结构图 Char"/>
    <w:link w:val="10"/>
    <w:qFormat/>
    <w:uiPriority w:val="0"/>
    <w:rPr>
      <w:kern w:val="2"/>
      <w:sz w:val="21"/>
      <w:szCs w:val="24"/>
      <w:shd w:val="clear" w:color="auto" w:fill="000080"/>
    </w:rPr>
  </w:style>
  <w:style w:type="character" w:customStyle="1" w:styleId="58">
    <w:name w:val="批注文字 Char"/>
    <w:link w:val="11"/>
    <w:qFormat/>
    <w:uiPriority w:val="0"/>
    <w:rPr>
      <w:rFonts w:ascii="Calibri" w:hAnsi="Calibri"/>
      <w:kern w:val="2"/>
      <w:sz w:val="21"/>
      <w:szCs w:val="24"/>
    </w:rPr>
  </w:style>
  <w:style w:type="character" w:customStyle="1" w:styleId="59">
    <w:name w:val="正文文本 Char"/>
    <w:link w:val="12"/>
    <w:qFormat/>
    <w:uiPriority w:val="0"/>
    <w:rPr>
      <w:rFonts w:ascii="Calibri" w:hAnsi="Calibri" w:eastAsia="锦绣宋体"/>
      <w:kern w:val="2"/>
      <w:sz w:val="21"/>
      <w:szCs w:val="24"/>
    </w:rPr>
  </w:style>
  <w:style w:type="character" w:customStyle="1" w:styleId="60">
    <w:name w:val="正文首行缩进 Char"/>
    <w:link w:val="13"/>
    <w:qFormat/>
    <w:uiPriority w:val="0"/>
    <w:rPr>
      <w:rFonts w:ascii="Calibri" w:hAnsi="Calibri" w:eastAsia="锦绣宋体"/>
      <w:kern w:val="2"/>
      <w:sz w:val="21"/>
      <w:szCs w:val="24"/>
    </w:rPr>
  </w:style>
  <w:style w:type="character" w:customStyle="1" w:styleId="61">
    <w:name w:val="纯文本 Char1"/>
    <w:link w:val="16"/>
    <w:qFormat/>
    <w:uiPriority w:val="0"/>
    <w:rPr>
      <w:rFonts w:ascii="锦绣宋体" w:hAnsi="Tahoma" w:eastAsia="锦绣宋体"/>
      <w:sz w:val="21"/>
      <w:szCs w:val="21"/>
    </w:rPr>
  </w:style>
  <w:style w:type="character" w:customStyle="1" w:styleId="62">
    <w:name w:val="日期 Char"/>
    <w:link w:val="18"/>
    <w:qFormat/>
    <w:uiPriority w:val="0"/>
    <w:rPr>
      <w:kern w:val="2"/>
      <w:sz w:val="21"/>
      <w:szCs w:val="24"/>
    </w:rPr>
  </w:style>
  <w:style w:type="character" w:customStyle="1" w:styleId="63">
    <w:name w:val="正文文本缩进 2 Char"/>
    <w:link w:val="19"/>
    <w:qFormat/>
    <w:uiPriority w:val="0"/>
    <w:rPr>
      <w:kern w:val="2"/>
      <w:sz w:val="24"/>
      <w:szCs w:val="24"/>
    </w:rPr>
  </w:style>
  <w:style w:type="character" w:customStyle="1" w:styleId="64">
    <w:name w:val="批注框文本 Char"/>
    <w:link w:val="20"/>
    <w:qFormat/>
    <w:uiPriority w:val="0"/>
    <w:rPr>
      <w:kern w:val="2"/>
      <w:sz w:val="18"/>
      <w:szCs w:val="18"/>
    </w:rPr>
  </w:style>
  <w:style w:type="character" w:customStyle="1" w:styleId="65">
    <w:name w:val="页脚 Char1"/>
    <w:link w:val="21"/>
    <w:qFormat/>
    <w:uiPriority w:val="99"/>
    <w:rPr>
      <w:rFonts w:ascii="Calibri" w:hAnsi="Calibri"/>
      <w:kern w:val="2"/>
      <w:sz w:val="18"/>
      <w:szCs w:val="18"/>
    </w:rPr>
  </w:style>
  <w:style w:type="character" w:customStyle="1" w:styleId="66">
    <w:name w:val="页眉 Char1"/>
    <w:link w:val="22"/>
    <w:qFormat/>
    <w:uiPriority w:val="0"/>
    <w:rPr>
      <w:rFonts w:ascii="Calibri" w:hAnsi="Calibri"/>
      <w:kern w:val="2"/>
      <w:sz w:val="18"/>
      <w:szCs w:val="18"/>
    </w:rPr>
  </w:style>
  <w:style w:type="character" w:customStyle="1" w:styleId="67">
    <w:name w:val="脚注文本 Char"/>
    <w:link w:val="25"/>
    <w:qFormat/>
    <w:uiPriority w:val="0"/>
    <w:rPr>
      <w:kern w:val="2"/>
      <w:sz w:val="18"/>
      <w:szCs w:val="24"/>
    </w:rPr>
  </w:style>
  <w:style w:type="character" w:customStyle="1" w:styleId="68">
    <w:name w:val="正文文本缩进 3 Char"/>
    <w:link w:val="27"/>
    <w:qFormat/>
    <w:uiPriority w:val="0"/>
    <w:rPr>
      <w:kern w:val="2"/>
      <w:sz w:val="24"/>
      <w:szCs w:val="24"/>
    </w:rPr>
  </w:style>
  <w:style w:type="character" w:customStyle="1" w:styleId="69">
    <w:name w:val="HTML 预设格式 Char"/>
    <w:link w:val="28"/>
    <w:qFormat/>
    <w:uiPriority w:val="0"/>
    <w:rPr>
      <w:rFonts w:ascii="Courier New" w:hAnsi="Courier New" w:cs="Courier New"/>
      <w:kern w:val="2"/>
    </w:rPr>
  </w:style>
  <w:style w:type="character" w:customStyle="1" w:styleId="70">
    <w:name w:val="标题 Char"/>
    <w:link w:val="30"/>
    <w:qFormat/>
    <w:uiPriority w:val="0"/>
    <w:rPr>
      <w:rFonts w:ascii="Arial" w:hAnsi="Arial" w:cs="Arial"/>
      <w:b/>
      <w:bCs/>
      <w:color w:val="000000"/>
      <w:sz w:val="32"/>
      <w:szCs w:val="32"/>
    </w:rPr>
  </w:style>
  <w:style w:type="character" w:customStyle="1" w:styleId="71">
    <w:name w:val="批注主题 Char"/>
    <w:link w:val="31"/>
    <w:qFormat/>
    <w:uiPriority w:val="0"/>
    <w:rPr>
      <w:rFonts w:ascii="Calibri" w:hAnsi="Calibri"/>
      <w:b/>
      <w:bCs/>
      <w:kern w:val="2"/>
      <w:sz w:val="21"/>
      <w:szCs w:val="24"/>
    </w:rPr>
  </w:style>
  <w:style w:type="paragraph" w:customStyle="1" w:styleId="72">
    <w:name w:val="表格文字（两侧对齐）"/>
    <w:basedOn w:val="1"/>
    <w:qFormat/>
    <w:uiPriority w:val="0"/>
    <w:pPr>
      <w:snapToGrid w:val="0"/>
    </w:pPr>
    <w:rPr>
      <w:sz w:val="20"/>
      <w:szCs w:val="24"/>
    </w:rPr>
  </w:style>
  <w:style w:type="paragraph" w:customStyle="1" w:styleId="73">
    <w:name w:val="样式 标题 3 + (中文) 黑体 小四 非加粗 段前: 7.8 磅 段后: 0 磅 行距: 固定值 20 磅_0"/>
    <w:basedOn w:val="74"/>
    <w:qFormat/>
    <w:uiPriority w:val="0"/>
    <w:pPr>
      <w:spacing w:before="0" w:after="0" w:line="400" w:lineRule="exact"/>
    </w:pPr>
    <w:rPr>
      <w:rFonts w:ascii="Times New Roman" w:hAnsi="Times New Roman" w:eastAsia="黑体" w:cs="宋体"/>
      <w:b w:val="0"/>
      <w:bCs w:val="0"/>
      <w:sz w:val="21"/>
      <w:szCs w:val="20"/>
    </w:rPr>
  </w:style>
  <w:style w:type="paragraph" w:customStyle="1" w:styleId="74">
    <w:name w:val="标题 3_0"/>
    <w:basedOn w:val="75"/>
    <w:next w:val="76"/>
    <w:qFormat/>
    <w:uiPriority w:val="0"/>
    <w:pPr>
      <w:keepNext/>
      <w:keepLines/>
      <w:spacing w:before="260" w:after="260" w:line="416" w:lineRule="auto"/>
      <w:outlineLvl w:val="2"/>
    </w:pPr>
    <w:rPr>
      <w:rFonts w:ascii="Calibri" w:hAnsi="Calibri" w:eastAsia="宋体"/>
      <w:b/>
      <w:bCs/>
      <w:sz w:val="32"/>
      <w:szCs w:val="32"/>
    </w:rPr>
  </w:style>
  <w:style w:type="paragraph" w:customStyle="1" w:styleId="75">
    <w:name w:val="正文_0"/>
    <w:next w:val="32"/>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76">
    <w:name w:val="正文_1"/>
    <w:next w:val="32"/>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7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7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79">
    <w:name w:val="正文文本首行缩进1"/>
    <w:basedOn w:val="12"/>
    <w:qFormat/>
    <w:uiPriority w:val="0"/>
    <w:pPr>
      <w:ind w:firstLine="420" w:firstLineChars="100"/>
    </w:pPr>
    <w:rPr>
      <w:szCs w:val="21"/>
    </w:rPr>
  </w:style>
  <w:style w:type="paragraph" w:customStyle="1" w:styleId="80">
    <w:name w:val="[Normal]"/>
    <w:qFormat/>
    <w:uiPriority w:val="0"/>
    <w:rPr>
      <w:rFonts w:ascii="宋体" w:hAnsi="宋体" w:eastAsia="宋体" w:cs="Times New Roman"/>
      <w:sz w:val="24"/>
      <w:szCs w:val="22"/>
      <w:lang w:val="zh-CN" w:eastAsia="zh-CN" w:bidi="ar-SA"/>
    </w:rPr>
  </w:style>
  <w:style w:type="paragraph" w:customStyle="1" w:styleId="81">
    <w:name w:val="_Style 1"/>
    <w:qFormat/>
    <w:uiPriority w:val="0"/>
    <w:rPr>
      <w:rFonts w:ascii="Calibri" w:hAnsi="Calibri" w:eastAsia="宋体" w:cs="宋体"/>
      <w:kern w:val="2"/>
      <w:sz w:val="28"/>
      <w:szCs w:val="22"/>
      <w:lang w:val="en-US" w:eastAsia="zh-CN" w:bidi="ar-SA"/>
    </w:rPr>
  </w:style>
  <w:style w:type="character" w:customStyle="1" w:styleId="82">
    <w:name w:val="font11"/>
    <w:qFormat/>
    <w:uiPriority w:val="0"/>
    <w:rPr>
      <w:rFonts w:hint="eastAsia" w:ascii="宋体" w:hAnsi="宋体" w:eastAsia="宋体" w:cs="宋体"/>
      <w:b/>
      <w:color w:val="000000"/>
      <w:sz w:val="36"/>
      <w:szCs w:val="36"/>
      <w:u w:val="single"/>
    </w:rPr>
  </w:style>
  <w:style w:type="character" w:customStyle="1" w:styleId="83">
    <w:name w:val="font01"/>
    <w:qFormat/>
    <w:uiPriority w:val="0"/>
    <w:rPr>
      <w:rFonts w:hint="default" w:ascii="等线" w:hAnsi="等线" w:eastAsia="等线" w:cs="等线"/>
      <w:color w:val="000000"/>
      <w:sz w:val="22"/>
      <w:szCs w:val="22"/>
      <w:u w:val="none"/>
    </w:rPr>
  </w:style>
  <w:style w:type="character" w:customStyle="1" w:styleId="84">
    <w:name w:val="font16"/>
    <w:qFormat/>
    <w:uiPriority w:val="0"/>
    <w:rPr>
      <w:rFonts w:hint="eastAsia" w:ascii="宋体" w:hAnsi="宋体" w:eastAsia="宋体" w:cs="宋体"/>
      <w:color w:val="000000"/>
      <w:sz w:val="22"/>
      <w:szCs w:val="22"/>
      <w:u w:val="none"/>
    </w:rPr>
  </w:style>
  <w:style w:type="character" w:customStyle="1" w:styleId="85">
    <w:name w:val="font71"/>
    <w:qFormat/>
    <w:uiPriority w:val="0"/>
    <w:rPr>
      <w:rFonts w:hint="default" w:ascii="等线" w:hAnsi="等线" w:eastAsia="等线" w:cs="等线"/>
      <w:b/>
      <w:color w:val="000000"/>
      <w:sz w:val="22"/>
      <w:szCs w:val="22"/>
      <w:u w:val="single"/>
    </w:rPr>
  </w:style>
  <w:style w:type="character" w:customStyle="1" w:styleId="86">
    <w:name w:val="unnamed51"/>
    <w:qFormat/>
    <w:uiPriority w:val="0"/>
    <w:rPr>
      <w:sz w:val="22"/>
      <w:szCs w:val="22"/>
    </w:rPr>
  </w:style>
  <w:style w:type="character" w:customStyle="1" w:styleId="87">
    <w:name w:val="font21"/>
    <w:qFormat/>
    <w:uiPriority w:val="0"/>
    <w:rPr>
      <w:rFonts w:hint="eastAsia" w:ascii="宋体" w:hAnsi="宋体" w:eastAsia="宋体" w:cs="宋体"/>
      <w:b/>
      <w:color w:val="000000"/>
      <w:sz w:val="22"/>
      <w:szCs w:val="22"/>
      <w:u w:val="none"/>
    </w:rPr>
  </w:style>
  <w:style w:type="character" w:customStyle="1" w:styleId="88">
    <w:name w:val="Texte Char Char"/>
    <w:qFormat/>
    <w:uiPriority w:val="0"/>
    <w:rPr>
      <w:rFonts w:ascii="宋体" w:hAnsi="Courier New" w:eastAsia="宋体"/>
      <w:sz w:val="21"/>
      <w:szCs w:val="21"/>
      <w:lang w:val="en-US" w:eastAsia="zh-CN" w:bidi="ar-SA"/>
    </w:rPr>
  </w:style>
  <w:style w:type="character" w:customStyle="1" w:styleId="89">
    <w:name w:val="页脚 Char"/>
    <w:qFormat/>
    <w:uiPriority w:val="0"/>
    <w:rPr>
      <w:rFonts w:eastAsia="仿宋_GB2312"/>
      <w:kern w:val="2"/>
      <w:sz w:val="18"/>
      <w:szCs w:val="18"/>
      <w:lang w:val="en-US" w:eastAsia="zh-CN" w:bidi="ar-SA"/>
    </w:rPr>
  </w:style>
  <w:style w:type="character" w:customStyle="1" w:styleId="90">
    <w:name w:val="style21"/>
    <w:qFormat/>
    <w:uiPriority w:val="0"/>
    <w:rPr>
      <w:sz w:val="15"/>
      <w:szCs w:val="15"/>
    </w:rPr>
  </w:style>
  <w:style w:type="character" w:customStyle="1" w:styleId="91">
    <w:name w:val="hover10"/>
    <w:qFormat/>
    <w:uiPriority w:val="0"/>
    <w:rPr>
      <w:shd w:val="clear" w:color="auto" w:fill="016BA7"/>
    </w:rPr>
  </w:style>
  <w:style w:type="character" w:customStyle="1" w:styleId="92">
    <w:name w:val="List Paragraph Char"/>
    <w:link w:val="93"/>
    <w:qFormat/>
    <w:uiPriority w:val="0"/>
    <w:rPr>
      <w:rFonts w:ascii="Calibri" w:hAnsi="Calibri"/>
      <w:kern w:val="2"/>
      <w:sz w:val="21"/>
      <w:szCs w:val="22"/>
    </w:rPr>
  </w:style>
  <w:style w:type="paragraph" w:customStyle="1" w:styleId="93">
    <w:name w:val="List Paragraph1"/>
    <w:basedOn w:val="1"/>
    <w:link w:val="92"/>
    <w:qFormat/>
    <w:uiPriority w:val="0"/>
    <w:pPr>
      <w:ind w:firstLine="420" w:firstLineChars="200"/>
    </w:pPr>
    <w:rPr>
      <w:rFonts w:ascii="Calibri" w:hAnsi="Calibri"/>
      <w:szCs w:val="22"/>
    </w:rPr>
  </w:style>
  <w:style w:type="character" w:customStyle="1" w:styleId="94">
    <w:name w:val="文档正文 Char"/>
    <w:link w:val="95"/>
    <w:qFormat/>
    <w:uiPriority w:val="0"/>
    <w:rPr>
      <w:rFonts w:ascii="Tahoma" w:hAnsi="Tahoma" w:eastAsia="仿宋_GB2312"/>
      <w:sz w:val="28"/>
    </w:rPr>
  </w:style>
  <w:style w:type="paragraph" w:customStyle="1" w:styleId="95">
    <w:name w:val="文档正文"/>
    <w:basedOn w:val="1"/>
    <w:link w:val="94"/>
    <w:qFormat/>
    <w:uiPriority w:val="0"/>
    <w:pPr>
      <w:spacing w:line="360" w:lineRule="auto"/>
      <w:ind w:firstLine="480" w:firstLineChars="200"/>
    </w:pPr>
    <w:rPr>
      <w:rFonts w:ascii="Tahoma" w:hAnsi="Tahoma" w:eastAsia="仿宋_GB2312"/>
      <w:kern w:val="0"/>
      <w:sz w:val="28"/>
      <w:szCs w:val="20"/>
    </w:rPr>
  </w:style>
  <w:style w:type="character" w:customStyle="1" w:styleId="96">
    <w:name w:val="font31"/>
    <w:qFormat/>
    <w:uiPriority w:val="0"/>
    <w:rPr>
      <w:rFonts w:hint="eastAsia" w:ascii="宋体" w:hAnsi="宋体" w:eastAsia="宋体" w:cs="宋体"/>
      <w:b/>
      <w:color w:val="000000"/>
      <w:sz w:val="36"/>
      <w:szCs w:val="36"/>
      <w:u w:val="none"/>
    </w:rPr>
  </w:style>
  <w:style w:type="character" w:customStyle="1" w:styleId="97">
    <w:name w:val="textcolor1"/>
    <w:qFormat/>
    <w:uiPriority w:val="0"/>
    <w:rPr>
      <w:color w:val="FF6600"/>
    </w:rPr>
  </w:style>
  <w:style w:type="character" w:customStyle="1" w:styleId="98">
    <w:name w:val="hover12"/>
    <w:qFormat/>
    <w:uiPriority w:val="0"/>
    <w:rPr>
      <w:shd w:val="clear" w:color="auto" w:fill="1FAD4B"/>
    </w:rPr>
  </w:style>
  <w:style w:type="character" w:customStyle="1" w:styleId="99">
    <w:name w:val="bsharetext"/>
    <w:qFormat/>
    <w:uiPriority w:val="0"/>
  </w:style>
  <w:style w:type="character" w:customStyle="1" w:styleId="100">
    <w:name w:val="样式6 列表并列 Char"/>
    <w:link w:val="101"/>
    <w:qFormat/>
    <w:locked/>
    <w:uiPriority w:val="0"/>
    <w:rPr>
      <w:rFonts w:ascii="Arial" w:hAnsi="Arial" w:cs="Arial"/>
      <w:kern w:val="21"/>
      <w:sz w:val="21"/>
      <w:szCs w:val="24"/>
      <w:lang w:val="en-US" w:eastAsia="zh-CN" w:bidi="ar-SA"/>
    </w:rPr>
  </w:style>
  <w:style w:type="paragraph" w:customStyle="1" w:styleId="101">
    <w:name w:val="样式6 列表并列"/>
    <w:link w:val="100"/>
    <w:qFormat/>
    <w:uiPriority w:val="0"/>
    <w:pPr>
      <w:widowControl w:val="0"/>
      <w:numPr>
        <w:ilvl w:val="0"/>
        <w:numId w:val="1"/>
      </w:numPr>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102">
    <w:name w:val="fontstyle01"/>
    <w:qFormat/>
    <w:uiPriority w:val="0"/>
    <w:rPr>
      <w:rFonts w:hint="eastAsia" w:ascii="新宋体" w:hAnsi="新宋体" w:eastAsia="新宋体"/>
      <w:color w:val="000000"/>
      <w:sz w:val="22"/>
      <w:szCs w:val="22"/>
    </w:rPr>
  </w:style>
  <w:style w:type="character" w:customStyle="1" w:styleId="103">
    <w:name w:val="Char Char Char"/>
    <w:qFormat/>
    <w:uiPriority w:val="0"/>
    <w:rPr>
      <w:rFonts w:ascii="宋体" w:hAnsi="Courier New" w:eastAsia="宋体"/>
      <w:sz w:val="21"/>
      <w:szCs w:val="21"/>
      <w:lang w:val="en-US" w:eastAsia="zh-CN" w:bidi="ar-SA"/>
    </w:rPr>
  </w:style>
  <w:style w:type="character" w:customStyle="1" w:styleId="104">
    <w:name w:val="Char Char2"/>
    <w:qFormat/>
    <w:uiPriority w:val="0"/>
    <w:rPr>
      <w:rFonts w:ascii="宋体" w:hAnsi="Courier New" w:eastAsia="宋体"/>
      <w:kern w:val="2"/>
      <w:sz w:val="21"/>
      <w:lang w:val="en-US" w:eastAsia="zh-CN"/>
    </w:rPr>
  </w:style>
  <w:style w:type="character" w:customStyle="1" w:styleId="105">
    <w:name w:val="font61"/>
    <w:qFormat/>
    <w:uiPriority w:val="0"/>
    <w:rPr>
      <w:rFonts w:hint="default" w:ascii="等线" w:hAnsi="等线" w:eastAsia="等线" w:cs="等线"/>
      <w:b/>
      <w:color w:val="000000"/>
      <w:sz w:val="22"/>
      <w:szCs w:val="22"/>
      <w:u w:val="none"/>
    </w:rPr>
  </w:style>
  <w:style w:type="character" w:customStyle="1" w:styleId="106">
    <w:name w:val="页眉 Char"/>
    <w:qFormat/>
    <w:uiPriority w:val="0"/>
    <w:rPr>
      <w:rFonts w:eastAsia="仿宋_GB2312"/>
      <w:kern w:val="2"/>
      <w:sz w:val="18"/>
      <w:szCs w:val="18"/>
      <w:lang w:val="en-US" w:eastAsia="zh-CN" w:bidi="ar-SA"/>
    </w:rPr>
  </w:style>
  <w:style w:type="character" w:customStyle="1" w:styleId="107">
    <w:name w:val="active"/>
    <w:qFormat/>
    <w:uiPriority w:val="0"/>
  </w:style>
  <w:style w:type="character" w:customStyle="1" w:styleId="108">
    <w:name w:val="纯文本 Char"/>
    <w:qFormat/>
    <w:uiPriority w:val="0"/>
    <w:rPr>
      <w:rFonts w:ascii="宋体" w:hAnsi="Courier New" w:eastAsia="宋体"/>
      <w:sz w:val="21"/>
      <w:lang w:val="en-US" w:eastAsia="zh-CN" w:bidi="ar-SA"/>
    </w:rPr>
  </w:style>
  <w:style w:type="character" w:customStyle="1" w:styleId="109">
    <w:name w:val="哈哈正文 Char"/>
    <w:link w:val="110"/>
    <w:qFormat/>
    <w:uiPriority w:val="0"/>
    <w:rPr>
      <w:rFonts w:ascii="宋体" w:hAnsi="宋体" w:cs="宋体"/>
      <w:kern w:val="2"/>
      <w:sz w:val="24"/>
    </w:rPr>
  </w:style>
  <w:style w:type="paragraph" w:customStyle="1" w:styleId="110">
    <w:name w:val="哈哈正文"/>
    <w:basedOn w:val="1"/>
    <w:link w:val="109"/>
    <w:qFormat/>
    <w:uiPriority w:val="0"/>
    <w:pPr>
      <w:spacing w:line="360" w:lineRule="auto"/>
      <w:ind w:firstLine="200" w:firstLineChars="200"/>
    </w:pPr>
    <w:rPr>
      <w:rFonts w:ascii="宋体" w:hAnsi="宋体"/>
      <w:sz w:val="24"/>
      <w:szCs w:val="20"/>
    </w:rPr>
  </w:style>
  <w:style w:type="character" w:customStyle="1" w:styleId="111">
    <w:name w:val="font41"/>
    <w:qFormat/>
    <w:uiPriority w:val="0"/>
    <w:rPr>
      <w:rFonts w:hint="eastAsia" w:ascii="宋体" w:hAnsi="宋体" w:eastAsia="宋体" w:cs="宋体"/>
      <w:b/>
      <w:color w:val="000000"/>
      <w:sz w:val="36"/>
      <w:szCs w:val="36"/>
      <w:u w:val="none"/>
    </w:rPr>
  </w:style>
  <w:style w:type="character" w:customStyle="1" w:styleId="112">
    <w:name w:val="hover11"/>
    <w:qFormat/>
    <w:uiPriority w:val="0"/>
    <w:rPr>
      <w:shd w:val="clear" w:color="auto" w:fill="016BA7"/>
    </w:rPr>
  </w:style>
  <w:style w:type="paragraph" w:customStyle="1" w:styleId="113">
    <w:name w:val="样式"/>
    <w:qFormat/>
    <w:uiPriority w:val="0"/>
    <w:pPr>
      <w:widowControl w:val="0"/>
      <w:autoSpaceDE w:val="0"/>
      <w:autoSpaceDN w:val="0"/>
      <w:adjustRightInd w:val="0"/>
    </w:pPr>
    <w:rPr>
      <w:rFonts w:ascii="Arial" w:hAnsi="Arial" w:eastAsia="宋体" w:cs="Arial"/>
      <w:sz w:val="24"/>
      <w:szCs w:val="24"/>
      <w:lang w:val="en-US" w:eastAsia="zh-CN" w:bidi="ar-SA"/>
    </w:rPr>
  </w:style>
  <w:style w:type="paragraph" w:customStyle="1" w:styleId="114">
    <w:name w:val="Char Char Char Char1"/>
    <w:basedOn w:val="1"/>
    <w:qFormat/>
    <w:uiPriority w:val="0"/>
    <w:rPr>
      <w:rFonts w:ascii="Tahoma" w:hAnsi="Tahoma"/>
      <w:sz w:val="24"/>
      <w:szCs w:val="20"/>
    </w:rPr>
  </w:style>
  <w:style w:type="paragraph" w:customStyle="1" w:styleId="115">
    <w:name w:val=" Char Char Char Char"/>
    <w:basedOn w:val="10"/>
    <w:qFormat/>
    <w:uiPriority w:val="0"/>
    <w:rPr>
      <w:rFonts w:ascii="Tahoma" w:hAnsi="Tahoma"/>
      <w:sz w:val="24"/>
    </w:rPr>
  </w:style>
  <w:style w:type="paragraph" w:customStyle="1" w:styleId="116">
    <w:name w:val="简单回函地址"/>
    <w:basedOn w:val="1"/>
    <w:qFormat/>
    <w:uiPriority w:val="0"/>
    <w:rPr>
      <w:rFonts w:ascii="Times New Roman" w:hAnsi="Times New Roman"/>
    </w:rPr>
  </w:style>
  <w:style w:type="paragraph" w:customStyle="1" w:styleId="117">
    <w:name w:val="Char Char Char Char Char Char Char"/>
    <w:basedOn w:val="1"/>
    <w:qFormat/>
    <w:uiPriority w:val="0"/>
    <w:rPr>
      <w:rFonts w:ascii="仿宋_GB2312" w:hAnsi="Times New Roman" w:eastAsia="仿宋_GB2312"/>
      <w:b/>
      <w:sz w:val="32"/>
      <w:szCs w:val="32"/>
    </w:rPr>
  </w:style>
  <w:style w:type="paragraph" w:customStyle="1" w:styleId="118">
    <w:name w:val="p0"/>
    <w:basedOn w:val="1"/>
    <w:qFormat/>
    <w:uiPriority w:val="0"/>
    <w:pPr>
      <w:widowControl/>
      <w:jc w:val="left"/>
    </w:pPr>
    <w:rPr>
      <w:rFonts w:ascii="宋体" w:hAnsi="宋体" w:cs="宋体"/>
      <w:kern w:val="0"/>
      <w:sz w:val="24"/>
    </w:rPr>
  </w:style>
  <w:style w:type="paragraph" w:customStyle="1" w:styleId="119">
    <w:name w:val="Char Char Char Char"/>
    <w:basedOn w:val="10"/>
    <w:qFormat/>
    <w:uiPriority w:val="0"/>
    <w:rPr>
      <w:rFonts w:ascii="Tahoma" w:hAnsi="Tahoma"/>
      <w:sz w:val="24"/>
    </w:rPr>
  </w:style>
  <w:style w:type="paragraph" w:styleId="120">
    <w:name w:val="List Paragraph"/>
    <w:basedOn w:val="1"/>
    <w:qFormat/>
    <w:uiPriority w:val="34"/>
    <w:pPr>
      <w:ind w:firstLine="420" w:firstLineChars="200"/>
    </w:pPr>
  </w:style>
  <w:style w:type="paragraph" w:customStyle="1" w:styleId="121">
    <w:name w:val="+正文 Char"/>
    <w:basedOn w:val="1"/>
    <w:qFormat/>
    <w:uiPriority w:val="0"/>
    <w:pPr>
      <w:spacing w:line="360" w:lineRule="auto"/>
      <w:ind w:firstLine="200" w:firstLineChars="200"/>
    </w:pPr>
    <w:rPr>
      <w:sz w:val="24"/>
      <w:szCs w:val="28"/>
    </w:rPr>
  </w:style>
  <w:style w:type="paragraph" w:customStyle="1" w:styleId="122">
    <w:name w:val="BodyText1I"/>
    <w:basedOn w:val="123"/>
    <w:qFormat/>
    <w:uiPriority w:val="0"/>
    <w:pPr>
      <w:spacing w:after="120"/>
      <w:ind w:firstLine="420" w:firstLineChars="100"/>
      <w:jc w:val="left"/>
      <w:textAlignment w:val="baseline"/>
    </w:pPr>
  </w:style>
  <w:style w:type="paragraph" w:customStyle="1" w:styleId="123">
    <w:name w:val="BodyText"/>
    <w:basedOn w:val="1"/>
    <w:next w:val="122"/>
    <w:qFormat/>
    <w:uiPriority w:val="0"/>
    <w:pPr>
      <w:spacing w:after="120"/>
      <w:jc w:val="both"/>
      <w:textAlignment w:val="baseline"/>
    </w:pPr>
  </w:style>
  <w:style w:type="paragraph" w:customStyle="1" w:styleId="124">
    <w:name w:val="xl55"/>
    <w:basedOn w:val="1"/>
    <w:qFormat/>
    <w:uiPriority w:val="0"/>
    <w:pPr>
      <w:widowControl/>
      <w:spacing w:before="100" w:beforeAutospacing="1" w:after="100" w:afterAutospacing="1"/>
      <w:jc w:val="center"/>
      <w:textAlignment w:val="center"/>
    </w:pPr>
    <w:rPr>
      <w:rFonts w:ascii="Arial Black" w:hAnsi="Arial Black"/>
      <w:kern w:val="0"/>
      <w:sz w:val="24"/>
      <w:szCs w:val="20"/>
    </w:rPr>
  </w:style>
  <w:style w:type="paragraph" w:customStyle="1" w:styleId="12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Black" w:hAnsi="Arial Black" w:eastAsia="Arial Black"/>
      <w:kern w:val="0"/>
      <w:sz w:val="24"/>
    </w:rPr>
  </w:style>
  <w:style w:type="paragraph" w:customStyle="1" w:styleId="126">
    <w:name w:val="保留正文"/>
    <w:basedOn w:val="12"/>
    <w:qFormat/>
    <w:uiPriority w:val="0"/>
    <w:pPr>
      <w:keepNext/>
      <w:spacing w:after="160"/>
    </w:pPr>
    <w:rPr>
      <w:rFonts w:ascii="Times New Roman" w:hAnsi="Times New Roman" w:eastAsia="宋体"/>
    </w:rPr>
  </w:style>
  <w:style w:type="paragraph" w:customStyle="1" w:styleId="127">
    <w:name w:val="列出段落1"/>
    <w:basedOn w:val="1"/>
    <w:qFormat/>
    <w:uiPriority w:val="34"/>
    <w:pPr>
      <w:ind w:firstLine="420" w:firstLineChars="200"/>
    </w:pPr>
    <w:rPr>
      <w:rFonts w:ascii="Courier New" w:hAnsi="Courier New" w:cs="Times New Roman"/>
      <w:szCs w:val="22"/>
    </w:rPr>
  </w:style>
  <w:style w:type="paragraph" w:customStyle="1" w:styleId="128">
    <w:name w:val="Char Char"/>
    <w:basedOn w:val="1"/>
    <w:qFormat/>
    <w:uiPriority w:val="0"/>
    <w:rPr>
      <w:rFonts w:ascii="仿宋_GB2312" w:hAnsi="Times New Roman" w:eastAsia="仿宋_GB2312"/>
      <w:b/>
      <w:sz w:val="32"/>
      <w:szCs w:val="32"/>
    </w:rPr>
  </w:style>
  <w:style w:type="paragraph" w:customStyle="1" w:styleId="129">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30">
    <w:name w:val="Char Char Char Char Char Char Char Char Char Char Char Char Char1"/>
    <w:basedOn w:val="1"/>
    <w:qFormat/>
    <w:uiPriority w:val="0"/>
    <w:rPr>
      <w:rFonts w:ascii="Tahoma" w:hAnsi="Tahoma"/>
      <w:sz w:val="24"/>
      <w:szCs w:val="20"/>
    </w:rPr>
  </w:style>
  <w:style w:type="paragraph" w:customStyle="1" w:styleId="131">
    <w:name w:val="Char1 Char Char Char Char Char Char"/>
    <w:basedOn w:val="1"/>
    <w:qFormat/>
    <w:uiPriority w:val="0"/>
    <w:rPr>
      <w:rFonts w:ascii="Tahoma" w:hAnsi="Tahoma"/>
      <w:sz w:val="24"/>
      <w:szCs w:val="20"/>
    </w:rPr>
  </w:style>
  <w:style w:type="paragraph" w:styleId="132">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133">
    <w:name w:val="正文2"/>
    <w:basedOn w:val="1"/>
    <w:qFormat/>
    <w:uiPriority w:val="0"/>
    <w:pPr>
      <w:spacing w:before="156" w:line="360" w:lineRule="auto"/>
      <w:ind w:firstLine="510" w:firstLineChars="200"/>
    </w:pPr>
    <w:rPr>
      <w:rFonts w:ascii="Times New Roman" w:hAnsi="Times New Roman"/>
      <w:sz w:val="24"/>
      <w:szCs w:val="20"/>
    </w:rPr>
  </w:style>
  <w:style w:type="paragraph" w:customStyle="1" w:styleId="134">
    <w:name w:val="Char Char Char Char Char Char Char Char Char Char Char Char Char"/>
    <w:basedOn w:val="1"/>
    <w:qFormat/>
    <w:uiPriority w:val="0"/>
    <w:rPr>
      <w:rFonts w:ascii="Tahoma" w:hAnsi="Tahoma"/>
      <w:sz w:val="24"/>
      <w:szCs w:val="20"/>
    </w:rPr>
  </w:style>
  <w:style w:type="paragraph" w:customStyle="1" w:styleId="135">
    <w:name w:val="列出段落11"/>
    <w:basedOn w:val="1"/>
    <w:qFormat/>
    <w:uiPriority w:val="34"/>
    <w:pPr>
      <w:ind w:firstLine="420" w:firstLineChars="200"/>
    </w:pPr>
    <w:rPr>
      <w:rFonts w:ascii="Times New Roman" w:hAnsi="Times New Roman"/>
    </w:rPr>
  </w:style>
  <w:style w:type="paragraph" w:customStyle="1" w:styleId="13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37">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38">
    <w:name w:val=" Char Char Char Char Char Char Char"/>
    <w:basedOn w:val="1"/>
    <w:qFormat/>
    <w:uiPriority w:val="0"/>
    <w:rPr>
      <w:rFonts w:ascii="仿宋_GB2312" w:hAnsi="Times New Roman" w:eastAsia="仿宋_GB2312"/>
      <w:b/>
      <w:sz w:val="32"/>
      <w:szCs w:val="32"/>
    </w:rPr>
  </w:style>
  <w:style w:type="paragraph" w:customStyle="1" w:styleId="139">
    <w:name w:val=" Char Char Char Char Char Char Char Char Char Char Char Char Char"/>
    <w:basedOn w:val="1"/>
    <w:qFormat/>
    <w:uiPriority w:val="0"/>
    <w:rPr>
      <w:rFonts w:ascii="Tahoma" w:hAnsi="Tahoma"/>
      <w:sz w:val="24"/>
      <w:szCs w:val="20"/>
    </w:rPr>
  </w:style>
  <w:style w:type="paragraph" w:customStyle="1" w:styleId="140">
    <w:name w:val="_Style 5"/>
    <w:basedOn w:val="10"/>
    <w:qFormat/>
    <w:uiPriority w:val="0"/>
  </w:style>
  <w:style w:type="paragraph" w:customStyle="1" w:styleId="141">
    <w:name w:val="默认段落字体 Para Char Char Char Char"/>
    <w:basedOn w:val="1"/>
    <w:qFormat/>
    <w:uiPriority w:val="0"/>
    <w:rPr>
      <w:rFonts w:ascii="Times New Roman" w:hAnsi="Times New Roman"/>
    </w:rPr>
  </w:style>
  <w:style w:type="paragraph" w:customStyle="1" w:styleId="142">
    <w:name w:val="正文－恩普"/>
    <w:basedOn w:val="9"/>
    <w:qFormat/>
    <w:uiPriority w:val="0"/>
    <w:pPr>
      <w:framePr w:wrap="around" w:vAnchor="text" w:hAnchor="text" w:y="1"/>
      <w:adjustRightInd/>
      <w:spacing w:line="360" w:lineRule="auto"/>
      <w:ind w:firstLine="200" w:firstLineChars="200"/>
      <w:textAlignment w:val="auto"/>
    </w:pPr>
    <w:rPr>
      <w:rFonts w:ascii="Times New Roman" w:hAnsi="Times New Roman" w:eastAsia="宋体"/>
      <w:kern w:val="2"/>
      <w:sz w:val="24"/>
      <w:szCs w:val="24"/>
    </w:rPr>
  </w:style>
  <w:style w:type="paragraph" w:customStyle="1" w:styleId="143">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4">
    <w:name w:val="样式 样式1 + 首行缩进:  2 字符"/>
    <w:basedOn w:val="1"/>
    <w:qFormat/>
    <w:uiPriority w:val="99"/>
    <w:pPr>
      <w:spacing w:line="360" w:lineRule="exact"/>
      <w:ind w:firstLine="420" w:firstLineChars="200"/>
    </w:pPr>
    <w:rPr>
      <w:rFonts w:ascii="Arial" w:hAnsi="Arial" w:eastAsia="宋体" w:cs="Times New Roman"/>
      <w:snapToGrid w:val="0"/>
      <w:szCs w:val="20"/>
    </w:rPr>
  </w:style>
  <w:style w:type="paragraph" w:customStyle="1" w:styleId="145">
    <w:name w:val="Char"/>
    <w:basedOn w:val="1"/>
    <w:qFormat/>
    <w:uiPriority w:val="0"/>
    <w:rPr>
      <w:rFonts w:ascii="Times New Roman" w:hAnsi="Times New Roman"/>
      <w:szCs w:val="21"/>
    </w:rPr>
  </w:style>
  <w:style w:type="paragraph" w:customStyle="1" w:styleId="146">
    <w:name w:val=" Char Char7 Char"/>
    <w:basedOn w:val="1"/>
    <w:qFormat/>
    <w:uiPriority w:val="0"/>
    <w:pPr>
      <w:tabs>
        <w:tab w:val="left" w:pos="425"/>
      </w:tabs>
      <w:ind w:left="420" w:leftChars="200" w:firstLine="270" w:firstLineChars="150"/>
    </w:pPr>
    <w:rPr>
      <w:rFonts w:ascii="Times New Roman" w:hAnsi="Times New Roman"/>
    </w:rPr>
  </w:style>
  <w:style w:type="paragraph" w:customStyle="1" w:styleId="147">
    <w:name w:val="_Style 50"/>
    <w:basedOn w:val="10"/>
    <w:qFormat/>
    <w:uiPriority w:val="0"/>
    <w:rPr>
      <w:rFonts w:ascii="Tahoma" w:hAnsi="Tahoma"/>
      <w:sz w:val="24"/>
    </w:rPr>
  </w:style>
  <w:style w:type="paragraph" w:customStyle="1" w:styleId="148">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149">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150">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151">
    <w:name w:val="表内文字"/>
    <w:basedOn w:val="1"/>
    <w:qFormat/>
    <w:uiPriority w:val="0"/>
    <w:pPr>
      <w:spacing w:line="240" w:lineRule="atLeast"/>
      <w:jc w:val="center"/>
    </w:pPr>
    <w:rPr>
      <w:rFonts w:ascii="Arial" w:hAnsi="Arial" w:cs="Arial"/>
      <w:b/>
      <w:bCs/>
      <w:spacing w:val="0"/>
      <w:sz w:val="21"/>
      <w:szCs w:val="24"/>
    </w:rPr>
  </w:style>
  <w:style w:type="paragraph" w:customStyle="1" w:styleId="152">
    <w:name w:val="Table Paragraph"/>
    <w:basedOn w:val="1"/>
    <w:qFormat/>
    <w:uiPriority w:val="1"/>
    <w:rPr>
      <w:rFonts w:ascii="宋体" w:hAnsi="宋体" w:eastAsia="宋体" w:cs="宋体"/>
      <w:lang w:val="zh-CN" w:eastAsia="zh-CN" w:bidi="zh-CN"/>
    </w:rPr>
  </w:style>
  <w:style w:type="character" w:customStyle="1" w:styleId="153">
    <w:name w:val="question-title2"/>
    <w:qFormat/>
    <w:uiPriority w:val="0"/>
  </w:style>
  <w:style w:type="character" w:customStyle="1" w:styleId="154">
    <w:name w:val="NormalCharacter"/>
    <w:semiHidden/>
    <w:qFormat/>
    <w:uiPriority w:val="0"/>
  </w:style>
  <w:style w:type="paragraph" w:customStyle="1" w:styleId="155">
    <w:name w:val="PlainText"/>
    <w:basedOn w:val="1"/>
    <w:qFormat/>
    <w:uiPriority w:val="0"/>
    <w:rPr>
      <w:rFonts w:ascii="宋体" w:hAnsi="Courier New"/>
    </w:rPr>
  </w:style>
  <w:style w:type="paragraph" w:customStyle="1" w:styleId="156">
    <w:name w:val="Heading5"/>
    <w:basedOn w:val="1"/>
    <w:next w:val="1"/>
    <w:qFormat/>
    <w:uiPriority w:val="0"/>
    <w:pPr>
      <w:keepNext/>
      <w:keepLines/>
      <w:spacing w:before="280" w:after="290" w:line="372" w:lineRule="auto"/>
    </w:pPr>
    <w:rPr>
      <w:rFonts w:hAnsi="Tahoma" w:cs="Times New Roman"/>
      <w:bCs/>
      <w:sz w:val="28"/>
      <w:szCs w:val="28"/>
    </w:rPr>
  </w:style>
  <w:style w:type="paragraph" w:customStyle="1" w:styleId="157">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8">
    <w:name w:val="段"/>
    <w:basedOn w:val="1"/>
    <w:next w:val="1"/>
    <w:qFormat/>
    <w:uiPriority w:val="0"/>
    <w:pPr>
      <w:widowControl/>
      <w:autoSpaceDE w:val="0"/>
      <w:autoSpaceDN w:val="0"/>
      <w:ind w:firstLine="420" w:firstLineChars="200"/>
    </w:pPr>
    <w:rPr>
      <w:rFonts w:ascii="宋体" w:hAnsi="宋体" w:cs="宋体"/>
      <w:kern w:val="0"/>
    </w:rPr>
  </w:style>
  <w:style w:type="paragraph" w:customStyle="1" w:styleId="159">
    <w:name w:val="_Style 120"/>
    <w:basedOn w:val="1"/>
    <w:next w:val="93"/>
    <w:qFormat/>
    <w:uiPriority w:val="0"/>
    <w:pPr>
      <w:ind w:firstLine="420" w:firstLineChars="200"/>
    </w:pPr>
    <w:rPr>
      <w:rFonts w:ascii="Calibri" w:hAnsi="Calibri"/>
      <w:szCs w:val="22"/>
    </w:rPr>
  </w:style>
  <w:style w:type="paragraph" w:customStyle="1" w:styleId="160">
    <w:name w:val="Body text|1"/>
    <w:basedOn w:val="1"/>
    <w:qFormat/>
    <w:uiPriority w:val="0"/>
    <w:pPr>
      <w:spacing w:line="391" w:lineRule="auto"/>
      <w:ind w:firstLine="400"/>
      <w:jc w:val="left"/>
    </w:pPr>
    <w:rPr>
      <w:rFonts w:ascii="宋体" w:hAnsi="宋体" w:eastAsia="宋体" w:cs="宋体"/>
      <w:color w:val="auto"/>
      <w:sz w:val="30"/>
      <w:szCs w:val="30"/>
      <w:lang w:val="zh-TW" w:eastAsia="zh-TW" w:bidi="zh-TW"/>
    </w:rPr>
  </w:style>
  <w:style w:type="paragraph" w:customStyle="1" w:styleId="161">
    <w:name w:val="Other|1"/>
    <w:basedOn w:val="1"/>
    <w:qFormat/>
    <w:uiPriority w:val="0"/>
    <w:pPr>
      <w:spacing w:line="391" w:lineRule="auto"/>
      <w:ind w:firstLine="400"/>
      <w:jc w:val="left"/>
    </w:pPr>
    <w:rPr>
      <w:rFonts w:ascii="宋体" w:hAnsi="宋体" w:eastAsia="宋体" w:cs="宋体"/>
      <w:color w:val="auto"/>
      <w:sz w:val="30"/>
      <w:szCs w:val="30"/>
      <w:lang w:val="zh-TW" w:eastAsia="zh-TW" w:bidi="zh-TW"/>
    </w:rPr>
  </w:style>
  <w:style w:type="paragraph" w:customStyle="1" w:styleId="162">
    <w:name w:val="Other|2"/>
    <w:basedOn w:val="1"/>
    <w:qFormat/>
    <w:uiPriority w:val="0"/>
    <w:pPr>
      <w:jc w:val="left"/>
    </w:pPr>
    <w:rPr>
      <w:rFonts w:ascii="宋体" w:hAnsi="宋体" w:eastAsia="宋体" w:cs="宋体"/>
      <w:color w:val="auto"/>
      <w:sz w:val="20"/>
      <w:lang w:val="zh-TW" w:eastAsia="zh-TW" w:bidi="zh-TW"/>
    </w:rPr>
  </w:style>
  <w:style w:type="paragraph" w:customStyle="1" w:styleId="163">
    <w:name w:val="Header or footer|1"/>
    <w:basedOn w:val="1"/>
    <w:qFormat/>
    <w:uiPriority w:val="0"/>
    <w:pPr>
      <w:jc w:val="left"/>
    </w:pPr>
    <w:rPr>
      <w:rFonts w:ascii="Times New Roman" w:eastAsia="宋体"/>
      <w:color w:val="auto"/>
      <w:sz w:val="22"/>
      <w:szCs w:val="22"/>
    </w:rPr>
  </w:style>
  <w:style w:type="paragraph" w:customStyle="1" w:styleId="164">
    <w:name w:val="Header or footer|2"/>
    <w:basedOn w:val="1"/>
    <w:qFormat/>
    <w:uiPriority w:val="0"/>
    <w:pPr>
      <w:jc w:val="left"/>
    </w:pPr>
    <w:rPr>
      <w:rFonts w:ascii="Times New Roman" w:eastAsia="宋体"/>
      <w:color w:val="auto"/>
      <w:sz w:val="20"/>
    </w:rPr>
  </w:style>
  <w:style w:type="paragraph" w:customStyle="1" w:styleId="165">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42550</Words>
  <Characters>44442</Characters>
  <Lines>335</Lines>
  <Paragraphs>94</Paragraphs>
  <TotalTime>21</TotalTime>
  <ScaleCrop>false</ScaleCrop>
  <LinksUpToDate>false</LinksUpToDate>
  <CharactersWithSpaces>45798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2020-02-21T08:17:00Z</dcterms:created>
  <dc:creator>Administrator</dc:creator>
  <cp:lastModifiedBy>易</cp:lastModifiedBy>
  <cp:lastPrinted>2024-07-18T07:58:00Z</cp:lastPrinted>
  <dcterms:modified xsi:type="dcterms:W3CDTF">2024-08-28T02:41:35Z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FF02B045D9A24C129DDF82CAB814AA4A_13</vt:lpwstr>
  </property>
</Properties>
</file>