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370B13">
      <w:pPr>
        <w:spacing w:line="360" w:lineRule="auto"/>
        <w:jc w:val="center"/>
        <w:rPr>
          <w:rFonts w:hint="eastAsia" w:ascii="宋体" w:hAnsi="宋体" w:eastAsia="宋体" w:cs="宋体"/>
          <w:b/>
          <w:color w:val="auto"/>
          <w:sz w:val="24"/>
          <w:highlight w:val="none"/>
        </w:rPr>
      </w:pPr>
    </w:p>
    <w:p w14:paraId="798A6E96">
      <w:pPr>
        <w:pStyle w:val="966"/>
        <w:spacing w:line="760" w:lineRule="exact"/>
        <w:rPr>
          <w:rFonts w:hint="eastAsia" w:ascii="宋体" w:hAnsi="宋体" w:eastAsia="宋体" w:cs="宋体"/>
          <w:b/>
          <w:bCs/>
          <w:color w:val="auto"/>
          <w:spacing w:val="0"/>
          <w:sz w:val="48"/>
          <w:szCs w:val="48"/>
          <w:highlight w:val="none"/>
          <w:lang w:eastAsia="zh-CN"/>
        </w:rPr>
      </w:pPr>
    </w:p>
    <w:p w14:paraId="3C40DC39">
      <w:pPr>
        <w:adjustRightInd/>
        <w:spacing w:line="360" w:lineRule="auto"/>
        <w:jc w:val="center"/>
        <w:rPr>
          <w:rFonts w:hint="eastAsia" w:ascii="仿宋" w:hAnsi="仿宋" w:eastAsia="仿宋" w:cs="仿宋_GB2312"/>
          <w:b/>
          <w:bCs w:val="0"/>
          <w:color w:val="000000" w:themeColor="text1"/>
          <w:spacing w:val="-28"/>
          <w:sz w:val="48"/>
          <w:szCs w:val="48"/>
          <w:highlight w:val="none"/>
          <w:lang w:eastAsia="zh-CN"/>
          <w14:textFill>
            <w14:solidFill>
              <w14:schemeClr w14:val="tx1"/>
            </w14:solidFill>
          </w14:textFill>
        </w:rPr>
      </w:pPr>
      <w:r>
        <w:rPr>
          <w:rFonts w:hint="eastAsia" w:ascii="仿宋" w:hAnsi="仿宋" w:eastAsia="仿宋" w:cs="仿宋_GB2312"/>
          <w:b/>
          <w:bCs w:val="0"/>
          <w:color w:val="000000" w:themeColor="text1"/>
          <w:spacing w:val="-28"/>
          <w:sz w:val="48"/>
          <w:szCs w:val="48"/>
          <w:highlight w:val="none"/>
          <w:lang w:eastAsia="zh-CN"/>
          <w14:textFill>
            <w14:solidFill>
              <w14:schemeClr w14:val="tx1"/>
            </w14:solidFill>
          </w14:textFill>
        </w:rPr>
        <w:t>杭州萧山钱江世纪城开发建设有限责任公司</w:t>
      </w:r>
    </w:p>
    <w:p w14:paraId="19B448C1">
      <w:pPr>
        <w:adjustRightInd/>
        <w:spacing w:line="360" w:lineRule="auto"/>
        <w:jc w:val="center"/>
        <w:rPr>
          <w:rFonts w:hint="eastAsia" w:ascii="宋体" w:hAnsi="宋体" w:eastAsia="宋体" w:cs="宋体"/>
          <w:b/>
          <w:bCs w:val="0"/>
          <w:color w:val="auto"/>
          <w:spacing w:val="-23"/>
          <w:sz w:val="52"/>
          <w:szCs w:val="52"/>
          <w:highlight w:val="none"/>
          <w:lang w:eastAsia="zh-CN"/>
        </w:rPr>
      </w:pPr>
      <w:r>
        <w:rPr>
          <w:rFonts w:hint="eastAsia" w:ascii="仿宋" w:hAnsi="仿宋" w:eastAsia="仿宋" w:cs="仿宋_GB2312"/>
          <w:b/>
          <w:bCs w:val="0"/>
          <w:color w:val="000000" w:themeColor="text1"/>
          <w:sz w:val="48"/>
          <w:szCs w:val="48"/>
          <w:highlight w:val="none"/>
          <w:lang w:eastAsia="zh-CN"/>
          <w14:textFill>
            <w14:solidFill>
              <w14:schemeClr w14:val="tx1"/>
            </w14:solidFill>
          </w14:textFill>
        </w:rPr>
        <w:t>2025年度资产保险采购项目</w:t>
      </w:r>
    </w:p>
    <w:p w14:paraId="0854F231">
      <w:pPr>
        <w:pStyle w:val="23"/>
        <w:rPr>
          <w:rFonts w:hint="eastAsia" w:ascii="宋体" w:hAnsi="宋体" w:eastAsia="宋体" w:cs="宋体"/>
          <w:b/>
          <w:bCs/>
          <w:color w:val="auto"/>
          <w:highlight w:val="none"/>
        </w:rPr>
      </w:pPr>
    </w:p>
    <w:p w14:paraId="30ECA5EA">
      <w:pPr>
        <w:adjustRightInd/>
        <w:spacing w:line="360" w:lineRule="auto"/>
        <w:jc w:val="center"/>
        <w:rPr>
          <w:rFonts w:hint="eastAsia" w:ascii="宋体" w:hAnsi="宋体" w:eastAsia="宋体" w:cs="宋体"/>
          <w:b/>
          <w:bCs/>
          <w:color w:val="auto"/>
          <w:sz w:val="72"/>
          <w:szCs w:val="72"/>
          <w:highlight w:val="none"/>
          <w:lang w:eastAsia="zh-CN"/>
        </w:rPr>
      </w:pPr>
      <w:r>
        <w:rPr>
          <w:rFonts w:hint="eastAsia" w:ascii="宋体" w:hAnsi="宋体" w:eastAsia="宋体" w:cs="宋体"/>
          <w:b/>
          <w:bCs/>
          <w:color w:val="auto"/>
          <w:sz w:val="72"/>
          <w:szCs w:val="72"/>
          <w:highlight w:val="none"/>
          <w:lang w:eastAsia="zh-CN"/>
        </w:rPr>
        <w:t>交易文件</w:t>
      </w:r>
    </w:p>
    <w:p w14:paraId="23A2083F">
      <w:pPr>
        <w:adjustRightInd/>
        <w:spacing w:line="360" w:lineRule="auto"/>
        <w:jc w:val="center"/>
        <w:rPr>
          <w:rFonts w:hint="eastAsia" w:ascii="宋体" w:hAnsi="宋体" w:eastAsia="宋体" w:cs="宋体"/>
          <w:b/>
          <w:color w:val="auto"/>
          <w:sz w:val="44"/>
          <w:szCs w:val="44"/>
          <w:highlight w:val="none"/>
        </w:rPr>
      </w:pPr>
    </w:p>
    <w:p w14:paraId="5566A208">
      <w:pPr>
        <w:snapToGrid w:val="0"/>
        <w:spacing w:line="360" w:lineRule="auto"/>
        <w:jc w:val="center"/>
        <w:rPr>
          <w:rFonts w:hint="default" w:asciiTheme="majorEastAsia" w:hAnsiTheme="majorEastAsia" w:eastAsiaTheme="majorEastAsia" w:cstheme="majorEastAsia"/>
          <w:b w:val="0"/>
          <w:bCs w:val="0"/>
          <w:color w:val="auto"/>
          <w:sz w:val="32"/>
          <w:szCs w:val="30"/>
          <w:highlight w:val="none"/>
          <w:lang w:val="en-US" w:eastAsia="zh-CN"/>
        </w:rPr>
      </w:pPr>
      <w:r>
        <w:rPr>
          <w:rFonts w:hint="eastAsia" w:asciiTheme="majorEastAsia" w:hAnsiTheme="majorEastAsia" w:eastAsiaTheme="majorEastAsia" w:cstheme="majorEastAsia"/>
          <w:b w:val="0"/>
          <w:bCs w:val="0"/>
          <w:color w:val="auto"/>
          <w:sz w:val="32"/>
          <w:szCs w:val="30"/>
          <w:highlight w:val="none"/>
          <w:lang w:val="en-US" w:eastAsia="zh-CN"/>
        </w:rPr>
        <w:t xml:space="preserve">交易编号：2025--BGHFW2  </w:t>
      </w:r>
    </w:p>
    <w:p w14:paraId="11EB452D">
      <w:pPr>
        <w:adjustRightInd/>
        <w:spacing w:line="360" w:lineRule="auto"/>
        <w:rPr>
          <w:rFonts w:hint="eastAsia" w:ascii="宋体" w:hAnsi="宋体" w:eastAsia="宋体" w:cs="宋体"/>
          <w:color w:val="auto"/>
          <w:sz w:val="28"/>
          <w:szCs w:val="20"/>
          <w:highlight w:val="none"/>
        </w:rPr>
      </w:pPr>
    </w:p>
    <w:p w14:paraId="493211F0">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463F2359">
      <w:pPr>
        <w:spacing w:line="360" w:lineRule="auto"/>
        <w:jc w:val="center"/>
        <w:rPr>
          <w:rFonts w:hint="eastAsia" w:ascii="宋体" w:hAnsi="宋体" w:eastAsia="宋体" w:cs="宋体"/>
          <w:b/>
          <w:color w:val="auto"/>
          <w:sz w:val="44"/>
          <w:szCs w:val="44"/>
          <w:highlight w:val="none"/>
        </w:rPr>
      </w:pPr>
    </w:p>
    <w:p w14:paraId="1B26453F">
      <w:pPr>
        <w:pStyle w:val="80"/>
        <w:rPr>
          <w:rFonts w:hint="eastAsia" w:ascii="宋体" w:hAnsi="宋体" w:eastAsia="宋体" w:cs="宋体"/>
          <w:color w:val="auto"/>
          <w:sz w:val="24"/>
          <w:highlight w:val="none"/>
        </w:rPr>
      </w:pPr>
    </w:p>
    <w:p w14:paraId="276476A4">
      <w:pPr>
        <w:pStyle w:val="80"/>
        <w:rPr>
          <w:rFonts w:hint="eastAsia" w:ascii="宋体" w:hAnsi="宋体" w:eastAsia="宋体" w:cs="宋体"/>
          <w:color w:val="auto"/>
          <w:sz w:val="24"/>
          <w:highlight w:val="none"/>
        </w:rPr>
      </w:pPr>
    </w:p>
    <w:p w14:paraId="2BA14571">
      <w:pPr>
        <w:pStyle w:val="80"/>
        <w:rPr>
          <w:rFonts w:hint="eastAsia" w:ascii="宋体" w:hAnsi="宋体" w:eastAsia="宋体" w:cs="宋体"/>
          <w:color w:val="auto"/>
          <w:sz w:val="24"/>
          <w:highlight w:val="none"/>
        </w:rPr>
      </w:pPr>
    </w:p>
    <w:p w14:paraId="197876A5">
      <w:pPr>
        <w:pStyle w:val="80"/>
        <w:rPr>
          <w:rFonts w:hint="eastAsia" w:ascii="宋体" w:hAnsi="宋体" w:eastAsia="宋体" w:cs="宋体"/>
          <w:color w:val="auto"/>
          <w:sz w:val="24"/>
          <w:highlight w:val="none"/>
        </w:rPr>
      </w:pPr>
    </w:p>
    <w:p w14:paraId="31827B0E">
      <w:pPr>
        <w:pStyle w:val="80"/>
        <w:rPr>
          <w:rFonts w:hint="eastAsia" w:ascii="宋体" w:hAnsi="宋体" w:eastAsia="宋体" w:cs="宋体"/>
          <w:color w:val="auto"/>
          <w:sz w:val="24"/>
          <w:highlight w:val="none"/>
        </w:rPr>
      </w:pPr>
    </w:p>
    <w:p w14:paraId="5DE29912">
      <w:pPr>
        <w:spacing w:line="360" w:lineRule="auto"/>
        <w:ind w:firstLine="964" w:firstLineChars="300"/>
        <w:jc w:val="both"/>
        <w:rPr>
          <w:rFonts w:hint="eastAsia" w:ascii="宋体" w:hAnsi="宋体" w:eastAsia="宋体" w:cs="宋体"/>
          <w:b/>
          <w:color w:val="auto"/>
          <w:kern w:val="2"/>
          <w:sz w:val="32"/>
          <w:szCs w:val="30"/>
          <w:highlight w:val="none"/>
          <w:lang w:val="en-US" w:eastAsia="zh-CN"/>
        </w:rPr>
      </w:pPr>
    </w:p>
    <w:p w14:paraId="18D87A4E">
      <w:pPr>
        <w:snapToGrid w:val="0"/>
        <w:spacing w:line="360" w:lineRule="auto"/>
        <w:jc w:val="center"/>
        <w:rPr>
          <w:rFonts w:hint="eastAsia" w:ascii="宋体" w:hAnsi="宋体" w:cs="宋体"/>
          <w:b/>
          <w:color w:val="auto"/>
          <w:sz w:val="32"/>
          <w:szCs w:val="30"/>
          <w:highlight w:val="none"/>
          <w:lang w:eastAsia="zh-CN"/>
        </w:rPr>
      </w:pPr>
      <w:r>
        <w:rPr>
          <w:rFonts w:hint="eastAsia" w:ascii="宋体" w:hAnsi="宋体" w:eastAsia="宋体" w:cs="宋体"/>
          <w:b/>
          <w:color w:val="auto"/>
          <w:kern w:val="2"/>
          <w:sz w:val="32"/>
          <w:szCs w:val="30"/>
          <w:highlight w:val="none"/>
          <w:lang w:val="en-US" w:eastAsia="zh-CN"/>
        </w:rPr>
        <w:t xml:space="preserve">交 易 </w:t>
      </w:r>
      <w:r>
        <w:rPr>
          <w:rFonts w:hint="eastAsia" w:ascii="宋体" w:hAnsi="宋体" w:eastAsia="宋体" w:cs="宋体"/>
          <w:b/>
          <w:color w:val="auto"/>
          <w:kern w:val="2"/>
          <w:sz w:val="32"/>
          <w:szCs w:val="30"/>
          <w:highlight w:val="none"/>
          <w:lang w:eastAsia="zh-CN"/>
        </w:rPr>
        <w:t>人：</w:t>
      </w:r>
      <w:r>
        <w:rPr>
          <w:rFonts w:hint="eastAsia" w:ascii="宋体" w:hAnsi="宋体" w:eastAsia="宋体" w:cs="宋体"/>
          <w:b/>
          <w:bCs w:val="0"/>
          <w:color w:val="auto"/>
          <w:sz w:val="32"/>
          <w:szCs w:val="30"/>
          <w:highlight w:val="none"/>
          <w:u w:val="single"/>
          <w:lang w:val="en-US" w:eastAsia="zh-CN"/>
        </w:rPr>
        <w:t>杭州萧山钱江世纪城开发建设有限责任公司</w:t>
      </w:r>
    </w:p>
    <w:p w14:paraId="33197293">
      <w:pPr>
        <w:spacing w:line="360" w:lineRule="auto"/>
        <w:ind w:firstLine="964" w:firstLineChars="300"/>
        <w:jc w:val="both"/>
        <w:rPr>
          <w:rFonts w:hint="default" w:ascii="宋体" w:hAnsi="宋体" w:eastAsia="宋体" w:cs="宋体"/>
          <w:b/>
          <w:bCs w:val="0"/>
          <w:color w:val="auto"/>
          <w:sz w:val="32"/>
          <w:szCs w:val="30"/>
          <w:highlight w:val="none"/>
          <w:u w:val="single"/>
          <w:lang w:val="en-US" w:eastAsia="zh-CN"/>
        </w:rPr>
      </w:pPr>
      <w:r>
        <w:rPr>
          <w:rFonts w:hint="eastAsia" w:ascii="宋体" w:hAnsi="宋体" w:eastAsia="宋体" w:cs="宋体"/>
          <w:b/>
          <w:bCs w:val="0"/>
          <w:color w:val="auto"/>
          <w:sz w:val="32"/>
          <w:szCs w:val="30"/>
          <w:highlight w:val="none"/>
          <w:lang w:val="en-US" w:eastAsia="zh-CN"/>
        </w:rPr>
        <w:t>采购机构</w:t>
      </w:r>
      <w:r>
        <w:rPr>
          <w:rFonts w:hint="eastAsia" w:ascii="宋体" w:hAnsi="宋体" w:eastAsia="宋体" w:cs="宋体"/>
          <w:b/>
          <w:bCs w:val="0"/>
          <w:color w:val="auto"/>
          <w:sz w:val="32"/>
          <w:szCs w:val="30"/>
          <w:highlight w:val="none"/>
          <w:lang w:eastAsia="zh-CN"/>
        </w:rPr>
        <w:t>：</w:t>
      </w:r>
      <w:r>
        <w:rPr>
          <w:rFonts w:hint="eastAsia" w:ascii="宋体" w:hAnsi="宋体" w:eastAsia="宋体" w:cs="宋体"/>
          <w:b/>
          <w:bCs w:val="0"/>
          <w:color w:val="auto"/>
          <w:sz w:val="32"/>
          <w:szCs w:val="30"/>
          <w:highlight w:val="none"/>
          <w:u w:val="single"/>
          <w:lang w:val="en-US" w:eastAsia="zh-CN"/>
        </w:rPr>
        <w:t xml:space="preserve">建经投资咨询有限公司 </w:t>
      </w:r>
    </w:p>
    <w:p w14:paraId="0D7D24DF">
      <w:pPr>
        <w:snapToGrid w:val="0"/>
        <w:spacing w:line="360" w:lineRule="auto"/>
        <w:jc w:val="center"/>
        <w:rPr>
          <w:rFonts w:hint="eastAsia" w:ascii="宋体" w:hAnsi="宋体" w:eastAsia="宋体" w:cs="宋体"/>
          <w:b/>
          <w:bCs w:val="0"/>
          <w:color w:val="auto"/>
          <w:sz w:val="32"/>
          <w:szCs w:val="32"/>
          <w:highlight w:val="none"/>
          <w:lang w:eastAsia="zh-CN"/>
        </w:rPr>
      </w:pPr>
      <w:r>
        <w:rPr>
          <w:rFonts w:hint="eastAsia" w:ascii="宋体" w:hAnsi="宋体" w:eastAsia="宋体" w:cs="宋体"/>
          <w:b/>
          <w:bCs w:val="0"/>
          <w:color w:val="auto"/>
          <w:sz w:val="32"/>
          <w:szCs w:val="32"/>
          <w:highlight w:val="none"/>
        </w:rPr>
        <w:t>二〇二</w:t>
      </w:r>
      <w:r>
        <w:rPr>
          <w:rFonts w:hint="eastAsia" w:ascii="宋体" w:hAnsi="宋体" w:cs="宋体"/>
          <w:b/>
          <w:bCs w:val="0"/>
          <w:color w:val="auto"/>
          <w:sz w:val="32"/>
          <w:szCs w:val="32"/>
          <w:highlight w:val="none"/>
          <w:lang w:val="en-US" w:eastAsia="zh-CN"/>
        </w:rPr>
        <w:t>五</w:t>
      </w:r>
      <w:r>
        <w:rPr>
          <w:rFonts w:hint="eastAsia" w:ascii="宋体" w:hAnsi="宋体" w:eastAsia="宋体" w:cs="宋体"/>
          <w:b/>
          <w:bCs w:val="0"/>
          <w:color w:val="auto"/>
          <w:sz w:val="32"/>
          <w:szCs w:val="32"/>
          <w:highlight w:val="none"/>
        </w:rPr>
        <w:t>年</w:t>
      </w:r>
      <w:r>
        <w:rPr>
          <w:rFonts w:hint="eastAsia" w:ascii="宋体" w:hAnsi="宋体" w:cs="宋体"/>
          <w:b/>
          <w:bCs w:val="0"/>
          <w:color w:val="auto"/>
          <w:sz w:val="32"/>
          <w:szCs w:val="32"/>
          <w:highlight w:val="none"/>
          <w:lang w:val="en-US" w:eastAsia="zh-CN"/>
        </w:rPr>
        <w:t>三</w:t>
      </w:r>
      <w:r>
        <w:rPr>
          <w:rFonts w:hint="eastAsia" w:ascii="宋体" w:hAnsi="宋体" w:eastAsia="宋体" w:cs="宋体"/>
          <w:b/>
          <w:bCs w:val="0"/>
          <w:color w:val="auto"/>
          <w:sz w:val="32"/>
          <w:szCs w:val="32"/>
          <w:highlight w:val="none"/>
        </w:rPr>
        <w:t>月</w:t>
      </w:r>
      <w:r>
        <w:rPr>
          <w:rFonts w:hint="eastAsia" w:ascii="宋体" w:hAnsi="宋体" w:cs="宋体"/>
          <w:b/>
          <w:bCs w:val="0"/>
          <w:color w:val="auto"/>
          <w:sz w:val="32"/>
          <w:szCs w:val="32"/>
          <w:highlight w:val="none"/>
          <w:lang w:val="en-US" w:eastAsia="zh-CN"/>
        </w:rPr>
        <w:t>十九</w:t>
      </w:r>
      <w:r>
        <w:rPr>
          <w:rFonts w:hint="eastAsia" w:ascii="宋体" w:hAnsi="宋体" w:eastAsia="宋体" w:cs="宋体"/>
          <w:b/>
          <w:bCs w:val="0"/>
          <w:color w:val="auto"/>
          <w:sz w:val="32"/>
          <w:szCs w:val="32"/>
          <w:highlight w:val="none"/>
          <w:lang w:eastAsia="zh-CN"/>
        </w:rPr>
        <w:t>日</w:t>
      </w:r>
    </w:p>
    <w:p w14:paraId="0B2AF9B2">
      <w:pPr>
        <w:pStyle w:val="23"/>
        <w:rPr>
          <w:rFonts w:hint="eastAsia" w:ascii="宋体" w:hAnsi="宋体" w:eastAsia="宋体" w:cs="宋体"/>
          <w:color w:val="auto"/>
          <w:highlight w:val="none"/>
        </w:rPr>
      </w:pPr>
    </w:p>
    <w:p w14:paraId="450B944F">
      <w:pPr>
        <w:pStyle w:val="24"/>
        <w:rPr>
          <w:rFonts w:hint="eastAsia" w:ascii="宋体" w:hAnsi="宋体" w:eastAsia="宋体" w:cs="宋体"/>
          <w:color w:val="auto"/>
          <w:highlight w:val="none"/>
        </w:rPr>
      </w:pPr>
    </w:p>
    <w:p w14:paraId="2B012CDB">
      <w:pPr>
        <w:pStyle w:val="25"/>
        <w:rPr>
          <w:rFonts w:hint="eastAsia" w:ascii="宋体" w:hAnsi="宋体" w:eastAsia="宋体" w:cs="宋体"/>
          <w:color w:val="auto"/>
          <w:highlight w:val="none"/>
        </w:rPr>
      </w:pPr>
    </w:p>
    <w:p w14:paraId="0D351B58">
      <w:pPr>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6B3AFA4C">
      <w:pPr>
        <w:spacing w:line="360" w:lineRule="auto"/>
        <w:rPr>
          <w:rFonts w:hint="eastAsia" w:ascii="宋体" w:hAnsi="宋体" w:eastAsia="宋体" w:cs="宋体"/>
          <w:color w:val="auto"/>
          <w:sz w:val="32"/>
          <w:szCs w:val="32"/>
          <w:highlight w:val="none"/>
        </w:rPr>
      </w:pPr>
    </w:p>
    <w:p w14:paraId="733FA3E6">
      <w:pPr>
        <w:spacing w:line="360" w:lineRule="auto"/>
        <w:rPr>
          <w:rFonts w:hint="eastAsia" w:ascii="宋体" w:hAnsi="宋体" w:eastAsia="宋体" w:cs="宋体"/>
          <w:color w:val="auto"/>
          <w:sz w:val="32"/>
          <w:szCs w:val="32"/>
          <w:highlight w:val="none"/>
        </w:rPr>
      </w:pPr>
    </w:p>
    <w:p w14:paraId="42ED89A0">
      <w:pPr>
        <w:spacing w:line="360" w:lineRule="auto"/>
        <w:ind w:firstLine="1280" w:firstLineChars="40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rPr>
        <w:t xml:space="preserve">第一部分      </w:t>
      </w:r>
      <w:r>
        <w:rPr>
          <w:rFonts w:hint="eastAsia" w:ascii="宋体" w:hAnsi="宋体" w:eastAsia="宋体" w:cs="宋体"/>
          <w:color w:val="auto"/>
          <w:sz w:val="32"/>
          <w:szCs w:val="32"/>
          <w:highlight w:val="none"/>
          <w:lang w:eastAsia="zh-CN"/>
        </w:rPr>
        <w:t>交易公告</w:t>
      </w:r>
    </w:p>
    <w:p w14:paraId="67299EDB">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第二部分      </w:t>
      </w:r>
      <w:r>
        <w:rPr>
          <w:rFonts w:hint="eastAsia" w:ascii="宋体" w:hAnsi="宋体" w:eastAsia="宋体" w:cs="宋体"/>
          <w:color w:val="auto"/>
          <w:sz w:val="32"/>
          <w:szCs w:val="32"/>
          <w:highlight w:val="none"/>
          <w:lang w:eastAsia="zh-CN"/>
        </w:rPr>
        <w:t>供应商</w:t>
      </w:r>
      <w:r>
        <w:rPr>
          <w:rFonts w:hint="eastAsia" w:ascii="宋体" w:hAnsi="宋体" w:eastAsia="宋体" w:cs="宋体"/>
          <w:color w:val="auto"/>
          <w:sz w:val="32"/>
          <w:szCs w:val="32"/>
          <w:highlight w:val="none"/>
        </w:rPr>
        <w:t>须知</w:t>
      </w:r>
    </w:p>
    <w:p w14:paraId="4426D217">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 xml:space="preserve">第三部分      </w:t>
      </w:r>
      <w:r>
        <w:rPr>
          <w:rFonts w:hint="eastAsia" w:ascii="宋体" w:hAnsi="宋体" w:cs="宋体"/>
          <w:color w:val="auto"/>
          <w:sz w:val="32"/>
          <w:szCs w:val="32"/>
          <w:highlight w:val="none"/>
          <w:lang w:val="en-US" w:eastAsia="zh-CN"/>
        </w:rPr>
        <w:t>交易</w:t>
      </w:r>
      <w:r>
        <w:rPr>
          <w:rFonts w:hint="eastAsia" w:ascii="宋体" w:hAnsi="宋体" w:eastAsia="宋体" w:cs="宋体"/>
          <w:color w:val="auto"/>
          <w:sz w:val="32"/>
          <w:szCs w:val="32"/>
          <w:highlight w:val="none"/>
        </w:rPr>
        <w:t>需求</w:t>
      </w:r>
    </w:p>
    <w:p w14:paraId="5DC29CF4">
      <w:pPr>
        <w:spacing w:line="360" w:lineRule="auto"/>
        <w:ind w:firstLine="1280" w:firstLineChars="40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rPr>
        <w:t xml:space="preserve">第四部分      </w:t>
      </w:r>
      <w:r>
        <w:rPr>
          <w:rFonts w:hint="eastAsia" w:ascii="宋体" w:hAnsi="宋体" w:eastAsia="宋体" w:cs="宋体"/>
          <w:color w:val="auto"/>
          <w:sz w:val="32"/>
          <w:szCs w:val="32"/>
          <w:highlight w:val="none"/>
          <w:lang w:eastAsia="zh-CN"/>
        </w:rPr>
        <w:t>交易办法</w:t>
      </w:r>
    </w:p>
    <w:p w14:paraId="1EF8D481">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25FE1EB4">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49C3BB7D">
      <w:pPr>
        <w:spacing w:line="360" w:lineRule="auto"/>
        <w:ind w:firstLine="549" w:firstLineChars="229"/>
        <w:rPr>
          <w:rFonts w:hint="eastAsia" w:ascii="宋体" w:hAnsi="宋体" w:eastAsia="宋体" w:cs="宋体"/>
          <w:color w:val="auto"/>
          <w:sz w:val="24"/>
          <w:highlight w:val="none"/>
        </w:rPr>
      </w:pPr>
      <w:bookmarkStart w:id="0" w:name="_Hlt91233176"/>
      <w:bookmarkEnd w:id="0"/>
      <w:bookmarkStart w:id="1" w:name="_Toc91899869"/>
    </w:p>
    <w:p w14:paraId="47594A6A">
      <w:pPr>
        <w:spacing w:line="360" w:lineRule="auto"/>
        <w:ind w:firstLine="549" w:firstLineChars="229"/>
        <w:rPr>
          <w:rFonts w:hint="eastAsia" w:ascii="宋体" w:hAnsi="宋体" w:eastAsia="宋体" w:cs="宋体"/>
          <w:color w:val="auto"/>
          <w:sz w:val="24"/>
          <w:highlight w:val="none"/>
        </w:rPr>
      </w:pPr>
    </w:p>
    <w:p w14:paraId="2CA5387E">
      <w:pPr>
        <w:spacing w:line="360" w:lineRule="auto"/>
        <w:ind w:firstLine="549" w:firstLineChars="229"/>
        <w:rPr>
          <w:rFonts w:hint="eastAsia" w:ascii="宋体" w:hAnsi="宋体" w:eastAsia="宋体" w:cs="宋体"/>
          <w:color w:val="auto"/>
          <w:sz w:val="24"/>
          <w:highlight w:val="none"/>
        </w:rPr>
      </w:pPr>
    </w:p>
    <w:p w14:paraId="068E2AAC">
      <w:pPr>
        <w:spacing w:line="360" w:lineRule="auto"/>
        <w:ind w:firstLine="549" w:firstLineChars="229"/>
        <w:rPr>
          <w:rFonts w:hint="eastAsia" w:ascii="宋体" w:hAnsi="宋体" w:eastAsia="宋体" w:cs="宋体"/>
          <w:color w:val="auto"/>
          <w:sz w:val="24"/>
          <w:highlight w:val="none"/>
        </w:rPr>
      </w:pPr>
    </w:p>
    <w:p w14:paraId="2304121A">
      <w:pPr>
        <w:spacing w:line="360" w:lineRule="auto"/>
        <w:ind w:firstLine="549" w:firstLineChars="229"/>
        <w:rPr>
          <w:rFonts w:hint="eastAsia" w:ascii="宋体" w:hAnsi="宋体" w:eastAsia="宋体" w:cs="宋体"/>
          <w:color w:val="auto"/>
          <w:sz w:val="24"/>
          <w:highlight w:val="none"/>
        </w:rPr>
      </w:pPr>
    </w:p>
    <w:p w14:paraId="3EC6B6E8">
      <w:pPr>
        <w:spacing w:line="360" w:lineRule="auto"/>
        <w:ind w:firstLine="549" w:firstLineChars="229"/>
        <w:rPr>
          <w:rFonts w:hint="eastAsia" w:ascii="宋体" w:hAnsi="宋体" w:eastAsia="宋体" w:cs="宋体"/>
          <w:color w:val="auto"/>
          <w:sz w:val="24"/>
          <w:highlight w:val="none"/>
        </w:rPr>
      </w:pPr>
    </w:p>
    <w:p w14:paraId="1B479552">
      <w:pPr>
        <w:spacing w:line="360" w:lineRule="auto"/>
        <w:ind w:firstLine="549" w:firstLineChars="229"/>
        <w:rPr>
          <w:rFonts w:hint="eastAsia" w:ascii="宋体" w:hAnsi="宋体" w:eastAsia="宋体" w:cs="宋体"/>
          <w:color w:val="auto"/>
          <w:sz w:val="24"/>
          <w:highlight w:val="none"/>
        </w:rPr>
      </w:pPr>
    </w:p>
    <w:p w14:paraId="78ED4FD7">
      <w:pPr>
        <w:spacing w:line="360" w:lineRule="auto"/>
        <w:ind w:firstLine="549" w:firstLineChars="229"/>
        <w:rPr>
          <w:rFonts w:hint="eastAsia" w:ascii="宋体" w:hAnsi="宋体" w:eastAsia="宋体" w:cs="宋体"/>
          <w:color w:val="auto"/>
          <w:sz w:val="24"/>
          <w:highlight w:val="none"/>
        </w:rPr>
      </w:pPr>
    </w:p>
    <w:p w14:paraId="6D946C82">
      <w:pPr>
        <w:spacing w:line="360" w:lineRule="auto"/>
        <w:ind w:firstLine="549" w:firstLineChars="229"/>
        <w:rPr>
          <w:rFonts w:hint="eastAsia" w:ascii="宋体" w:hAnsi="宋体" w:eastAsia="宋体" w:cs="宋体"/>
          <w:color w:val="auto"/>
          <w:sz w:val="24"/>
          <w:highlight w:val="none"/>
        </w:rPr>
      </w:pPr>
    </w:p>
    <w:p w14:paraId="1AD9BAA0">
      <w:pPr>
        <w:spacing w:line="360" w:lineRule="auto"/>
        <w:ind w:firstLine="549" w:firstLineChars="229"/>
        <w:rPr>
          <w:rFonts w:hint="eastAsia" w:ascii="宋体" w:hAnsi="宋体" w:eastAsia="宋体" w:cs="宋体"/>
          <w:color w:val="auto"/>
          <w:sz w:val="24"/>
          <w:highlight w:val="none"/>
        </w:rPr>
      </w:pPr>
    </w:p>
    <w:p w14:paraId="40A74305">
      <w:pPr>
        <w:spacing w:line="360" w:lineRule="auto"/>
        <w:ind w:firstLine="549" w:firstLineChars="229"/>
        <w:rPr>
          <w:rFonts w:hint="eastAsia" w:ascii="宋体" w:hAnsi="宋体" w:eastAsia="宋体" w:cs="宋体"/>
          <w:color w:val="auto"/>
          <w:sz w:val="24"/>
          <w:highlight w:val="none"/>
        </w:rPr>
      </w:pPr>
    </w:p>
    <w:p w14:paraId="269FE7E0">
      <w:pPr>
        <w:spacing w:line="360" w:lineRule="auto"/>
        <w:ind w:firstLine="549" w:firstLineChars="229"/>
        <w:rPr>
          <w:rFonts w:hint="eastAsia" w:ascii="宋体" w:hAnsi="宋体" w:eastAsia="宋体" w:cs="宋体"/>
          <w:color w:val="auto"/>
          <w:sz w:val="24"/>
          <w:highlight w:val="none"/>
        </w:rPr>
      </w:pPr>
    </w:p>
    <w:p w14:paraId="5B583706">
      <w:pPr>
        <w:spacing w:line="360" w:lineRule="auto"/>
        <w:ind w:firstLine="549" w:firstLineChars="229"/>
        <w:rPr>
          <w:rFonts w:hint="eastAsia" w:ascii="宋体" w:hAnsi="宋体" w:eastAsia="宋体" w:cs="宋体"/>
          <w:color w:val="auto"/>
          <w:sz w:val="24"/>
          <w:highlight w:val="none"/>
        </w:rPr>
      </w:pPr>
    </w:p>
    <w:p w14:paraId="1F7CD720">
      <w:pPr>
        <w:spacing w:line="360" w:lineRule="auto"/>
        <w:rPr>
          <w:rFonts w:hint="eastAsia" w:ascii="宋体" w:hAnsi="宋体" w:eastAsia="宋体" w:cs="宋体"/>
          <w:color w:val="auto"/>
          <w:sz w:val="24"/>
          <w:highlight w:val="none"/>
        </w:rPr>
      </w:pPr>
    </w:p>
    <w:p w14:paraId="03D1D755">
      <w:pPr>
        <w:adjustRightInd/>
        <w:spacing w:line="360" w:lineRule="auto"/>
        <w:jc w:val="center"/>
        <w:outlineLvl w:val="0"/>
        <w:rPr>
          <w:rFonts w:hint="eastAsia" w:ascii="宋体" w:hAnsi="宋体" w:eastAsia="宋体" w:cs="宋体"/>
          <w:b/>
          <w:color w:val="auto"/>
          <w:sz w:val="36"/>
          <w:szCs w:val="20"/>
          <w:highlight w:val="none"/>
          <w:lang w:eastAsia="zh-CN"/>
        </w:rPr>
      </w:pPr>
      <w:bookmarkStart w:id="2" w:name="第一部分"/>
      <w:r>
        <w:rPr>
          <w:rFonts w:hint="eastAsia" w:ascii="宋体" w:hAnsi="宋体" w:eastAsia="宋体" w:cs="宋体"/>
          <w:b/>
          <w:color w:val="auto"/>
          <w:sz w:val="36"/>
          <w:szCs w:val="36"/>
          <w:highlight w:val="none"/>
        </w:rPr>
        <w:br w:type="page"/>
      </w:r>
      <w:bookmarkEnd w:id="1"/>
      <w:bookmarkEnd w:id="2"/>
      <w:bookmarkStart w:id="3" w:name="_Hlt74649545"/>
      <w:bookmarkEnd w:id="3"/>
      <w:bookmarkStart w:id="4" w:name="_Hlt74728647"/>
      <w:bookmarkEnd w:id="4"/>
      <w:bookmarkStart w:id="5" w:name="_Hlt74729822"/>
      <w:bookmarkEnd w:id="5"/>
      <w:bookmarkStart w:id="6" w:name="_Hlt74707423"/>
      <w:bookmarkEnd w:id="6"/>
      <w:bookmarkStart w:id="7" w:name="第二部分"/>
      <w:bookmarkStart w:id="8" w:name="_Toc91899870"/>
      <w:bookmarkStart w:id="9" w:name="_Toc91899871"/>
      <w:r>
        <w:rPr>
          <w:rFonts w:hint="eastAsia" w:ascii="宋体" w:hAnsi="宋体" w:eastAsia="宋体" w:cs="宋体"/>
          <w:b/>
          <w:color w:val="auto"/>
          <w:sz w:val="36"/>
          <w:szCs w:val="20"/>
          <w:highlight w:val="none"/>
        </w:rPr>
        <w:t xml:space="preserve">第一部分 </w:t>
      </w:r>
      <w:r>
        <w:rPr>
          <w:rFonts w:hint="eastAsia" w:ascii="宋体" w:hAnsi="宋体" w:eastAsia="宋体" w:cs="宋体"/>
          <w:b/>
          <w:color w:val="auto"/>
          <w:sz w:val="36"/>
          <w:szCs w:val="20"/>
          <w:highlight w:val="none"/>
          <w:lang w:eastAsia="zh-CN"/>
        </w:rPr>
        <w:t>交易公告</w:t>
      </w:r>
    </w:p>
    <w:p w14:paraId="4A9FE42E">
      <w:pPr>
        <w:pBdr>
          <w:top w:val="single" w:color="auto" w:sz="4" w:space="1"/>
          <w:left w:val="single" w:color="auto" w:sz="4" w:space="4"/>
          <w:bottom w:val="single" w:color="auto" w:sz="4" w:space="1"/>
          <w:right w:val="single" w:color="auto" w:sz="4" w:space="4"/>
        </w:pBdr>
        <w:ind w:left="840"/>
        <w:rPr>
          <w:rFonts w:hint="eastAsia" w:ascii="宋体" w:hAnsi="宋体" w:eastAsia="宋体" w:cs="宋体"/>
          <w:color w:val="000000" w:themeColor="text1"/>
          <w:sz w:val="24"/>
          <w:szCs w:val="28"/>
          <w:highlight w:val="none"/>
          <w14:textFill>
            <w14:solidFill>
              <w14:schemeClr w14:val="tx1"/>
            </w14:solidFill>
          </w14:textFill>
        </w:rPr>
      </w:pPr>
      <w:r>
        <w:rPr>
          <w:rFonts w:hint="eastAsia" w:ascii="宋体" w:hAnsi="宋体" w:eastAsia="宋体" w:cs="宋体"/>
          <w:color w:val="000000" w:themeColor="text1"/>
          <w:sz w:val="24"/>
          <w:szCs w:val="28"/>
          <w:highlight w:val="none"/>
          <w14:textFill>
            <w14:solidFill>
              <w14:schemeClr w14:val="tx1"/>
            </w14:solidFill>
          </w14:textFill>
        </w:rPr>
        <w:t>项目概况：</w:t>
      </w:r>
    </w:p>
    <w:p w14:paraId="4BFA91E1">
      <w:pPr>
        <w:pBdr>
          <w:top w:val="single" w:color="auto" w:sz="4" w:space="1"/>
          <w:left w:val="single" w:color="auto" w:sz="4" w:space="4"/>
          <w:bottom w:val="single" w:color="auto" w:sz="4" w:space="1"/>
          <w:right w:val="single" w:color="auto" w:sz="4" w:space="4"/>
        </w:pBdr>
        <w:ind w:left="840" w:firstLine="480" w:firstLineChars="200"/>
        <w:rPr>
          <w:rFonts w:hint="eastAsia" w:ascii="宋体" w:hAnsi="宋体" w:eastAsia="宋体" w:cs="宋体"/>
          <w:color w:val="000000" w:themeColor="text1"/>
          <w:sz w:val="24"/>
          <w:szCs w:val="28"/>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杭州萧山钱江世纪城开发建设有限责任公司</w:t>
      </w:r>
      <w:r>
        <w:rPr>
          <w:rFonts w:hint="eastAsia" w:ascii="宋体" w:hAnsi="宋体" w:cs="宋体"/>
          <w:color w:val="000000" w:themeColor="text1"/>
          <w:sz w:val="24"/>
          <w:highlight w:val="none"/>
          <w:lang w:eastAsia="zh-CN"/>
          <w14:textFill>
            <w14:solidFill>
              <w14:schemeClr w14:val="tx1"/>
            </w14:solidFill>
          </w14:textFill>
        </w:rPr>
        <w:t>2025</w:t>
      </w:r>
      <w:r>
        <w:rPr>
          <w:rFonts w:hint="eastAsia" w:ascii="宋体" w:hAnsi="宋体" w:eastAsia="宋体" w:cs="宋体"/>
          <w:color w:val="000000" w:themeColor="text1"/>
          <w:sz w:val="24"/>
          <w:highlight w:val="none"/>
          <w:lang w:eastAsia="zh-CN"/>
          <w14:textFill>
            <w14:solidFill>
              <w14:schemeClr w14:val="tx1"/>
            </w14:solidFill>
          </w14:textFill>
        </w:rPr>
        <w:t>年度资产保险采购项目</w:t>
      </w:r>
      <w:r>
        <w:rPr>
          <w:rFonts w:hint="eastAsia" w:ascii="宋体" w:hAnsi="宋体" w:eastAsia="宋体" w:cs="宋体"/>
          <w:color w:val="000000" w:themeColor="text1"/>
          <w:sz w:val="24"/>
          <w:highlight w:val="none"/>
          <w14:textFill>
            <w14:solidFill>
              <w14:schemeClr w14:val="tx1"/>
            </w14:solidFill>
          </w14:textFill>
        </w:rPr>
        <w:t>的潜在</w:t>
      </w:r>
      <w:r>
        <w:rPr>
          <w:rFonts w:hint="eastAsia" w:ascii="宋体" w:hAnsi="宋体" w:eastAsia="宋体" w:cs="宋体"/>
          <w:color w:val="000000" w:themeColor="text1"/>
          <w:sz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应在</w:t>
      </w:r>
      <w:r>
        <w:rPr>
          <w:rFonts w:hint="eastAsia" w:ascii="宋体" w:hAnsi="宋体" w:eastAsia="宋体" w:cs="宋体"/>
          <w:color w:val="000000" w:themeColor="text1"/>
          <w:sz w:val="24"/>
          <w:szCs w:val="28"/>
          <w:highlight w:val="none"/>
          <w14:textFill>
            <w14:solidFill>
              <w14:schemeClr w14:val="tx1"/>
            </w14:solidFill>
          </w14:textFill>
        </w:rPr>
        <w:t>乐采云平台（</w:t>
      </w:r>
      <w:r>
        <w:rPr>
          <w:rFonts w:hint="eastAsia" w:ascii="宋体" w:hAnsi="宋体" w:eastAsia="宋体" w:cs="宋体"/>
          <w:color w:val="000000" w:themeColor="text1"/>
          <w:sz w:val="24"/>
          <w:szCs w:val="28"/>
          <w:highlight w:val="none"/>
          <w14:textFill>
            <w14:solidFill>
              <w14:schemeClr w14:val="tx1"/>
            </w14:solidFill>
          </w14:textFill>
        </w:rPr>
        <w:fldChar w:fldCharType="begin"/>
      </w:r>
      <w:r>
        <w:rPr>
          <w:rFonts w:hint="eastAsia" w:ascii="宋体" w:hAnsi="宋体" w:eastAsia="宋体" w:cs="宋体"/>
          <w:color w:val="000000" w:themeColor="text1"/>
          <w:sz w:val="24"/>
          <w:szCs w:val="28"/>
          <w:highlight w:val="none"/>
          <w14:textFill>
            <w14:solidFill>
              <w14:schemeClr w14:val="tx1"/>
            </w14:solidFill>
          </w14:textFill>
        </w:rPr>
        <w:instrText xml:space="preserve"> HYPERLINK "https://www.zcygov.cn/）获取（下载）招标文件，并于2021年" </w:instrText>
      </w:r>
      <w:r>
        <w:rPr>
          <w:rFonts w:hint="eastAsia" w:ascii="宋体" w:hAnsi="宋体" w:eastAsia="宋体" w:cs="宋体"/>
          <w:color w:val="000000" w:themeColor="text1"/>
          <w:sz w:val="24"/>
          <w:szCs w:val="28"/>
          <w:highlight w:val="none"/>
          <w14:textFill>
            <w14:solidFill>
              <w14:schemeClr w14:val="tx1"/>
            </w14:solidFill>
          </w14:textFill>
        </w:rPr>
        <w:fldChar w:fldCharType="separate"/>
      </w:r>
      <w:r>
        <w:rPr>
          <w:rFonts w:hint="eastAsia" w:ascii="宋体" w:hAnsi="宋体" w:eastAsia="宋体" w:cs="宋体"/>
          <w:color w:val="000000" w:themeColor="text1"/>
          <w:sz w:val="24"/>
          <w:szCs w:val="28"/>
          <w:highlight w:val="none"/>
          <w14:textFill>
            <w14:solidFill>
              <w14:schemeClr w14:val="tx1"/>
            </w14:solidFill>
          </w14:textFill>
        </w:rPr>
        <w:t>https://xsnbsc.lecaiyun.com）</w:t>
      </w:r>
      <w:r>
        <w:rPr>
          <w:rFonts w:hint="eastAsia" w:ascii="宋体" w:hAnsi="宋体" w:eastAsia="宋体" w:cs="宋体"/>
          <w:color w:val="000000" w:themeColor="text1"/>
          <w:sz w:val="24"/>
          <w:szCs w:val="28"/>
          <w:highlight w:val="none"/>
          <w14:textFill>
            <w14:solidFill>
              <w14:schemeClr w14:val="tx1"/>
            </w14:solidFill>
          </w14:textFill>
        </w:rPr>
        <w:fldChar w:fldCharType="end"/>
      </w:r>
      <w:r>
        <w:rPr>
          <w:rFonts w:hint="eastAsia" w:ascii="宋体" w:hAnsi="宋体" w:eastAsia="宋体" w:cs="宋体"/>
          <w:color w:val="000000" w:themeColor="text1"/>
          <w:sz w:val="24"/>
          <w:szCs w:val="28"/>
          <w:highlight w:val="none"/>
          <w14:textFill>
            <w14:solidFill>
              <w14:schemeClr w14:val="tx1"/>
            </w14:solidFill>
          </w14:textFill>
        </w:rPr>
        <w:fldChar w:fldCharType="begin"/>
      </w:r>
      <w:r>
        <w:rPr>
          <w:rFonts w:hint="eastAsia" w:ascii="宋体" w:hAnsi="宋体" w:eastAsia="宋体" w:cs="宋体"/>
          <w:color w:val="000000" w:themeColor="text1"/>
          <w:sz w:val="24"/>
          <w:szCs w:val="28"/>
          <w:highlight w:val="none"/>
          <w14:textFill>
            <w14:solidFill>
              <w14:schemeClr w14:val="tx1"/>
            </w14:solidFill>
          </w14:textFill>
        </w:rPr>
        <w:instrText xml:space="preserve"> HYPERLINK "https://www.zcygov.cn/）获取（下载）招标文件，并于2021年" </w:instrText>
      </w:r>
      <w:r>
        <w:rPr>
          <w:rFonts w:hint="eastAsia" w:ascii="宋体" w:hAnsi="宋体" w:eastAsia="宋体" w:cs="宋体"/>
          <w:color w:val="000000" w:themeColor="text1"/>
          <w:sz w:val="24"/>
          <w:szCs w:val="28"/>
          <w:highlight w:val="none"/>
          <w14:textFill>
            <w14:solidFill>
              <w14:schemeClr w14:val="tx1"/>
            </w14:solidFill>
          </w14:textFill>
        </w:rPr>
        <w:fldChar w:fldCharType="separate"/>
      </w:r>
      <w:r>
        <w:rPr>
          <w:rFonts w:hint="eastAsia" w:ascii="宋体" w:hAnsi="宋体" w:eastAsia="宋体" w:cs="宋体"/>
          <w:color w:val="000000" w:themeColor="text1"/>
          <w:sz w:val="24"/>
          <w:szCs w:val="28"/>
          <w:highlight w:val="none"/>
          <w14:textFill>
            <w14:solidFill>
              <w14:schemeClr w14:val="tx1"/>
            </w14:solidFill>
          </w14:textFill>
        </w:rPr>
        <w:t>获取</w:t>
      </w:r>
      <w:r>
        <w:rPr>
          <w:rFonts w:hint="eastAsia" w:ascii="宋体" w:hAnsi="宋体" w:eastAsia="宋体" w:cs="宋体"/>
          <w:color w:val="000000" w:themeColor="text1"/>
          <w:sz w:val="24"/>
          <w:szCs w:val="28"/>
          <w:highlight w:val="none"/>
          <w:lang w:val="en-US" w:eastAsia="zh-CN"/>
          <w14:textFill>
            <w14:solidFill>
              <w14:schemeClr w14:val="tx1"/>
            </w14:solidFill>
          </w14:textFill>
        </w:rPr>
        <w:t>交易</w:t>
      </w:r>
      <w:r>
        <w:rPr>
          <w:rFonts w:hint="eastAsia" w:ascii="宋体" w:hAnsi="宋体" w:eastAsia="宋体" w:cs="宋体"/>
          <w:color w:val="000000" w:themeColor="text1"/>
          <w:sz w:val="24"/>
          <w:szCs w:val="28"/>
          <w:highlight w:val="none"/>
          <w14:textFill>
            <w14:solidFill>
              <w14:schemeClr w14:val="tx1"/>
            </w14:solidFill>
          </w14:textFill>
        </w:rPr>
        <w:t>文件，并于</w:t>
      </w:r>
      <w:r>
        <w:rPr>
          <w:rFonts w:hint="eastAsia" w:ascii="宋体" w:hAnsi="宋体" w:cs="宋体"/>
          <w:color w:val="000000" w:themeColor="text1"/>
          <w:sz w:val="24"/>
          <w:szCs w:val="28"/>
          <w:highlight w:val="none"/>
          <w:lang w:eastAsia="zh-CN"/>
          <w14:textFill>
            <w14:solidFill>
              <w14:schemeClr w14:val="tx1"/>
            </w14:solidFill>
          </w14:textFill>
        </w:rPr>
        <w:t>2025</w:t>
      </w:r>
      <w:r>
        <w:rPr>
          <w:rFonts w:hint="eastAsia" w:ascii="宋体" w:hAnsi="宋体" w:eastAsia="宋体" w:cs="宋体"/>
          <w:color w:val="000000" w:themeColor="text1"/>
          <w:sz w:val="24"/>
          <w:szCs w:val="28"/>
          <w:highlight w:val="none"/>
          <w14:textFill>
            <w14:solidFill>
              <w14:schemeClr w14:val="tx1"/>
            </w14:solidFill>
          </w14:textFill>
        </w:rPr>
        <w:t>年</w:t>
      </w:r>
      <w:r>
        <w:rPr>
          <w:rFonts w:hint="eastAsia" w:ascii="宋体" w:hAnsi="宋体" w:eastAsia="宋体" w:cs="宋体"/>
          <w:color w:val="000000" w:themeColor="text1"/>
          <w:sz w:val="24"/>
          <w:szCs w:val="28"/>
          <w:highlight w:val="none"/>
          <w14:textFill>
            <w14:solidFill>
              <w14:schemeClr w14:val="tx1"/>
            </w14:solidFill>
          </w14:textFill>
        </w:rPr>
        <w:fldChar w:fldCharType="end"/>
      </w:r>
      <w:r>
        <w:rPr>
          <w:rFonts w:hint="eastAsia" w:ascii="宋体" w:hAnsi="宋体" w:cs="宋体"/>
          <w:color w:val="000000" w:themeColor="text1"/>
          <w:sz w:val="24"/>
          <w:szCs w:val="28"/>
          <w:highlight w:val="none"/>
          <w:lang w:val="en-US" w:eastAsia="zh-CN"/>
          <w14:textFill>
            <w14:solidFill>
              <w14:schemeClr w14:val="tx1"/>
            </w14:solidFill>
          </w14:textFill>
        </w:rPr>
        <w:t>04</w:t>
      </w:r>
      <w:r>
        <w:rPr>
          <w:rFonts w:hint="eastAsia" w:ascii="宋体" w:hAnsi="宋体" w:eastAsia="宋体" w:cs="宋体"/>
          <w:color w:val="000000" w:themeColor="text1"/>
          <w:sz w:val="24"/>
          <w:szCs w:val="28"/>
          <w:highlight w:val="none"/>
          <w14:textFill>
            <w14:solidFill>
              <w14:schemeClr w14:val="tx1"/>
            </w14:solidFill>
          </w14:textFill>
        </w:rPr>
        <w:t>月</w:t>
      </w:r>
      <w:r>
        <w:rPr>
          <w:rFonts w:hint="eastAsia" w:ascii="宋体" w:hAnsi="宋体" w:cs="宋体"/>
          <w:color w:val="000000" w:themeColor="text1"/>
          <w:sz w:val="24"/>
          <w:szCs w:val="28"/>
          <w:highlight w:val="none"/>
          <w:lang w:val="en-US" w:eastAsia="zh-CN"/>
          <w14:textFill>
            <w14:solidFill>
              <w14:schemeClr w14:val="tx1"/>
            </w14:solidFill>
          </w14:textFill>
        </w:rPr>
        <w:t>03</w:t>
      </w:r>
      <w:r>
        <w:rPr>
          <w:rFonts w:hint="eastAsia" w:ascii="宋体" w:hAnsi="宋体" w:eastAsia="宋体" w:cs="宋体"/>
          <w:color w:val="000000" w:themeColor="text1"/>
          <w:sz w:val="24"/>
          <w:szCs w:val="28"/>
          <w:highlight w:val="none"/>
          <w14:textFill>
            <w14:solidFill>
              <w14:schemeClr w14:val="tx1"/>
            </w14:solidFill>
          </w14:textFill>
        </w:rPr>
        <w:t>日</w:t>
      </w:r>
      <w:r>
        <w:rPr>
          <w:rFonts w:hint="eastAsia" w:ascii="宋体" w:hAnsi="宋体" w:eastAsia="宋体" w:cs="宋体"/>
          <w:color w:val="000000" w:themeColor="text1"/>
          <w:sz w:val="24"/>
          <w:szCs w:val="28"/>
          <w:highlight w:val="none"/>
          <w:lang w:val="en-US" w:eastAsia="zh-CN"/>
          <w14:textFill>
            <w14:solidFill>
              <w14:schemeClr w14:val="tx1"/>
            </w14:solidFill>
          </w14:textFill>
        </w:rPr>
        <w:t>9</w:t>
      </w:r>
      <w:r>
        <w:rPr>
          <w:rFonts w:hint="eastAsia" w:ascii="宋体" w:hAnsi="宋体" w:eastAsia="宋体" w:cs="宋体"/>
          <w:color w:val="000000" w:themeColor="text1"/>
          <w:sz w:val="24"/>
          <w:szCs w:val="28"/>
          <w:highlight w:val="none"/>
          <w14:textFill>
            <w14:solidFill>
              <w14:schemeClr w14:val="tx1"/>
            </w14:solidFill>
          </w14:textFill>
        </w:rPr>
        <w:t>点</w:t>
      </w:r>
      <w:r>
        <w:rPr>
          <w:rFonts w:hint="eastAsia" w:ascii="宋体" w:hAnsi="宋体" w:eastAsia="宋体" w:cs="宋体"/>
          <w:color w:val="000000" w:themeColor="text1"/>
          <w:sz w:val="24"/>
          <w:szCs w:val="28"/>
          <w:highlight w:val="none"/>
          <w:lang w:val="en-US" w:eastAsia="zh-CN"/>
          <w14:textFill>
            <w14:solidFill>
              <w14:schemeClr w14:val="tx1"/>
            </w14:solidFill>
          </w14:textFill>
        </w:rPr>
        <w:t>30</w:t>
      </w:r>
      <w:r>
        <w:rPr>
          <w:rFonts w:hint="eastAsia" w:ascii="宋体" w:hAnsi="宋体" w:eastAsia="宋体" w:cs="宋体"/>
          <w:color w:val="000000" w:themeColor="text1"/>
          <w:sz w:val="24"/>
          <w:szCs w:val="28"/>
          <w:highlight w:val="none"/>
          <w14:textFill>
            <w14:solidFill>
              <w14:schemeClr w14:val="tx1"/>
            </w14:solidFill>
          </w14:textFill>
        </w:rPr>
        <w:t>分</w:t>
      </w:r>
      <w:r>
        <w:rPr>
          <w:rFonts w:hint="eastAsia" w:ascii="宋体" w:hAnsi="宋体" w:eastAsia="宋体" w:cs="宋体"/>
          <w:color w:val="000000" w:themeColor="text1"/>
          <w:sz w:val="24"/>
          <w:szCs w:val="28"/>
          <w:highlight w:val="none"/>
          <w:lang w:val="en-US" w:eastAsia="zh-CN"/>
          <w14:textFill>
            <w14:solidFill>
              <w14:schemeClr w14:val="tx1"/>
            </w14:solidFill>
          </w14:textFill>
        </w:rPr>
        <w:t>00</w:t>
      </w:r>
      <w:r>
        <w:rPr>
          <w:rFonts w:hint="eastAsia" w:ascii="宋体" w:hAnsi="宋体" w:eastAsia="宋体" w:cs="宋体"/>
          <w:color w:val="000000" w:themeColor="text1"/>
          <w:sz w:val="24"/>
          <w:szCs w:val="28"/>
          <w:highlight w:val="none"/>
          <w14:textFill>
            <w14:solidFill>
              <w14:schemeClr w14:val="tx1"/>
            </w14:solidFill>
          </w14:textFill>
        </w:rPr>
        <w:t>秒（北京时间</w:t>
      </w:r>
      <w:r>
        <w:rPr>
          <w:rFonts w:hint="eastAsia" w:ascii="宋体" w:hAnsi="宋体" w:eastAsia="宋体" w:cs="宋体"/>
          <w:bCs/>
          <w:color w:val="000000" w:themeColor="text1"/>
          <w:sz w:val="24"/>
          <w:highlight w:val="none"/>
          <w14:textFill>
            <w14:solidFill>
              <w14:schemeClr w14:val="tx1"/>
            </w14:solidFill>
          </w14:textFill>
        </w:rPr>
        <w:t>）前</w:t>
      </w:r>
      <w:r>
        <w:rPr>
          <w:rFonts w:hint="eastAsia" w:ascii="宋体" w:hAnsi="宋体" w:eastAsia="宋体" w:cs="宋体"/>
          <w:color w:val="000000" w:themeColor="text1"/>
          <w:sz w:val="24"/>
          <w:highlight w:val="none"/>
          <w14:textFill>
            <w14:solidFill>
              <w14:schemeClr w14:val="tx1"/>
            </w14:solidFill>
          </w14:textFill>
        </w:rPr>
        <w:t>递交</w:t>
      </w:r>
      <w:r>
        <w:rPr>
          <w:rFonts w:hint="eastAsia" w:ascii="宋体" w:hAnsi="宋体" w:eastAsia="宋体" w:cs="宋体"/>
          <w:color w:val="000000" w:themeColor="text1"/>
          <w:sz w:val="24"/>
          <w:highlight w:val="none"/>
          <w:lang w:val="en-US" w:eastAsia="zh-CN"/>
          <w14:textFill>
            <w14:solidFill>
              <w14:schemeClr w14:val="tx1"/>
            </w14:solidFill>
          </w14:textFill>
        </w:rPr>
        <w:t>响应</w:t>
      </w:r>
      <w:r>
        <w:rPr>
          <w:rFonts w:hint="eastAsia" w:ascii="宋体" w:hAnsi="宋体" w:eastAsia="宋体" w:cs="宋体"/>
          <w:color w:val="000000" w:themeColor="text1"/>
          <w:sz w:val="24"/>
          <w:highlight w:val="none"/>
          <w14:textFill>
            <w14:solidFill>
              <w14:schemeClr w14:val="tx1"/>
            </w14:solidFill>
          </w14:textFill>
        </w:rPr>
        <w:t>文件</w:t>
      </w:r>
      <w:r>
        <w:rPr>
          <w:rFonts w:hint="eastAsia" w:ascii="宋体" w:hAnsi="宋体" w:eastAsia="宋体" w:cs="宋体"/>
          <w:color w:val="000000" w:themeColor="text1"/>
          <w:sz w:val="24"/>
          <w:highlight w:val="none"/>
          <w:lang w:val="en-US" w:eastAsia="zh-CN"/>
          <w14:textFill>
            <w14:solidFill>
              <w14:schemeClr w14:val="tx1"/>
            </w14:solidFill>
          </w14:textFill>
        </w:rPr>
        <w:t>.</w:t>
      </w:r>
    </w:p>
    <w:p w14:paraId="6D2CA1A3">
      <w:pPr>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auto"/>
          <w:sz w:val="24"/>
          <w:highlight w:val="none"/>
        </w:rPr>
      </w:pPr>
    </w:p>
    <w:p w14:paraId="6E7655FA">
      <w:pPr>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w:t>
      </w:r>
      <w:r>
        <w:rPr>
          <w:rFonts w:hint="eastAsia" w:ascii="宋体" w:hAnsi="宋体" w:cs="宋体"/>
          <w:b/>
          <w:color w:val="auto"/>
          <w:sz w:val="24"/>
          <w:highlight w:val="none"/>
          <w:lang w:val="en-US" w:eastAsia="zh-CN"/>
        </w:rPr>
        <w:t>项目</w:t>
      </w:r>
      <w:r>
        <w:rPr>
          <w:rFonts w:hint="eastAsia" w:ascii="宋体" w:hAnsi="宋体" w:eastAsia="宋体" w:cs="宋体"/>
          <w:b/>
          <w:color w:val="auto"/>
          <w:sz w:val="24"/>
          <w:highlight w:val="none"/>
        </w:rPr>
        <w:t>基本情况</w:t>
      </w:r>
    </w:p>
    <w:p w14:paraId="7BA45F33">
      <w:pPr>
        <w:keepNext w:val="0"/>
        <w:keepLines w:val="0"/>
        <w:pageBreakBefore w:val="0"/>
        <w:kinsoku/>
        <w:wordWrap/>
        <w:overflowPunct/>
        <w:topLinePunct w:val="0"/>
        <w:bidi w:val="0"/>
        <w:adjustRightInd w:val="0"/>
        <w:spacing w:line="360" w:lineRule="auto"/>
        <w:ind w:firstLine="480" w:firstLineChars="200"/>
        <w:textAlignment w:val="auto"/>
        <w:rPr>
          <w:rFonts w:hint="default" w:ascii="宋体" w:hAnsi="宋体" w:cs="宋体"/>
          <w:color w:val="auto"/>
          <w:sz w:val="24"/>
          <w:highlight w:val="none"/>
          <w:u w:val="none"/>
          <w:lang w:val="en-US" w:eastAsia="zh-CN"/>
        </w:rPr>
      </w:pPr>
      <w:r>
        <w:rPr>
          <w:rFonts w:hint="eastAsia" w:ascii="宋体" w:hAnsi="宋体" w:cs="宋体"/>
          <w:color w:val="auto"/>
          <w:sz w:val="24"/>
          <w:highlight w:val="none"/>
          <w:u w:val="none"/>
          <w:lang w:val="en-US" w:eastAsia="zh-CN"/>
        </w:rPr>
        <w:t>交易</w:t>
      </w:r>
      <w:r>
        <w:rPr>
          <w:rFonts w:hint="eastAsia" w:ascii="宋体" w:hAnsi="宋体" w:cs="宋体"/>
          <w:color w:val="auto"/>
          <w:sz w:val="24"/>
          <w:highlight w:val="none"/>
          <w:u w:val="none"/>
          <w:lang w:eastAsia="zh-CN"/>
        </w:rPr>
        <w:t>编号：2025--BGHFW2</w:t>
      </w:r>
      <w:r>
        <w:rPr>
          <w:rFonts w:hint="eastAsia" w:ascii="宋体" w:hAnsi="宋体" w:cs="宋体"/>
          <w:color w:val="auto"/>
          <w:sz w:val="24"/>
          <w:highlight w:val="none"/>
          <w:u w:val="none"/>
          <w:lang w:val="en-US" w:eastAsia="zh-CN"/>
        </w:rPr>
        <w:t xml:space="preserve">   </w:t>
      </w:r>
    </w:p>
    <w:p w14:paraId="356BF6DB">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color w:val="auto"/>
          <w:sz w:val="24"/>
          <w:highlight w:val="none"/>
          <w:u w:val="none"/>
          <w:lang w:eastAsia="zh-CN"/>
        </w:rPr>
      </w:pPr>
      <w:r>
        <w:rPr>
          <w:rFonts w:hint="eastAsia" w:ascii="宋体" w:hAnsi="宋体" w:eastAsia="宋体" w:cs="宋体"/>
          <w:b/>
          <w:color w:val="auto"/>
          <w:sz w:val="24"/>
          <w:highlight w:val="none"/>
          <w:u w:val="none"/>
          <w:lang w:val="en-US" w:eastAsia="zh-CN"/>
        </w:rPr>
        <w:t>交易</w:t>
      </w:r>
      <w:r>
        <w:rPr>
          <w:rFonts w:hint="eastAsia" w:ascii="宋体" w:hAnsi="宋体" w:eastAsia="宋体" w:cs="宋体"/>
          <w:b/>
          <w:color w:val="auto"/>
          <w:sz w:val="24"/>
          <w:highlight w:val="none"/>
          <w:u w:val="none"/>
        </w:rPr>
        <w:t>名称：</w:t>
      </w:r>
      <w:r>
        <w:rPr>
          <w:rFonts w:hint="eastAsia" w:ascii="宋体" w:hAnsi="宋体" w:eastAsia="宋体" w:cs="宋体"/>
          <w:color w:val="000000" w:themeColor="text1"/>
          <w:sz w:val="24"/>
          <w:highlight w:val="none"/>
          <w:lang w:eastAsia="zh-CN"/>
          <w14:textFill>
            <w14:solidFill>
              <w14:schemeClr w14:val="tx1"/>
            </w14:solidFill>
          </w14:textFill>
        </w:rPr>
        <w:t>杭州萧山钱江世纪城开发建设有限责任公司</w:t>
      </w:r>
      <w:r>
        <w:rPr>
          <w:rFonts w:hint="eastAsia" w:ascii="宋体" w:hAnsi="宋体" w:cs="宋体"/>
          <w:color w:val="000000" w:themeColor="text1"/>
          <w:sz w:val="24"/>
          <w:highlight w:val="none"/>
          <w:lang w:eastAsia="zh-CN"/>
          <w14:textFill>
            <w14:solidFill>
              <w14:schemeClr w14:val="tx1"/>
            </w14:solidFill>
          </w14:textFill>
        </w:rPr>
        <w:t>2025</w:t>
      </w:r>
      <w:r>
        <w:rPr>
          <w:rFonts w:hint="eastAsia" w:ascii="宋体" w:hAnsi="宋体" w:eastAsia="宋体" w:cs="宋体"/>
          <w:color w:val="000000" w:themeColor="text1"/>
          <w:sz w:val="24"/>
          <w:highlight w:val="none"/>
          <w:lang w:eastAsia="zh-CN"/>
          <w14:textFill>
            <w14:solidFill>
              <w14:schemeClr w14:val="tx1"/>
            </w14:solidFill>
          </w14:textFill>
        </w:rPr>
        <w:t>年度资产保险采购项目</w:t>
      </w:r>
    </w:p>
    <w:p w14:paraId="23754A95">
      <w:pPr>
        <w:keepNext w:val="0"/>
        <w:keepLines w:val="0"/>
        <w:pageBreakBefore w:val="0"/>
        <w:kinsoku/>
        <w:wordWrap/>
        <w:overflowPunct/>
        <w:topLinePunct w:val="0"/>
        <w:bidi w:val="0"/>
        <w:adjustRightInd w:val="0"/>
        <w:spacing w:line="360" w:lineRule="auto"/>
        <w:ind w:firstLine="482" w:firstLineChars="200"/>
        <w:textAlignment w:val="auto"/>
        <w:rPr>
          <w:rFonts w:hint="default" w:ascii="宋体" w:hAnsi="宋体" w:eastAsia="宋体" w:cs="宋体"/>
          <w:color w:val="auto"/>
          <w:sz w:val="24"/>
          <w:highlight w:val="none"/>
          <w:u w:val="none"/>
          <w:lang w:val="en-US"/>
        </w:rPr>
      </w:pPr>
      <w:r>
        <w:rPr>
          <w:rFonts w:hint="eastAsia" w:ascii="宋体" w:hAnsi="宋体" w:eastAsia="宋体" w:cs="宋体"/>
          <w:b/>
          <w:color w:val="auto"/>
          <w:sz w:val="24"/>
          <w:highlight w:val="none"/>
          <w:u w:val="none"/>
        </w:rPr>
        <w:t>预算金额：</w:t>
      </w:r>
      <w:r>
        <w:rPr>
          <w:rFonts w:hint="eastAsia" w:ascii="宋体" w:hAnsi="宋体" w:cs="宋体"/>
          <w:b/>
          <w:color w:val="auto"/>
          <w:sz w:val="24"/>
          <w:highlight w:val="none"/>
          <w:u w:val="none"/>
          <w:lang w:val="en-US" w:eastAsia="zh-CN"/>
        </w:rPr>
        <w:t>75</w:t>
      </w:r>
      <w:r>
        <w:rPr>
          <w:rFonts w:hint="eastAsia" w:ascii="宋体" w:hAnsi="宋体" w:eastAsia="宋体" w:cs="宋体"/>
          <w:color w:val="auto"/>
          <w:sz w:val="24"/>
          <w:szCs w:val="28"/>
          <w:highlight w:val="none"/>
          <w:u w:val="none"/>
          <w:lang w:val="en-US" w:eastAsia="zh-CN"/>
        </w:rPr>
        <w:t>万</w:t>
      </w:r>
      <w:r>
        <w:rPr>
          <w:rFonts w:hint="eastAsia" w:ascii="宋体" w:hAnsi="宋体" w:eastAsia="宋体" w:cs="宋体"/>
          <w:color w:val="auto"/>
          <w:sz w:val="24"/>
          <w:szCs w:val="24"/>
          <w:highlight w:val="none"/>
          <w:u w:val="none"/>
          <w:lang w:eastAsia="zh-CN"/>
        </w:rPr>
        <w:t>元</w:t>
      </w:r>
      <w:r>
        <w:rPr>
          <w:rFonts w:hint="eastAsia" w:ascii="宋体" w:hAnsi="宋体" w:cs="宋体"/>
          <w:color w:val="auto"/>
          <w:sz w:val="24"/>
          <w:szCs w:val="24"/>
          <w:highlight w:val="none"/>
          <w:u w:val="none"/>
          <w:lang w:val="en-US" w:eastAsia="zh-CN"/>
        </w:rPr>
        <w:t xml:space="preserve"> </w:t>
      </w:r>
    </w:p>
    <w:p w14:paraId="5475C62D">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color w:val="auto"/>
          <w:sz w:val="24"/>
          <w:highlight w:val="none"/>
          <w:u w:val="none"/>
        </w:rPr>
      </w:pPr>
      <w:r>
        <w:rPr>
          <w:rFonts w:hint="eastAsia" w:ascii="宋体" w:hAnsi="宋体" w:eastAsia="宋体" w:cs="宋体"/>
          <w:b/>
          <w:color w:val="auto"/>
          <w:sz w:val="24"/>
          <w:highlight w:val="none"/>
          <w:u w:val="none"/>
        </w:rPr>
        <w:t>最高限价：</w:t>
      </w:r>
      <w:r>
        <w:rPr>
          <w:rFonts w:hint="eastAsia" w:ascii="宋体" w:hAnsi="宋体" w:cs="宋体"/>
          <w:b/>
          <w:color w:val="auto"/>
          <w:sz w:val="24"/>
          <w:highlight w:val="none"/>
          <w:u w:val="none"/>
          <w:lang w:val="en-US" w:eastAsia="zh-CN"/>
        </w:rPr>
        <w:t>75</w:t>
      </w:r>
      <w:r>
        <w:rPr>
          <w:rFonts w:hint="eastAsia" w:ascii="宋体" w:hAnsi="宋体" w:eastAsia="宋体" w:cs="宋体"/>
          <w:b w:val="0"/>
          <w:bCs/>
          <w:color w:val="auto"/>
          <w:sz w:val="24"/>
          <w:szCs w:val="28"/>
          <w:highlight w:val="none"/>
          <w:u w:val="none"/>
          <w:lang w:val="en-US" w:eastAsia="zh-CN"/>
        </w:rPr>
        <w:t>万</w:t>
      </w:r>
      <w:r>
        <w:rPr>
          <w:rFonts w:hint="eastAsia" w:ascii="宋体" w:hAnsi="宋体" w:eastAsia="宋体" w:cs="宋体"/>
          <w:color w:val="auto"/>
          <w:sz w:val="24"/>
          <w:szCs w:val="24"/>
          <w:highlight w:val="none"/>
          <w:u w:val="none"/>
          <w:lang w:eastAsia="zh-CN"/>
        </w:rPr>
        <w:t>元</w:t>
      </w:r>
    </w:p>
    <w:p w14:paraId="64DDC750">
      <w:pPr>
        <w:pStyle w:val="2"/>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auto"/>
          <w:sz w:val="24"/>
          <w:highlight w:val="none"/>
          <w:u w:val="none"/>
          <w:lang w:val="en-US"/>
        </w:rPr>
      </w:pPr>
      <w:r>
        <w:rPr>
          <w:rFonts w:hint="eastAsia" w:ascii="宋体" w:hAnsi="宋体" w:eastAsia="宋体" w:cs="宋体"/>
          <w:b/>
          <w:color w:val="auto"/>
          <w:sz w:val="24"/>
          <w:highlight w:val="none"/>
          <w:u w:val="none"/>
          <w:lang w:val="en-US" w:eastAsia="zh-CN"/>
        </w:rPr>
        <w:t>交易</w:t>
      </w:r>
      <w:r>
        <w:rPr>
          <w:rFonts w:hint="eastAsia" w:ascii="宋体" w:hAnsi="宋体" w:eastAsia="宋体" w:cs="宋体"/>
          <w:b/>
          <w:color w:val="auto"/>
          <w:sz w:val="24"/>
          <w:highlight w:val="none"/>
          <w:u w:val="none"/>
        </w:rPr>
        <w:t>需求：</w:t>
      </w:r>
      <w:r>
        <w:rPr>
          <w:rFonts w:hint="eastAsia" w:hAnsi="宋体" w:cs="宋体"/>
          <w:color w:val="000000" w:themeColor="text1"/>
          <w:sz w:val="24"/>
          <w:highlight w:val="none"/>
          <w:lang w:eastAsia="zh-CN"/>
          <w14:textFill>
            <w14:solidFill>
              <w14:schemeClr w14:val="tx1"/>
            </w14:solidFill>
          </w14:textFill>
        </w:rPr>
        <w:t>2025</w:t>
      </w:r>
      <w:r>
        <w:rPr>
          <w:rFonts w:hint="eastAsia" w:ascii="宋体" w:hAnsi="宋体" w:eastAsia="宋体" w:cs="宋体"/>
          <w:color w:val="000000" w:themeColor="text1"/>
          <w:sz w:val="24"/>
          <w:highlight w:val="none"/>
          <w:lang w:eastAsia="zh-CN"/>
          <w14:textFill>
            <w14:solidFill>
              <w14:schemeClr w14:val="tx1"/>
            </w14:solidFill>
          </w14:textFill>
        </w:rPr>
        <w:t>年度资产保险</w:t>
      </w:r>
      <w:r>
        <w:rPr>
          <w:rFonts w:hint="eastAsia" w:ascii="宋体" w:hAnsi="宋体" w:eastAsia="宋体" w:cs="宋体"/>
          <w:color w:val="auto"/>
          <w:sz w:val="24"/>
          <w:highlight w:val="none"/>
          <w:u w:val="none"/>
          <w:lang w:eastAsia="zh-CN"/>
        </w:rPr>
        <w:t>，</w:t>
      </w:r>
      <w:r>
        <w:rPr>
          <w:rFonts w:hint="eastAsia" w:ascii="宋体" w:hAnsi="宋体" w:eastAsia="宋体" w:cs="宋体"/>
          <w:color w:val="auto"/>
          <w:sz w:val="24"/>
          <w:highlight w:val="none"/>
          <w:u w:val="none"/>
          <w:lang w:val="en-US" w:eastAsia="zh-CN"/>
        </w:rPr>
        <w:t>详见交易需求</w:t>
      </w:r>
    </w:p>
    <w:p w14:paraId="4CF19B77">
      <w:pPr>
        <w:pStyle w:val="2"/>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color w:val="auto"/>
          <w:highlight w:val="none"/>
          <w:lang w:eastAsia="zh-CN"/>
        </w:rPr>
      </w:pPr>
      <w:r>
        <w:rPr>
          <w:rFonts w:hint="eastAsia" w:ascii="宋体" w:hAnsi="宋体" w:eastAsia="宋体" w:cs="宋体"/>
          <w:b/>
          <w:color w:val="auto"/>
          <w:sz w:val="24"/>
          <w:szCs w:val="18"/>
          <w:highlight w:val="none"/>
        </w:rPr>
        <w:t>合同履约期限：</w:t>
      </w:r>
      <w:r>
        <w:rPr>
          <w:rFonts w:hint="eastAsia" w:ascii="宋体" w:hAnsi="宋体" w:eastAsia="宋体" w:cs="宋体"/>
          <w:color w:val="auto"/>
          <w:sz w:val="24"/>
          <w:szCs w:val="28"/>
          <w:highlight w:val="none"/>
        </w:rPr>
        <w:t>详见</w:t>
      </w:r>
      <w:r>
        <w:rPr>
          <w:rFonts w:hint="eastAsia" w:ascii="宋体" w:hAnsi="宋体" w:eastAsia="宋体" w:cs="宋体"/>
          <w:color w:val="auto"/>
          <w:sz w:val="24"/>
          <w:szCs w:val="28"/>
          <w:highlight w:val="none"/>
          <w:lang w:eastAsia="zh-CN"/>
        </w:rPr>
        <w:t>交易文件</w:t>
      </w:r>
    </w:p>
    <w:p w14:paraId="5B6AC5D4">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本项目接受联合体</w:t>
      </w:r>
      <w:r>
        <w:rPr>
          <w:rFonts w:hint="eastAsia" w:ascii="宋体" w:hAnsi="宋体" w:cs="宋体"/>
          <w:b/>
          <w:color w:val="auto"/>
          <w:sz w:val="24"/>
          <w:highlight w:val="none"/>
          <w:lang w:val="en-US" w:eastAsia="zh-CN"/>
        </w:rPr>
        <w:t>响应</w:t>
      </w:r>
      <w:r>
        <w:rPr>
          <w:rFonts w:hint="eastAsia" w:ascii="宋体" w:hAnsi="宋体" w:eastAsia="宋体" w:cs="宋体"/>
          <w:b/>
          <w:color w:val="auto"/>
          <w:sz w:val="24"/>
          <w:highlight w:val="none"/>
        </w:rPr>
        <w:t xml:space="preserve">：（ </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）是；（√）否</w:t>
      </w:r>
      <w:r>
        <w:rPr>
          <w:rFonts w:hint="eastAsia" w:ascii="宋体" w:hAnsi="宋体" w:eastAsia="宋体" w:cs="宋体"/>
          <w:b/>
          <w:color w:val="auto"/>
          <w:sz w:val="24"/>
          <w:highlight w:val="none"/>
          <w:lang w:eastAsia="zh-CN"/>
        </w:rPr>
        <w:t>。</w:t>
      </w:r>
    </w:p>
    <w:p w14:paraId="6B4653F1">
      <w:pPr>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14:paraId="1BA3FF5B">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1.基本要求：</w:t>
      </w:r>
    </w:p>
    <w:p w14:paraId="322301DC">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1.1具有独立承担民事责任的能力；</w:t>
      </w:r>
    </w:p>
    <w:p w14:paraId="5832967F">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1.2具有良好的商业信誉和健全的财务会计制度；</w:t>
      </w:r>
    </w:p>
    <w:p w14:paraId="10C70D3C">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1.3具有履行合同所必需的设备和专业技术能力；</w:t>
      </w:r>
    </w:p>
    <w:p w14:paraId="12BC0446">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1.4有依法缴纳税收和社会保障资金的良好记录；</w:t>
      </w:r>
    </w:p>
    <w:p w14:paraId="18EF1C8F">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1.5参加采购活动前三年内，在经营活动中没有重大违法记录；</w:t>
      </w:r>
    </w:p>
    <w:p w14:paraId="08A598F8">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1.6法律、行政法规规定的其他条件；</w:t>
      </w:r>
    </w:p>
    <w:p w14:paraId="1D1B065A">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2.单位负责人为同一人或者存在直接控股、管理关系的不同供应商，不得参加同一</w:t>
      </w:r>
    </w:p>
    <w:p w14:paraId="7C67FEE4">
      <w:pPr>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合同项下的政府采购活动；</w:t>
      </w:r>
    </w:p>
    <w:p w14:paraId="0EA9274E">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lang w:eastAsia="zh-CN"/>
          <w14:textFill>
            <w14:solidFill>
              <w14:schemeClr w14:val="tx1"/>
            </w14:solidFill>
          </w14:textFill>
        </w:rPr>
        <w:t>.本项目的特定资格要求：</w:t>
      </w:r>
    </w:p>
    <w:p w14:paraId="11653954">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lang w:eastAsia="zh-CN"/>
          <w14:textFill>
            <w14:solidFill>
              <w14:schemeClr w14:val="tx1"/>
            </w14:solidFill>
          </w14:textFill>
        </w:rPr>
        <w:t>1具有中国保险监督管理委员颁发的《保险公司法人许可证》的企业法人，或具有中国保险监督管理委员颁发的《经营保险业务许可证》的分支机构；</w:t>
      </w:r>
    </w:p>
    <w:p w14:paraId="64CEDE19">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lang w:eastAsia="zh-CN"/>
          <w14:textFill>
            <w14:solidFill>
              <w14:schemeClr w14:val="tx1"/>
            </w14:solidFill>
          </w14:textFill>
        </w:rPr>
        <w:t>2</w:t>
      </w:r>
      <w:r>
        <w:rPr>
          <w:rFonts w:hint="eastAsia" w:asciiTheme="minorEastAsia" w:hAnsiTheme="minorEastAsia" w:eastAsiaTheme="minorEastAsia" w:cstheme="minorEastAsia"/>
          <w:color w:val="auto"/>
          <w:sz w:val="24"/>
          <w:highlight w:val="none"/>
        </w:rPr>
        <w:t>分支机构</w:t>
      </w:r>
      <w:r>
        <w:rPr>
          <w:rFonts w:hint="eastAsia" w:asciiTheme="minorEastAsia" w:hAnsiTheme="minorEastAsia" w:eastAsiaTheme="minorEastAsia" w:cstheme="minorEastAsia"/>
          <w:color w:val="auto"/>
          <w:sz w:val="24"/>
          <w:highlight w:val="none"/>
          <w:lang w:val="en-US" w:eastAsia="zh-CN"/>
        </w:rPr>
        <w:t>参与投标，</w:t>
      </w:r>
      <w:r>
        <w:rPr>
          <w:rFonts w:hint="eastAsia" w:asciiTheme="minorEastAsia" w:hAnsiTheme="minorEastAsia" w:eastAsiaTheme="minorEastAsia" w:cstheme="minorEastAsia"/>
          <w:color w:val="auto"/>
          <w:sz w:val="24"/>
          <w:highlight w:val="none"/>
        </w:rPr>
        <w:t>需提供总公司（总部）针对本项目的唯一授权委托书。</w:t>
      </w:r>
    </w:p>
    <w:p w14:paraId="281640C1">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p>
    <w:p w14:paraId="5A2055B1">
      <w:pPr>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三、获取</w:t>
      </w:r>
      <w:r>
        <w:rPr>
          <w:rFonts w:hint="eastAsia" w:ascii="宋体" w:hAnsi="宋体" w:eastAsia="宋体" w:cs="宋体"/>
          <w:b/>
          <w:color w:val="auto"/>
          <w:sz w:val="24"/>
          <w:highlight w:val="none"/>
          <w:lang w:eastAsia="zh-CN"/>
        </w:rPr>
        <w:t>交易文件</w:t>
      </w:r>
      <w:r>
        <w:rPr>
          <w:rFonts w:hint="eastAsia" w:ascii="宋体" w:hAnsi="宋体" w:eastAsia="宋体" w:cs="宋体"/>
          <w:b/>
          <w:color w:val="auto"/>
          <w:sz w:val="24"/>
          <w:highlight w:val="none"/>
        </w:rPr>
        <w:t xml:space="preserve"> </w:t>
      </w:r>
    </w:p>
    <w:p w14:paraId="771326A2">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Fonts w:hint="eastAsia" w:ascii="宋体" w:hAnsi="宋体" w:cs="宋体"/>
          <w:color w:val="auto"/>
          <w:sz w:val="24"/>
          <w:highlight w:val="none"/>
          <w:u w:val="single"/>
          <w:lang w:eastAsia="zh-CN"/>
        </w:rPr>
        <w:t>2025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03</w:t>
      </w:r>
      <w:r>
        <w:rPr>
          <w:rFonts w:hint="eastAsia" w:ascii="宋体" w:hAnsi="宋体" w:eastAsia="宋体" w:cs="宋体"/>
          <w:color w:val="auto"/>
          <w:sz w:val="24"/>
          <w:highlight w:val="none"/>
          <w:u w:val="single"/>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14:paraId="40ADA903">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Style w:val="967"/>
          <w:rFonts w:hint="eastAsia" w:ascii="宋体" w:hAnsi="宋体" w:eastAsia="宋体" w:cs="宋体"/>
          <w:b w:val="0"/>
          <w:i w:val="0"/>
          <w:caps w:val="0"/>
          <w:color w:val="auto"/>
          <w:spacing w:val="0"/>
          <w:w w:val="100"/>
          <w:kern w:val="2"/>
          <w:sz w:val="24"/>
          <w:szCs w:val="24"/>
          <w:highlight w:val="none"/>
          <w:lang w:val="en-US" w:eastAsia="zh-CN" w:bidi="ar-SA"/>
        </w:rPr>
        <w:t>乐采云平台（</w:t>
      </w:r>
      <w:r>
        <w:rPr>
          <w:rStyle w:val="967"/>
          <w:rFonts w:hint="eastAsia" w:ascii="宋体" w:hAnsi="宋体" w:eastAsia="宋体" w:cs="宋体"/>
          <w:b w:val="0"/>
          <w:bCs w:val="0"/>
          <w:i w:val="0"/>
          <w:iCs w:val="0"/>
          <w:caps w:val="0"/>
          <w:color w:val="auto"/>
          <w:spacing w:val="0"/>
          <w:w w:val="100"/>
          <w:kern w:val="2"/>
          <w:sz w:val="24"/>
          <w:szCs w:val="24"/>
          <w:highlight w:val="none"/>
          <w:lang w:val="en-US" w:eastAsia="zh-CN" w:bidi="ar-SA"/>
        </w:rPr>
        <w:t>https://www.lecaiyun.com/</w:t>
      </w:r>
      <w:r>
        <w:rPr>
          <w:rStyle w:val="76"/>
          <w:rFonts w:hint="eastAsia" w:ascii="宋体" w:hAnsi="宋体" w:eastAsia="宋体" w:cs="宋体"/>
          <w:b w:val="0"/>
          <w:i w:val="0"/>
          <w:caps w:val="0"/>
          <w:color w:val="auto"/>
          <w:spacing w:val="0"/>
          <w:w w:val="100"/>
          <w:kern w:val="2"/>
          <w:sz w:val="24"/>
          <w:szCs w:val="24"/>
          <w:highlight w:val="none"/>
          <w:lang w:val="en-US" w:eastAsia="zh-CN" w:bidi="ar-SA"/>
        </w:rPr>
        <w:t>）</w:t>
      </w:r>
      <w:r>
        <w:rPr>
          <w:rFonts w:hint="eastAsia" w:ascii="宋体" w:hAnsi="宋体" w:eastAsia="宋体" w:cs="宋体"/>
          <w:color w:val="auto"/>
          <w:sz w:val="24"/>
          <w:highlight w:val="none"/>
        </w:rPr>
        <w:t xml:space="preserve"> </w:t>
      </w:r>
    </w:p>
    <w:p w14:paraId="49F8BFF6">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供应商登录</w:t>
      </w:r>
      <w:r>
        <w:rPr>
          <w:rStyle w:val="967"/>
          <w:rFonts w:hint="eastAsia" w:ascii="宋体" w:hAnsi="宋体" w:eastAsia="宋体" w:cs="宋体"/>
          <w:b w:val="0"/>
          <w:i w:val="0"/>
          <w:caps w:val="0"/>
          <w:color w:val="auto"/>
          <w:spacing w:val="0"/>
          <w:w w:val="100"/>
          <w:kern w:val="2"/>
          <w:sz w:val="24"/>
          <w:szCs w:val="24"/>
          <w:highlight w:val="none"/>
          <w:lang w:val="en-US" w:eastAsia="zh-CN" w:bidi="ar-SA"/>
        </w:rPr>
        <w:t>乐采云平台（</w:t>
      </w:r>
      <w:r>
        <w:rPr>
          <w:rStyle w:val="967"/>
          <w:rFonts w:hint="eastAsia" w:ascii="宋体" w:hAnsi="宋体" w:eastAsia="宋体" w:cs="宋体"/>
          <w:b w:val="0"/>
          <w:bCs w:val="0"/>
          <w:i w:val="0"/>
          <w:iCs w:val="0"/>
          <w:caps w:val="0"/>
          <w:color w:val="auto"/>
          <w:spacing w:val="0"/>
          <w:w w:val="100"/>
          <w:kern w:val="2"/>
          <w:sz w:val="24"/>
          <w:szCs w:val="24"/>
          <w:highlight w:val="none"/>
          <w:lang w:val="en-US" w:eastAsia="zh-CN" w:bidi="ar-SA"/>
        </w:rPr>
        <w:t>https://www.lecaiyun.com/</w:t>
      </w:r>
      <w:r>
        <w:rPr>
          <w:rStyle w:val="76"/>
          <w:rFonts w:hint="eastAsia" w:ascii="宋体" w:hAnsi="宋体" w:eastAsia="宋体" w:cs="宋体"/>
          <w:b w:val="0"/>
          <w:i w:val="0"/>
          <w:caps w:val="0"/>
          <w:color w:val="auto"/>
          <w:spacing w:val="0"/>
          <w:w w:val="100"/>
          <w:kern w:val="2"/>
          <w:sz w:val="24"/>
          <w:szCs w:val="24"/>
          <w:highlight w:val="none"/>
          <w:lang w:val="en-US" w:eastAsia="zh-CN" w:bidi="ar-SA"/>
        </w:rPr>
        <w:t>）</w:t>
      </w:r>
      <w:r>
        <w:rPr>
          <w:rFonts w:hint="eastAsia" w:ascii="宋体" w:hAnsi="宋体" w:eastAsia="宋体" w:cs="宋体"/>
          <w:color w:val="auto"/>
          <w:sz w:val="24"/>
          <w:highlight w:val="none"/>
        </w:rPr>
        <w:t xml:space="preserve">在线申请获取采购文件（进入“项目采购”应用，在获取采购文件菜单中选择项目，申请获取采购文件）。 </w:t>
      </w:r>
    </w:p>
    <w:p w14:paraId="13415943">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cs="宋体"/>
          <w:b/>
          <w:color w:val="auto"/>
          <w:sz w:val="24"/>
          <w:highlight w:val="none"/>
          <w:lang w:val="en-US" w:eastAsia="zh-CN"/>
        </w:rPr>
        <w:t>0</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rPr>
        <w:tab/>
      </w:r>
    </w:p>
    <w:p w14:paraId="31918752">
      <w:pPr>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截止时间、</w:t>
      </w:r>
      <w:r>
        <w:rPr>
          <w:rFonts w:hint="eastAsia" w:ascii="宋体" w:hAnsi="宋体" w:eastAsia="宋体" w:cs="宋体"/>
          <w:b/>
          <w:color w:val="auto"/>
          <w:sz w:val="24"/>
          <w:highlight w:val="none"/>
          <w:lang w:eastAsia="zh-CN"/>
        </w:rPr>
        <w:t>交易时间</w:t>
      </w:r>
      <w:r>
        <w:rPr>
          <w:rFonts w:hint="eastAsia" w:ascii="宋体" w:hAnsi="宋体" w:eastAsia="宋体" w:cs="宋体"/>
          <w:b/>
          <w:color w:val="auto"/>
          <w:sz w:val="24"/>
          <w:highlight w:val="none"/>
        </w:rPr>
        <w:t>和地点</w:t>
      </w:r>
    </w:p>
    <w:p w14:paraId="1B23E947">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截止时间：</w:t>
      </w:r>
      <w:r>
        <w:rPr>
          <w:rFonts w:hint="eastAsia" w:ascii="宋体" w:hAnsi="宋体" w:cs="宋体"/>
          <w:color w:val="auto"/>
          <w:sz w:val="24"/>
          <w:highlight w:val="none"/>
          <w:u w:val="single"/>
          <w:lang w:eastAsia="zh-CN"/>
        </w:rPr>
        <w:t>2025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03</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eastAsia="宋体" w:cs="宋体"/>
          <w:color w:val="auto"/>
          <w:sz w:val="24"/>
          <w:highlight w:val="none"/>
          <w:u w:val="single"/>
        </w:rPr>
        <w:t>分</w:t>
      </w:r>
      <w:r>
        <w:rPr>
          <w:rFonts w:hint="eastAsia" w:ascii="宋体" w:hAnsi="宋体" w:eastAsia="宋体" w:cs="宋体"/>
          <w:color w:val="auto"/>
          <w:sz w:val="24"/>
          <w:highlight w:val="none"/>
        </w:rPr>
        <w:t>（北京时间）</w:t>
      </w:r>
    </w:p>
    <w:p w14:paraId="7EADB017">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交易</w:t>
      </w:r>
      <w:r>
        <w:rPr>
          <w:rFonts w:hint="eastAsia" w:ascii="宋体" w:hAnsi="宋体" w:eastAsia="宋体" w:cs="宋体"/>
          <w:b/>
          <w:color w:val="auto"/>
          <w:sz w:val="24"/>
          <w:highlight w:val="none"/>
        </w:rPr>
        <w:t>地点（网址）：</w:t>
      </w:r>
      <w:r>
        <w:rPr>
          <w:rStyle w:val="967"/>
          <w:rFonts w:hint="eastAsia" w:ascii="宋体" w:hAnsi="宋体" w:eastAsia="宋体" w:cs="宋体"/>
          <w:b w:val="0"/>
          <w:i w:val="0"/>
          <w:caps w:val="0"/>
          <w:color w:val="auto"/>
          <w:spacing w:val="0"/>
          <w:w w:val="100"/>
          <w:kern w:val="2"/>
          <w:sz w:val="24"/>
          <w:szCs w:val="24"/>
          <w:highlight w:val="none"/>
          <w:lang w:val="en-US" w:eastAsia="zh-CN" w:bidi="ar-SA"/>
        </w:rPr>
        <w:t>乐采云平台（</w:t>
      </w:r>
      <w:r>
        <w:rPr>
          <w:rStyle w:val="967"/>
          <w:rFonts w:hint="eastAsia" w:ascii="宋体" w:hAnsi="宋体" w:eastAsia="宋体" w:cs="宋体"/>
          <w:b w:val="0"/>
          <w:bCs w:val="0"/>
          <w:i w:val="0"/>
          <w:iCs w:val="0"/>
          <w:caps w:val="0"/>
          <w:color w:val="auto"/>
          <w:spacing w:val="0"/>
          <w:w w:val="100"/>
          <w:kern w:val="2"/>
          <w:sz w:val="24"/>
          <w:szCs w:val="24"/>
          <w:highlight w:val="none"/>
          <w:lang w:val="en-US" w:eastAsia="zh-CN" w:bidi="ar-SA"/>
        </w:rPr>
        <w:t>https://www.lecaiyun.com/</w:t>
      </w:r>
      <w:r>
        <w:rPr>
          <w:rStyle w:val="76"/>
          <w:rFonts w:hint="eastAsia" w:ascii="宋体" w:hAnsi="宋体" w:eastAsia="宋体" w:cs="宋体"/>
          <w:b w:val="0"/>
          <w:i w:val="0"/>
          <w:caps w:val="0"/>
          <w:color w:val="auto"/>
          <w:spacing w:val="0"/>
          <w:w w:val="100"/>
          <w:kern w:val="2"/>
          <w:sz w:val="24"/>
          <w:szCs w:val="24"/>
          <w:highlight w:val="none"/>
          <w:lang w:val="en-US" w:eastAsia="zh-CN" w:bidi="ar-SA"/>
        </w:rPr>
        <w:t>）</w:t>
      </w:r>
      <w:r>
        <w:rPr>
          <w:rFonts w:hint="eastAsia" w:ascii="宋体" w:hAnsi="宋体" w:eastAsia="宋体" w:cs="宋体"/>
          <w:color w:val="auto"/>
          <w:sz w:val="24"/>
          <w:highlight w:val="none"/>
        </w:rPr>
        <w:t xml:space="preserve"> </w:t>
      </w:r>
    </w:p>
    <w:p w14:paraId="12579182">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lang w:eastAsia="zh-CN"/>
        </w:rPr>
        <w:t>交易时间</w:t>
      </w:r>
      <w:r>
        <w:rPr>
          <w:rFonts w:hint="eastAsia" w:ascii="宋体" w:hAnsi="宋体" w:eastAsia="宋体" w:cs="宋体"/>
          <w:b/>
          <w:color w:val="auto"/>
          <w:sz w:val="24"/>
          <w:highlight w:val="none"/>
        </w:rPr>
        <w:t>：</w:t>
      </w:r>
      <w:r>
        <w:rPr>
          <w:rFonts w:hint="eastAsia" w:ascii="宋体" w:hAnsi="宋体" w:cs="宋体"/>
          <w:color w:val="auto"/>
          <w:sz w:val="24"/>
          <w:highlight w:val="none"/>
          <w:u w:val="single"/>
          <w:lang w:eastAsia="zh-CN"/>
        </w:rPr>
        <w:t>2025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03</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eastAsia="宋体" w:cs="宋体"/>
          <w:color w:val="auto"/>
          <w:sz w:val="24"/>
          <w:highlight w:val="none"/>
          <w:u w:val="single"/>
        </w:rPr>
        <w:t>分</w:t>
      </w:r>
    </w:p>
    <w:p w14:paraId="78FECFAB">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Style w:val="967"/>
          <w:rFonts w:hint="eastAsia" w:ascii="宋体" w:hAnsi="宋体" w:eastAsia="宋体" w:cs="宋体"/>
          <w:b w:val="0"/>
          <w:i w:val="0"/>
          <w:caps w:val="0"/>
          <w:color w:val="auto"/>
          <w:spacing w:val="0"/>
          <w:w w:val="100"/>
          <w:kern w:val="2"/>
          <w:sz w:val="24"/>
          <w:szCs w:val="24"/>
          <w:highlight w:val="none"/>
          <w:lang w:val="en-US" w:eastAsia="zh-CN" w:bidi="ar-SA"/>
        </w:rPr>
        <w:t>乐采云平台（</w:t>
      </w:r>
      <w:r>
        <w:rPr>
          <w:rStyle w:val="967"/>
          <w:rFonts w:hint="eastAsia" w:ascii="宋体" w:hAnsi="宋体" w:eastAsia="宋体" w:cs="宋体"/>
          <w:b w:val="0"/>
          <w:bCs w:val="0"/>
          <w:i w:val="0"/>
          <w:iCs w:val="0"/>
          <w:caps w:val="0"/>
          <w:color w:val="auto"/>
          <w:spacing w:val="0"/>
          <w:w w:val="100"/>
          <w:kern w:val="2"/>
          <w:sz w:val="24"/>
          <w:szCs w:val="24"/>
          <w:highlight w:val="none"/>
          <w:lang w:val="en-US" w:eastAsia="zh-CN" w:bidi="ar-SA"/>
        </w:rPr>
        <w:t>https://www.lecaiyun.com/</w:t>
      </w:r>
      <w:r>
        <w:rPr>
          <w:rStyle w:val="76"/>
          <w:rFonts w:hint="eastAsia" w:ascii="宋体" w:hAnsi="宋体" w:eastAsia="宋体" w:cs="宋体"/>
          <w:b w:val="0"/>
          <w:i w:val="0"/>
          <w:caps w:val="0"/>
          <w:color w:val="auto"/>
          <w:spacing w:val="0"/>
          <w:w w:val="100"/>
          <w:kern w:val="2"/>
          <w:sz w:val="24"/>
          <w:szCs w:val="24"/>
          <w:highlight w:val="none"/>
          <w:lang w:val="en-US" w:eastAsia="zh-CN" w:bidi="ar-SA"/>
        </w:rPr>
        <w:t>）</w:t>
      </w:r>
    </w:p>
    <w:p w14:paraId="107C567D">
      <w:pPr>
        <w:pStyle w:val="4"/>
        <w:numPr>
          <w:ilvl w:val="0"/>
          <w:numId w:val="0"/>
        </w:numPr>
        <w:rPr>
          <w:rStyle w:val="967"/>
          <w:rFonts w:hint="eastAsia" w:ascii="宋体" w:hAnsi="宋体" w:eastAsia="宋体" w:cs="宋体"/>
          <w:b/>
          <w:bCs/>
          <w:i w:val="0"/>
          <w:caps w:val="0"/>
          <w:color w:val="auto"/>
          <w:spacing w:val="0"/>
          <w:w w:val="100"/>
          <w:sz w:val="24"/>
          <w:highlight w:val="none"/>
        </w:rPr>
      </w:pPr>
      <w:bookmarkStart w:id="10" w:name="_Toc28359084"/>
      <w:bookmarkStart w:id="11" w:name="_Toc35393625"/>
      <w:bookmarkStart w:id="12" w:name="_Toc35393794"/>
      <w:bookmarkStart w:id="13" w:name="_Toc28359007"/>
      <w:r>
        <w:rPr>
          <w:rStyle w:val="967"/>
          <w:rFonts w:hint="eastAsia" w:ascii="宋体" w:hAnsi="宋体" w:eastAsia="宋体" w:cs="宋体"/>
          <w:b/>
          <w:bCs/>
          <w:i w:val="0"/>
          <w:caps w:val="0"/>
          <w:color w:val="auto"/>
          <w:spacing w:val="0"/>
          <w:w w:val="100"/>
          <w:sz w:val="24"/>
          <w:highlight w:val="none"/>
        </w:rPr>
        <w:t>五、公告期限</w:t>
      </w:r>
      <w:bookmarkEnd w:id="10"/>
      <w:bookmarkEnd w:id="11"/>
      <w:bookmarkEnd w:id="12"/>
      <w:bookmarkEnd w:id="13"/>
    </w:p>
    <w:p w14:paraId="688BFC4D">
      <w:pPr>
        <w:spacing w:line="360" w:lineRule="auto"/>
        <w:ind w:firstLine="480" w:firstLineChars="200"/>
        <w:jc w:val="left"/>
        <w:rPr>
          <w:rStyle w:val="967"/>
          <w:rFonts w:hint="eastAsia" w:ascii="宋体" w:hAnsi="宋体" w:eastAsia="宋体" w:cs="宋体"/>
          <w:b w:val="0"/>
          <w:bCs w:val="0"/>
          <w:i w:val="0"/>
          <w:caps w:val="0"/>
          <w:color w:val="auto"/>
          <w:spacing w:val="0"/>
          <w:w w:val="100"/>
          <w:sz w:val="24"/>
          <w:highlight w:val="none"/>
          <w:lang w:eastAsia="zh-CN"/>
        </w:rPr>
      </w:pPr>
      <w:r>
        <w:rPr>
          <w:rStyle w:val="967"/>
          <w:rFonts w:hint="eastAsia" w:ascii="宋体" w:hAnsi="宋体" w:eastAsia="宋体" w:cs="宋体"/>
          <w:b w:val="0"/>
          <w:bCs w:val="0"/>
          <w:i w:val="0"/>
          <w:caps w:val="0"/>
          <w:color w:val="auto"/>
          <w:spacing w:val="0"/>
          <w:w w:val="100"/>
          <w:sz w:val="24"/>
          <w:highlight w:val="none"/>
        </w:rPr>
        <w:t>自本公告发布之日起</w:t>
      </w:r>
      <w:r>
        <w:rPr>
          <w:rStyle w:val="967"/>
          <w:rFonts w:hint="eastAsia" w:ascii="宋体" w:hAnsi="宋体" w:eastAsia="宋体" w:cs="宋体"/>
          <w:b w:val="0"/>
          <w:bCs w:val="0"/>
          <w:i w:val="0"/>
          <w:caps w:val="0"/>
          <w:color w:val="auto"/>
          <w:spacing w:val="0"/>
          <w:w w:val="100"/>
          <w:sz w:val="24"/>
          <w:highlight w:val="none"/>
          <w:lang w:val="en-US" w:eastAsia="zh-CN"/>
        </w:rPr>
        <w:t xml:space="preserve"> </w:t>
      </w:r>
      <w:r>
        <w:rPr>
          <w:rStyle w:val="967"/>
          <w:rFonts w:hint="eastAsia" w:ascii="宋体" w:hAnsi="宋体" w:cs="宋体"/>
          <w:b w:val="0"/>
          <w:bCs w:val="0"/>
          <w:i w:val="0"/>
          <w:caps w:val="0"/>
          <w:color w:val="auto"/>
          <w:spacing w:val="0"/>
          <w:w w:val="100"/>
          <w:sz w:val="24"/>
          <w:highlight w:val="none"/>
          <w:lang w:val="en-US" w:eastAsia="zh-CN"/>
        </w:rPr>
        <w:t>7</w:t>
      </w:r>
      <w:r>
        <w:rPr>
          <w:rStyle w:val="967"/>
          <w:rFonts w:hint="eastAsia" w:ascii="宋体" w:hAnsi="宋体" w:eastAsia="宋体" w:cs="宋体"/>
          <w:b w:val="0"/>
          <w:bCs w:val="0"/>
          <w:i w:val="0"/>
          <w:caps w:val="0"/>
          <w:color w:val="auto"/>
          <w:spacing w:val="0"/>
          <w:w w:val="100"/>
          <w:sz w:val="24"/>
          <w:highlight w:val="none"/>
          <w:lang w:val="en-US" w:eastAsia="zh-CN"/>
        </w:rPr>
        <w:t xml:space="preserve"> </w:t>
      </w:r>
      <w:r>
        <w:rPr>
          <w:rStyle w:val="967"/>
          <w:rFonts w:hint="eastAsia" w:ascii="宋体" w:hAnsi="宋体" w:eastAsia="宋体" w:cs="宋体"/>
          <w:b w:val="0"/>
          <w:bCs w:val="0"/>
          <w:i w:val="0"/>
          <w:caps w:val="0"/>
          <w:color w:val="auto"/>
          <w:spacing w:val="0"/>
          <w:w w:val="100"/>
          <w:sz w:val="24"/>
          <w:highlight w:val="none"/>
        </w:rPr>
        <w:t>个工作日。</w:t>
      </w:r>
    </w:p>
    <w:p w14:paraId="65FEB238">
      <w:pPr>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六</w:t>
      </w:r>
      <w:r>
        <w:rPr>
          <w:rFonts w:hint="eastAsia" w:ascii="宋体" w:hAnsi="宋体" w:eastAsia="宋体" w:cs="宋体"/>
          <w:b/>
          <w:color w:val="auto"/>
          <w:sz w:val="24"/>
          <w:highlight w:val="none"/>
        </w:rPr>
        <w:t>、其他补充事宜</w:t>
      </w:r>
    </w:p>
    <w:p w14:paraId="0F85D3A1">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1.供应商认为</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使自己的权益受到损害的，可以自获取</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之日起</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个工作日内，以书面形式向</w:t>
      </w: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和采购代理机构提出质疑</w:t>
      </w:r>
      <w:r>
        <w:rPr>
          <w:rFonts w:hint="eastAsia" w:ascii="宋体" w:hAnsi="宋体" w:cs="宋体"/>
          <w:color w:val="auto"/>
          <w:sz w:val="24"/>
          <w:highlight w:val="none"/>
          <w:lang w:eastAsia="zh-CN"/>
        </w:rPr>
        <w:t>。</w:t>
      </w:r>
    </w:p>
    <w:p w14:paraId="546ED350">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2.其他事项：电子</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的说明：①电子</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：本项目以数据电文形式，依托“政府采购云平台（www.zcygov.cn）”进行</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活动，不接受纸质</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；②</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的获取：使用账号登录或者使用CA登录政采云平台；进入“项目采购”应用，在获取采购文件菜单中选择项目，获取</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；④</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的制作：在“政采云电子交易客户端”中完成“填写基本信息”、“导入</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”、“标书关联”、“标书检查”、“电子签名”、“生成电子标书”等操作；⑤</w:t>
      </w: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、采购机构将依托政采云平台完成本项目的电子交易活动，平台不接受未按上述方式获取</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的供应商进行</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活动； ⑥对未按上述方式获取</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的供应商对该文件提出的质疑，</w:t>
      </w: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或采购代理机构将不予处理；⑦不提供</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纸质版；⑧</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的传输递交：</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在</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截止时间前将加密的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上传至政府采购云平台，还可以在</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截止时间前直接提交或者以邮政快递方式递交备份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1份。备份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的制作、存储、密封详见</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第二部分第15点—“备份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”；⑨</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的解密：</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按照平台提示和</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的规定在半小时内完成在线解密。通过“政府采购云平台”上传递交的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无法按时解密，供应商递交了备份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的，以备份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为依据，否则视为</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撤回。通过“政府采购云平台”上传递交的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已按时解密的，备份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自动失效。</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仅提交备份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，未在电子交易平台传输递交</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交易无效</w:t>
      </w:r>
      <w:r>
        <w:rPr>
          <w:rFonts w:hint="eastAsia" w:ascii="宋体" w:hAnsi="宋体" w:eastAsia="宋体" w:cs="宋体"/>
          <w:color w:val="auto"/>
          <w:sz w:val="24"/>
          <w:highlight w:val="none"/>
        </w:rPr>
        <w:t>；⑩具体操作指南：详见政采云平台“服务中心-帮助文档-项目采购-操作流程-电子招投标-政府采购项目电子交易管理操作指南-供应商”。</w:t>
      </w:r>
    </w:p>
    <w:p w14:paraId="0C4992BD">
      <w:pPr>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七</w:t>
      </w:r>
      <w:r>
        <w:rPr>
          <w:rFonts w:hint="eastAsia" w:ascii="宋体" w:hAnsi="宋体" w:eastAsia="宋体" w:cs="宋体"/>
          <w:b/>
          <w:color w:val="auto"/>
          <w:sz w:val="24"/>
          <w:highlight w:val="none"/>
        </w:rPr>
        <w:t>、联系方式</w:t>
      </w:r>
    </w:p>
    <w:p w14:paraId="41F8691C">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1.</w:t>
      </w:r>
      <w:r>
        <w:rPr>
          <w:rFonts w:hint="eastAsia" w:ascii="宋体" w:hAnsi="宋体" w:eastAsia="宋体" w:cs="宋体"/>
          <w:color w:val="auto"/>
          <w:sz w:val="24"/>
          <w:szCs w:val="28"/>
          <w:highlight w:val="none"/>
          <w:lang w:eastAsia="zh-CN"/>
        </w:rPr>
        <w:t>交易人</w:t>
      </w:r>
      <w:r>
        <w:rPr>
          <w:rFonts w:hint="eastAsia" w:ascii="宋体" w:hAnsi="宋体" w:eastAsia="宋体" w:cs="宋体"/>
          <w:color w:val="auto"/>
          <w:sz w:val="24"/>
          <w:szCs w:val="28"/>
          <w:highlight w:val="none"/>
        </w:rPr>
        <w:t>信息</w:t>
      </w:r>
    </w:p>
    <w:p w14:paraId="6CCEEBA5">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名称：杭州萧山钱江世纪城开发建设有限责任公司</w:t>
      </w:r>
    </w:p>
    <w:p w14:paraId="0AC5BD6E">
      <w:pPr>
        <w:keepNext w:val="0"/>
        <w:keepLines w:val="0"/>
        <w:pageBreakBefore w:val="0"/>
        <w:widowControl w:val="0"/>
        <w:kinsoku/>
        <w:wordWrap/>
        <w:overflowPunct/>
        <w:topLinePunct w:val="0"/>
        <w:autoSpaceDE/>
        <w:autoSpaceDN/>
        <w:bidi w:val="0"/>
        <w:adjustRightInd w:val="0"/>
        <w:snapToGrid/>
        <w:spacing w:line="360" w:lineRule="auto"/>
        <w:ind w:right="-6" w:firstLine="480" w:firstLineChars="200"/>
        <w:textAlignment w:val="auto"/>
        <w:rPr>
          <w:rFonts w:hint="eastAsia" w:ascii="宋体" w:hAnsi="宋体" w:cs="宋体"/>
          <w:color w:val="auto"/>
          <w:sz w:val="24"/>
          <w:highlight w:val="none"/>
          <w:lang w:val="en-US" w:eastAsia="zh-CN"/>
        </w:rPr>
      </w:pPr>
      <w:r>
        <w:rPr>
          <w:rFonts w:hint="eastAsia" w:ascii="宋体" w:hAnsi="宋体" w:eastAsia="宋体" w:cs="宋体"/>
          <w:color w:val="auto"/>
          <w:sz w:val="24"/>
          <w:highlight w:val="none"/>
          <w:lang w:val="en-US" w:eastAsia="zh-CN"/>
        </w:rPr>
        <w:t>地址：</w:t>
      </w:r>
      <w:r>
        <w:rPr>
          <w:rFonts w:hint="eastAsia" w:ascii="宋体" w:hAnsi="宋体" w:eastAsia="宋体" w:cs="宋体"/>
          <w:color w:val="auto"/>
          <w:sz w:val="24"/>
          <w:szCs w:val="24"/>
          <w:lang w:val="en-US" w:eastAsia="zh-CN"/>
        </w:rPr>
        <w:t>萧山宁围街道民和路525号三宏国际大厦2301、2302室</w:t>
      </w:r>
      <w:r>
        <w:rPr>
          <w:rFonts w:hint="eastAsia" w:ascii="宋体" w:hAnsi="宋体" w:cs="宋体"/>
          <w:color w:val="auto"/>
          <w:sz w:val="24"/>
          <w:highlight w:val="none"/>
          <w:lang w:val="en-US" w:eastAsia="zh-CN"/>
        </w:rPr>
        <w:t xml:space="preserve"> </w:t>
      </w:r>
    </w:p>
    <w:p w14:paraId="0B7D434F">
      <w:pPr>
        <w:keepNext w:val="0"/>
        <w:keepLines w:val="0"/>
        <w:pageBreakBefore w:val="0"/>
        <w:widowControl w:val="0"/>
        <w:kinsoku/>
        <w:wordWrap/>
        <w:overflowPunct/>
        <w:topLinePunct w:val="0"/>
        <w:autoSpaceDE/>
        <w:autoSpaceDN/>
        <w:bidi w:val="0"/>
        <w:adjustRightInd w:val="0"/>
        <w:snapToGrid/>
        <w:spacing w:line="360" w:lineRule="auto"/>
        <w:ind w:right="-6"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项目联系人（询问）：钱森吉</w:t>
      </w:r>
    </w:p>
    <w:p w14:paraId="330029D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项目联系方式（询问）：</w:t>
      </w:r>
      <w:bookmarkStart w:id="14" w:name="_Toc28359009"/>
      <w:bookmarkStart w:id="15" w:name="_Toc28359086"/>
      <w:r>
        <w:rPr>
          <w:rFonts w:hint="eastAsia" w:ascii="宋体" w:hAnsi="宋体" w:eastAsia="宋体" w:cs="宋体"/>
          <w:color w:val="auto"/>
          <w:sz w:val="24"/>
          <w:highlight w:val="none"/>
          <w:lang w:val="en-US" w:eastAsia="zh-CN"/>
        </w:rPr>
        <w:t>13489249747</w:t>
      </w:r>
    </w:p>
    <w:p w14:paraId="671C7763">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szCs w:val="28"/>
          <w:highlight w:val="none"/>
          <w:lang w:val="en-US"/>
        </w:rPr>
      </w:pPr>
      <w:r>
        <w:rPr>
          <w:rFonts w:hint="eastAsia" w:ascii="宋体" w:hAnsi="宋体" w:eastAsia="宋体" w:cs="宋体"/>
          <w:color w:val="auto"/>
          <w:sz w:val="24"/>
          <w:szCs w:val="28"/>
          <w:highlight w:val="none"/>
        </w:rPr>
        <w:t>2.</w:t>
      </w:r>
      <w:bookmarkEnd w:id="14"/>
      <w:bookmarkEnd w:id="15"/>
      <w:r>
        <w:rPr>
          <w:rFonts w:hint="eastAsia" w:ascii="宋体" w:hAnsi="宋体" w:eastAsia="宋体" w:cs="宋体"/>
          <w:color w:val="auto"/>
          <w:sz w:val="24"/>
          <w:szCs w:val="28"/>
          <w:highlight w:val="none"/>
          <w:lang w:val="en-US" w:eastAsia="zh-CN"/>
        </w:rPr>
        <w:t>采购机构信息</w:t>
      </w:r>
    </w:p>
    <w:p w14:paraId="39183254">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名称：</w:t>
      </w:r>
      <w:r>
        <w:rPr>
          <w:rFonts w:hint="eastAsia" w:ascii="宋体" w:hAnsi="宋体" w:eastAsia="宋体" w:cs="宋体"/>
          <w:color w:val="auto"/>
          <w:sz w:val="24"/>
          <w:szCs w:val="28"/>
          <w:highlight w:val="none"/>
          <w:lang w:eastAsia="zh-CN"/>
        </w:rPr>
        <w:t>建经投资咨询有限公司</w:t>
      </w:r>
    </w:p>
    <w:p w14:paraId="33031942">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cs="宋体"/>
          <w:color w:val="auto"/>
          <w:sz w:val="24"/>
          <w:szCs w:val="28"/>
          <w:highlight w:val="none"/>
          <w:lang w:val="en-US" w:eastAsia="zh-CN"/>
        </w:rPr>
      </w:pPr>
      <w:r>
        <w:rPr>
          <w:rFonts w:hint="eastAsia" w:ascii="宋体" w:hAnsi="宋体" w:eastAsia="宋体" w:cs="宋体"/>
          <w:color w:val="auto"/>
          <w:sz w:val="24"/>
          <w:szCs w:val="28"/>
          <w:highlight w:val="none"/>
        </w:rPr>
        <w:t>地址：杭州市萧山区金城路411号天汇园3-1002</w:t>
      </w:r>
    </w:p>
    <w:p w14:paraId="0A726373">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szCs w:val="28"/>
          <w:highlight w:val="none"/>
          <w:lang w:val="en-US" w:eastAsia="zh-CN"/>
        </w:rPr>
      </w:pPr>
      <w:r>
        <w:rPr>
          <w:rFonts w:hint="eastAsia" w:ascii="宋体" w:hAnsi="宋体" w:eastAsia="宋体" w:cs="宋体"/>
          <w:color w:val="auto"/>
          <w:sz w:val="24"/>
          <w:szCs w:val="28"/>
          <w:highlight w:val="none"/>
        </w:rPr>
        <w:t>项目联系人（询问）：</w:t>
      </w:r>
      <w:r>
        <w:rPr>
          <w:rFonts w:hint="eastAsia" w:ascii="宋体" w:hAnsi="宋体" w:cs="宋体"/>
          <w:color w:val="auto"/>
          <w:sz w:val="24"/>
          <w:szCs w:val="28"/>
          <w:highlight w:val="none"/>
          <w:lang w:val="en-US" w:eastAsia="zh-CN"/>
        </w:rPr>
        <w:t>王察</w:t>
      </w:r>
    </w:p>
    <w:p w14:paraId="5E7EAC04">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hint="default" w:ascii="宋体" w:hAnsi="宋体" w:eastAsia="宋体" w:cs="宋体"/>
          <w:color w:val="auto"/>
          <w:sz w:val="24"/>
          <w:szCs w:val="28"/>
          <w:highlight w:val="none"/>
          <w:lang w:val="en-US" w:eastAsia="zh-CN"/>
        </w:rPr>
      </w:pPr>
      <w:r>
        <w:rPr>
          <w:rFonts w:hint="eastAsia" w:ascii="宋体" w:hAnsi="宋体" w:eastAsia="宋体" w:cs="宋体"/>
          <w:color w:val="auto"/>
          <w:sz w:val="24"/>
          <w:szCs w:val="28"/>
          <w:highlight w:val="none"/>
        </w:rPr>
        <w:t>项目联系方式（询问）：13588293514</w:t>
      </w:r>
    </w:p>
    <w:p w14:paraId="5CFD1321">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highlight w:val="none"/>
        </w:rPr>
      </w:pPr>
    </w:p>
    <w:p w14:paraId="0C7546A7">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highlight w:val="none"/>
        </w:rPr>
      </w:pPr>
    </w:p>
    <w:p w14:paraId="3A3C8B82">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478E1464">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56AF4C92">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r>
        <w:rPr>
          <w:rFonts w:hint="eastAsia" w:ascii="宋体" w:hAnsi="宋体" w:eastAsia="宋体" w:cs="宋体"/>
          <w:b/>
          <w:color w:val="auto"/>
          <w:sz w:val="36"/>
          <w:szCs w:val="20"/>
          <w:highlight w:val="none"/>
        </w:rPr>
        <w:t>第二部分</w:t>
      </w:r>
      <w:bookmarkEnd w:id="7"/>
      <w:r>
        <w:rPr>
          <w:rFonts w:hint="eastAsia" w:ascii="宋体" w:hAnsi="宋体" w:eastAsia="宋体" w:cs="宋体"/>
          <w:b/>
          <w:color w:val="auto"/>
          <w:sz w:val="36"/>
          <w:szCs w:val="20"/>
          <w:highlight w:val="none"/>
        </w:rPr>
        <w:t xml:space="preserve"> </w:t>
      </w:r>
      <w:r>
        <w:rPr>
          <w:rFonts w:hint="eastAsia" w:ascii="宋体" w:hAnsi="宋体" w:eastAsia="宋体" w:cs="宋体"/>
          <w:b/>
          <w:color w:val="auto"/>
          <w:sz w:val="36"/>
          <w:szCs w:val="20"/>
          <w:highlight w:val="none"/>
          <w:lang w:eastAsia="zh-CN"/>
        </w:rPr>
        <w:t>供应商</w:t>
      </w:r>
      <w:r>
        <w:rPr>
          <w:rFonts w:hint="eastAsia" w:ascii="宋体" w:hAnsi="宋体" w:eastAsia="宋体" w:cs="宋体"/>
          <w:b/>
          <w:color w:val="auto"/>
          <w:sz w:val="36"/>
          <w:szCs w:val="20"/>
          <w:highlight w:val="none"/>
        </w:rPr>
        <w:t>须知</w:t>
      </w:r>
      <w:bookmarkEnd w:id="8"/>
    </w:p>
    <w:p w14:paraId="41E780C9">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80B9B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2E2A27">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C875878">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70A21B6">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62EA56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1696DB2">
            <w:pPr>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E1C8D58">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4843B51B">
            <w:pPr>
              <w:spacing w:line="24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en-US" w:eastAsia="zh-CN"/>
              </w:rPr>
              <w:t>(</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en-US" w:eastAsia="zh-CN"/>
              </w:rPr>
              <w:t>)A货物类</w:t>
            </w:r>
            <w:r>
              <w:rPr>
                <w:rFonts w:hint="eastAsia" w:ascii="宋体" w:hAnsi="宋体" w:eastAsia="宋体" w:cs="宋体"/>
                <w:color w:val="auto"/>
                <w:sz w:val="24"/>
                <w:highlight w:val="none"/>
              </w:rPr>
              <w:t>。</w:t>
            </w:r>
          </w:p>
          <w:p w14:paraId="38F17552">
            <w:pPr>
              <w:spacing w:line="24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en-US" w:eastAsia="zh-CN"/>
              </w:rPr>
              <w:t>(</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sz w:val="24"/>
                <w:highlight w:val="none"/>
              </w:rPr>
              <w:t>√</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en-US" w:eastAsia="zh-CN"/>
              </w:rPr>
              <w:t>)B服务类</w:t>
            </w:r>
            <w:r>
              <w:rPr>
                <w:rFonts w:hint="eastAsia" w:ascii="宋体" w:hAnsi="宋体" w:eastAsia="宋体" w:cs="宋体"/>
                <w:color w:val="auto"/>
                <w:sz w:val="24"/>
                <w:highlight w:val="none"/>
              </w:rPr>
              <w:t>。</w:t>
            </w:r>
          </w:p>
        </w:tc>
      </w:tr>
      <w:tr w14:paraId="7F3C1D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57"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13D138B0">
            <w:pPr>
              <w:snapToGrid w:val="0"/>
              <w:spacing w:line="240" w:lineRule="auto"/>
              <w:jc w:val="center"/>
              <w:rPr>
                <w:rFonts w:hint="eastAsia" w:ascii="宋体" w:hAnsi="宋体" w:eastAsia="宋体" w:cs="宋体"/>
                <w:color w:val="auto"/>
                <w:sz w:val="24"/>
                <w:highlight w:val="none"/>
              </w:rPr>
            </w:pPr>
          </w:p>
          <w:p w14:paraId="518CAB7C">
            <w:pPr>
              <w:snapToGrid w:val="0"/>
              <w:spacing w:line="240" w:lineRule="auto"/>
              <w:jc w:val="center"/>
              <w:rPr>
                <w:rFonts w:hint="eastAsia" w:ascii="宋体" w:hAnsi="宋体" w:eastAsia="宋体" w:cs="宋体"/>
                <w:color w:val="auto"/>
                <w:sz w:val="24"/>
                <w:highlight w:val="none"/>
              </w:rPr>
            </w:pPr>
          </w:p>
          <w:p w14:paraId="067BF806">
            <w:pPr>
              <w:snapToGrid w:val="0"/>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3D44FDF">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80E7F">
            <w:pPr>
              <w:spacing w:line="24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en-US" w:eastAsia="zh-CN"/>
              </w:rPr>
              <w:t>(</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en-US" w:eastAsia="zh-CN"/>
              </w:rPr>
              <w:t>)A不适用</w:t>
            </w:r>
            <w:r>
              <w:rPr>
                <w:rFonts w:hint="eastAsia" w:ascii="宋体" w:hAnsi="宋体" w:eastAsia="宋体" w:cs="宋体"/>
                <w:color w:val="auto"/>
                <w:sz w:val="24"/>
                <w:highlight w:val="none"/>
              </w:rPr>
              <w:t>。</w:t>
            </w:r>
          </w:p>
          <w:p w14:paraId="06A97476">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val="en-US" w:eastAsia="zh-CN"/>
              </w:rPr>
              <w:t>)B使用</w:t>
            </w:r>
            <w:r>
              <w:rPr>
                <w:rFonts w:hint="eastAsia" w:ascii="宋体" w:hAnsi="宋体" w:eastAsia="宋体" w:cs="宋体"/>
                <w:color w:val="auto"/>
                <w:sz w:val="24"/>
                <w:highlight w:val="none"/>
              </w:rPr>
              <w:t>。</w:t>
            </w:r>
          </w:p>
        </w:tc>
      </w:tr>
      <w:tr w14:paraId="180A71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BFAC7FE">
            <w:pPr>
              <w:snapToGrid w:val="0"/>
              <w:spacing w:line="24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6E27AD5">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262991E">
            <w:pPr>
              <w:spacing w:line="240" w:lineRule="auto"/>
              <w:rPr>
                <w:rFonts w:hint="eastAsia" w:ascii="宋体" w:hAnsi="宋体" w:eastAsia="宋体" w:cs="宋体"/>
                <w:color w:val="auto"/>
                <w:highlight w:val="none"/>
                <w:lang w:val="en-US" w:eastAsia="zh-CN"/>
              </w:rPr>
            </w:pPr>
            <w:r>
              <w:rPr>
                <w:rFonts w:hint="eastAsia" w:ascii="宋体" w:hAnsi="宋体" w:eastAsia="宋体" w:cs="宋体"/>
                <w:b w:val="0"/>
                <w:bCs/>
                <w:color w:val="auto"/>
                <w:sz w:val="24"/>
                <w:highlight w:val="none"/>
              </w:rPr>
              <w:t>（√）</w:t>
            </w:r>
            <w:r>
              <w:rPr>
                <w:rFonts w:hint="eastAsia" w:ascii="宋体" w:hAnsi="宋体" w:eastAsia="宋体" w:cs="宋体"/>
                <w:color w:val="auto"/>
                <w:sz w:val="24"/>
                <w:szCs w:val="32"/>
                <w:highlight w:val="none"/>
              </w:rPr>
              <w:t>本项目不允许采购进口产品。</w:t>
            </w:r>
          </w:p>
        </w:tc>
      </w:tr>
      <w:tr w14:paraId="509BF7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5F05BE9">
            <w:pPr>
              <w:snapToGrid w:val="0"/>
              <w:spacing w:line="24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2DD5173">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联合体和分包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17C1EAD">
            <w:pPr>
              <w:spacing w:line="240" w:lineRule="auto"/>
              <w:rPr>
                <w:rFonts w:hint="eastAsia" w:ascii="宋体" w:hAnsi="宋体" w:eastAsia="宋体" w:cs="宋体"/>
                <w:b w:val="0"/>
                <w:bCs/>
                <w:color w:val="auto"/>
                <w:sz w:val="24"/>
                <w:highlight w:val="none"/>
              </w:rPr>
            </w:pPr>
            <w:r>
              <w:rPr>
                <w:rFonts w:hint="eastAsia" w:ascii="宋体" w:hAnsi="宋体" w:eastAsia="宋体" w:cs="宋体"/>
                <w:color w:val="auto"/>
                <w:sz w:val="24"/>
                <w:szCs w:val="32"/>
                <w:highlight w:val="none"/>
              </w:rPr>
              <w:t>（√）B不同意分包</w:t>
            </w:r>
            <w:r>
              <w:rPr>
                <w:rFonts w:hint="eastAsia" w:ascii="宋体" w:hAnsi="宋体" w:eastAsia="宋体" w:cs="宋体"/>
                <w:color w:val="auto"/>
                <w:sz w:val="24"/>
                <w:szCs w:val="32"/>
                <w:highlight w:val="none"/>
                <w:lang w:eastAsia="zh-CN"/>
              </w:rPr>
              <w:t>。</w:t>
            </w:r>
          </w:p>
        </w:tc>
      </w:tr>
      <w:tr w14:paraId="295492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51EF66C">
            <w:pPr>
              <w:snapToGrid w:val="0"/>
              <w:spacing w:line="24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83FEBC9">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AE24A70">
            <w:pPr>
              <w:spacing w:line="240" w:lineRule="auto"/>
              <w:rPr>
                <w:rFonts w:hint="eastAsia" w:ascii="宋体" w:hAnsi="宋体" w:eastAsia="宋体" w:cs="宋体"/>
                <w:b w:val="0"/>
                <w:bCs/>
                <w:color w:val="auto"/>
                <w:sz w:val="24"/>
                <w:szCs w:val="20"/>
                <w:highlight w:val="none"/>
                <w:lang w:val="en-US" w:eastAsia="zh-CN"/>
              </w:rPr>
            </w:pPr>
            <w:r>
              <w:rPr>
                <w:rFonts w:hint="eastAsia" w:ascii="宋体" w:hAnsi="宋体" w:eastAsia="宋体" w:cs="宋体"/>
                <w:b w:val="0"/>
                <w:bCs/>
                <w:color w:val="auto"/>
                <w:sz w:val="24"/>
                <w:highlight w:val="none"/>
              </w:rPr>
              <w:t>（√）</w:t>
            </w:r>
            <w:r>
              <w:rPr>
                <w:rFonts w:hint="eastAsia" w:ascii="宋体" w:hAnsi="宋体" w:eastAsia="宋体" w:cs="宋体"/>
                <w:b w:val="0"/>
                <w:bCs/>
                <w:color w:val="auto"/>
                <w:kern w:val="0"/>
                <w:sz w:val="24"/>
                <w:highlight w:val="none"/>
              </w:rPr>
              <w:t>A</w:t>
            </w:r>
            <w:r>
              <w:rPr>
                <w:rFonts w:hint="eastAsia" w:ascii="宋体" w:hAnsi="宋体" w:eastAsia="宋体" w:cs="宋体"/>
                <w:b w:val="0"/>
                <w:bCs/>
                <w:color w:val="auto"/>
                <w:sz w:val="24"/>
                <w:highlight w:val="none"/>
              </w:rPr>
              <w:t>不组织。</w:t>
            </w:r>
          </w:p>
        </w:tc>
      </w:tr>
      <w:tr w14:paraId="1CBAD0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B690573">
            <w:pPr>
              <w:snapToGrid w:val="0"/>
              <w:spacing w:line="24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ADA6A30">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9BF6B19">
            <w:pPr>
              <w:spacing w:line="240" w:lineRule="auto"/>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（√）A不要求提供。</w:t>
            </w:r>
          </w:p>
        </w:tc>
      </w:tr>
      <w:tr w14:paraId="401567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1075CF7">
            <w:pPr>
              <w:snapToGrid w:val="0"/>
              <w:spacing w:line="24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98320B4">
            <w:pPr>
              <w:snapToGrid w:val="0"/>
              <w:spacing w:line="24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21F5EE6">
            <w:pPr>
              <w:snapToGrid w:val="0"/>
              <w:spacing w:line="24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sz w:val="24"/>
                <w:highlight w:val="none"/>
              </w:rPr>
              <w:t>（√）A不组织。</w:t>
            </w:r>
          </w:p>
        </w:tc>
      </w:tr>
      <w:tr w14:paraId="68FCED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right w:val="single" w:color="auto" w:sz="4" w:space="0"/>
            </w:tcBorders>
            <w:vAlign w:val="center"/>
          </w:tcPr>
          <w:p w14:paraId="07A88527">
            <w:pPr>
              <w:snapToGrid w:val="0"/>
              <w:spacing w:line="24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p>
        </w:tc>
        <w:tc>
          <w:tcPr>
            <w:tcW w:w="1843" w:type="dxa"/>
            <w:tcBorders>
              <w:top w:val="single" w:color="000000" w:sz="8" w:space="0"/>
              <w:left w:val="single" w:color="auto" w:sz="4" w:space="0"/>
              <w:right w:val="single" w:color="000000" w:sz="8" w:space="0"/>
            </w:tcBorders>
            <w:vAlign w:val="center"/>
          </w:tcPr>
          <w:p w14:paraId="191E60A4">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rPr>
              <w:t>应当提供的资格证明文件</w:t>
            </w:r>
          </w:p>
        </w:tc>
        <w:tc>
          <w:tcPr>
            <w:tcW w:w="6095" w:type="dxa"/>
            <w:tcBorders>
              <w:top w:val="single" w:color="000000" w:sz="8" w:space="0"/>
              <w:left w:val="single" w:color="000000" w:sz="2" w:space="0"/>
              <w:bottom w:val="single" w:color="000000" w:sz="8" w:space="0"/>
              <w:right w:val="single" w:color="000000" w:sz="8" w:space="0"/>
            </w:tcBorders>
            <w:vAlign w:val="center"/>
          </w:tcPr>
          <w:p w14:paraId="209A10BC">
            <w:pPr>
              <w:spacing w:line="24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第二部分1</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.1。</w:t>
            </w:r>
          </w:p>
          <w:p w14:paraId="1843EED7">
            <w:pPr>
              <w:spacing w:line="24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供应商未提供有效的资格证明文件的，视为供应商不具备交易文件中规定的资格要求，交易无效。</w:t>
            </w:r>
          </w:p>
        </w:tc>
      </w:tr>
      <w:tr w14:paraId="2E6482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right w:val="single" w:color="auto" w:sz="4" w:space="0"/>
            </w:tcBorders>
            <w:vAlign w:val="center"/>
          </w:tcPr>
          <w:p w14:paraId="5969BDBD">
            <w:pPr>
              <w:snapToGrid w:val="0"/>
              <w:spacing w:line="24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9</w:t>
            </w:r>
          </w:p>
        </w:tc>
        <w:tc>
          <w:tcPr>
            <w:tcW w:w="1843" w:type="dxa"/>
            <w:tcBorders>
              <w:top w:val="single" w:color="000000" w:sz="8" w:space="0"/>
              <w:left w:val="single" w:color="auto" w:sz="4" w:space="0"/>
              <w:right w:val="single" w:color="000000" w:sz="8" w:space="0"/>
            </w:tcBorders>
            <w:vAlign w:val="center"/>
          </w:tcPr>
          <w:p w14:paraId="4C87039C">
            <w:pPr>
              <w:snapToGrid w:val="0"/>
              <w:spacing w:line="240" w:lineRule="auto"/>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bCs w:val="0"/>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2D270CC">
            <w:pPr>
              <w:keepNext w:val="0"/>
              <w:keepLines w:val="0"/>
              <w:pageBreakBefore w:val="0"/>
              <w:widowControl w:val="0"/>
              <w:kinsoku/>
              <w:wordWrap/>
              <w:overflowPunct/>
              <w:topLinePunct w:val="0"/>
              <w:autoSpaceDE/>
              <w:autoSpaceDN/>
              <w:bidi w:val="0"/>
              <w:adjustRightInd w:val="0"/>
              <w:snapToGrid/>
              <w:spacing w:line="240" w:lineRule="auto"/>
              <w:ind w:firstLine="480" w:firstLineChars="200"/>
              <w:textAlignment w:val="auto"/>
              <w:rPr>
                <w:rFonts w:hint="eastAsia" w:ascii="宋体" w:hAnsi="宋体" w:eastAsia="宋体" w:cs="宋体"/>
                <w:b w:val="0"/>
                <w:bCs/>
                <w:color w:val="auto"/>
                <w:kern w:val="0"/>
                <w:sz w:val="24"/>
                <w:highlight w:val="none"/>
                <w:lang w:val="zh-CN"/>
              </w:rPr>
            </w:pPr>
            <w:r>
              <w:rPr>
                <w:rFonts w:hint="eastAsia" w:ascii="宋体" w:hAnsi="宋体" w:eastAsia="宋体" w:cs="宋体"/>
                <w:b w:val="0"/>
                <w:bCs/>
                <w:color w:val="auto"/>
                <w:kern w:val="0"/>
                <w:sz w:val="24"/>
                <w:highlight w:val="none"/>
                <w:lang w:val="zh-CN"/>
              </w:rPr>
              <w:t>有关本项目实施所需的所有费用（含税费）均计入报价。</w:t>
            </w:r>
            <w:r>
              <w:rPr>
                <w:rFonts w:hint="eastAsia" w:ascii="宋体" w:hAnsi="宋体" w:eastAsia="宋体" w:cs="宋体"/>
                <w:b w:val="0"/>
                <w:bCs/>
                <w:color w:val="auto"/>
                <w:kern w:val="0"/>
                <w:sz w:val="24"/>
                <w:highlight w:val="none"/>
                <w:lang w:eastAsia="zh-CN"/>
              </w:rPr>
              <w:t>交易一览表</w:t>
            </w:r>
            <w:r>
              <w:rPr>
                <w:rFonts w:hint="eastAsia" w:ascii="宋体" w:hAnsi="宋体" w:eastAsia="宋体" w:cs="宋体"/>
                <w:b w:val="0"/>
                <w:bCs/>
                <w:color w:val="auto"/>
                <w:kern w:val="0"/>
                <w:sz w:val="24"/>
                <w:highlight w:val="none"/>
              </w:rPr>
              <w:t>（报价表）是报价的唯一载体</w:t>
            </w:r>
            <w:r>
              <w:rPr>
                <w:rFonts w:hint="eastAsia" w:ascii="宋体" w:hAnsi="宋体" w:eastAsia="宋体" w:cs="宋体"/>
                <w:b w:val="0"/>
                <w:bCs/>
                <w:color w:val="auto"/>
                <w:kern w:val="0"/>
                <w:sz w:val="24"/>
                <w:highlight w:val="none"/>
                <w:lang w:val="zh-CN"/>
              </w:rPr>
              <w:t>。响应文件中价格全部采用人民币报价。交易文件未列明，而供应商认为必需的费用也需列入报价。</w:t>
            </w:r>
          </w:p>
          <w:p w14:paraId="29426C96">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 w:val="0"/>
                <w:bCs/>
                <w:color w:val="auto"/>
                <w:kern w:val="0"/>
                <w:sz w:val="24"/>
                <w:highlight w:val="none"/>
                <w:lang w:val="zh-CN"/>
              </w:rPr>
            </w:pPr>
            <w:r>
              <w:rPr>
                <w:rFonts w:hint="eastAsia" w:ascii="宋体" w:hAnsi="宋体" w:eastAsia="宋体" w:cs="宋体"/>
                <w:b w:val="0"/>
                <w:bCs/>
                <w:color w:val="auto"/>
                <w:kern w:val="0"/>
                <w:sz w:val="24"/>
                <w:highlight w:val="none"/>
                <w:lang w:val="zh-CN"/>
              </w:rPr>
              <w:t>交易报价出现下列情形的，交易无效：</w:t>
            </w:r>
          </w:p>
          <w:p w14:paraId="0CD77EA4">
            <w:pPr>
              <w:keepNext w:val="0"/>
              <w:keepLines w:val="0"/>
              <w:pageBreakBefore w:val="0"/>
              <w:widowControl w:val="0"/>
              <w:kinsoku/>
              <w:wordWrap/>
              <w:overflowPunct/>
              <w:topLinePunct w:val="0"/>
              <w:autoSpaceDE/>
              <w:autoSpaceDN/>
              <w:bidi w:val="0"/>
              <w:adjustRightInd w:val="0"/>
              <w:snapToGrid/>
              <w:spacing w:line="240" w:lineRule="auto"/>
              <w:ind w:firstLine="480" w:firstLineChars="200"/>
              <w:textAlignment w:val="auto"/>
              <w:rPr>
                <w:rFonts w:hint="eastAsia" w:ascii="宋体" w:hAnsi="宋体" w:eastAsia="宋体" w:cs="宋体"/>
                <w:b w:val="0"/>
                <w:bCs/>
                <w:color w:val="auto"/>
                <w:kern w:val="0"/>
                <w:sz w:val="24"/>
                <w:highlight w:val="none"/>
                <w:lang w:val="zh-CN"/>
              </w:rPr>
            </w:pPr>
            <w:r>
              <w:rPr>
                <w:rFonts w:hint="eastAsia" w:ascii="宋体" w:hAnsi="宋体" w:eastAsia="宋体" w:cs="宋体"/>
                <w:b w:val="0"/>
                <w:bCs/>
                <w:color w:val="auto"/>
                <w:kern w:val="0"/>
                <w:sz w:val="24"/>
                <w:highlight w:val="none"/>
                <w:lang w:val="zh-CN"/>
              </w:rPr>
              <w:t>响应文件出现不是唯一的、有选择性交易报价的；</w:t>
            </w:r>
          </w:p>
          <w:p w14:paraId="503349FD">
            <w:pPr>
              <w:keepNext w:val="0"/>
              <w:keepLines w:val="0"/>
              <w:pageBreakBefore w:val="0"/>
              <w:widowControl w:val="0"/>
              <w:kinsoku/>
              <w:wordWrap/>
              <w:overflowPunct/>
              <w:topLinePunct w:val="0"/>
              <w:autoSpaceDE/>
              <w:autoSpaceDN/>
              <w:bidi w:val="0"/>
              <w:adjustRightInd w:val="0"/>
              <w:snapToGrid/>
              <w:spacing w:line="240" w:lineRule="auto"/>
              <w:ind w:firstLine="480" w:firstLineChars="200"/>
              <w:textAlignment w:val="auto"/>
              <w:rPr>
                <w:rFonts w:hint="eastAsia" w:ascii="宋体" w:hAnsi="宋体" w:eastAsia="宋体" w:cs="宋体"/>
                <w:b w:val="0"/>
                <w:bCs/>
                <w:color w:val="auto"/>
                <w:kern w:val="0"/>
                <w:sz w:val="24"/>
                <w:highlight w:val="none"/>
                <w:lang w:val="zh-CN"/>
              </w:rPr>
            </w:pPr>
            <w:r>
              <w:rPr>
                <w:rFonts w:hint="eastAsia" w:ascii="宋体" w:hAnsi="宋体" w:eastAsia="宋体" w:cs="宋体"/>
                <w:b w:val="0"/>
                <w:bCs/>
                <w:color w:val="auto"/>
                <w:kern w:val="0"/>
                <w:sz w:val="24"/>
                <w:highlight w:val="none"/>
                <w:lang w:val="zh-CN"/>
              </w:rPr>
              <w:t>交易报价超过交易文件中规定的预算金额或者最高限价的；</w:t>
            </w:r>
          </w:p>
          <w:p w14:paraId="48AB41A7">
            <w:pPr>
              <w:keepNext w:val="0"/>
              <w:keepLines w:val="0"/>
              <w:pageBreakBefore w:val="0"/>
              <w:widowControl w:val="0"/>
              <w:kinsoku/>
              <w:wordWrap/>
              <w:overflowPunct/>
              <w:topLinePunct w:val="0"/>
              <w:autoSpaceDE/>
              <w:autoSpaceDN/>
              <w:bidi w:val="0"/>
              <w:adjustRightInd w:val="0"/>
              <w:snapToGrid/>
              <w:spacing w:line="240" w:lineRule="auto"/>
              <w:ind w:firstLine="480" w:firstLineChars="200"/>
              <w:textAlignment w:val="auto"/>
              <w:rPr>
                <w:rFonts w:hint="eastAsia" w:ascii="宋体" w:hAnsi="宋体" w:eastAsia="宋体" w:cs="宋体"/>
                <w:b w:val="0"/>
                <w:bCs/>
                <w:color w:val="auto"/>
                <w:kern w:val="0"/>
                <w:sz w:val="24"/>
                <w:highlight w:val="none"/>
              </w:rPr>
            </w:pPr>
            <w:r>
              <w:rPr>
                <w:rFonts w:hint="eastAsia" w:ascii="宋体" w:hAnsi="宋体" w:eastAsia="宋体" w:cs="宋体"/>
                <w:b w:val="0"/>
                <w:bCs/>
                <w:color w:val="auto"/>
                <w:kern w:val="0"/>
                <w:sz w:val="24"/>
                <w:highlight w:val="none"/>
              </w:rPr>
              <w:t>报价明显低于其他通过符合性审查</w:t>
            </w:r>
            <w:r>
              <w:rPr>
                <w:rFonts w:hint="eastAsia" w:ascii="宋体" w:hAnsi="宋体" w:eastAsia="宋体" w:cs="宋体"/>
                <w:b w:val="0"/>
                <w:bCs/>
                <w:color w:val="auto"/>
                <w:kern w:val="0"/>
                <w:sz w:val="24"/>
                <w:highlight w:val="none"/>
                <w:lang w:eastAsia="zh-CN"/>
              </w:rPr>
              <w:t>供应商</w:t>
            </w:r>
            <w:r>
              <w:rPr>
                <w:rFonts w:hint="eastAsia" w:ascii="宋体" w:hAnsi="宋体" w:eastAsia="宋体" w:cs="宋体"/>
                <w:b w:val="0"/>
                <w:bCs/>
                <w:color w:val="auto"/>
                <w:kern w:val="0"/>
                <w:sz w:val="24"/>
                <w:highlight w:val="none"/>
              </w:rPr>
              <w:t>的报价，有可能影响产品质量或者不能诚信履约的，未能按要求提供书面说明或者提交相关证明材料证明其报价合理性的;</w:t>
            </w:r>
          </w:p>
          <w:p w14:paraId="12971815">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kern w:val="0"/>
                <w:sz w:val="24"/>
                <w:highlight w:val="none"/>
                <w:lang w:val="zh-CN"/>
              </w:rPr>
            </w:pPr>
            <w:r>
              <w:rPr>
                <w:rFonts w:hint="eastAsia" w:ascii="宋体" w:hAnsi="宋体" w:eastAsia="宋体" w:cs="宋体"/>
                <w:b w:val="0"/>
                <w:bCs/>
                <w:color w:val="auto"/>
                <w:kern w:val="0"/>
                <w:sz w:val="24"/>
                <w:highlight w:val="none"/>
                <w:lang w:eastAsia="zh-CN"/>
              </w:rPr>
              <w:t>供应商</w:t>
            </w:r>
            <w:r>
              <w:rPr>
                <w:rFonts w:hint="eastAsia" w:ascii="宋体" w:hAnsi="宋体" w:eastAsia="宋体" w:cs="宋体"/>
                <w:b w:val="0"/>
                <w:bCs/>
                <w:color w:val="auto"/>
                <w:kern w:val="0"/>
                <w:sz w:val="24"/>
                <w:highlight w:val="none"/>
              </w:rPr>
              <w:t>对根据修正原则修正后的报价不确认的。</w:t>
            </w:r>
          </w:p>
        </w:tc>
      </w:tr>
      <w:tr w14:paraId="066C15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7"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E7596ED">
            <w:pPr>
              <w:snapToGrid w:val="0"/>
              <w:spacing w:line="24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E8C165B">
            <w:pPr>
              <w:snapToGrid w:val="0"/>
              <w:spacing w:line="24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备份</w:t>
            </w:r>
            <w:r>
              <w:rPr>
                <w:rFonts w:hint="eastAsia" w:ascii="宋体" w:hAnsi="宋体" w:eastAsia="宋体" w:cs="宋体"/>
                <w:b/>
                <w:color w:val="auto"/>
                <w:sz w:val="24"/>
                <w:highlight w:val="none"/>
                <w:lang w:eastAsia="zh-CN"/>
              </w:rPr>
              <w:t>响应文件</w:t>
            </w:r>
          </w:p>
        </w:tc>
        <w:tc>
          <w:tcPr>
            <w:tcW w:w="6095" w:type="dxa"/>
            <w:tcBorders>
              <w:top w:val="single" w:color="000000" w:sz="8" w:space="0"/>
              <w:left w:val="single" w:color="000000" w:sz="2" w:space="0"/>
              <w:bottom w:val="single" w:color="000000" w:sz="8" w:space="0"/>
              <w:right w:val="single" w:color="000000" w:sz="8" w:space="0"/>
            </w:tcBorders>
            <w:vAlign w:val="center"/>
          </w:tcPr>
          <w:p w14:paraId="3FB95427">
            <w:pPr>
              <w:pStyle w:val="34"/>
              <w:spacing w:line="240" w:lineRule="auto"/>
              <w:ind w:left="0" w:leftChars="0" w:hanging="4" w:firstLineChars="0"/>
              <w:rPr>
                <w:rFonts w:hint="eastAsia" w:ascii="宋体" w:hAnsi="宋体" w:eastAsia="宋体" w:cs="宋体"/>
                <w:color w:val="auto"/>
                <w:kern w:val="28"/>
                <w:sz w:val="24"/>
                <w:szCs w:val="24"/>
                <w:highlight w:val="none"/>
                <w:lang w:val="en-US" w:eastAsia="zh-CN"/>
              </w:rPr>
            </w:pPr>
            <w:r>
              <w:rPr>
                <w:rFonts w:hint="eastAsia" w:ascii="宋体" w:hAnsi="宋体" w:eastAsia="宋体" w:cs="宋体"/>
                <w:color w:val="auto"/>
                <w:kern w:val="28"/>
                <w:sz w:val="24"/>
                <w:szCs w:val="24"/>
                <w:highlight w:val="none"/>
                <w:lang w:val="en-US" w:eastAsia="zh-CN"/>
              </w:rPr>
              <w:t>备份文件是否收取：不收取</w:t>
            </w:r>
          </w:p>
          <w:p w14:paraId="42543451">
            <w:pPr>
              <w:pStyle w:val="34"/>
              <w:spacing w:line="240" w:lineRule="auto"/>
              <w:ind w:left="0" w:leftChars="0" w:hanging="4" w:firstLineChars="0"/>
              <w:rPr>
                <w:rFonts w:hint="eastAsia" w:ascii="宋体" w:hAnsi="宋体" w:eastAsia="宋体" w:cs="宋体"/>
                <w:color w:val="auto"/>
                <w:kern w:val="28"/>
                <w:sz w:val="24"/>
                <w:szCs w:val="24"/>
                <w:highlight w:val="none"/>
                <w:lang w:val="en-US" w:eastAsia="zh-CN"/>
              </w:rPr>
            </w:pPr>
            <w:r>
              <w:rPr>
                <w:rFonts w:hint="eastAsia" w:ascii="宋体" w:hAnsi="宋体" w:eastAsia="宋体" w:cs="宋体"/>
                <w:b/>
                <w:bCs w:val="0"/>
                <w:color w:val="auto"/>
                <w:sz w:val="24"/>
                <w:highlight w:val="none"/>
                <w:lang w:val="en-US" w:eastAsia="zh-CN"/>
              </w:rPr>
              <w:t>成交</w:t>
            </w:r>
            <w:r>
              <w:rPr>
                <w:rFonts w:hint="eastAsia" w:ascii="宋体" w:hAnsi="宋体" w:eastAsia="宋体" w:cs="宋体"/>
                <w:b/>
                <w:bCs w:val="0"/>
                <w:color w:val="auto"/>
                <w:sz w:val="24"/>
                <w:highlight w:val="none"/>
                <w:lang w:eastAsia="zh-CN"/>
              </w:rPr>
              <w:t>单位在</w:t>
            </w:r>
            <w:r>
              <w:rPr>
                <w:rFonts w:hint="eastAsia" w:ascii="宋体" w:hAnsi="宋体" w:eastAsia="宋体" w:cs="宋体"/>
                <w:b/>
                <w:bCs w:val="0"/>
                <w:color w:val="auto"/>
                <w:sz w:val="24"/>
                <w:highlight w:val="none"/>
                <w:lang w:val="en-US" w:eastAsia="zh-CN"/>
              </w:rPr>
              <w:t>成交</w:t>
            </w:r>
            <w:r>
              <w:rPr>
                <w:rFonts w:hint="eastAsia" w:ascii="宋体" w:hAnsi="宋体" w:eastAsia="宋体" w:cs="宋体"/>
                <w:b/>
                <w:bCs w:val="0"/>
                <w:color w:val="auto"/>
                <w:sz w:val="24"/>
                <w:highlight w:val="none"/>
                <w:lang w:eastAsia="zh-CN"/>
              </w:rPr>
              <w:t>后提供纸质</w:t>
            </w:r>
            <w:r>
              <w:rPr>
                <w:rFonts w:hint="eastAsia" w:ascii="宋体" w:hAnsi="宋体" w:eastAsia="宋体" w:cs="宋体"/>
                <w:b/>
                <w:bCs w:val="0"/>
                <w:color w:val="auto"/>
                <w:sz w:val="24"/>
                <w:highlight w:val="none"/>
                <w:lang w:val="en-US" w:eastAsia="zh-CN"/>
              </w:rPr>
              <w:t>响应</w:t>
            </w:r>
            <w:r>
              <w:rPr>
                <w:rFonts w:hint="eastAsia" w:ascii="宋体" w:hAnsi="宋体" w:eastAsia="宋体" w:cs="宋体"/>
                <w:b/>
                <w:bCs w:val="0"/>
                <w:color w:val="auto"/>
                <w:sz w:val="24"/>
                <w:highlight w:val="none"/>
                <w:lang w:eastAsia="zh-CN"/>
              </w:rPr>
              <w:t>文件一正</w:t>
            </w:r>
            <w:r>
              <w:rPr>
                <w:rFonts w:hint="eastAsia" w:ascii="宋体" w:hAnsi="宋体" w:eastAsia="宋体" w:cs="宋体"/>
                <w:b/>
                <w:bCs w:val="0"/>
                <w:color w:val="auto"/>
                <w:sz w:val="24"/>
                <w:highlight w:val="none"/>
                <w:lang w:val="en-US" w:eastAsia="zh-CN"/>
              </w:rPr>
              <w:t>二副。</w:t>
            </w:r>
          </w:p>
        </w:tc>
      </w:tr>
      <w:tr w14:paraId="17E176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9" w:hRule="atLeast"/>
          <w:tblHeader/>
        </w:trPr>
        <w:tc>
          <w:tcPr>
            <w:tcW w:w="629" w:type="dxa"/>
            <w:tcBorders>
              <w:top w:val="single" w:color="auto" w:sz="4" w:space="0"/>
              <w:left w:val="single" w:color="000000" w:sz="8" w:space="0"/>
              <w:bottom w:val="single" w:color="auto" w:sz="4" w:space="0"/>
              <w:right w:val="single" w:color="000000" w:sz="2" w:space="0"/>
            </w:tcBorders>
            <w:shd w:val="clear" w:color="auto" w:fill="auto"/>
            <w:vAlign w:val="center"/>
          </w:tcPr>
          <w:p w14:paraId="2424CBE6">
            <w:pPr>
              <w:snapToGrid w:val="0"/>
              <w:spacing w:line="24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14:paraId="04A29732">
            <w:pPr>
              <w:snapToGrid w:val="0"/>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561BF47F">
            <w:pPr>
              <w:snapToGrid w:val="0"/>
              <w:spacing w:line="240" w:lineRule="auto"/>
              <w:rPr>
                <w:rFonts w:hint="default" w:ascii="宋体" w:hAnsi="宋体" w:eastAsia="宋体" w:cs="宋体"/>
                <w:b w:val="0"/>
                <w:bCs/>
                <w:color w:val="auto"/>
                <w:kern w:val="0"/>
                <w:sz w:val="24"/>
                <w:highlight w:val="none"/>
                <w:lang w:val="en-US" w:eastAsia="zh-CN"/>
              </w:rPr>
            </w:pPr>
            <w:r>
              <w:rPr>
                <w:rFonts w:hint="eastAsia" w:ascii="宋体" w:hAnsi="宋体" w:cs="宋体"/>
                <w:color w:val="auto"/>
                <w:sz w:val="24"/>
                <w:szCs w:val="24"/>
                <w:highlight w:val="none"/>
              </w:rPr>
              <w:t>本项目采购代理费与专家费由采购人支付，计费标准按《计价格［2002］1980号》的31%计取。不足2000元按2000元计取。</w:t>
            </w:r>
          </w:p>
        </w:tc>
      </w:tr>
      <w:tr w14:paraId="6EB167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8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CEBE558">
            <w:pPr>
              <w:snapToGrid w:val="0"/>
              <w:spacing w:line="240" w:lineRule="auto"/>
              <w:jc w:val="center"/>
              <w:rPr>
                <w:rFonts w:hint="eastAsia" w:ascii="宋体" w:hAnsi="宋体" w:eastAsia="宋体" w:cs="宋体"/>
                <w:b/>
                <w:color w:val="auto"/>
                <w:sz w:val="24"/>
                <w:highlight w:val="none"/>
                <w:lang w:val="en-US" w:eastAsia="zh-CN"/>
              </w:rPr>
            </w:pPr>
            <w:r>
              <w:rPr>
                <w:rFonts w:hint="eastAsia" w:ascii="宋体" w:hAnsi="宋体" w:eastAsia="宋体" w:cs="宋体"/>
                <w:b w:val="0"/>
                <w:bCs/>
                <w:color w:val="auto"/>
                <w:sz w:val="24"/>
                <w:highlight w:val="none"/>
                <w:lang w:val="en-US" w:eastAsia="zh-CN"/>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F5B5025">
            <w:pPr>
              <w:snapToGrid w:val="0"/>
              <w:spacing w:line="240" w:lineRule="auto"/>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履约保证金</w:t>
            </w:r>
          </w:p>
        </w:tc>
        <w:tc>
          <w:tcPr>
            <w:tcW w:w="6095" w:type="dxa"/>
            <w:tcBorders>
              <w:top w:val="single" w:color="000000" w:sz="8" w:space="0"/>
              <w:left w:val="single" w:color="000000" w:sz="2" w:space="0"/>
              <w:bottom w:val="single" w:color="000000" w:sz="8" w:space="0"/>
              <w:right w:val="single" w:color="000000" w:sz="8" w:space="0"/>
            </w:tcBorders>
            <w:vAlign w:val="center"/>
          </w:tcPr>
          <w:p w14:paraId="20EF0B5F">
            <w:pPr>
              <w:snapToGrid w:val="0"/>
              <w:spacing w:line="240" w:lineRule="auto"/>
              <w:rPr>
                <w:rFonts w:hint="eastAsia" w:ascii="宋体" w:hAnsi="宋体" w:eastAsia="宋体" w:cs="宋体"/>
                <w:b w:val="0"/>
                <w:bCs/>
                <w:color w:val="auto"/>
                <w:kern w:val="0"/>
                <w:sz w:val="24"/>
                <w:highlight w:val="none"/>
                <w:lang w:val="en-US" w:eastAsia="zh-CN"/>
              </w:rPr>
            </w:pPr>
            <w:r>
              <w:rPr>
                <w:rFonts w:hint="eastAsia" w:ascii="宋体" w:hAnsi="宋体" w:eastAsia="宋体" w:cs="宋体"/>
                <w:b w:val="0"/>
                <w:bCs/>
                <w:color w:val="auto"/>
                <w:kern w:val="0"/>
                <w:sz w:val="24"/>
                <w:highlight w:val="none"/>
                <w:lang w:val="en-US" w:eastAsia="zh-CN"/>
              </w:rPr>
              <w:t>履约保证金：</w:t>
            </w:r>
            <w:r>
              <w:rPr>
                <w:rFonts w:hint="eastAsia" w:ascii="宋体" w:hAnsi="宋体" w:cs="宋体"/>
                <w:b w:val="0"/>
                <w:bCs/>
                <w:color w:val="auto"/>
                <w:kern w:val="0"/>
                <w:sz w:val="24"/>
                <w:highlight w:val="none"/>
                <w:lang w:val="en-US" w:eastAsia="zh-CN"/>
              </w:rPr>
              <w:t>不收取</w:t>
            </w:r>
          </w:p>
        </w:tc>
      </w:tr>
      <w:tr w14:paraId="716BAB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2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3D81B8F">
            <w:pPr>
              <w:snapToGrid w:val="0"/>
              <w:spacing w:line="240" w:lineRule="auto"/>
              <w:jc w:val="center"/>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3B58509E">
            <w:pPr>
              <w:snapToGrid w:val="0"/>
              <w:spacing w:line="240" w:lineRule="auto"/>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2576FBB5">
            <w:pPr>
              <w:snapToGrid w:val="0"/>
              <w:spacing w:line="240" w:lineRule="auto"/>
              <w:rPr>
                <w:rFonts w:hint="eastAsia" w:ascii="宋体" w:hAnsi="宋体" w:eastAsia="宋体" w:cs="宋体"/>
                <w:b w:val="0"/>
                <w:bCs/>
                <w:color w:val="auto"/>
                <w:kern w:val="0"/>
                <w:sz w:val="24"/>
                <w:highlight w:val="none"/>
                <w:lang w:val="en-US" w:eastAsia="zh-CN"/>
              </w:rPr>
            </w:pPr>
            <w:r>
              <w:rPr>
                <w:rFonts w:hint="eastAsia" w:ascii="宋体" w:hAnsi="宋体" w:eastAsia="宋体" w:cs="宋体"/>
                <w:b w:val="0"/>
                <w:bCs/>
                <w:color w:val="auto"/>
                <w:kern w:val="0"/>
                <w:sz w:val="24"/>
                <w:highlight w:val="none"/>
              </w:rPr>
              <w:t>本项目由</w:t>
            </w:r>
            <w:r>
              <w:rPr>
                <w:rFonts w:hint="eastAsia" w:ascii="宋体" w:hAnsi="宋体" w:eastAsia="宋体" w:cs="宋体"/>
                <w:b w:val="0"/>
                <w:bCs/>
                <w:color w:val="auto"/>
                <w:kern w:val="0"/>
                <w:sz w:val="24"/>
                <w:highlight w:val="none"/>
                <w:lang w:eastAsia="zh-CN"/>
              </w:rPr>
              <w:t>交易人</w:t>
            </w:r>
            <w:r>
              <w:rPr>
                <w:rFonts w:hint="eastAsia" w:ascii="宋体" w:hAnsi="宋体" w:eastAsia="宋体" w:cs="宋体"/>
                <w:b w:val="0"/>
                <w:bCs/>
                <w:color w:val="auto"/>
                <w:kern w:val="0"/>
                <w:sz w:val="24"/>
                <w:highlight w:val="none"/>
              </w:rPr>
              <w:t>进行资格文件及信用信息查询。</w:t>
            </w:r>
          </w:p>
        </w:tc>
      </w:tr>
      <w:tr w14:paraId="64D2D5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7F002B5">
            <w:pPr>
              <w:snapToGrid w:val="0"/>
              <w:spacing w:line="240" w:lineRule="auto"/>
              <w:jc w:val="center"/>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67A137A6">
            <w:pPr>
              <w:snapToGrid w:val="0"/>
              <w:spacing w:line="240" w:lineRule="auto"/>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3D201312">
            <w:pPr>
              <w:snapToGrid w:val="0"/>
              <w:spacing w:line="240" w:lineRule="auto"/>
              <w:rPr>
                <w:rFonts w:hint="eastAsia" w:ascii="宋体" w:hAnsi="宋体" w:eastAsia="宋体" w:cs="宋体"/>
                <w:color w:val="auto"/>
                <w:sz w:val="24"/>
                <w:highlight w:val="none"/>
              </w:rPr>
            </w:pPr>
            <w:bookmarkStart w:id="392" w:name="_GoBack"/>
            <w:bookmarkEnd w:id="392"/>
            <w:r>
              <w:rPr>
                <w:rFonts w:hint="eastAsia" w:ascii="宋体" w:hAnsi="宋体" w:eastAsia="宋体" w:cs="宋体"/>
                <w:color w:val="auto"/>
                <w:sz w:val="24"/>
                <w:highlight w:val="none"/>
              </w:rPr>
              <w:t>本项目涉及资格条件、</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需求、评分办法及</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过程中有关现场考察或开标前答疑会事项由</w:t>
            </w: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进行答复。</w:t>
            </w:r>
          </w:p>
          <w:p w14:paraId="0304C3AD">
            <w:pPr>
              <w:pStyle w:val="34"/>
              <w:spacing w:line="240" w:lineRule="auto"/>
              <w:ind w:left="0" w:leftChars="0" w:hanging="4"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涉及流程组织等相关事项，由采购机构进行答复。</w:t>
            </w:r>
          </w:p>
        </w:tc>
      </w:tr>
      <w:tr w14:paraId="174908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A173E76">
            <w:pPr>
              <w:snapToGrid w:val="0"/>
              <w:spacing w:line="24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1F1FEE4C">
            <w:pPr>
              <w:snapToGrid w:val="0"/>
              <w:spacing w:line="24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36C79A12">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本次保险服务招标允许采用共保模式，</w:t>
            </w:r>
            <w:r>
              <w:rPr>
                <w:rFonts w:hint="eastAsia" w:ascii="宋体" w:hAnsi="宋体" w:cs="宋体"/>
                <w:b/>
                <w:color w:val="auto"/>
                <w:sz w:val="24"/>
                <w:highlight w:val="none"/>
                <w:lang w:val="en-US" w:eastAsia="zh-CN"/>
              </w:rPr>
              <w:t>如采用</w:t>
            </w:r>
            <w:r>
              <w:rPr>
                <w:rFonts w:hint="eastAsia" w:ascii="宋体" w:hAnsi="宋体" w:eastAsia="宋体" w:cs="宋体"/>
                <w:b/>
                <w:color w:val="auto"/>
                <w:sz w:val="24"/>
                <w:highlight w:val="none"/>
              </w:rPr>
              <w:t>共保</w:t>
            </w:r>
            <w:r>
              <w:rPr>
                <w:rFonts w:hint="eastAsia" w:ascii="宋体" w:hAnsi="宋体" w:cs="宋体"/>
                <w:b/>
                <w:color w:val="auto"/>
                <w:sz w:val="24"/>
                <w:highlight w:val="none"/>
                <w:lang w:val="en-US" w:eastAsia="zh-CN"/>
              </w:rPr>
              <w:t>模式</w:t>
            </w:r>
            <w:r>
              <w:rPr>
                <w:rFonts w:hint="eastAsia" w:ascii="宋体" w:hAnsi="宋体" w:eastAsia="宋体" w:cs="宋体"/>
                <w:b/>
                <w:color w:val="auto"/>
                <w:sz w:val="24"/>
                <w:highlight w:val="none"/>
              </w:rPr>
              <w:t>应符合以下要求:</w:t>
            </w:r>
          </w:p>
          <w:p w14:paraId="3F8A092A">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w:t>
            </w:r>
            <w:r>
              <w:rPr>
                <w:rFonts w:hint="eastAsia" w:ascii="宋体" w:hAnsi="宋体" w:cs="宋体"/>
                <w:b/>
                <w:color w:val="auto"/>
                <w:sz w:val="24"/>
                <w:highlight w:val="none"/>
                <w:lang w:val="en-US" w:eastAsia="zh-CN"/>
              </w:rPr>
              <w:t>1</w:t>
            </w:r>
            <w:r>
              <w:rPr>
                <w:rFonts w:hint="eastAsia" w:ascii="宋体" w:hAnsi="宋体" w:eastAsia="宋体" w:cs="宋体"/>
                <w:b/>
                <w:color w:val="auto"/>
                <w:sz w:val="24"/>
                <w:highlight w:val="none"/>
              </w:rPr>
              <w:t>)中标单位全面负责一切对采购人之服务(包括签订合同、承保、出单收取/划拨保费、风险管控及防灾防损、保险培训和理赔等)和共保体协调工作。</w:t>
            </w:r>
          </w:p>
          <w:p w14:paraId="5C49B4A4">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ind w:firstLine="482" w:firstLineChars="200"/>
              <w:textAlignment w:val="auto"/>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w:t>
            </w:r>
            <w:r>
              <w:rPr>
                <w:rFonts w:hint="eastAsia" w:ascii="宋体" w:hAnsi="宋体" w:cs="宋体"/>
                <w:b/>
                <w:color w:val="auto"/>
                <w:sz w:val="24"/>
                <w:highlight w:val="none"/>
                <w:lang w:val="en-US" w:eastAsia="zh-CN"/>
              </w:rPr>
              <w:t>2</w:t>
            </w:r>
            <w:r>
              <w:rPr>
                <w:rFonts w:hint="eastAsia" w:ascii="宋体" w:hAnsi="宋体" w:eastAsia="宋体" w:cs="宋体"/>
                <w:b/>
                <w:color w:val="auto"/>
                <w:sz w:val="24"/>
                <w:highlight w:val="none"/>
              </w:rPr>
              <w:t>)共保体的确定及共保份额:由中标单位根据保险公司的承保能力、后期服务能力等综合因素确定，</w:t>
            </w:r>
            <w:r>
              <w:rPr>
                <w:rFonts w:hint="eastAsia" w:ascii="宋体" w:hAnsi="宋体" w:cs="宋体"/>
                <w:b/>
                <w:color w:val="auto"/>
                <w:sz w:val="24"/>
                <w:highlight w:val="none"/>
                <w:lang w:val="en-US" w:eastAsia="zh-CN"/>
              </w:rPr>
              <w:t>报备</w:t>
            </w:r>
            <w:r>
              <w:rPr>
                <w:rFonts w:hint="eastAsia" w:ascii="宋体" w:hAnsi="宋体" w:eastAsia="宋体" w:cs="宋体"/>
                <w:b/>
                <w:color w:val="auto"/>
                <w:sz w:val="24"/>
                <w:highlight w:val="none"/>
              </w:rPr>
              <w:t>采购人后，组建共保体</w:t>
            </w:r>
            <w:r>
              <w:rPr>
                <w:rFonts w:hint="eastAsia" w:ascii="宋体" w:hAnsi="宋体" w:cs="宋体"/>
                <w:b/>
                <w:color w:val="auto"/>
                <w:sz w:val="24"/>
                <w:highlight w:val="none"/>
                <w:lang w:eastAsia="zh-CN"/>
              </w:rPr>
              <w:t>。</w:t>
            </w:r>
          </w:p>
          <w:p w14:paraId="5C3F86B1">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ind w:firstLine="480" w:firstLineChars="200"/>
              <w:textAlignment w:val="auto"/>
              <w:rPr>
                <w:rFonts w:hint="eastAsia" w:ascii="宋体" w:hAnsi="宋体" w:eastAsia="宋体" w:cs="宋体"/>
                <w:snapToGrid w:val="0"/>
                <w:color w:val="auto"/>
                <w:kern w:val="28"/>
                <w:sz w:val="24"/>
                <w:highlight w:val="none"/>
                <w:lang w:eastAsia="zh-CN"/>
              </w:rPr>
            </w:pPr>
          </w:p>
        </w:tc>
      </w:tr>
    </w:tbl>
    <w:p w14:paraId="43D74A84">
      <w:pPr>
        <w:snapToGrid w:val="0"/>
        <w:spacing w:line="360" w:lineRule="auto"/>
        <w:jc w:val="center"/>
        <w:rPr>
          <w:rFonts w:hint="eastAsia" w:ascii="宋体" w:hAnsi="宋体" w:eastAsia="宋体" w:cs="宋体"/>
          <w:b/>
          <w:color w:val="auto"/>
          <w:sz w:val="32"/>
          <w:szCs w:val="20"/>
          <w:highlight w:val="none"/>
        </w:rPr>
      </w:pPr>
    </w:p>
    <w:bookmarkEnd w:id="9"/>
    <w:p w14:paraId="3D78FD2F">
      <w:pPr>
        <w:rPr>
          <w:rFonts w:hint="eastAsia" w:ascii="宋体" w:hAnsi="宋体" w:eastAsia="宋体" w:cs="宋体"/>
          <w:b/>
          <w:color w:val="auto"/>
          <w:sz w:val="32"/>
          <w:szCs w:val="20"/>
          <w:highlight w:val="none"/>
        </w:rPr>
      </w:pPr>
      <w:bookmarkStart w:id="16" w:name="_Toc164416483"/>
      <w:bookmarkStart w:id="17" w:name="第三部分"/>
      <w:r>
        <w:rPr>
          <w:rFonts w:hint="eastAsia" w:ascii="宋体" w:hAnsi="宋体" w:eastAsia="宋体" w:cs="宋体"/>
          <w:b/>
          <w:color w:val="auto"/>
          <w:sz w:val="32"/>
          <w:szCs w:val="20"/>
          <w:highlight w:val="none"/>
        </w:rPr>
        <w:br w:type="page"/>
      </w:r>
    </w:p>
    <w:p w14:paraId="49DCF6C5">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14:paraId="4CA16B6A">
      <w:pPr>
        <w:keepNext w:val="0"/>
        <w:keepLines w:val="0"/>
        <w:pageBreakBefore w:val="0"/>
        <w:kinsoku/>
        <w:wordWrap/>
        <w:overflowPunct/>
        <w:topLinePunct w:val="0"/>
        <w:bidi w:val="0"/>
        <w:snapToGrid w:val="0"/>
        <w:spacing w:line="480" w:lineRule="exact"/>
        <w:jc w:val="left"/>
        <w:textAlignment w:val="auto"/>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1.适用范围</w:t>
      </w:r>
    </w:p>
    <w:p w14:paraId="3C5AF7BF">
      <w:pPr>
        <w:keepNext w:val="0"/>
        <w:keepLines w:val="0"/>
        <w:pageBreakBefore w:val="0"/>
        <w:kinsoku/>
        <w:wordWrap/>
        <w:overflowPunct/>
        <w:topLinePunct w:val="0"/>
        <w:bidi w:val="0"/>
        <w:snapToGrid w:val="0"/>
        <w:spacing w:line="480" w:lineRule="exact"/>
        <w:ind w:left="0" w:leftChars="0" w:firstLine="420" w:firstLineChars="175"/>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适用于该项目的</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评审</w:t>
      </w:r>
      <w:r>
        <w:rPr>
          <w:rFonts w:hint="eastAsia" w:ascii="宋体" w:hAnsi="宋体" w:eastAsia="宋体" w:cs="宋体"/>
          <w:color w:val="auto"/>
          <w:sz w:val="24"/>
          <w:highlight w:val="none"/>
        </w:rPr>
        <w:t>、资格审查及信用信息查询、评</w:t>
      </w:r>
      <w:r>
        <w:rPr>
          <w:rFonts w:hint="eastAsia" w:ascii="宋体" w:hAnsi="宋体" w:eastAsia="宋体" w:cs="宋体"/>
          <w:color w:val="auto"/>
          <w:sz w:val="24"/>
          <w:highlight w:val="none"/>
          <w:lang w:val="en-US" w:eastAsia="zh-CN"/>
        </w:rPr>
        <w:t>审</w:t>
      </w:r>
      <w:r>
        <w:rPr>
          <w:rFonts w:hint="eastAsia" w:ascii="宋体" w:hAnsi="宋体" w:eastAsia="宋体" w:cs="宋体"/>
          <w:color w:val="auto"/>
          <w:sz w:val="24"/>
          <w:highlight w:val="none"/>
        </w:rPr>
        <w:t>、定标、合同、验收等行为（法律、法规另有规定的，从其规定）。</w:t>
      </w:r>
    </w:p>
    <w:p w14:paraId="53052410">
      <w:pPr>
        <w:keepNext w:val="0"/>
        <w:keepLines w:val="0"/>
        <w:pageBreakBefore w:val="0"/>
        <w:kinsoku/>
        <w:wordWrap/>
        <w:overflowPunct/>
        <w:topLinePunct w:val="0"/>
        <w:bidi w:val="0"/>
        <w:adjustRightInd/>
        <w:spacing w:line="480" w:lineRule="exact"/>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2.定义</w:t>
      </w:r>
    </w:p>
    <w:p w14:paraId="093A7F0C">
      <w:pPr>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w:t>
      </w: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”系指</w:t>
      </w:r>
      <w:r>
        <w:rPr>
          <w:rFonts w:hint="eastAsia" w:ascii="宋体" w:hAnsi="宋体" w:eastAsia="宋体" w:cs="宋体"/>
          <w:color w:val="auto"/>
          <w:sz w:val="24"/>
          <w:highlight w:val="none"/>
          <w:lang w:eastAsia="zh-CN"/>
        </w:rPr>
        <w:t>交易公告</w:t>
      </w:r>
      <w:r>
        <w:rPr>
          <w:rFonts w:hint="eastAsia" w:ascii="宋体" w:hAnsi="宋体" w:eastAsia="宋体" w:cs="宋体"/>
          <w:color w:val="auto"/>
          <w:sz w:val="24"/>
          <w:highlight w:val="none"/>
        </w:rPr>
        <w:t>中载明的本项目的</w:t>
      </w: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w:t>
      </w:r>
    </w:p>
    <w:p w14:paraId="7F552013">
      <w:pPr>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2.2“采购机构”系指</w:t>
      </w:r>
      <w:r>
        <w:rPr>
          <w:rFonts w:hint="eastAsia" w:ascii="宋体" w:hAnsi="宋体" w:eastAsia="宋体" w:cs="宋体"/>
          <w:color w:val="auto"/>
          <w:sz w:val="24"/>
          <w:highlight w:val="none"/>
          <w:lang w:eastAsia="zh-CN"/>
        </w:rPr>
        <w:t>交易公告</w:t>
      </w:r>
      <w:r>
        <w:rPr>
          <w:rFonts w:hint="eastAsia" w:ascii="宋体" w:hAnsi="宋体" w:eastAsia="宋体" w:cs="宋体"/>
          <w:color w:val="auto"/>
          <w:sz w:val="24"/>
          <w:highlight w:val="none"/>
        </w:rPr>
        <w:t>中载明的本项目的采购机构。</w:t>
      </w:r>
    </w:p>
    <w:p w14:paraId="0F1A2C64">
      <w:pPr>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”系指是指响应</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、参加</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竞争的法人、其他组织或者自然人。</w:t>
      </w:r>
    </w:p>
    <w:p w14:paraId="73605AB7">
      <w:pPr>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2.4“负责人”系指法人企业的法定负责人，或其他组织为法律、行政法规规定代表单位行使职权的主要负责人，或自然人本人。</w:t>
      </w:r>
    </w:p>
    <w:p w14:paraId="7369359A">
      <w:pPr>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供应商电子签名指供应商电子公章</w:t>
      </w:r>
      <w:r>
        <w:rPr>
          <w:rFonts w:hint="eastAsia" w:ascii="宋体" w:hAnsi="宋体" w:eastAsia="宋体" w:cs="宋体"/>
          <w:color w:val="auto"/>
          <w:sz w:val="24"/>
          <w:highlight w:val="none"/>
        </w:rPr>
        <w:t>；“公章”系指单位法定名称章。因特殊原因需要使用冠以法定名称的业务专用章的，</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时须提供《业务专用章使用说明函》（附件</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w:t>
      </w:r>
    </w:p>
    <w:p w14:paraId="441834A2">
      <w:pPr>
        <w:keepNext w:val="0"/>
        <w:keepLines w:val="0"/>
        <w:pageBreakBefore w:val="0"/>
        <w:kinsoku/>
        <w:wordWrap/>
        <w:overflowPunct/>
        <w:topLinePunct w:val="0"/>
        <w:bidi w:val="0"/>
        <w:spacing w:line="480" w:lineRule="exact"/>
        <w:ind w:left="0" w:leftChars="0" w:firstLine="420" w:firstLineChars="175"/>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2.6“电子交易平台”是指本项目采购活动所依托的政府采购云平台（https://www.zcygov.cn/）。</w:t>
      </w:r>
    </w:p>
    <w:p w14:paraId="58B2299F">
      <w:pPr>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2.7“▲” 系指实质性要求条款，“（</w:t>
      </w:r>
      <w:r>
        <w:rPr>
          <w:rFonts w:hint="eastAsia" w:ascii="宋体" w:hAnsi="宋体" w:eastAsia="宋体" w:cs="宋体"/>
          <w:b w:val="0"/>
          <w:bCs/>
          <w:color w:val="auto"/>
          <w:sz w:val="24"/>
          <w:highlight w:val="none"/>
        </w:rPr>
        <w:t>√</w:t>
      </w:r>
      <w:r>
        <w:rPr>
          <w:rFonts w:hint="eastAsia" w:ascii="宋体" w:hAnsi="宋体" w:eastAsia="宋体" w:cs="宋体"/>
          <w:color w:val="auto"/>
          <w:sz w:val="24"/>
          <w:highlight w:val="none"/>
        </w:rPr>
        <w:t>）” 系指适用本项目的要求，“（  ）”系指不适用本项目的要求。</w:t>
      </w:r>
    </w:p>
    <w:p w14:paraId="502DC975">
      <w:pPr>
        <w:keepNext w:val="0"/>
        <w:keepLines w:val="0"/>
        <w:pageBreakBefore w:val="0"/>
        <w:kinsoku/>
        <w:wordWrap/>
        <w:overflowPunct/>
        <w:topLinePunct w:val="0"/>
        <w:bidi w:val="0"/>
        <w:spacing w:line="48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3.询问、质疑、投诉</w:t>
      </w:r>
    </w:p>
    <w:p w14:paraId="0337F143">
      <w:pPr>
        <w:keepNext w:val="0"/>
        <w:keepLines w:val="0"/>
        <w:pageBreakBefore w:val="0"/>
        <w:kinsoku/>
        <w:wordWrap/>
        <w:overflowPunct/>
        <w:topLinePunct w:val="0"/>
        <w:autoSpaceDE w:val="0"/>
        <w:autoSpaceDN w:val="0"/>
        <w:bidi w:val="0"/>
        <w:spacing w:line="480" w:lineRule="exact"/>
        <w:ind w:left="0" w:leftChars="0" w:firstLine="420" w:firstLineChars="175"/>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.1供应商询问</w:t>
      </w:r>
    </w:p>
    <w:p w14:paraId="4B779C26">
      <w:pPr>
        <w:keepNext w:val="0"/>
        <w:keepLines w:val="0"/>
        <w:pageBreakBefore w:val="0"/>
        <w:kinsoku/>
        <w:wordWrap/>
        <w:overflowPunct/>
        <w:topLinePunct w:val="0"/>
        <w:autoSpaceDE w:val="0"/>
        <w:autoSpaceDN w:val="0"/>
        <w:bidi w:val="0"/>
        <w:spacing w:line="480" w:lineRule="exact"/>
        <w:ind w:left="0" w:leftChars="0" w:firstLine="420" w:firstLineChars="175"/>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w:t>
      </w:r>
      <w:r>
        <w:rPr>
          <w:rFonts w:hint="eastAsia" w:ascii="宋体" w:hAnsi="宋体" w:eastAsia="宋体" w:cs="宋体"/>
          <w:color w:val="auto"/>
          <w:kern w:val="0"/>
          <w:sz w:val="24"/>
          <w:highlight w:val="none"/>
          <w:lang w:val="en-US" w:eastAsia="zh-CN"/>
        </w:rPr>
        <w:t>交易</w:t>
      </w:r>
      <w:r>
        <w:rPr>
          <w:rFonts w:hint="eastAsia" w:ascii="宋体" w:hAnsi="宋体" w:eastAsia="宋体" w:cs="宋体"/>
          <w:color w:val="auto"/>
          <w:kern w:val="0"/>
          <w:sz w:val="24"/>
          <w:highlight w:val="none"/>
          <w:lang w:val="zh-CN"/>
        </w:rPr>
        <w:t>活动事项有疑问的，可以提出询问，交易人或者采购机构应当在3个工作日内对供应商依法提出的询问作出答复，但答复的内容不得涉及商业秘密。供应商提出的询问超出交易人对采购机构委托授权范围的，采购机构应当告知供应商向交易人提出。</w:t>
      </w:r>
    </w:p>
    <w:p w14:paraId="2A10612C">
      <w:pPr>
        <w:keepNext w:val="0"/>
        <w:keepLines w:val="0"/>
        <w:pageBreakBefore w:val="0"/>
        <w:kinsoku/>
        <w:wordWrap/>
        <w:overflowPunct/>
        <w:topLinePunct w:val="0"/>
        <w:autoSpaceDE w:val="0"/>
        <w:autoSpaceDN w:val="0"/>
        <w:bidi w:val="0"/>
        <w:spacing w:line="480" w:lineRule="exact"/>
        <w:ind w:left="0" w:leftChars="0" w:firstLine="420" w:firstLineChars="175"/>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.2供应商质疑</w:t>
      </w:r>
    </w:p>
    <w:p w14:paraId="34BB71F7">
      <w:pPr>
        <w:pStyle w:val="34"/>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w:t>
      </w:r>
      <w:r>
        <w:rPr>
          <w:rFonts w:hint="eastAsia" w:ascii="宋体" w:hAnsi="宋体" w:eastAsia="宋体" w:cs="宋体"/>
          <w:color w:val="auto"/>
          <w:sz w:val="24"/>
          <w:highlight w:val="none"/>
        </w:rPr>
        <w:t>.1提出质疑的供应商应当是参与所质疑项目</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活动的供应商。潜在供应商已依法获取其可质疑的</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的，可以对该文件提出质疑。</w:t>
      </w:r>
    </w:p>
    <w:p w14:paraId="2C861355">
      <w:pPr>
        <w:pStyle w:val="34"/>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w:t>
      </w:r>
      <w:r>
        <w:rPr>
          <w:rFonts w:hint="eastAsia" w:ascii="宋体" w:hAnsi="宋体" w:eastAsia="宋体" w:cs="宋体"/>
          <w:color w:val="auto"/>
          <w:sz w:val="24"/>
          <w:highlight w:val="none"/>
        </w:rPr>
        <w:t>.2供应商认为</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过程和</w:t>
      </w:r>
      <w:r>
        <w:rPr>
          <w:rFonts w:hint="eastAsia" w:ascii="宋体" w:hAnsi="宋体" w:eastAsia="宋体" w:cs="宋体"/>
          <w:color w:val="auto"/>
          <w:sz w:val="24"/>
          <w:highlight w:val="none"/>
          <w:lang w:eastAsia="zh-CN"/>
        </w:rPr>
        <w:t>成交结果</w:t>
      </w:r>
      <w:r>
        <w:rPr>
          <w:rFonts w:hint="eastAsia" w:ascii="宋体" w:hAnsi="宋体" w:eastAsia="宋体" w:cs="宋体"/>
          <w:color w:val="auto"/>
          <w:sz w:val="24"/>
          <w:highlight w:val="none"/>
        </w:rPr>
        <w:t>使自己的权益受到损害的，可以在知道或者应知其权益受到损害之日起</w:t>
      </w:r>
      <w:r>
        <w:rPr>
          <w:rFonts w:hint="eastAsia" w:ascii="宋体" w:hAnsi="宋体" w:eastAsia="宋体" w:cs="宋体"/>
          <w:color w:val="auto"/>
          <w:sz w:val="24"/>
          <w:highlight w:val="none"/>
          <w:lang w:val="en-US" w:eastAsia="zh-CN"/>
        </w:rPr>
        <w:t>三天</w:t>
      </w:r>
      <w:r>
        <w:rPr>
          <w:rFonts w:hint="eastAsia" w:ascii="宋体" w:hAnsi="宋体" w:eastAsia="宋体" w:cs="宋体"/>
          <w:color w:val="auto"/>
          <w:sz w:val="24"/>
          <w:highlight w:val="none"/>
        </w:rPr>
        <w:t>内，以书面形式向</w:t>
      </w: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或者采购机构提出质疑，否则，</w:t>
      </w: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或者采购机构不予受理：</w:t>
      </w:r>
    </w:p>
    <w:p w14:paraId="162CE14F">
      <w:pPr>
        <w:pStyle w:val="34"/>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.2.2.</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对采购过程提出质疑的，质疑期限为各采购程序环节结束之日起计算。对同一采购程序环节的质疑，供应商须一次性提出。</w:t>
      </w:r>
    </w:p>
    <w:p w14:paraId="52E53F4D">
      <w:pPr>
        <w:pStyle w:val="34"/>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w:t>
      </w:r>
      <w:r>
        <w:rPr>
          <w:rFonts w:hint="eastAsia" w:ascii="宋体" w:hAnsi="宋体" w:eastAsia="宋体" w:cs="宋体"/>
          <w:color w:val="auto"/>
          <w:sz w:val="24"/>
          <w:highlight w:val="none"/>
        </w:rPr>
        <w:t>供应商提出质疑应当提交质疑函和必要的证明材料。质疑函应当包括下列内容：</w:t>
      </w:r>
    </w:p>
    <w:p w14:paraId="260D759B">
      <w:pPr>
        <w:pStyle w:val="34"/>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.2.3.1供应商的姓名或者名称、地址、邮编、联系人及联系电话；</w:t>
      </w:r>
    </w:p>
    <w:p w14:paraId="32161004">
      <w:pPr>
        <w:pStyle w:val="34"/>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.2.3.2质疑项目的名称、编号；</w:t>
      </w:r>
    </w:p>
    <w:p w14:paraId="621106A3">
      <w:pPr>
        <w:pStyle w:val="34"/>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.2.3.3具体、明确的质疑事项和与质疑事项相关的请求；</w:t>
      </w:r>
    </w:p>
    <w:p w14:paraId="64001560">
      <w:pPr>
        <w:pStyle w:val="34"/>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.2.3.4事实依据；</w:t>
      </w:r>
    </w:p>
    <w:p w14:paraId="45C5827B">
      <w:pPr>
        <w:pStyle w:val="34"/>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.2.3.5必要的法律依据；</w:t>
      </w:r>
    </w:p>
    <w:p w14:paraId="38F63503">
      <w:pPr>
        <w:pStyle w:val="34"/>
        <w:keepNext w:val="0"/>
        <w:keepLines w:val="0"/>
        <w:pageBreakBefore w:val="0"/>
        <w:kinsoku/>
        <w:wordWrap/>
        <w:overflowPunct/>
        <w:topLinePunct w:val="0"/>
        <w:bidi w:val="0"/>
        <w:spacing w:line="480" w:lineRule="exact"/>
        <w:ind w:left="0" w:leftChars="0" w:firstLine="420" w:firstLineChars="175"/>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val="zh-CN"/>
        </w:rPr>
        <w:t>.2.3.6提出质疑的日期。</w:t>
      </w:r>
    </w:p>
    <w:p w14:paraId="33CA1545">
      <w:pPr>
        <w:pStyle w:val="889"/>
        <w:keepNext w:val="0"/>
        <w:keepLines w:val="0"/>
        <w:pageBreakBefore w:val="0"/>
        <w:shd w:val="clear" w:color="auto" w:fill="FFFFFF"/>
        <w:kinsoku/>
        <w:wordWrap/>
        <w:overflowPunct/>
        <w:topLinePunct w:val="0"/>
        <w:bidi w:val="0"/>
        <w:snapToGrid w:val="0"/>
        <w:spacing w:after="240" w:afterAutospacing="0" w:line="480" w:lineRule="exact"/>
        <w:ind w:left="0" w:leftChars="0" w:firstLine="420" w:firstLineChars="175"/>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48F8F228">
      <w:pPr>
        <w:pStyle w:val="889"/>
        <w:keepNext w:val="0"/>
        <w:keepLines w:val="0"/>
        <w:pageBreakBefore w:val="0"/>
        <w:shd w:val="clear" w:color="auto" w:fill="FFFFFF"/>
        <w:kinsoku/>
        <w:wordWrap/>
        <w:overflowPunct/>
        <w:topLinePunct w:val="0"/>
        <w:bidi w:val="0"/>
        <w:snapToGrid w:val="0"/>
        <w:spacing w:after="240" w:afterAutospacing="0" w:line="480" w:lineRule="exact"/>
        <w:ind w:left="0" w:leftChars="0" w:firstLine="420" w:firstLineChars="175"/>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w:t>
      </w:r>
    </w:p>
    <w:p w14:paraId="33FD162B">
      <w:pPr>
        <w:pStyle w:val="889"/>
        <w:keepNext w:val="0"/>
        <w:keepLines w:val="0"/>
        <w:pageBreakBefore w:val="0"/>
        <w:shd w:val="clear" w:color="auto" w:fill="FFFFFF"/>
        <w:kinsoku/>
        <w:wordWrap/>
        <w:overflowPunct/>
        <w:topLinePunct w:val="0"/>
        <w:bidi w:val="0"/>
        <w:snapToGrid w:val="0"/>
        <w:spacing w:after="240" w:afterAutospacing="0" w:line="480" w:lineRule="exact"/>
        <w:ind w:left="0" w:leftChars="0" w:firstLine="420" w:firstLineChars="175"/>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zh-CN"/>
        </w:rPr>
        <w:t>.2</w:t>
      </w:r>
      <w:r>
        <w:rPr>
          <w:rFonts w:hint="eastAsia" w:ascii="宋体" w:hAnsi="宋体" w:eastAsia="宋体" w:cs="宋体"/>
          <w:color w:val="auto"/>
          <w:highlight w:val="none"/>
        </w:rPr>
        <w:t>.4</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或者采购机构应当在收到供应商的书面质疑后七个工作日内作出答复，并以书面形式通知质疑供应商和其他与质疑处理结果有利害关系的采购当事人，但答复的内容不得涉及商业秘密。</w:t>
      </w:r>
    </w:p>
    <w:p w14:paraId="48D24ABA">
      <w:pPr>
        <w:pStyle w:val="889"/>
        <w:keepNext w:val="0"/>
        <w:keepLines w:val="0"/>
        <w:pageBreakBefore w:val="0"/>
        <w:shd w:val="clear" w:color="auto" w:fill="FFFFFF"/>
        <w:kinsoku/>
        <w:wordWrap/>
        <w:overflowPunct/>
        <w:topLinePunct w:val="0"/>
        <w:bidi w:val="0"/>
        <w:snapToGrid w:val="0"/>
        <w:spacing w:after="240" w:afterAutospacing="0" w:line="480" w:lineRule="exact"/>
        <w:ind w:left="0" w:leftChars="0" w:firstLine="420" w:firstLineChars="175"/>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zh-CN"/>
        </w:rPr>
        <w:t>.2</w:t>
      </w:r>
      <w:r>
        <w:rPr>
          <w:rFonts w:hint="eastAsia" w:ascii="宋体" w:hAnsi="宋体" w:eastAsia="宋体" w:cs="宋体"/>
          <w:color w:val="auto"/>
          <w:highlight w:val="none"/>
        </w:rPr>
        <w:t>.5询问或者质疑事项可能影响</w:t>
      </w:r>
      <w:r>
        <w:rPr>
          <w:rFonts w:hint="eastAsia" w:ascii="宋体" w:hAnsi="宋体" w:eastAsia="宋体" w:cs="宋体"/>
          <w:color w:val="auto"/>
          <w:highlight w:val="none"/>
          <w:lang w:val="en-US" w:eastAsia="zh-CN"/>
        </w:rPr>
        <w:t>交易</w:t>
      </w:r>
      <w:r>
        <w:rPr>
          <w:rFonts w:hint="eastAsia" w:ascii="宋体" w:hAnsi="宋体" w:eastAsia="宋体" w:cs="宋体"/>
          <w:color w:val="auto"/>
          <w:highlight w:val="none"/>
        </w:rPr>
        <w:t>结果的，</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应当暂停签订合同，已经签订合同的，应当中止履行合同。</w:t>
      </w:r>
    </w:p>
    <w:p w14:paraId="0D1127B8">
      <w:pPr>
        <w:pStyle w:val="889"/>
        <w:keepNext w:val="0"/>
        <w:keepLines w:val="0"/>
        <w:pageBreakBefore w:val="0"/>
        <w:shd w:val="clear" w:color="auto" w:fill="FFFFFF"/>
        <w:kinsoku/>
        <w:wordWrap/>
        <w:overflowPunct/>
        <w:topLinePunct w:val="0"/>
        <w:bidi w:val="0"/>
        <w:snapToGrid w:val="0"/>
        <w:spacing w:after="240" w:afterAutospacing="0" w:line="480" w:lineRule="exact"/>
        <w:ind w:left="0" w:leftChars="0" w:firstLine="420" w:firstLineChars="175"/>
        <w:contextualSpacing/>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zh-CN"/>
        </w:rPr>
        <w:t>.3供应商投诉</w:t>
      </w:r>
    </w:p>
    <w:p w14:paraId="2A465342">
      <w:pPr>
        <w:pStyle w:val="889"/>
        <w:keepNext w:val="0"/>
        <w:keepLines w:val="0"/>
        <w:pageBreakBefore w:val="0"/>
        <w:shd w:val="clear" w:color="auto" w:fill="FFFFFF"/>
        <w:kinsoku/>
        <w:wordWrap/>
        <w:overflowPunct/>
        <w:topLinePunct w:val="0"/>
        <w:bidi w:val="0"/>
        <w:snapToGrid w:val="0"/>
        <w:spacing w:after="240" w:afterAutospacing="0" w:line="480" w:lineRule="exact"/>
        <w:ind w:left="0" w:leftChars="0" w:firstLine="420" w:firstLineChars="175"/>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.3.1质疑供应商对</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、采购机构的答复不满意或者</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、采购机构未在规定的时间内作出答复的，可以在答复期满后十五个工作日内向同级采购监督管理部门提出投诉。</w:t>
      </w:r>
    </w:p>
    <w:p w14:paraId="28DD597C">
      <w:pPr>
        <w:pStyle w:val="889"/>
        <w:keepNext w:val="0"/>
        <w:keepLines w:val="0"/>
        <w:pageBreakBefore w:val="0"/>
        <w:shd w:val="clear" w:color="auto" w:fill="FFFFFF"/>
        <w:kinsoku/>
        <w:wordWrap/>
        <w:overflowPunct/>
        <w:topLinePunct w:val="0"/>
        <w:bidi w:val="0"/>
        <w:snapToGrid w:val="0"/>
        <w:spacing w:after="240" w:afterAutospacing="0" w:line="480" w:lineRule="exact"/>
        <w:ind w:left="0" w:leftChars="0" w:firstLine="420" w:firstLineChars="175"/>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.3.</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14:paraId="1D70BFD0">
      <w:pPr>
        <w:pStyle w:val="889"/>
        <w:keepNext w:val="0"/>
        <w:keepLines w:val="0"/>
        <w:pageBreakBefore w:val="0"/>
        <w:shd w:val="clear" w:color="auto" w:fill="FFFFFF"/>
        <w:kinsoku/>
        <w:wordWrap/>
        <w:overflowPunct/>
        <w:topLinePunct w:val="0"/>
        <w:bidi w:val="0"/>
        <w:snapToGrid w:val="0"/>
        <w:spacing w:after="240" w:afterAutospacing="0" w:line="480" w:lineRule="exact"/>
        <w:ind w:left="0" w:leftChars="0" w:firstLine="420" w:firstLineChars="175"/>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.3.3供应商投诉应当有明确的请求和必要的证明材料。</w:t>
      </w:r>
    </w:p>
    <w:p w14:paraId="3F4BAE5E">
      <w:pPr>
        <w:pStyle w:val="889"/>
        <w:keepNext w:val="0"/>
        <w:keepLines w:val="0"/>
        <w:pageBreakBefore w:val="0"/>
        <w:shd w:val="clear" w:color="auto" w:fill="FFFFFF"/>
        <w:kinsoku/>
        <w:wordWrap/>
        <w:overflowPunct/>
        <w:topLinePunct w:val="0"/>
        <w:bidi w:val="0"/>
        <w:snapToGrid w:val="0"/>
        <w:spacing w:after="240" w:afterAutospacing="0" w:line="480" w:lineRule="exact"/>
        <w:ind w:left="0" w:leftChars="0" w:firstLine="420" w:firstLineChars="175"/>
        <w:contextualSpacing/>
        <w:textAlignment w:val="auto"/>
        <w:rPr>
          <w:rFonts w:hint="eastAsia" w:ascii="宋体" w:hAnsi="宋体" w:eastAsia="宋体" w:cs="宋体"/>
          <w:color w:val="auto"/>
          <w:sz w:val="18"/>
          <w:szCs w:val="18"/>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.3.</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以联合体形式参加采购活动的，其投诉应当由组成联合体的所有供应商共同提出。</w:t>
      </w:r>
    </w:p>
    <w:p w14:paraId="5544A4C9">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二、</w:t>
      </w:r>
      <w:r>
        <w:rPr>
          <w:rFonts w:hint="eastAsia" w:ascii="宋体" w:hAnsi="宋体" w:eastAsia="宋体" w:cs="宋体"/>
          <w:b/>
          <w:color w:val="auto"/>
          <w:sz w:val="32"/>
          <w:szCs w:val="20"/>
          <w:highlight w:val="none"/>
          <w:lang w:eastAsia="zh-CN"/>
        </w:rPr>
        <w:t>交易文件</w:t>
      </w:r>
      <w:r>
        <w:rPr>
          <w:rFonts w:hint="eastAsia" w:ascii="宋体" w:hAnsi="宋体" w:eastAsia="宋体" w:cs="宋体"/>
          <w:b/>
          <w:color w:val="auto"/>
          <w:sz w:val="32"/>
          <w:szCs w:val="20"/>
          <w:highlight w:val="none"/>
        </w:rPr>
        <w:t>的构成、澄清、修改</w:t>
      </w:r>
    </w:p>
    <w:p w14:paraId="2B09BD6E">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4</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交易文件</w:t>
      </w:r>
      <w:r>
        <w:rPr>
          <w:rFonts w:hint="eastAsia" w:ascii="宋体" w:hAnsi="宋体" w:eastAsia="宋体" w:cs="宋体"/>
          <w:b/>
          <w:color w:val="auto"/>
          <w:sz w:val="24"/>
          <w:szCs w:val="24"/>
          <w:highlight w:val="none"/>
        </w:rPr>
        <w:t>的构成</w:t>
      </w:r>
    </w:p>
    <w:p w14:paraId="1A820023">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交易文件</w:t>
      </w:r>
      <w:r>
        <w:rPr>
          <w:rFonts w:hint="eastAsia" w:ascii="宋体" w:hAnsi="宋体" w:eastAsia="宋体" w:cs="宋体"/>
          <w:color w:val="auto"/>
          <w:sz w:val="24"/>
          <w:szCs w:val="24"/>
          <w:highlight w:val="none"/>
        </w:rPr>
        <w:t>包括下列文件及附件：</w:t>
      </w:r>
    </w:p>
    <w:p w14:paraId="31F79EB2">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eastAsia="zh-CN"/>
        </w:rPr>
        <w:t>交易公告</w:t>
      </w:r>
      <w:r>
        <w:rPr>
          <w:rFonts w:hint="eastAsia" w:ascii="宋体" w:hAnsi="宋体" w:eastAsia="宋体" w:cs="宋体"/>
          <w:color w:val="auto"/>
          <w:sz w:val="24"/>
          <w:szCs w:val="24"/>
          <w:highlight w:val="none"/>
        </w:rPr>
        <w:t>；</w:t>
      </w:r>
    </w:p>
    <w:p w14:paraId="280F93B4">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w:t>
      </w:r>
    </w:p>
    <w:p w14:paraId="077D296E">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.1.3</w:t>
      </w:r>
      <w:r>
        <w:rPr>
          <w:rFonts w:hint="eastAsia" w:ascii="宋体" w:hAnsi="宋体" w:eastAsia="宋体" w:cs="宋体"/>
          <w:color w:val="auto"/>
          <w:sz w:val="24"/>
          <w:szCs w:val="24"/>
          <w:highlight w:val="none"/>
          <w:lang w:val="en-US" w:eastAsia="zh-CN"/>
        </w:rPr>
        <w:t>交易</w:t>
      </w:r>
      <w:r>
        <w:rPr>
          <w:rFonts w:hint="eastAsia" w:ascii="宋体" w:hAnsi="宋体" w:eastAsia="宋体" w:cs="宋体"/>
          <w:color w:val="auto"/>
          <w:sz w:val="24"/>
          <w:szCs w:val="24"/>
          <w:highlight w:val="none"/>
        </w:rPr>
        <w:t>需求；</w:t>
      </w:r>
    </w:p>
    <w:p w14:paraId="7D9C4ADB">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.1.4</w:t>
      </w:r>
      <w:r>
        <w:rPr>
          <w:rFonts w:hint="eastAsia" w:ascii="宋体" w:hAnsi="宋体" w:eastAsia="宋体" w:cs="宋体"/>
          <w:color w:val="auto"/>
          <w:sz w:val="24"/>
          <w:szCs w:val="24"/>
          <w:highlight w:val="none"/>
          <w:lang w:eastAsia="zh-CN"/>
        </w:rPr>
        <w:t>交易办法</w:t>
      </w:r>
      <w:r>
        <w:rPr>
          <w:rFonts w:hint="eastAsia" w:ascii="宋体" w:hAnsi="宋体" w:eastAsia="宋体" w:cs="宋体"/>
          <w:color w:val="auto"/>
          <w:sz w:val="24"/>
          <w:szCs w:val="24"/>
          <w:highlight w:val="none"/>
        </w:rPr>
        <w:t>；</w:t>
      </w:r>
    </w:p>
    <w:p w14:paraId="5541E6FD">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.1.5拟签订的合同文本；</w:t>
      </w:r>
    </w:p>
    <w:p w14:paraId="488BAFDE">
      <w:pPr>
        <w:pStyle w:val="34"/>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.1.6</w:t>
      </w:r>
      <w:r>
        <w:rPr>
          <w:rFonts w:hint="eastAsia" w:ascii="宋体" w:hAnsi="宋体" w:eastAsia="宋体" w:cs="宋体"/>
          <w:color w:val="auto"/>
          <w:sz w:val="24"/>
          <w:szCs w:val="24"/>
          <w:highlight w:val="none"/>
        </w:rPr>
        <w:t>应提交的有关格式范例。</w:t>
      </w:r>
    </w:p>
    <w:p w14:paraId="46C2BDB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.2与本项目有关的</w:t>
      </w:r>
      <w:r>
        <w:rPr>
          <w:rFonts w:hint="eastAsia" w:ascii="宋体" w:hAnsi="宋体" w:eastAsia="宋体" w:cs="宋体"/>
          <w:bCs/>
          <w:color w:val="auto"/>
          <w:sz w:val="24"/>
          <w:highlight w:val="none"/>
        </w:rPr>
        <w:t>澄清或者修改的内容为</w:t>
      </w:r>
      <w:r>
        <w:rPr>
          <w:rFonts w:hint="eastAsia" w:ascii="宋体" w:hAnsi="宋体" w:eastAsia="宋体" w:cs="宋体"/>
          <w:bCs/>
          <w:color w:val="auto"/>
          <w:sz w:val="24"/>
          <w:highlight w:val="none"/>
          <w:lang w:eastAsia="zh-CN"/>
        </w:rPr>
        <w:t>交易文件</w:t>
      </w:r>
      <w:r>
        <w:rPr>
          <w:rFonts w:hint="eastAsia" w:ascii="宋体" w:hAnsi="宋体" w:eastAsia="宋体" w:cs="宋体"/>
          <w:bCs/>
          <w:color w:val="auto"/>
          <w:sz w:val="24"/>
          <w:highlight w:val="none"/>
        </w:rPr>
        <w:t>的组成部分</w:t>
      </w:r>
      <w:r>
        <w:rPr>
          <w:rFonts w:hint="eastAsia" w:ascii="宋体" w:hAnsi="宋体" w:eastAsia="宋体" w:cs="宋体"/>
          <w:color w:val="auto"/>
          <w:sz w:val="24"/>
          <w:highlight w:val="none"/>
        </w:rPr>
        <w:t>。</w:t>
      </w:r>
    </w:p>
    <w:p w14:paraId="5772D458">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5</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交易文件</w:t>
      </w:r>
      <w:r>
        <w:rPr>
          <w:rFonts w:hint="eastAsia" w:ascii="宋体" w:hAnsi="宋体" w:eastAsia="宋体" w:cs="宋体"/>
          <w:b/>
          <w:color w:val="auto"/>
          <w:sz w:val="24"/>
          <w:szCs w:val="24"/>
          <w:highlight w:val="none"/>
        </w:rPr>
        <w:t>的澄清、修改</w:t>
      </w:r>
    </w:p>
    <w:p w14:paraId="2653A6FE">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.1已获取</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的潜在</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，若有问题需要澄清，应于</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截止时间前，以书面形式向采购机构提出。</w:t>
      </w:r>
    </w:p>
    <w:p w14:paraId="32A2AF71">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.2 采购机构对</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进行澄清或修改的，将同时通过电子交易平台通知已获取</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的潜在</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。依法应当公告的，将按规定公告，同时视情况延长</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截止时间和</w:t>
      </w:r>
      <w:r>
        <w:rPr>
          <w:rFonts w:hint="eastAsia" w:ascii="宋体" w:hAnsi="宋体" w:eastAsia="宋体" w:cs="宋体"/>
          <w:color w:val="auto"/>
          <w:highlight w:val="none"/>
          <w:lang w:eastAsia="zh-CN"/>
        </w:rPr>
        <w:t>交易时间</w:t>
      </w:r>
      <w:r>
        <w:rPr>
          <w:rFonts w:hint="eastAsia" w:ascii="宋体" w:hAnsi="宋体" w:eastAsia="宋体" w:cs="宋体"/>
          <w:color w:val="auto"/>
          <w:highlight w:val="none"/>
        </w:rPr>
        <w:t>。该澄清或者修改的内容为</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的组成部分。</w:t>
      </w:r>
    </w:p>
    <w:p w14:paraId="5F645AA4">
      <w:pPr>
        <w:adjustRightInd/>
        <w:spacing w:line="360" w:lineRule="auto"/>
        <w:jc w:val="center"/>
        <w:outlineLvl w:val="0"/>
        <w:rPr>
          <w:rFonts w:hint="eastAsia" w:ascii="宋体" w:hAnsi="宋体" w:eastAsia="宋体" w:cs="宋体"/>
          <w:b/>
          <w:color w:val="auto"/>
          <w:sz w:val="30"/>
          <w:szCs w:val="20"/>
          <w:highlight w:val="none"/>
        </w:rPr>
      </w:pPr>
    </w:p>
    <w:p w14:paraId="11798C90">
      <w:pPr>
        <w:adjustRightInd/>
        <w:spacing w:line="360" w:lineRule="auto"/>
        <w:jc w:val="center"/>
        <w:outlineLvl w:val="0"/>
        <w:rPr>
          <w:rFonts w:hint="eastAsia" w:ascii="宋体" w:hAnsi="宋体" w:eastAsia="宋体" w:cs="宋体"/>
          <w:b/>
          <w:color w:val="auto"/>
          <w:sz w:val="30"/>
          <w:szCs w:val="20"/>
          <w:highlight w:val="none"/>
          <w:lang w:eastAsia="zh-CN"/>
        </w:rPr>
      </w:pPr>
      <w:r>
        <w:rPr>
          <w:rFonts w:hint="eastAsia" w:ascii="宋体" w:hAnsi="宋体" w:eastAsia="宋体" w:cs="宋体"/>
          <w:b/>
          <w:color w:val="auto"/>
          <w:sz w:val="30"/>
          <w:szCs w:val="20"/>
          <w:highlight w:val="none"/>
        </w:rPr>
        <w:t>三、</w:t>
      </w:r>
      <w:r>
        <w:rPr>
          <w:rFonts w:hint="eastAsia" w:ascii="宋体" w:hAnsi="宋体" w:eastAsia="宋体" w:cs="宋体"/>
          <w:b/>
          <w:color w:val="auto"/>
          <w:sz w:val="30"/>
          <w:szCs w:val="20"/>
          <w:highlight w:val="none"/>
          <w:lang w:val="en-US" w:eastAsia="zh-CN"/>
        </w:rPr>
        <w:t>响应</w:t>
      </w:r>
    </w:p>
    <w:p w14:paraId="31530615">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6</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交易文件</w:t>
      </w:r>
      <w:r>
        <w:rPr>
          <w:rFonts w:hint="eastAsia" w:ascii="宋体" w:hAnsi="宋体" w:eastAsia="宋体" w:cs="宋体"/>
          <w:b/>
          <w:color w:val="auto"/>
          <w:sz w:val="24"/>
          <w:szCs w:val="24"/>
          <w:highlight w:val="none"/>
        </w:rPr>
        <w:t>的获取</w:t>
      </w:r>
    </w:p>
    <w:p w14:paraId="58AE7F22">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w:t>
      </w:r>
      <w:r>
        <w:rPr>
          <w:rFonts w:hint="eastAsia" w:ascii="宋体" w:hAnsi="宋体" w:eastAsia="宋体" w:cs="宋体"/>
          <w:snapToGrid w:val="0"/>
          <w:color w:val="auto"/>
          <w:kern w:val="28"/>
          <w:sz w:val="24"/>
          <w:highlight w:val="none"/>
          <w:lang w:eastAsia="zh-CN"/>
        </w:rPr>
        <w:t>交易公告</w:t>
      </w:r>
      <w:r>
        <w:rPr>
          <w:rFonts w:hint="eastAsia" w:ascii="宋体" w:hAnsi="宋体" w:eastAsia="宋体" w:cs="宋体"/>
          <w:snapToGrid w:val="0"/>
          <w:color w:val="auto"/>
          <w:kern w:val="28"/>
          <w:sz w:val="24"/>
          <w:highlight w:val="none"/>
        </w:rPr>
        <w:t>中获取</w:t>
      </w:r>
      <w:r>
        <w:rPr>
          <w:rFonts w:hint="eastAsia" w:ascii="宋体" w:hAnsi="宋体" w:eastAsia="宋体" w:cs="宋体"/>
          <w:snapToGrid w:val="0"/>
          <w:color w:val="auto"/>
          <w:kern w:val="28"/>
          <w:sz w:val="24"/>
          <w:highlight w:val="none"/>
          <w:lang w:eastAsia="zh-CN"/>
        </w:rPr>
        <w:t>交易文件</w:t>
      </w:r>
      <w:r>
        <w:rPr>
          <w:rFonts w:hint="eastAsia" w:ascii="宋体" w:hAnsi="宋体" w:eastAsia="宋体" w:cs="宋体"/>
          <w:snapToGrid w:val="0"/>
          <w:color w:val="auto"/>
          <w:kern w:val="28"/>
          <w:sz w:val="24"/>
          <w:highlight w:val="none"/>
        </w:rPr>
        <w:t>的时间期限、地点、方式及</w:t>
      </w:r>
      <w:r>
        <w:rPr>
          <w:rFonts w:hint="eastAsia" w:ascii="宋体" w:hAnsi="宋体" w:eastAsia="宋体" w:cs="宋体"/>
          <w:snapToGrid w:val="0"/>
          <w:color w:val="auto"/>
          <w:kern w:val="28"/>
          <w:sz w:val="24"/>
          <w:highlight w:val="none"/>
          <w:lang w:eastAsia="zh-CN"/>
        </w:rPr>
        <w:t>交易文件</w:t>
      </w:r>
      <w:r>
        <w:rPr>
          <w:rFonts w:hint="eastAsia" w:ascii="宋体" w:hAnsi="宋体" w:eastAsia="宋体" w:cs="宋体"/>
          <w:snapToGrid w:val="0"/>
          <w:color w:val="auto"/>
          <w:kern w:val="28"/>
          <w:sz w:val="24"/>
          <w:highlight w:val="none"/>
        </w:rPr>
        <w:t>售价。</w:t>
      </w:r>
    </w:p>
    <w:p w14:paraId="0A450762">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7</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交易</w:t>
      </w:r>
      <w:r>
        <w:rPr>
          <w:rFonts w:hint="eastAsia" w:ascii="宋体" w:hAnsi="宋体" w:eastAsia="宋体" w:cs="宋体"/>
          <w:b/>
          <w:color w:val="auto"/>
          <w:sz w:val="24"/>
          <w:szCs w:val="24"/>
          <w:highlight w:val="none"/>
        </w:rPr>
        <w:t>前答疑会或现场考察</w:t>
      </w:r>
    </w:p>
    <w:p w14:paraId="7151E0DB">
      <w:pPr>
        <w:pStyle w:val="34"/>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交易人</w:t>
      </w:r>
      <w:r>
        <w:rPr>
          <w:rFonts w:hint="eastAsia" w:ascii="宋体" w:hAnsi="宋体" w:eastAsia="宋体" w:cs="宋体"/>
          <w:color w:val="auto"/>
          <w:sz w:val="24"/>
          <w:szCs w:val="24"/>
          <w:highlight w:val="none"/>
        </w:rPr>
        <w:t>组织潜在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现场考察或者召开</w:t>
      </w:r>
      <w:r>
        <w:rPr>
          <w:rFonts w:hint="eastAsia" w:ascii="宋体" w:hAnsi="宋体" w:eastAsia="宋体" w:cs="宋体"/>
          <w:color w:val="auto"/>
          <w:sz w:val="24"/>
          <w:szCs w:val="24"/>
          <w:highlight w:val="none"/>
          <w:lang w:eastAsia="zh-CN"/>
        </w:rPr>
        <w:t>交易</w:t>
      </w:r>
      <w:r>
        <w:rPr>
          <w:rFonts w:hint="eastAsia" w:ascii="宋体" w:hAnsi="宋体" w:eastAsia="宋体" w:cs="宋体"/>
          <w:color w:val="auto"/>
          <w:sz w:val="24"/>
          <w:szCs w:val="24"/>
          <w:highlight w:val="none"/>
        </w:rPr>
        <w:t>前答疑会的，潜在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按第二部分</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须知前附表的规定参加现场考察或者开标前答疑会。</w:t>
      </w:r>
    </w:p>
    <w:p w14:paraId="659D4236">
      <w:pPr>
        <w:pStyle w:val="34"/>
        <w:spacing w:line="360" w:lineRule="auto"/>
        <w:rPr>
          <w:rFonts w:hint="eastAsia" w:ascii="宋体" w:hAnsi="宋体" w:eastAsia="宋体" w:cs="宋体"/>
          <w:b/>
          <w:color w:val="auto"/>
          <w:szCs w:val="24"/>
          <w:highlight w:val="none"/>
          <w:lang w:eastAsia="zh-CN"/>
        </w:rPr>
      </w:pPr>
      <w:r>
        <w:rPr>
          <w:rFonts w:hint="eastAsia" w:ascii="宋体" w:hAnsi="宋体" w:eastAsia="宋体" w:cs="宋体"/>
          <w:b/>
          <w:color w:val="auto"/>
          <w:kern w:val="28"/>
          <w:sz w:val="24"/>
          <w:szCs w:val="24"/>
          <w:highlight w:val="none"/>
          <w:lang w:val="en-US" w:eastAsia="zh-CN"/>
        </w:rPr>
        <w:t>8</w:t>
      </w:r>
      <w:r>
        <w:rPr>
          <w:rFonts w:hint="eastAsia" w:ascii="宋体" w:hAnsi="宋体" w:eastAsia="宋体" w:cs="宋体"/>
          <w:b/>
          <w:color w:val="auto"/>
          <w:kern w:val="28"/>
          <w:sz w:val="24"/>
          <w:szCs w:val="24"/>
          <w:highlight w:val="none"/>
        </w:rPr>
        <w:t>.</w:t>
      </w:r>
      <w:r>
        <w:rPr>
          <w:rFonts w:hint="eastAsia" w:ascii="宋体" w:hAnsi="宋体" w:eastAsia="宋体" w:cs="宋体"/>
          <w:b/>
          <w:color w:val="auto"/>
          <w:kern w:val="28"/>
          <w:sz w:val="24"/>
          <w:szCs w:val="24"/>
          <w:highlight w:val="none"/>
          <w:lang w:eastAsia="zh-CN"/>
        </w:rPr>
        <w:t>交易保证金</w:t>
      </w:r>
    </w:p>
    <w:p w14:paraId="678755C8">
      <w:pPr>
        <w:pStyle w:val="2"/>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w:t>
      </w:r>
      <w:r>
        <w:rPr>
          <w:rFonts w:hint="eastAsia" w:ascii="宋体" w:hAnsi="宋体" w:eastAsia="宋体" w:cs="宋体"/>
          <w:color w:val="auto"/>
          <w:sz w:val="24"/>
          <w:highlight w:val="none"/>
          <w:lang w:eastAsia="zh-CN"/>
        </w:rPr>
        <w:t>交易保证金</w:t>
      </w:r>
      <w:r>
        <w:rPr>
          <w:rFonts w:hint="eastAsia" w:ascii="宋体" w:hAnsi="宋体" w:eastAsia="宋体" w:cs="宋体"/>
          <w:color w:val="auto"/>
          <w:sz w:val="24"/>
          <w:highlight w:val="none"/>
        </w:rPr>
        <w:t>。</w:t>
      </w:r>
    </w:p>
    <w:p w14:paraId="5B50AACB">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9</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响应文件</w:t>
      </w:r>
      <w:r>
        <w:rPr>
          <w:rFonts w:hint="eastAsia" w:ascii="宋体" w:hAnsi="宋体" w:eastAsia="宋体" w:cs="宋体"/>
          <w:b/>
          <w:color w:val="auto"/>
          <w:sz w:val="24"/>
          <w:szCs w:val="24"/>
          <w:highlight w:val="none"/>
        </w:rPr>
        <w:t>的语言</w:t>
      </w:r>
    </w:p>
    <w:p w14:paraId="2DF980CC">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及</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与</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有关的来往通知、函件和文件均应使用中文。</w:t>
      </w:r>
    </w:p>
    <w:p w14:paraId="2FC040AE">
      <w:pPr>
        <w:pStyle w:val="34"/>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10</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响应文件</w:t>
      </w:r>
      <w:r>
        <w:rPr>
          <w:rFonts w:hint="eastAsia" w:ascii="宋体" w:hAnsi="宋体" w:eastAsia="宋体" w:cs="宋体"/>
          <w:b/>
          <w:color w:val="auto"/>
          <w:sz w:val="24"/>
          <w:szCs w:val="24"/>
          <w:highlight w:val="none"/>
        </w:rPr>
        <w:t>的组成</w:t>
      </w:r>
    </w:p>
    <w:p w14:paraId="5DC18839">
      <w:pPr>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en-US" w:eastAsia="zh-CN"/>
        </w:rPr>
        <w:t>0</w:t>
      </w:r>
      <w:r>
        <w:rPr>
          <w:rFonts w:hint="eastAsia" w:ascii="宋体" w:hAnsi="宋体" w:eastAsia="宋体" w:cs="宋体"/>
          <w:b/>
          <w:bCs/>
          <w:color w:val="auto"/>
          <w:sz w:val="24"/>
          <w:highlight w:val="none"/>
        </w:rPr>
        <w:t>.1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620034E0">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.1.1符合参加</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活动应当具备的一般条件的承诺函；</w:t>
      </w:r>
    </w:p>
    <w:p w14:paraId="669CC198">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.1.2本项目的特定资格要求。</w:t>
      </w:r>
    </w:p>
    <w:p w14:paraId="138F88BA">
      <w:pPr>
        <w:snapToGrid w:val="0"/>
        <w:spacing w:line="360" w:lineRule="auto"/>
        <w:ind w:firstLine="482" w:firstLineChars="2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1</w:t>
      </w:r>
      <w:r>
        <w:rPr>
          <w:rFonts w:hint="eastAsia" w:ascii="宋体" w:hAnsi="宋体" w:eastAsia="宋体" w:cs="宋体"/>
          <w:b/>
          <w:bCs/>
          <w:color w:val="auto"/>
          <w:sz w:val="24"/>
          <w:highlight w:val="none"/>
          <w:lang w:val="en-US" w:eastAsia="zh-CN"/>
        </w:rPr>
        <w:t>0</w:t>
      </w:r>
      <w:r>
        <w:rPr>
          <w:rFonts w:hint="eastAsia" w:ascii="宋体" w:hAnsi="宋体" w:eastAsia="宋体" w:cs="宋体"/>
          <w:b/>
          <w:bCs/>
          <w:color w:val="auto"/>
          <w:sz w:val="24"/>
          <w:highlight w:val="none"/>
          <w:lang w:val="zh-CN"/>
        </w:rPr>
        <w:t>.</w:t>
      </w:r>
      <w:r>
        <w:rPr>
          <w:rFonts w:hint="eastAsia" w:ascii="宋体" w:hAnsi="宋体" w:eastAsia="宋体" w:cs="宋体"/>
          <w:b/>
          <w:bCs/>
          <w:color w:val="auto"/>
          <w:sz w:val="24"/>
          <w:highlight w:val="none"/>
        </w:rPr>
        <w:t>2商务技术</w:t>
      </w:r>
      <w:r>
        <w:rPr>
          <w:rFonts w:hint="eastAsia" w:ascii="宋体" w:hAnsi="宋体" w:eastAsia="宋体" w:cs="宋体"/>
          <w:b/>
          <w:bCs/>
          <w:color w:val="auto"/>
          <w:sz w:val="24"/>
          <w:highlight w:val="none"/>
          <w:lang w:val="zh-CN"/>
        </w:rPr>
        <w:t>文件：</w:t>
      </w:r>
    </w:p>
    <w:p w14:paraId="69B80B10">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.2.1</w:t>
      </w:r>
      <w:r>
        <w:rPr>
          <w:rFonts w:hint="eastAsia" w:ascii="宋体" w:hAnsi="宋体" w:eastAsia="宋体" w:cs="宋体"/>
          <w:color w:val="auto"/>
          <w:sz w:val="24"/>
          <w:highlight w:val="none"/>
          <w:lang w:eastAsia="zh-CN"/>
        </w:rPr>
        <w:t>交易函</w:t>
      </w:r>
      <w:r>
        <w:rPr>
          <w:rFonts w:hint="eastAsia" w:ascii="宋体" w:hAnsi="宋体" w:eastAsia="宋体" w:cs="宋体"/>
          <w:color w:val="auto"/>
          <w:sz w:val="24"/>
          <w:highlight w:val="none"/>
        </w:rPr>
        <w:t>；</w:t>
      </w:r>
    </w:p>
    <w:p w14:paraId="5B9B2005">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10.2</w:t>
      </w:r>
      <w:r>
        <w:rPr>
          <w:rFonts w:hint="eastAsia" w:ascii="宋体" w:hAnsi="宋体" w:eastAsia="宋体" w:cs="宋体"/>
          <w:color w:val="auto"/>
          <w:sz w:val="24"/>
          <w:highlight w:val="none"/>
        </w:rPr>
        <w:t>.2授权委托书或法定代表人（单位负责人、自然人本人）身份证明；</w:t>
      </w:r>
    </w:p>
    <w:p w14:paraId="0922299E">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10.2</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营业执照；</w:t>
      </w:r>
    </w:p>
    <w:p w14:paraId="2141558F">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10.2</w:t>
      </w:r>
      <w:r>
        <w:rPr>
          <w:rFonts w:hint="eastAsia" w:ascii="宋体" w:hAnsi="宋体" w:eastAsia="宋体" w:cs="宋体"/>
          <w:color w:val="auto"/>
          <w:sz w:val="24"/>
          <w:highlight w:val="none"/>
        </w:rPr>
        <w:t>.4符合性审查资料；</w:t>
      </w:r>
    </w:p>
    <w:p w14:paraId="766A028F">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10.2</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评标标准相应的商务技术资料；</w:t>
      </w:r>
    </w:p>
    <w:p w14:paraId="7988367D">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10.2</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eastAsia="zh-CN"/>
        </w:rPr>
        <w:t>响应标的清单</w:t>
      </w:r>
      <w:r>
        <w:rPr>
          <w:rFonts w:hint="eastAsia" w:ascii="宋体" w:hAnsi="宋体" w:eastAsia="宋体" w:cs="宋体"/>
          <w:color w:val="auto"/>
          <w:sz w:val="24"/>
          <w:highlight w:val="none"/>
        </w:rPr>
        <w:t>；</w:t>
      </w:r>
    </w:p>
    <w:p w14:paraId="669FACAD">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10.2</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商务技术偏离表；</w:t>
      </w:r>
    </w:p>
    <w:p w14:paraId="07A198C2">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10.2</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lang w:val="zh-CN"/>
        </w:rPr>
        <w:t>供应商廉洁自律承诺书。</w:t>
      </w:r>
    </w:p>
    <w:p w14:paraId="1588B2F2">
      <w:pPr>
        <w:snapToGrid w:val="0"/>
        <w:spacing w:line="360" w:lineRule="auto"/>
        <w:ind w:firstLine="482" w:firstLineChars="200"/>
        <w:rPr>
          <w:rFonts w:hint="eastAsia" w:ascii="宋体" w:hAnsi="宋体" w:eastAsia="宋体" w:cs="宋体"/>
          <w:b/>
          <w:bCs/>
          <w:color w:val="auto"/>
          <w:sz w:val="24"/>
          <w:highlight w:val="none"/>
          <w:u w:val="single"/>
          <w:lang w:val="zh-CN"/>
        </w:rPr>
      </w:pPr>
      <w:r>
        <w:rPr>
          <w:rFonts w:hint="eastAsia" w:ascii="宋体" w:hAnsi="宋体" w:eastAsia="宋体" w:cs="宋体"/>
          <w:b/>
          <w:bCs/>
          <w:color w:val="auto"/>
          <w:kern w:val="0"/>
          <w:sz w:val="24"/>
          <w:highlight w:val="none"/>
          <w:lang w:val="zh-CN"/>
        </w:rPr>
        <w:t>1</w:t>
      </w:r>
      <w:r>
        <w:rPr>
          <w:rFonts w:hint="eastAsia" w:ascii="宋体" w:hAnsi="宋体" w:eastAsia="宋体" w:cs="宋体"/>
          <w:b/>
          <w:bCs/>
          <w:color w:val="auto"/>
          <w:kern w:val="0"/>
          <w:sz w:val="24"/>
          <w:highlight w:val="none"/>
          <w:lang w:val="en-US" w:eastAsia="zh-CN"/>
        </w:rPr>
        <w:t>0</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kern w:val="0"/>
          <w:sz w:val="24"/>
          <w:highlight w:val="none"/>
        </w:rPr>
        <w:t>3</w:t>
      </w:r>
      <w:r>
        <w:rPr>
          <w:rFonts w:hint="eastAsia" w:ascii="宋体" w:hAnsi="宋体" w:eastAsia="宋体" w:cs="宋体"/>
          <w:b/>
          <w:bCs/>
          <w:color w:val="auto"/>
          <w:sz w:val="24"/>
          <w:highlight w:val="none"/>
        </w:rPr>
        <w:t>报价文件：</w:t>
      </w:r>
    </w:p>
    <w:p w14:paraId="7D84DBD1">
      <w:pPr>
        <w:snapToGrid w:val="0"/>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.3.1</w:t>
      </w:r>
      <w:r>
        <w:rPr>
          <w:rFonts w:hint="eastAsia" w:ascii="宋体" w:hAnsi="宋体" w:eastAsia="宋体" w:cs="宋体"/>
          <w:color w:val="auto"/>
          <w:sz w:val="24"/>
          <w:highlight w:val="none"/>
          <w:lang w:eastAsia="zh-CN"/>
        </w:rPr>
        <w:t>交易一览表</w:t>
      </w:r>
      <w:r>
        <w:rPr>
          <w:rFonts w:hint="eastAsia" w:ascii="宋体" w:hAnsi="宋体" w:eastAsia="宋体" w:cs="宋体"/>
          <w:color w:val="auto"/>
          <w:sz w:val="24"/>
          <w:highlight w:val="none"/>
        </w:rPr>
        <w:t>（报价表）</w:t>
      </w:r>
      <w:r>
        <w:rPr>
          <w:rFonts w:hint="eastAsia" w:ascii="宋体" w:hAnsi="宋体" w:eastAsia="宋体" w:cs="宋体"/>
          <w:color w:val="auto"/>
          <w:sz w:val="24"/>
          <w:highlight w:val="none"/>
          <w:lang w:val="en-US" w:eastAsia="zh-CN"/>
        </w:rPr>
        <w:t>。</w:t>
      </w:r>
    </w:p>
    <w:p w14:paraId="30C60FA6">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含有</w:t>
      </w:r>
      <w:r>
        <w:rPr>
          <w:rFonts w:hint="eastAsia" w:ascii="宋体" w:hAnsi="宋体" w:eastAsia="宋体" w:cs="宋体"/>
          <w:b/>
          <w:color w:val="auto"/>
          <w:sz w:val="24"/>
          <w:highlight w:val="none"/>
          <w:lang w:eastAsia="zh-CN"/>
        </w:rPr>
        <w:t>交易人</w:t>
      </w:r>
      <w:r>
        <w:rPr>
          <w:rFonts w:hint="eastAsia" w:ascii="宋体" w:hAnsi="宋体" w:eastAsia="宋体" w:cs="宋体"/>
          <w:b/>
          <w:color w:val="auto"/>
          <w:sz w:val="24"/>
          <w:highlight w:val="none"/>
        </w:rPr>
        <w:t>不能接受的附加条件的，</w:t>
      </w:r>
      <w:r>
        <w:rPr>
          <w:rFonts w:hint="eastAsia" w:ascii="宋体" w:hAnsi="宋体" w:eastAsia="宋体" w:cs="宋体"/>
          <w:b/>
          <w:color w:val="auto"/>
          <w:sz w:val="24"/>
          <w:highlight w:val="none"/>
          <w:lang w:eastAsia="zh-CN"/>
        </w:rPr>
        <w:t>交易无效</w:t>
      </w:r>
      <w:r>
        <w:rPr>
          <w:rFonts w:hint="eastAsia" w:ascii="宋体" w:hAnsi="宋体" w:eastAsia="宋体" w:cs="宋体"/>
          <w:b/>
          <w:color w:val="auto"/>
          <w:sz w:val="24"/>
          <w:highlight w:val="none"/>
        </w:rPr>
        <w:t>；</w:t>
      </w:r>
    </w:p>
    <w:p w14:paraId="15C58F11">
      <w:pPr>
        <w:spacing w:line="360" w:lineRule="auto"/>
        <w:ind w:firstLine="723" w:firstLineChars="3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rPr>
        <w:t>提供虚假材料</w:t>
      </w:r>
      <w:r>
        <w:rPr>
          <w:rFonts w:hint="eastAsia" w:ascii="宋体" w:hAnsi="宋体" w:cs="宋体"/>
          <w:b/>
          <w:color w:val="auto"/>
          <w:sz w:val="24"/>
          <w:highlight w:val="none"/>
          <w:lang w:val="en-US" w:eastAsia="zh-CN"/>
        </w:rPr>
        <w:t>响应</w:t>
      </w:r>
      <w:r>
        <w:rPr>
          <w:rFonts w:hint="eastAsia" w:ascii="宋体" w:hAnsi="宋体" w:eastAsia="宋体" w:cs="宋体"/>
          <w:b/>
          <w:color w:val="auto"/>
          <w:sz w:val="24"/>
          <w:highlight w:val="none"/>
        </w:rPr>
        <w:t>的，</w:t>
      </w:r>
      <w:r>
        <w:rPr>
          <w:rFonts w:hint="eastAsia" w:ascii="宋体" w:hAnsi="宋体" w:eastAsia="宋体" w:cs="宋体"/>
          <w:b/>
          <w:color w:val="auto"/>
          <w:sz w:val="24"/>
          <w:highlight w:val="none"/>
          <w:lang w:eastAsia="zh-CN"/>
        </w:rPr>
        <w:t>交易无效</w:t>
      </w:r>
      <w:r>
        <w:rPr>
          <w:rFonts w:hint="eastAsia" w:ascii="宋体" w:hAnsi="宋体" w:eastAsia="宋体" w:cs="宋体"/>
          <w:b/>
          <w:color w:val="auto"/>
          <w:sz w:val="24"/>
          <w:highlight w:val="none"/>
        </w:rPr>
        <w:t>。</w:t>
      </w:r>
    </w:p>
    <w:p w14:paraId="5BDC1C46">
      <w:pPr>
        <w:pStyle w:val="132"/>
        <w:snapToGrid w:val="0"/>
        <w:spacing w:before="0"/>
        <w:ind w:firstLine="0" w:firstLineChars="0"/>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szCs w:val="24"/>
          <w:highlight w:val="none"/>
          <w:lang w:val="en-US" w:eastAsia="zh-CN"/>
        </w:rPr>
        <w:t>1</w:t>
      </w:r>
      <w:r>
        <w:rPr>
          <w:rFonts w:hint="eastAsia" w:ascii="宋体" w:hAnsi="宋体" w:eastAsia="宋体" w:cs="宋体"/>
          <w:b/>
          <w:color w:val="auto"/>
          <w:kern w:val="0"/>
          <w:szCs w:val="24"/>
          <w:highlight w:val="none"/>
          <w:lang w:val="zh-CN"/>
        </w:rPr>
        <w:t>.</w:t>
      </w:r>
      <w:r>
        <w:rPr>
          <w:rFonts w:hint="eastAsia" w:ascii="宋体" w:hAnsi="宋体" w:eastAsia="宋体" w:cs="宋体"/>
          <w:b/>
          <w:color w:val="auto"/>
          <w:szCs w:val="24"/>
          <w:highlight w:val="none"/>
          <w:lang w:eastAsia="zh-CN"/>
        </w:rPr>
        <w:t>响应文件</w:t>
      </w:r>
      <w:r>
        <w:rPr>
          <w:rFonts w:hint="eastAsia" w:ascii="宋体" w:hAnsi="宋体" w:eastAsia="宋体" w:cs="宋体"/>
          <w:b/>
          <w:color w:val="auto"/>
          <w:szCs w:val="24"/>
          <w:highlight w:val="none"/>
        </w:rPr>
        <w:t>的编制</w:t>
      </w:r>
    </w:p>
    <w:p w14:paraId="414A0619">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lang w:val="zh-CN"/>
        </w:rPr>
        <w:t>.1响应文件分为资格文件、商务技术文件、报价文件三部分。各供应商在编制响应文件时请按照交易文件第六部分规定的格式进行，混乱的编排导致响应文件被误读或评标委员会查找不到有效文件是供应商的风险。</w:t>
      </w:r>
    </w:p>
    <w:p w14:paraId="04E54891">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lang w:val="zh-CN"/>
        </w:rPr>
        <w:t>.2供应商进行电子投标应安装客户端软件—“政采云电子交易客户端”，并按照交易文件和电子交易平台的要求编制并加密响应文件。供应商未按规定加密的响应文件，电子交易平台将拒收并提示。</w:t>
      </w:r>
    </w:p>
    <w:p w14:paraId="7796D5B1">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lang w:val="zh-CN"/>
        </w:rPr>
        <w:t>.3使用“政采云电子交易客户端”需要提前申领CA数字证书，申领流程请自行前往“浙江政府采购网-下载专区-电子交易客户端-CA驱动和申领流程”进行查阅。</w:t>
      </w:r>
    </w:p>
    <w:p w14:paraId="4F873862">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w:t>
      </w:r>
      <w:r>
        <w:rPr>
          <w:rFonts w:hint="eastAsia" w:ascii="宋体" w:hAnsi="宋体" w:eastAsia="宋体" w:cs="宋体"/>
          <w:b/>
          <w:color w:val="auto"/>
          <w:sz w:val="24"/>
          <w:highlight w:val="none"/>
          <w:lang w:val="en-US" w:eastAsia="zh-CN"/>
        </w:rPr>
        <w:t>2</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的签署、盖章</w:t>
      </w:r>
    </w:p>
    <w:p w14:paraId="5C532F71">
      <w:pPr>
        <w:pStyle w:val="132"/>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2</w:t>
      </w: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eastAsia="zh-CN"/>
        </w:rPr>
        <w:t>响应文件</w:t>
      </w:r>
      <w:r>
        <w:rPr>
          <w:rFonts w:hint="eastAsia" w:ascii="宋体" w:hAnsi="宋体" w:eastAsia="宋体" w:cs="宋体"/>
          <w:color w:val="auto"/>
          <w:szCs w:val="24"/>
          <w:highlight w:val="none"/>
        </w:rPr>
        <w:t>按照</w:t>
      </w:r>
      <w:r>
        <w:rPr>
          <w:rFonts w:hint="eastAsia" w:ascii="宋体" w:hAnsi="宋体" w:eastAsia="宋体" w:cs="宋体"/>
          <w:color w:val="auto"/>
          <w:szCs w:val="24"/>
          <w:highlight w:val="none"/>
          <w:lang w:eastAsia="zh-CN"/>
        </w:rPr>
        <w:t>交易文件</w:t>
      </w:r>
      <w:r>
        <w:rPr>
          <w:rFonts w:hint="eastAsia" w:ascii="宋体" w:hAnsi="宋体" w:eastAsia="宋体" w:cs="宋体"/>
          <w:color w:val="auto"/>
          <w:szCs w:val="24"/>
          <w:highlight w:val="none"/>
        </w:rPr>
        <w:t>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w:t>
      </w:r>
      <w:r>
        <w:rPr>
          <w:rFonts w:hint="eastAsia" w:ascii="宋体" w:hAnsi="宋体" w:eastAsia="宋体" w:cs="宋体"/>
          <w:b/>
          <w:color w:val="auto"/>
          <w:highlight w:val="none"/>
          <w:lang w:eastAsia="zh-CN"/>
        </w:rPr>
        <w:t>供应商</w:t>
      </w:r>
      <w:r>
        <w:rPr>
          <w:rFonts w:hint="eastAsia" w:ascii="宋体" w:hAnsi="宋体" w:eastAsia="宋体" w:cs="宋体"/>
          <w:b/>
          <w:color w:val="auto"/>
          <w:highlight w:val="none"/>
        </w:rPr>
        <w:t>的</w:t>
      </w:r>
      <w:r>
        <w:rPr>
          <w:rFonts w:hint="eastAsia" w:ascii="宋体" w:hAnsi="宋体" w:eastAsia="宋体" w:cs="宋体"/>
          <w:b/>
          <w:color w:val="auto"/>
          <w:highlight w:val="none"/>
          <w:lang w:eastAsia="zh-CN"/>
        </w:rPr>
        <w:t>响应文件</w:t>
      </w:r>
      <w:r>
        <w:rPr>
          <w:rFonts w:hint="eastAsia" w:ascii="宋体" w:hAnsi="宋体" w:eastAsia="宋体" w:cs="宋体"/>
          <w:b/>
          <w:color w:val="auto"/>
          <w:highlight w:val="none"/>
        </w:rPr>
        <w:t>未按照</w:t>
      </w:r>
      <w:r>
        <w:rPr>
          <w:rFonts w:hint="eastAsia" w:ascii="宋体" w:hAnsi="宋体" w:eastAsia="宋体" w:cs="宋体"/>
          <w:b/>
          <w:color w:val="auto"/>
          <w:highlight w:val="none"/>
          <w:lang w:eastAsia="zh-CN"/>
        </w:rPr>
        <w:t>交易文件</w:t>
      </w:r>
      <w:r>
        <w:rPr>
          <w:rFonts w:hint="eastAsia" w:ascii="宋体" w:hAnsi="宋体" w:eastAsia="宋体" w:cs="宋体"/>
          <w:b/>
          <w:color w:val="auto"/>
          <w:highlight w:val="none"/>
        </w:rPr>
        <w:t>要求签署、盖章的，其</w:t>
      </w:r>
      <w:r>
        <w:rPr>
          <w:rFonts w:hint="eastAsia" w:ascii="宋体" w:hAnsi="宋体" w:eastAsia="宋体" w:cs="宋体"/>
          <w:b/>
          <w:color w:val="auto"/>
          <w:highlight w:val="none"/>
          <w:lang w:eastAsia="zh-CN"/>
        </w:rPr>
        <w:t>交易无效</w:t>
      </w:r>
      <w:r>
        <w:rPr>
          <w:rFonts w:hint="eastAsia" w:ascii="宋体" w:hAnsi="宋体" w:eastAsia="宋体" w:cs="宋体"/>
          <w:color w:val="auto"/>
          <w:szCs w:val="24"/>
          <w:highlight w:val="none"/>
        </w:rPr>
        <w:t>。</w:t>
      </w:r>
    </w:p>
    <w:p w14:paraId="56C4F4E1">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.2为确保网上操作合法、有效和安全，</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应当在</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截止时间前完成在“政府采购云平台”的身份认证，确保在电子</w:t>
      </w:r>
      <w:r>
        <w:rPr>
          <w:rFonts w:hint="eastAsia" w:ascii="宋体" w:hAnsi="宋体" w:cs="宋体"/>
          <w:color w:val="auto"/>
          <w:highlight w:val="none"/>
          <w:lang w:val="en-US" w:eastAsia="zh-CN"/>
        </w:rPr>
        <w:t>交易</w:t>
      </w:r>
      <w:r>
        <w:rPr>
          <w:rFonts w:hint="eastAsia" w:ascii="宋体" w:hAnsi="宋体" w:eastAsia="宋体" w:cs="宋体"/>
          <w:color w:val="auto"/>
          <w:highlight w:val="none"/>
        </w:rPr>
        <w:t>过程中能够对相关数据电文进行加密和使用电子签名。</w:t>
      </w:r>
    </w:p>
    <w:p w14:paraId="52ED0B78">
      <w:pPr>
        <w:pStyle w:val="132"/>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.3</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对</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签署、盖章的要求适用于电子签名。</w:t>
      </w:r>
    </w:p>
    <w:p w14:paraId="65A55677">
      <w:pPr>
        <w:pStyle w:val="13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szCs w:val="24"/>
          <w:highlight w:val="none"/>
          <w:lang w:val="en-US" w:eastAsia="zh-CN"/>
        </w:rPr>
        <w:t>3</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响应文件</w:t>
      </w:r>
      <w:r>
        <w:rPr>
          <w:rFonts w:hint="eastAsia" w:ascii="宋体" w:hAnsi="宋体" w:eastAsia="宋体" w:cs="宋体"/>
          <w:b/>
          <w:color w:val="auto"/>
          <w:szCs w:val="24"/>
          <w:highlight w:val="none"/>
        </w:rPr>
        <w:t>的提交、补充、修改、撤回</w:t>
      </w:r>
    </w:p>
    <w:p w14:paraId="579B6CCA">
      <w:pPr>
        <w:pStyle w:val="132"/>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3</w:t>
      </w:r>
      <w:r>
        <w:rPr>
          <w:rFonts w:hint="eastAsia" w:ascii="宋体" w:hAnsi="宋体" w:eastAsia="宋体" w:cs="宋体"/>
          <w:color w:val="auto"/>
          <w:szCs w:val="24"/>
          <w:highlight w:val="none"/>
        </w:rPr>
        <w:t>.1供应商应当在</w:t>
      </w:r>
      <w:r>
        <w:rPr>
          <w:rFonts w:hint="eastAsia" w:ascii="宋体" w:hAnsi="宋体" w:cs="宋体"/>
          <w:color w:val="auto"/>
          <w:szCs w:val="24"/>
          <w:highlight w:val="none"/>
          <w:lang w:val="en-US" w:eastAsia="zh-CN"/>
        </w:rPr>
        <w:t>响应</w:t>
      </w:r>
      <w:r>
        <w:rPr>
          <w:rFonts w:hint="eastAsia" w:ascii="宋体" w:hAnsi="宋体" w:eastAsia="宋体" w:cs="宋体"/>
          <w:color w:val="auto"/>
          <w:szCs w:val="24"/>
          <w:highlight w:val="none"/>
        </w:rPr>
        <w:t>截止时间前完成</w:t>
      </w:r>
      <w:r>
        <w:rPr>
          <w:rFonts w:hint="eastAsia" w:ascii="宋体" w:hAnsi="宋体" w:eastAsia="宋体" w:cs="宋体"/>
          <w:color w:val="auto"/>
          <w:szCs w:val="24"/>
          <w:highlight w:val="none"/>
          <w:lang w:eastAsia="zh-CN"/>
        </w:rPr>
        <w:t>响应文件</w:t>
      </w:r>
      <w:r>
        <w:rPr>
          <w:rFonts w:hint="eastAsia" w:ascii="宋体" w:hAnsi="宋体" w:eastAsia="宋体" w:cs="宋体"/>
          <w:color w:val="auto"/>
          <w:szCs w:val="24"/>
          <w:highlight w:val="none"/>
        </w:rPr>
        <w:t>的传输递交，并可以补充、修改或者撤回</w:t>
      </w:r>
      <w:r>
        <w:rPr>
          <w:rFonts w:hint="eastAsia" w:ascii="宋体" w:hAnsi="宋体" w:eastAsia="宋体" w:cs="宋体"/>
          <w:color w:val="auto"/>
          <w:szCs w:val="24"/>
          <w:highlight w:val="none"/>
          <w:lang w:eastAsia="zh-CN"/>
        </w:rPr>
        <w:t>响应文件</w:t>
      </w:r>
      <w:r>
        <w:rPr>
          <w:rFonts w:hint="eastAsia" w:ascii="宋体" w:hAnsi="宋体" w:eastAsia="宋体" w:cs="宋体"/>
          <w:color w:val="auto"/>
          <w:szCs w:val="24"/>
          <w:highlight w:val="none"/>
        </w:rPr>
        <w:t>。补充或者修改</w:t>
      </w:r>
      <w:r>
        <w:rPr>
          <w:rFonts w:hint="eastAsia" w:ascii="宋体" w:hAnsi="宋体" w:eastAsia="宋体" w:cs="宋体"/>
          <w:color w:val="auto"/>
          <w:szCs w:val="24"/>
          <w:highlight w:val="none"/>
          <w:lang w:eastAsia="zh-CN"/>
        </w:rPr>
        <w:t>响应文件</w:t>
      </w:r>
      <w:r>
        <w:rPr>
          <w:rFonts w:hint="eastAsia" w:ascii="宋体" w:hAnsi="宋体" w:eastAsia="宋体" w:cs="宋体"/>
          <w:color w:val="auto"/>
          <w:szCs w:val="24"/>
          <w:highlight w:val="none"/>
        </w:rPr>
        <w:t>的，应当先行撤回原文件，补充、修改后重新传输递交。</w:t>
      </w:r>
      <w:r>
        <w:rPr>
          <w:rFonts w:hint="eastAsia" w:ascii="宋体" w:hAnsi="宋体" w:cs="宋体"/>
          <w:color w:val="auto"/>
          <w:szCs w:val="24"/>
          <w:highlight w:val="none"/>
          <w:lang w:val="en-US" w:eastAsia="zh-CN"/>
        </w:rPr>
        <w:t>响应</w:t>
      </w:r>
      <w:r>
        <w:rPr>
          <w:rFonts w:hint="eastAsia" w:ascii="宋体" w:hAnsi="宋体" w:eastAsia="宋体" w:cs="宋体"/>
          <w:color w:val="auto"/>
          <w:szCs w:val="24"/>
          <w:highlight w:val="none"/>
        </w:rPr>
        <w:t>截止时间前未完成传输的，视为撤回</w:t>
      </w:r>
      <w:r>
        <w:rPr>
          <w:rFonts w:hint="eastAsia" w:ascii="宋体" w:hAnsi="宋体" w:eastAsia="宋体" w:cs="宋体"/>
          <w:color w:val="auto"/>
          <w:szCs w:val="24"/>
          <w:highlight w:val="none"/>
          <w:lang w:eastAsia="zh-CN"/>
        </w:rPr>
        <w:t>响应文件</w:t>
      </w:r>
      <w:r>
        <w:rPr>
          <w:rFonts w:hint="eastAsia" w:ascii="宋体" w:hAnsi="宋体" w:eastAsia="宋体" w:cs="宋体"/>
          <w:color w:val="auto"/>
          <w:szCs w:val="24"/>
          <w:highlight w:val="none"/>
        </w:rPr>
        <w:t>。</w:t>
      </w:r>
      <w:r>
        <w:rPr>
          <w:rFonts w:hint="eastAsia" w:ascii="宋体" w:hAnsi="宋体" w:cs="宋体"/>
          <w:color w:val="auto"/>
          <w:szCs w:val="24"/>
          <w:highlight w:val="none"/>
          <w:lang w:val="en-US" w:eastAsia="zh-CN"/>
        </w:rPr>
        <w:t>响应</w:t>
      </w:r>
      <w:r>
        <w:rPr>
          <w:rFonts w:hint="eastAsia" w:ascii="宋体" w:hAnsi="宋体" w:eastAsia="宋体" w:cs="宋体"/>
          <w:color w:val="auto"/>
          <w:szCs w:val="24"/>
          <w:highlight w:val="none"/>
        </w:rPr>
        <w:t>截止时间后递交的</w:t>
      </w:r>
      <w:r>
        <w:rPr>
          <w:rFonts w:hint="eastAsia" w:ascii="宋体" w:hAnsi="宋体" w:eastAsia="宋体" w:cs="宋体"/>
          <w:color w:val="auto"/>
          <w:szCs w:val="24"/>
          <w:highlight w:val="none"/>
          <w:lang w:eastAsia="zh-CN"/>
        </w:rPr>
        <w:t>响应文件</w:t>
      </w:r>
      <w:r>
        <w:rPr>
          <w:rFonts w:hint="eastAsia" w:ascii="宋体" w:hAnsi="宋体" w:eastAsia="宋体" w:cs="宋体"/>
          <w:color w:val="auto"/>
          <w:szCs w:val="24"/>
          <w:highlight w:val="none"/>
        </w:rPr>
        <w:t>，电子交易平台将拒收。</w:t>
      </w:r>
    </w:p>
    <w:p w14:paraId="142AD398">
      <w:pPr>
        <w:pStyle w:val="13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3</w:t>
      </w:r>
      <w:r>
        <w:rPr>
          <w:rFonts w:hint="eastAsia" w:ascii="宋体" w:hAnsi="宋体" w:eastAsia="宋体" w:cs="宋体"/>
          <w:color w:val="auto"/>
          <w:szCs w:val="24"/>
          <w:highlight w:val="none"/>
        </w:rPr>
        <w:t>.2电子交易平台收到</w:t>
      </w:r>
      <w:r>
        <w:rPr>
          <w:rFonts w:hint="eastAsia" w:ascii="宋体" w:hAnsi="宋体" w:eastAsia="宋体" w:cs="宋体"/>
          <w:color w:val="auto"/>
          <w:szCs w:val="24"/>
          <w:highlight w:val="none"/>
          <w:lang w:eastAsia="zh-CN"/>
        </w:rPr>
        <w:t>响应文件</w:t>
      </w:r>
      <w:r>
        <w:rPr>
          <w:rFonts w:hint="eastAsia" w:ascii="宋体" w:hAnsi="宋体" w:eastAsia="宋体" w:cs="宋体"/>
          <w:color w:val="auto"/>
          <w:szCs w:val="24"/>
          <w:highlight w:val="none"/>
        </w:rPr>
        <w:t>，将妥善保存并即时向供应商发出确认回执通知。在</w:t>
      </w:r>
      <w:r>
        <w:rPr>
          <w:rFonts w:hint="eastAsia" w:ascii="宋体" w:hAnsi="宋体" w:cs="宋体"/>
          <w:color w:val="auto"/>
          <w:szCs w:val="24"/>
          <w:highlight w:val="none"/>
          <w:lang w:val="en-US" w:eastAsia="zh-CN"/>
        </w:rPr>
        <w:t>响应</w:t>
      </w:r>
      <w:r>
        <w:rPr>
          <w:rFonts w:hint="eastAsia" w:ascii="宋体" w:hAnsi="宋体" w:eastAsia="宋体" w:cs="宋体"/>
          <w:color w:val="auto"/>
          <w:szCs w:val="24"/>
          <w:highlight w:val="none"/>
        </w:rPr>
        <w:t>截止时间前，除供应商补充、修改或者撤回</w:t>
      </w:r>
      <w:r>
        <w:rPr>
          <w:rFonts w:hint="eastAsia" w:ascii="宋体" w:hAnsi="宋体" w:eastAsia="宋体" w:cs="宋体"/>
          <w:color w:val="auto"/>
          <w:szCs w:val="24"/>
          <w:highlight w:val="none"/>
          <w:lang w:eastAsia="zh-CN"/>
        </w:rPr>
        <w:t>响应文件</w:t>
      </w:r>
      <w:r>
        <w:rPr>
          <w:rFonts w:hint="eastAsia" w:ascii="宋体" w:hAnsi="宋体" w:eastAsia="宋体" w:cs="宋体"/>
          <w:color w:val="auto"/>
          <w:szCs w:val="24"/>
          <w:highlight w:val="none"/>
        </w:rPr>
        <w:t>外，任何单位和个人不得解密或提取</w:t>
      </w:r>
      <w:r>
        <w:rPr>
          <w:rFonts w:hint="eastAsia" w:ascii="宋体" w:hAnsi="宋体" w:eastAsia="宋体" w:cs="宋体"/>
          <w:color w:val="auto"/>
          <w:szCs w:val="24"/>
          <w:highlight w:val="none"/>
          <w:lang w:eastAsia="zh-CN"/>
        </w:rPr>
        <w:t>响应文件</w:t>
      </w:r>
      <w:r>
        <w:rPr>
          <w:rFonts w:hint="eastAsia" w:ascii="宋体" w:hAnsi="宋体" w:eastAsia="宋体" w:cs="宋体"/>
          <w:color w:val="auto"/>
          <w:szCs w:val="24"/>
          <w:highlight w:val="none"/>
        </w:rPr>
        <w:t>。</w:t>
      </w:r>
    </w:p>
    <w:p w14:paraId="1AD7A538">
      <w:pPr>
        <w:pStyle w:val="13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w:t>
      </w:r>
      <w:r>
        <w:rPr>
          <w:rFonts w:hint="eastAsia" w:ascii="宋体" w:hAnsi="宋体" w:eastAsia="宋体" w:cs="宋体"/>
          <w:color w:val="auto"/>
          <w:szCs w:val="24"/>
          <w:highlight w:val="none"/>
          <w:lang w:val="en-US" w:eastAsia="zh-CN"/>
        </w:rPr>
        <w:t>3</w:t>
      </w:r>
      <w:r>
        <w:rPr>
          <w:rFonts w:hint="eastAsia" w:ascii="宋体" w:hAnsi="宋体" w:eastAsia="宋体" w:cs="宋体"/>
          <w:color w:val="auto"/>
          <w:szCs w:val="24"/>
          <w:highlight w:val="none"/>
        </w:rPr>
        <w:t>.3</w:t>
      </w:r>
      <w:r>
        <w:rPr>
          <w:rFonts w:hint="eastAsia" w:ascii="宋体" w:hAnsi="宋体" w:eastAsia="宋体" w:cs="宋体"/>
          <w:color w:val="auto"/>
          <w:szCs w:val="24"/>
          <w:highlight w:val="none"/>
          <w:lang w:eastAsia="zh-CN"/>
        </w:rPr>
        <w:t>交易人</w:t>
      </w:r>
      <w:r>
        <w:rPr>
          <w:rFonts w:hint="eastAsia" w:ascii="宋体" w:hAnsi="宋体" w:eastAsia="宋体" w:cs="宋体"/>
          <w:color w:val="auto"/>
          <w:szCs w:val="24"/>
          <w:highlight w:val="none"/>
        </w:rPr>
        <w:t>、采购机构可以视情况延长</w:t>
      </w:r>
      <w:r>
        <w:rPr>
          <w:rFonts w:hint="eastAsia" w:ascii="宋体" w:hAnsi="宋体" w:eastAsia="宋体" w:cs="宋体"/>
          <w:color w:val="auto"/>
          <w:szCs w:val="24"/>
          <w:highlight w:val="none"/>
          <w:lang w:eastAsia="zh-CN"/>
        </w:rPr>
        <w:t>响应文件</w:t>
      </w:r>
      <w:r>
        <w:rPr>
          <w:rFonts w:hint="eastAsia" w:ascii="宋体" w:hAnsi="宋体" w:eastAsia="宋体" w:cs="宋体"/>
          <w:color w:val="auto"/>
          <w:szCs w:val="24"/>
          <w:highlight w:val="none"/>
        </w:rPr>
        <w:t>提交的截止时间。在上述情况下，采购机构与</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以前在</w:t>
      </w:r>
      <w:r>
        <w:rPr>
          <w:rFonts w:hint="eastAsia" w:ascii="宋体" w:hAnsi="宋体" w:cs="宋体"/>
          <w:color w:val="auto"/>
          <w:szCs w:val="24"/>
          <w:highlight w:val="none"/>
          <w:lang w:val="en-US" w:eastAsia="zh-CN"/>
        </w:rPr>
        <w:t>响应</w:t>
      </w:r>
      <w:r>
        <w:rPr>
          <w:rFonts w:hint="eastAsia" w:ascii="宋体" w:hAnsi="宋体" w:eastAsia="宋体" w:cs="宋体"/>
          <w:color w:val="auto"/>
          <w:szCs w:val="24"/>
          <w:highlight w:val="none"/>
        </w:rPr>
        <w:t>截止期方面的全部权利、责任和义务，将适用于延长至新的</w:t>
      </w:r>
      <w:r>
        <w:rPr>
          <w:rFonts w:hint="eastAsia" w:ascii="宋体" w:hAnsi="宋体" w:cs="宋体"/>
          <w:color w:val="auto"/>
          <w:szCs w:val="24"/>
          <w:highlight w:val="none"/>
          <w:lang w:val="en-US" w:eastAsia="zh-CN"/>
        </w:rPr>
        <w:t>响应</w:t>
      </w:r>
      <w:r>
        <w:rPr>
          <w:rFonts w:hint="eastAsia" w:ascii="宋体" w:hAnsi="宋体" w:eastAsia="宋体" w:cs="宋体"/>
          <w:color w:val="auto"/>
          <w:szCs w:val="24"/>
          <w:highlight w:val="none"/>
        </w:rPr>
        <w:t>截止期。</w:t>
      </w:r>
    </w:p>
    <w:p w14:paraId="355DF799">
      <w:pPr>
        <w:pStyle w:val="34"/>
        <w:numPr>
          <w:ilvl w:val="0"/>
          <w:numId w:val="1"/>
        </w:num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备份</w:t>
      </w:r>
      <w:r>
        <w:rPr>
          <w:rFonts w:hint="eastAsia" w:ascii="宋体" w:hAnsi="宋体" w:eastAsia="宋体" w:cs="宋体"/>
          <w:b/>
          <w:color w:val="auto"/>
          <w:sz w:val="24"/>
          <w:szCs w:val="24"/>
          <w:highlight w:val="none"/>
          <w:lang w:eastAsia="zh-CN"/>
        </w:rPr>
        <w:t>响应文件</w:t>
      </w:r>
    </w:p>
    <w:p w14:paraId="3411180A">
      <w:pPr>
        <w:pStyle w:val="34"/>
        <w:numPr>
          <w:ilvl w:val="0"/>
          <w:numId w:val="0"/>
        </w:numP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28"/>
          <w:sz w:val="24"/>
          <w:szCs w:val="24"/>
          <w:highlight w:val="none"/>
          <w:lang w:val="en-US" w:eastAsia="zh-CN"/>
        </w:rPr>
        <w:t>不收取备份响应文件</w:t>
      </w:r>
    </w:p>
    <w:p w14:paraId="02D4086A">
      <w:pPr>
        <w:pStyle w:val="13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szCs w:val="24"/>
          <w:highlight w:val="none"/>
          <w:lang w:val="en-US" w:eastAsia="zh-CN"/>
        </w:rPr>
        <w:t>5</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响应文件</w:t>
      </w:r>
      <w:r>
        <w:rPr>
          <w:rFonts w:hint="eastAsia" w:ascii="宋体" w:hAnsi="宋体" w:eastAsia="宋体" w:cs="宋体"/>
          <w:b/>
          <w:color w:val="auto"/>
          <w:szCs w:val="24"/>
          <w:highlight w:val="none"/>
        </w:rPr>
        <w:t>的无效处理</w:t>
      </w:r>
    </w:p>
    <w:p w14:paraId="1568F9EA">
      <w:pPr>
        <w:pStyle w:val="26"/>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w:t>
      </w:r>
      <w:r>
        <w:rPr>
          <w:rFonts w:hint="eastAsia" w:ascii="宋体" w:hAnsi="宋体" w:eastAsia="宋体" w:cs="宋体"/>
          <w:color w:val="auto"/>
          <w:szCs w:val="21"/>
          <w:highlight w:val="none"/>
          <w:lang w:eastAsia="zh-CN"/>
        </w:rPr>
        <w:t>交易文件</w:t>
      </w:r>
      <w:r>
        <w:rPr>
          <w:rFonts w:hint="eastAsia" w:ascii="宋体" w:hAnsi="宋体" w:eastAsia="宋体" w:cs="宋体"/>
          <w:color w:val="auto"/>
          <w:szCs w:val="21"/>
          <w:highlight w:val="none"/>
        </w:rPr>
        <w:t>第四部分</w:t>
      </w:r>
      <w:r>
        <w:rPr>
          <w:rFonts w:hint="eastAsia" w:ascii="宋体" w:hAnsi="宋体" w:eastAsia="宋体" w:cs="宋体"/>
          <w:color w:val="auto"/>
          <w:highlight w:val="none"/>
        </w:rPr>
        <w:t>4.2规定</w:t>
      </w:r>
      <w:r>
        <w:rPr>
          <w:rFonts w:hint="eastAsia" w:ascii="宋体" w:hAnsi="宋体" w:eastAsia="宋体" w:cs="宋体"/>
          <w:color w:val="auto"/>
          <w:szCs w:val="21"/>
          <w:highlight w:val="none"/>
        </w:rPr>
        <w:t>的情形之一的，</w:t>
      </w:r>
      <w:r>
        <w:rPr>
          <w:rFonts w:hint="eastAsia" w:ascii="宋体" w:hAnsi="宋体" w:eastAsia="宋体" w:cs="宋体"/>
          <w:color w:val="auto"/>
          <w:szCs w:val="21"/>
          <w:highlight w:val="none"/>
          <w:lang w:eastAsia="zh-CN"/>
        </w:rPr>
        <w:t>交易无效</w:t>
      </w:r>
      <w:r>
        <w:rPr>
          <w:rFonts w:hint="eastAsia" w:ascii="宋体" w:hAnsi="宋体" w:eastAsia="宋体" w:cs="宋体"/>
          <w:color w:val="auto"/>
          <w:szCs w:val="21"/>
          <w:highlight w:val="none"/>
        </w:rPr>
        <w:t>：</w:t>
      </w:r>
    </w:p>
    <w:p w14:paraId="6ECF68BF">
      <w:pPr>
        <w:pStyle w:val="132"/>
        <w:spacing w:before="0"/>
        <w:ind w:firstLine="0" w:firstLineChars="0"/>
        <w:rPr>
          <w:rFonts w:hint="eastAsia" w:ascii="宋体" w:hAnsi="宋体" w:eastAsia="宋体" w:cs="宋体"/>
          <w:b/>
          <w:color w:val="auto"/>
          <w:szCs w:val="24"/>
          <w:highlight w:val="none"/>
          <w:lang w:eastAsia="zh-CN"/>
        </w:rPr>
      </w:pPr>
      <w:r>
        <w:rPr>
          <w:rFonts w:hint="eastAsia" w:ascii="宋体" w:hAnsi="宋体" w:eastAsia="宋体" w:cs="宋体"/>
          <w:b/>
          <w:color w:val="auto"/>
          <w:szCs w:val="24"/>
          <w:highlight w:val="none"/>
        </w:rPr>
        <w:t>1</w:t>
      </w:r>
      <w:r>
        <w:rPr>
          <w:rFonts w:hint="eastAsia" w:ascii="宋体" w:hAnsi="宋体" w:eastAsia="宋体" w:cs="宋体"/>
          <w:b/>
          <w:color w:val="auto"/>
          <w:szCs w:val="24"/>
          <w:highlight w:val="none"/>
          <w:lang w:val="en-US" w:eastAsia="zh-CN"/>
        </w:rPr>
        <w:t>6</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交易有效期</w:t>
      </w:r>
    </w:p>
    <w:p w14:paraId="76126499">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w:t>
      </w:r>
      <w:r>
        <w:rPr>
          <w:rFonts w:hint="eastAsia" w:ascii="宋体" w:hAnsi="宋体" w:eastAsia="宋体" w:cs="宋体"/>
          <w:color w:val="auto"/>
          <w:sz w:val="24"/>
          <w:szCs w:val="20"/>
          <w:highlight w:val="none"/>
          <w:lang w:val="en-US" w:eastAsia="zh-CN"/>
        </w:rPr>
        <w:t>6</w:t>
      </w:r>
      <w:r>
        <w:rPr>
          <w:rFonts w:hint="eastAsia" w:ascii="宋体" w:hAnsi="宋体" w:eastAsia="宋体" w:cs="宋体"/>
          <w:color w:val="auto"/>
          <w:sz w:val="24"/>
          <w:szCs w:val="20"/>
          <w:highlight w:val="none"/>
        </w:rPr>
        <w:t>.1</w:t>
      </w:r>
      <w:r>
        <w:rPr>
          <w:rFonts w:hint="eastAsia" w:ascii="宋体" w:hAnsi="宋体" w:eastAsia="宋体" w:cs="宋体"/>
          <w:color w:val="auto"/>
          <w:sz w:val="24"/>
          <w:szCs w:val="20"/>
          <w:highlight w:val="none"/>
          <w:lang w:eastAsia="zh-CN"/>
        </w:rPr>
        <w:t>交易有效期</w:t>
      </w:r>
      <w:r>
        <w:rPr>
          <w:rFonts w:hint="eastAsia" w:ascii="宋体" w:hAnsi="宋体" w:eastAsia="宋体" w:cs="宋体"/>
          <w:color w:val="auto"/>
          <w:sz w:val="24"/>
          <w:szCs w:val="20"/>
          <w:highlight w:val="none"/>
        </w:rPr>
        <w:t>为从提交</w:t>
      </w:r>
      <w:r>
        <w:rPr>
          <w:rFonts w:hint="eastAsia" w:ascii="宋体" w:hAnsi="宋体" w:eastAsia="宋体" w:cs="宋体"/>
          <w:color w:val="auto"/>
          <w:sz w:val="24"/>
          <w:szCs w:val="20"/>
          <w:highlight w:val="none"/>
          <w:lang w:eastAsia="zh-CN"/>
        </w:rPr>
        <w:t>响应文件</w:t>
      </w:r>
      <w:r>
        <w:rPr>
          <w:rFonts w:hint="eastAsia" w:ascii="宋体" w:hAnsi="宋体" w:eastAsia="宋体" w:cs="宋体"/>
          <w:color w:val="auto"/>
          <w:sz w:val="24"/>
          <w:szCs w:val="20"/>
          <w:highlight w:val="none"/>
        </w:rPr>
        <w:t>的截止之日起90天。▲</w:t>
      </w:r>
      <w:r>
        <w:rPr>
          <w:rFonts w:hint="eastAsia" w:ascii="宋体" w:hAnsi="宋体" w:eastAsia="宋体" w:cs="宋体"/>
          <w:b/>
          <w:color w:val="auto"/>
          <w:sz w:val="24"/>
          <w:szCs w:val="20"/>
          <w:highlight w:val="none"/>
          <w:lang w:eastAsia="zh-CN"/>
        </w:rPr>
        <w:t>供应商</w:t>
      </w:r>
      <w:r>
        <w:rPr>
          <w:rFonts w:hint="eastAsia" w:ascii="宋体" w:hAnsi="宋体" w:eastAsia="宋体" w:cs="宋体"/>
          <w:b/>
          <w:color w:val="auto"/>
          <w:sz w:val="24"/>
          <w:szCs w:val="20"/>
          <w:highlight w:val="none"/>
        </w:rPr>
        <w:t>的</w:t>
      </w:r>
      <w:r>
        <w:rPr>
          <w:rFonts w:hint="eastAsia" w:ascii="宋体" w:hAnsi="宋体" w:eastAsia="宋体" w:cs="宋体"/>
          <w:b/>
          <w:color w:val="auto"/>
          <w:sz w:val="24"/>
          <w:szCs w:val="20"/>
          <w:highlight w:val="none"/>
          <w:lang w:eastAsia="zh-CN"/>
        </w:rPr>
        <w:t>响应文件</w:t>
      </w:r>
      <w:r>
        <w:rPr>
          <w:rFonts w:hint="eastAsia" w:ascii="宋体" w:hAnsi="宋体" w:eastAsia="宋体" w:cs="宋体"/>
          <w:b/>
          <w:color w:val="auto"/>
          <w:sz w:val="24"/>
          <w:szCs w:val="20"/>
          <w:highlight w:val="none"/>
        </w:rPr>
        <w:t>中承</w:t>
      </w:r>
      <w:r>
        <w:rPr>
          <w:rFonts w:hint="eastAsia" w:ascii="宋体" w:hAnsi="宋体" w:eastAsia="宋体" w:cs="宋体"/>
          <w:b/>
          <w:color w:val="auto"/>
          <w:sz w:val="24"/>
          <w:szCs w:val="21"/>
          <w:highlight w:val="none"/>
        </w:rPr>
        <w:t>诺的</w:t>
      </w:r>
      <w:r>
        <w:rPr>
          <w:rFonts w:hint="eastAsia" w:ascii="宋体" w:hAnsi="宋体" w:eastAsia="宋体" w:cs="宋体"/>
          <w:b/>
          <w:color w:val="auto"/>
          <w:sz w:val="24"/>
          <w:szCs w:val="21"/>
          <w:highlight w:val="none"/>
          <w:lang w:eastAsia="zh-CN"/>
        </w:rPr>
        <w:t>交易有效期</w:t>
      </w:r>
      <w:r>
        <w:rPr>
          <w:rFonts w:hint="eastAsia" w:ascii="宋体" w:hAnsi="宋体" w:eastAsia="宋体" w:cs="宋体"/>
          <w:b/>
          <w:color w:val="auto"/>
          <w:sz w:val="24"/>
          <w:szCs w:val="21"/>
          <w:highlight w:val="none"/>
        </w:rPr>
        <w:t>少于</w:t>
      </w:r>
      <w:r>
        <w:rPr>
          <w:rFonts w:hint="eastAsia" w:ascii="宋体" w:hAnsi="宋体" w:eastAsia="宋体" w:cs="宋体"/>
          <w:b/>
          <w:color w:val="auto"/>
          <w:sz w:val="24"/>
          <w:szCs w:val="21"/>
          <w:highlight w:val="none"/>
          <w:lang w:eastAsia="zh-CN"/>
        </w:rPr>
        <w:t>交易文件</w:t>
      </w:r>
      <w:r>
        <w:rPr>
          <w:rFonts w:hint="eastAsia" w:ascii="宋体" w:hAnsi="宋体" w:eastAsia="宋体" w:cs="宋体"/>
          <w:b/>
          <w:color w:val="auto"/>
          <w:sz w:val="24"/>
          <w:szCs w:val="21"/>
          <w:highlight w:val="none"/>
        </w:rPr>
        <w:t>中载明的</w:t>
      </w:r>
      <w:r>
        <w:rPr>
          <w:rFonts w:hint="eastAsia" w:ascii="宋体" w:hAnsi="宋体" w:eastAsia="宋体" w:cs="宋体"/>
          <w:b/>
          <w:color w:val="auto"/>
          <w:sz w:val="24"/>
          <w:szCs w:val="21"/>
          <w:highlight w:val="none"/>
          <w:lang w:eastAsia="zh-CN"/>
        </w:rPr>
        <w:t>交易有效期</w:t>
      </w:r>
      <w:r>
        <w:rPr>
          <w:rFonts w:hint="eastAsia" w:ascii="宋体" w:hAnsi="宋体" w:eastAsia="宋体" w:cs="宋体"/>
          <w:b/>
          <w:color w:val="auto"/>
          <w:sz w:val="24"/>
          <w:szCs w:val="21"/>
          <w:highlight w:val="none"/>
        </w:rPr>
        <w:t>的，</w:t>
      </w:r>
      <w:r>
        <w:rPr>
          <w:rFonts w:hint="eastAsia" w:ascii="宋体" w:hAnsi="宋体" w:eastAsia="宋体" w:cs="宋体"/>
          <w:b/>
          <w:color w:val="auto"/>
          <w:sz w:val="24"/>
          <w:szCs w:val="21"/>
          <w:highlight w:val="none"/>
          <w:lang w:eastAsia="zh-CN"/>
        </w:rPr>
        <w:t>交易无效</w:t>
      </w:r>
      <w:r>
        <w:rPr>
          <w:rFonts w:hint="eastAsia" w:ascii="宋体" w:hAnsi="宋体" w:eastAsia="宋体" w:cs="宋体"/>
          <w:b/>
          <w:color w:val="auto"/>
          <w:sz w:val="24"/>
          <w:szCs w:val="21"/>
          <w:highlight w:val="none"/>
        </w:rPr>
        <w:t>。</w:t>
      </w:r>
    </w:p>
    <w:p w14:paraId="7642CCA6">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.2</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合格投递后，自</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截止日期起，在</w:t>
      </w:r>
      <w:r>
        <w:rPr>
          <w:rFonts w:hint="eastAsia" w:ascii="宋体" w:hAnsi="宋体" w:eastAsia="宋体" w:cs="宋体"/>
          <w:color w:val="auto"/>
          <w:highlight w:val="none"/>
          <w:lang w:eastAsia="zh-CN"/>
        </w:rPr>
        <w:t>交易有效期</w:t>
      </w:r>
      <w:r>
        <w:rPr>
          <w:rFonts w:hint="eastAsia" w:ascii="宋体" w:hAnsi="宋体" w:eastAsia="宋体" w:cs="宋体"/>
          <w:color w:val="auto"/>
          <w:highlight w:val="none"/>
        </w:rPr>
        <w:t>内有效。</w:t>
      </w:r>
    </w:p>
    <w:p w14:paraId="06404C83">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.3在原定</w:t>
      </w:r>
      <w:r>
        <w:rPr>
          <w:rFonts w:hint="eastAsia" w:ascii="宋体" w:hAnsi="宋体" w:eastAsia="宋体" w:cs="宋体"/>
          <w:color w:val="auto"/>
          <w:highlight w:val="none"/>
          <w:lang w:eastAsia="zh-CN"/>
        </w:rPr>
        <w:t>交易有效期</w:t>
      </w:r>
      <w:r>
        <w:rPr>
          <w:rFonts w:hint="eastAsia" w:ascii="宋体" w:hAnsi="宋体" w:eastAsia="宋体" w:cs="宋体"/>
          <w:color w:val="auto"/>
          <w:highlight w:val="none"/>
        </w:rPr>
        <w:t>满之前，如果出现特殊情况，采购机构可以以书面形式通知</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延长</w:t>
      </w:r>
      <w:r>
        <w:rPr>
          <w:rFonts w:hint="eastAsia" w:ascii="宋体" w:hAnsi="宋体" w:eastAsia="宋体" w:cs="宋体"/>
          <w:color w:val="auto"/>
          <w:highlight w:val="none"/>
          <w:lang w:eastAsia="zh-CN"/>
        </w:rPr>
        <w:t>交易有效期</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同意延长的，不得要求或被允许修改其</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拒绝延长的，其</w:t>
      </w:r>
      <w:r>
        <w:rPr>
          <w:rFonts w:hint="eastAsia" w:ascii="宋体" w:hAnsi="宋体" w:eastAsia="宋体" w:cs="宋体"/>
          <w:color w:val="auto"/>
          <w:highlight w:val="none"/>
          <w:lang w:eastAsia="zh-CN"/>
        </w:rPr>
        <w:t>交易</w:t>
      </w:r>
      <w:r>
        <w:rPr>
          <w:rFonts w:hint="eastAsia" w:ascii="宋体" w:hAnsi="宋体" w:eastAsia="宋体" w:cs="宋体"/>
          <w:color w:val="auto"/>
          <w:highlight w:val="none"/>
        </w:rPr>
        <w:t>无效。</w:t>
      </w:r>
    </w:p>
    <w:p w14:paraId="7DB60738">
      <w:pPr>
        <w:pStyle w:val="132"/>
        <w:spacing w:before="0"/>
        <w:ind w:firstLine="643"/>
        <w:rPr>
          <w:rFonts w:hint="eastAsia" w:ascii="宋体" w:hAnsi="宋体" w:eastAsia="宋体" w:cs="宋体"/>
          <w:b/>
          <w:color w:val="auto"/>
          <w:sz w:val="32"/>
          <w:highlight w:val="none"/>
        </w:rPr>
      </w:pPr>
    </w:p>
    <w:p w14:paraId="5BA43C27">
      <w:pPr>
        <w:pStyle w:val="132"/>
        <w:spacing w:before="0"/>
        <w:ind w:left="0" w:leftChars="0" w:firstLine="0" w:firstLineChars="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w:t>
      </w:r>
      <w:r>
        <w:rPr>
          <w:rFonts w:hint="eastAsia" w:ascii="宋体" w:hAnsi="宋体" w:eastAsia="宋体" w:cs="宋体"/>
          <w:b/>
          <w:color w:val="auto"/>
          <w:sz w:val="32"/>
          <w:highlight w:val="none"/>
          <w:lang w:eastAsia="zh-CN"/>
        </w:rPr>
        <w:t>交易</w:t>
      </w:r>
      <w:r>
        <w:rPr>
          <w:rFonts w:hint="eastAsia" w:ascii="宋体" w:hAnsi="宋体" w:eastAsia="宋体" w:cs="宋体"/>
          <w:b/>
          <w:color w:val="auto"/>
          <w:sz w:val="32"/>
          <w:highlight w:val="none"/>
        </w:rPr>
        <w:t>、资格审查</w:t>
      </w:r>
    </w:p>
    <w:p w14:paraId="16FF9D90">
      <w:pPr>
        <w:pStyle w:val="557"/>
        <w:spacing w:before="0" w:line="360" w:lineRule="auto"/>
        <w:ind w:left="0" w:leftChars="0" w:firstLine="0" w:firstLineChars="0"/>
        <w:contextualSpacing/>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 xml:space="preserve">17.交易 </w:t>
      </w:r>
    </w:p>
    <w:p w14:paraId="60D3755A">
      <w:pPr>
        <w:pStyle w:val="557"/>
        <w:spacing w:before="0" w:line="360" w:lineRule="auto"/>
        <w:ind w:left="0" w:leftChars="0" w:firstLine="420" w:firstLineChars="175"/>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.1采购机构按照</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规定的时间通过电子交易平台组织开标，所有</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均应当准时在线参加。</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不足3家的，不得开标。</w:t>
      </w:r>
    </w:p>
    <w:p w14:paraId="4F60E18F">
      <w:pPr>
        <w:pStyle w:val="557"/>
        <w:spacing w:before="0" w:line="360" w:lineRule="auto"/>
        <w:ind w:left="0" w:leftChars="0" w:firstLine="420" w:firstLineChars="175"/>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交易</w:t>
      </w:r>
      <w:r>
        <w:rPr>
          <w:rFonts w:hint="eastAsia" w:ascii="宋体" w:hAnsi="宋体" w:eastAsia="宋体" w:cs="宋体"/>
          <w:color w:val="auto"/>
          <w:sz w:val="24"/>
          <w:highlight w:val="none"/>
        </w:rPr>
        <w:t>时，电子交易平台按</w:t>
      </w:r>
      <w:r>
        <w:rPr>
          <w:rFonts w:hint="eastAsia" w:ascii="宋体" w:hAnsi="宋体" w:eastAsia="宋体" w:cs="宋体"/>
          <w:color w:val="auto"/>
          <w:sz w:val="24"/>
          <w:highlight w:val="none"/>
          <w:lang w:eastAsia="zh-CN"/>
        </w:rPr>
        <w:t>交易时间</w:t>
      </w:r>
      <w:r>
        <w:rPr>
          <w:rFonts w:hint="eastAsia" w:ascii="宋体" w:hAnsi="宋体" w:eastAsia="宋体" w:cs="宋体"/>
          <w:color w:val="auto"/>
          <w:sz w:val="24"/>
          <w:highlight w:val="none"/>
        </w:rPr>
        <w:t>自动提取所有</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。采购机构依托电子交易平台发起开始解密指令，</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按照平台提示和</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的规定在半小时内完成在线解密。</w:t>
      </w:r>
    </w:p>
    <w:p w14:paraId="25223B3B">
      <w:pPr>
        <w:pStyle w:val="557"/>
        <w:spacing w:before="0" w:line="360" w:lineRule="auto"/>
        <w:ind w:left="0" w:leftChars="0" w:firstLine="420" w:firstLineChars="175"/>
        <w:contextualSpacing/>
        <w:rPr>
          <w:rFonts w:hint="eastAsia" w:ascii="宋体" w:hAnsi="宋体" w:eastAsia="宋体" w:cs="宋体"/>
          <w:b/>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.3</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未按时解密，</w:t>
      </w: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rPr>
        <w:t>提供了备份</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的，以备份</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作为依据，否则视为</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撤回。</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已按时解密的，备份</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自动失效。</w:t>
      </w:r>
    </w:p>
    <w:p w14:paraId="4C06D0A1">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1</w:t>
      </w:r>
      <w:r>
        <w:rPr>
          <w:rFonts w:hint="eastAsia" w:ascii="宋体" w:hAnsi="宋体" w:eastAsia="宋体" w:cs="宋体"/>
          <w:b/>
          <w:color w:val="auto"/>
          <w:sz w:val="24"/>
          <w:szCs w:val="20"/>
          <w:highlight w:val="none"/>
          <w:lang w:val="en-US" w:eastAsia="zh-CN"/>
        </w:rPr>
        <w:t>8</w:t>
      </w:r>
      <w:r>
        <w:rPr>
          <w:rFonts w:hint="eastAsia" w:ascii="宋体" w:hAnsi="宋体" w:eastAsia="宋体" w:cs="宋体"/>
          <w:b/>
          <w:color w:val="auto"/>
          <w:sz w:val="24"/>
          <w:szCs w:val="20"/>
          <w:highlight w:val="none"/>
        </w:rPr>
        <w:t>、资格审查</w:t>
      </w:r>
    </w:p>
    <w:p w14:paraId="1A2DC689">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w:t>
      </w:r>
      <w:r>
        <w:rPr>
          <w:rFonts w:hint="eastAsia" w:ascii="宋体" w:hAnsi="宋体" w:eastAsia="宋体" w:cs="宋体"/>
          <w:color w:val="auto"/>
          <w:kern w:val="0"/>
          <w:szCs w:val="24"/>
          <w:highlight w:val="none"/>
          <w:lang w:val="en-US" w:eastAsia="zh-CN"/>
        </w:rPr>
        <w:t>8</w:t>
      </w:r>
      <w:r>
        <w:rPr>
          <w:rFonts w:hint="eastAsia" w:ascii="宋体" w:hAnsi="宋体" w:eastAsia="宋体" w:cs="宋体"/>
          <w:color w:val="auto"/>
          <w:kern w:val="0"/>
          <w:szCs w:val="24"/>
          <w:highlight w:val="none"/>
        </w:rPr>
        <w:t>.1</w:t>
      </w:r>
      <w:r>
        <w:rPr>
          <w:rFonts w:hint="eastAsia" w:ascii="宋体" w:hAnsi="宋体" w:eastAsia="宋体" w:cs="宋体"/>
          <w:color w:val="auto"/>
          <w:kern w:val="0"/>
          <w:szCs w:val="24"/>
          <w:highlight w:val="none"/>
          <w:lang w:eastAsia="zh-CN"/>
        </w:rPr>
        <w:t>交易</w:t>
      </w:r>
      <w:r>
        <w:rPr>
          <w:rFonts w:hint="eastAsia" w:ascii="宋体" w:hAnsi="宋体" w:eastAsia="宋体" w:cs="宋体"/>
          <w:color w:val="auto"/>
          <w:kern w:val="0"/>
          <w:szCs w:val="24"/>
          <w:highlight w:val="none"/>
        </w:rPr>
        <w:t>后，</w:t>
      </w:r>
      <w:r>
        <w:rPr>
          <w:rFonts w:hint="eastAsia" w:ascii="宋体" w:hAnsi="宋体" w:eastAsia="宋体" w:cs="宋体"/>
          <w:color w:val="auto"/>
          <w:kern w:val="0"/>
          <w:szCs w:val="24"/>
          <w:highlight w:val="none"/>
          <w:lang w:eastAsia="zh-CN"/>
        </w:rPr>
        <w:t>交易人</w:t>
      </w:r>
      <w:r>
        <w:rPr>
          <w:rFonts w:hint="eastAsia" w:ascii="宋体" w:hAnsi="宋体" w:eastAsia="宋体" w:cs="宋体"/>
          <w:color w:val="auto"/>
          <w:kern w:val="0"/>
          <w:szCs w:val="24"/>
          <w:highlight w:val="none"/>
        </w:rPr>
        <w:t>或采购机构将依法对</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的资格进行审查。</w:t>
      </w:r>
    </w:p>
    <w:p w14:paraId="066AAB9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8</w:t>
      </w:r>
      <w:r>
        <w:rPr>
          <w:rFonts w:hint="eastAsia" w:ascii="宋体" w:hAnsi="宋体" w:eastAsia="宋体" w:cs="宋体"/>
          <w:color w:val="auto"/>
          <w:kern w:val="0"/>
          <w:sz w:val="24"/>
          <w:highlight w:val="none"/>
        </w:rPr>
        <w:t>.2</w:t>
      </w: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或采购机构依据法律法规和</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的规定，对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的基本资格条件、特定资格条件进行审查。</w:t>
      </w:r>
    </w:p>
    <w:p w14:paraId="36012DA2">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w:t>
      </w:r>
      <w:r>
        <w:rPr>
          <w:rFonts w:hint="eastAsia" w:ascii="宋体" w:hAnsi="宋体" w:eastAsia="宋体" w:cs="宋体"/>
          <w:color w:val="auto"/>
          <w:kern w:val="0"/>
          <w:szCs w:val="24"/>
          <w:highlight w:val="none"/>
          <w:lang w:val="en-US" w:eastAsia="zh-CN"/>
        </w:rPr>
        <w:t>8</w:t>
      </w:r>
      <w:r>
        <w:rPr>
          <w:rFonts w:hint="eastAsia" w:ascii="宋体" w:hAnsi="宋体" w:eastAsia="宋体" w:cs="宋体"/>
          <w:color w:val="auto"/>
          <w:kern w:val="0"/>
          <w:szCs w:val="24"/>
          <w:highlight w:val="none"/>
        </w:rPr>
        <w:t>.3</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未按照</w:t>
      </w:r>
      <w:r>
        <w:rPr>
          <w:rFonts w:hint="eastAsia" w:ascii="宋体" w:hAnsi="宋体" w:eastAsia="宋体" w:cs="宋体"/>
          <w:color w:val="auto"/>
          <w:kern w:val="0"/>
          <w:szCs w:val="24"/>
          <w:highlight w:val="none"/>
          <w:lang w:eastAsia="zh-CN"/>
        </w:rPr>
        <w:t>交易文件</w:t>
      </w:r>
      <w:r>
        <w:rPr>
          <w:rFonts w:hint="eastAsia" w:ascii="宋体" w:hAnsi="宋体" w:eastAsia="宋体" w:cs="宋体"/>
          <w:color w:val="auto"/>
          <w:kern w:val="0"/>
          <w:szCs w:val="24"/>
          <w:highlight w:val="none"/>
        </w:rPr>
        <w:t>要求提供与</w:t>
      </w:r>
      <w:r>
        <w:rPr>
          <w:rFonts w:hint="eastAsia" w:ascii="宋体" w:hAnsi="宋体" w:eastAsia="宋体" w:cs="宋体"/>
          <w:color w:val="auto"/>
          <w:highlight w:val="none"/>
        </w:rPr>
        <w:t>基本资格条件、特定资格条件相应的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不具备</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中规定的资格要求，其</w:t>
      </w:r>
      <w:r>
        <w:rPr>
          <w:rFonts w:hint="eastAsia" w:ascii="宋体" w:hAnsi="宋体" w:eastAsia="宋体" w:cs="宋体"/>
          <w:color w:val="auto"/>
          <w:highlight w:val="none"/>
          <w:lang w:eastAsia="zh-CN"/>
        </w:rPr>
        <w:t>交易无效</w:t>
      </w:r>
      <w:r>
        <w:rPr>
          <w:rFonts w:hint="eastAsia" w:ascii="宋体" w:hAnsi="宋体" w:eastAsia="宋体" w:cs="宋体"/>
          <w:color w:val="auto"/>
          <w:highlight w:val="none"/>
        </w:rPr>
        <w:t>。</w:t>
      </w:r>
    </w:p>
    <w:p w14:paraId="4F751CB5">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w:t>
      </w:r>
      <w:r>
        <w:rPr>
          <w:rFonts w:hint="eastAsia" w:ascii="宋体" w:hAnsi="宋体" w:eastAsia="宋体" w:cs="宋体"/>
          <w:color w:val="auto"/>
          <w:kern w:val="0"/>
          <w:szCs w:val="24"/>
          <w:highlight w:val="none"/>
          <w:lang w:val="en-US" w:eastAsia="zh-CN"/>
        </w:rPr>
        <w:t>8</w:t>
      </w:r>
      <w:r>
        <w:rPr>
          <w:rFonts w:hint="eastAsia" w:ascii="宋体" w:hAnsi="宋体" w:eastAsia="宋体" w:cs="宋体"/>
          <w:color w:val="auto"/>
          <w:kern w:val="0"/>
          <w:szCs w:val="24"/>
          <w:highlight w:val="none"/>
        </w:rPr>
        <w:t>.</w:t>
      </w:r>
      <w:r>
        <w:rPr>
          <w:rFonts w:hint="eastAsia" w:ascii="宋体" w:hAnsi="宋体" w:eastAsia="宋体" w:cs="宋体"/>
          <w:color w:val="auto"/>
          <w:highlight w:val="none"/>
        </w:rPr>
        <w:t>4对未通过资格审查的</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或采购机构告知其未通过的原因。</w:t>
      </w:r>
    </w:p>
    <w:p w14:paraId="75516872">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w:t>
      </w:r>
      <w:r>
        <w:rPr>
          <w:rFonts w:hint="eastAsia" w:ascii="宋体" w:hAnsi="宋体" w:eastAsia="宋体" w:cs="宋体"/>
          <w:color w:val="auto"/>
          <w:kern w:val="0"/>
          <w:szCs w:val="24"/>
          <w:highlight w:val="none"/>
          <w:lang w:val="en-US" w:eastAsia="zh-CN"/>
        </w:rPr>
        <w:t>8</w:t>
      </w:r>
      <w:r>
        <w:rPr>
          <w:rFonts w:hint="eastAsia" w:ascii="宋体" w:hAnsi="宋体" w:eastAsia="宋体" w:cs="宋体"/>
          <w:color w:val="auto"/>
          <w:kern w:val="0"/>
          <w:szCs w:val="24"/>
          <w:highlight w:val="none"/>
        </w:rPr>
        <w:t>.</w:t>
      </w:r>
      <w:r>
        <w:rPr>
          <w:rFonts w:hint="eastAsia" w:ascii="宋体" w:hAnsi="宋体" w:eastAsia="宋体" w:cs="宋体"/>
          <w:color w:val="auto"/>
          <w:highlight w:val="none"/>
        </w:rPr>
        <w:t>5合格</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不足3家的，不再评标。</w:t>
      </w:r>
    </w:p>
    <w:p w14:paraId="599FF1A2">
      <w:pPr>
        <w:pStyle w:val="132"/>
        <w:spacing w:before="0"/>
        <w:ind w:firstLine="0" w:firstLineChars="0"/>
        <w:rPr>
          <w:rFonts w:hint="eastAsia" w:ascii="宋体" w:hAnsi="宋体" w:eastAsia="宋体" w:cs="宋体"/>
          <w:color w:val="auto"/>
          <w:kern w:val="0"/>
          <w:szCs w:val="24"/>
          <w:highlight w:val="none"/>
        </w:rPr>
      </w:pPr>
    </w:p>
    <w:p w14:paraId="768BC4B3">
      <w:pPr>
        <w:snapToGrid w:val="0"/>
        <w:spacing w:line="360" w:lineRule="auto"/>
        <w:jc w:val="center"/>
        <w:outlineLvl w:val="0"/>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rPr>
        <w:t>五、评</w:t>
      </w:r>
      <w:r>
        <w:rPr>
          <w:rFonts w:hint="eastAsia" w:ascii="宋体" w:hAnsi="宋体" w:eastAsia="宋体" w:cs="宋体"/>
          <w:b/>
          <w:color w:val="auto"/>
          <w:sz w:val="36"/>
          <w:szCs w:val="36"/>
          <w:highlight w:val="none"/>
          <w:lang w:val="en-US" w:eastAsia="zh-CN"/>
        </w:rPr>
        <w:t>审</w:t>
      </w:r>
    </w:p>
    <w:p w14:paraId="3737E4A6">
      <w:pPr>
        <w:spacing w:line="360" w:lineRule="auto"/>
        <w:rPr>
          <w:rFonts w:hint="eastAsia" w:ascii="宋体" w:hAnsi="宋体" w:eastAsia="宋体" w:cs="宋体"/>
          <w:color w:val="auto"/>
          <w:sz w:val="24"/>
          <w:highlight w:val="none"/>
        </w:rPr>
      </w:pPr>
      <w:bookmarkStart w:id="18" w:name="_Toc91899903"/>
      <w:r>
        <w:rPr>
          <w:rFonts w:hint="eastAsia" w:ascii="宋体" w:hAnsi="宋体" w:eastAsia="宋体" w:cs="宋体"/>
          <w:b/>
          <w:color w:val="auto"/>
          <w:sz w:val="24"/>
          <w:highlight w:val="none"/>
          <w:lang w:val="en-US" w:eastAsia="zh-CN"/>
        </w:rPr>
        <w:t>19</w:t>
      </w:r>
      <w:r>
        <w:rPr>
          <w:rFonts w:hint="eastAsia" w:ascii="宋体" w:hAnsi="宋体" w:eastAsia="宋体" w:cs="宋体"/>
          <w:b/>
          <w:color w:val="auto"/>
          <w:sz w:val="24"/>
          <w:highlight w:val="none"/>
        </w:rPr>
        <w:t>.</w:t>
      </w:r>
      <w:r>
        <w:rPr>
          <w:rFonts w:hint="eastAsia" w:ascii="宋体" w:hAnsi="宋体" w:eastAsia="宋体" w:cs="宋体"/>
          <w:color w:val="auto"/>
          <w:sz w:val="24"/>
          <w:highlight w:val="none"/>
        </w:rPr>
        <w:t>评标委员会将根据</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和有关规定，履行评标工作职责，并按照评标方法及评分标准，全面衡量各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的响应情况。对实质上响应</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，按照评审因素的量化指标排出推荐</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的先后顺序，并按顺序提出授标建议。</w:t>
      </w:r>
    </w:p>
    <w:p w14:paraId="5510DEE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详见</w:t>
      </w:r>
      <w:r>
        <w:rPr>
          <w:rFonts w:hint="eastAsia" w:ascii="宋体" w:hAnsi="宋体" w:eastAsia="宋体" w:cs="宋体"/>
          <w:b/>
          <w:color w:val="auto"/>
          <w:sz w:val="24"/>
          <w:highlight w:val="none"/>
          <w:lang w:eastAsia="zh-CN"/>
        </w:rPr>
        <w:t>交易文件</w:t>
      </w:r>
      <w:r>
        <w:rPr>
          <w:rFonts w:hint="eastAsia" w:ascii="宋体" w:hAnsi="宋体" w:eastAsia="宋体" w:cs="宋体"/>
          <w:b/>
          <w:color w:val="auto"/>
          <w:sz w:val="24"/>
          <w:highlight w:val="none"/>
        </w:rPr>
        <w:t>第四部分</w:t>
      </w:r>
      <w:r>
        <w:rPr>
          <w:rFonts w:hint="eastAsia" w:ascii="宋体" w:hAnsi="宋体" w:eastAsia="宋体" w:cs="宋体"/>
          <w:b/>
          <w:color w:val="auto"/>
          <w:sz w:val="24"/>
          <w:highlight w:val="none"/>
          <w:lang w:eastAsia="zh-CN"/>
        </w:rPr>
        <w:t>交易办法</w:t>
      </w:r>
      <w:r>
        <w:rPr>
          <w:rFonts w:hint="eastAsia" w:ascii="宋体" w:hAnsi="宋体" w:eastAsia="宋体" w:cs="宋体"/>
          <w:b/>
          <w:color w:val="auto"/>
          <w:sz w:val="24"/>
          <w:highlight w:val="none"/>
        </w:rPr>
        <w:t>。</w:t>
      </w:r>
    </w:p>
    <w:p w14:paraId="6FC5913C">
      <w:pPr>
        <w:spacing w:line="360" w:lineRule="auto"/>
        <w:rPr>
          <w:rFonts w:hint="eastAsia" w:ascii="宋体" w:hAnsi="宋体" w:eastAsia="宋体" w:cs="宋体"/>
          <w:b/>
          <w:color w:val="auto"/>
          <w:sz w:val="24"/>
          <w:highlight w:val="none"/>
        </w:rPr>
      </w:pPr>
    </w:p>
    <w:p w14:paraId="4203116C">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六、定标</w:t>
      </w:r>
    </w:p>
    <w:p w14:paraId="3AEFB22C">
      <w:pPr>
        <w:pStyle w:val="26"/>
        <w:spacing w:line="360" w:lineRule="auto"/>
        <w:ind w:left="479" w:hanging="479" w:hangingChars="199"/>
        <w:rPr>
          <w:rFonts w:hint="eastAsia" w:ascii="宋体" w:hAnsi="宋体" w:eastAsia="宋体" w:cs="宋体"/>
          <w:b/>
          <w:color w:val="auto"/>
          <w:highlight w:val="none"/>
          <w:lang w:eastAsia="zh-CN"/>
        </w:rPr>
      </w:pPr>
      <w:r>
        <w:rPr>
          <w:rFonts w:hint="eastAsia" w:ascii="宋体" w:hAnsi="宋体" w:eastAsia="宋体" w:cs="宋体"/>
          <w:b/>
          <w:color w:val="auto"/>
          <w:highlight w:val="none"/>
        </w:rPr>
        <w:t>2</w:t>
      </w:r>
      <w:r>
        <w:rPr>
          <w:rFonts w:hint="eastAsia" w:ascii="宋体" w:hAnsi="宋体" w:eastAsia="宋体" w:cs="宋体"/>
          <w:b/>
          <w:color w:val="auto"/>
          <w:highlight w:val="none"/>
          <w:lang w:val="en-US" w:eastAsia="zh-CN"/>
        </w:rPr>
        <w:t>0</w:t>
      </w:r>
      <w:r>
        <w:rPr>
          <w:rFonts w:hint="eastAsia" w:ascii="宋体" w:hAnsi="宋体" w:eastAsia="宋体" w:cs="宋体"/>
          <w:b/>
          <w:color w:val="auto"/>
          <w:highlight w:val="none"/>
        </w:rPr>
        <w:t>.确定</w:t>
      </w:r>
      <w:r>
        <w:rPr>
          <w:rFonts w:hint="eastAsia" w:ascii="宋体" w:hAnsi="宋体" w:eastAsia="宋体" w:cs="宋体"/>
          <w:b/>
          <w:color w:val="auto"/>
          <w:highlight w:val="none"/>
          <w:lang w:eastAsia="zh-CN"/>
        </w:rPr>
        <w:t>成交供应商</w:t>
      </w:r>
    </w:p>
    <w:p w14:paraId="1F3F38DD">
      <w:pPr>
        <w:pStyle w:val="132"/>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lang w:eastAsia="zh-CN"/>
        </w:rPr>
        <w:t>交易人</w:t>
      </w:r>
      <w:r>
        <w:rPr>
          <w:rFonts w:hint="eastAsia" w:ascii="宋体" w:hAnsi="宋体" w:eastAsia="宋体" w:cs="宋体"/>
          <w:color w:val="auto"/>
          <w:szCs w:val="24"/>
          <w:highlight w:val="none"/>
        </w:rPr>
        <w:t>将自收到评审报告之日起5个工作日内通过电子交易平台在评审报告推荐的</w:t>
      </w:r>
      <w:r>
        <w:rPr>
          <w:rFonts w:hint="eastAsia" w:ascii="宋体" w:hAnsi="宋体" w:eastAsia="宋体" w:cs="宋体"/>
          <w:color w:val="auto"/>
          <w:szCs w:val="24"/>
          <w:highlight w:val="none"/>
          <w:lang w:eastAsia="zh-CN"/>
        </w:rPr>
        <w:t>成交候选人</w:t>
      </w:r>
      <w:r>
        <w:rPr>
          <w:rFonts w:hint="eastAsia" w:ascii="宋体" w:hAnsi="宋体" w:eastAsia="宋体" w:cs="宋体"/>
          <w:color w:val="auto"/>
          <w:szCs w:val="24"/>
          <w:highlight w:val="none"/>
        </w:rPr>
        <w:t>中按顺序确定</w:t>
      </w:r>
      <w:r>
        <w:rPr>
          <w:rFonts w:hint="eastAsia" w:ascii="宋体" w:hAnsi="宋体" w:eastAsia="宋体" w:cs="宋体"/>
          <w:color w:val="auto"/>
          <w:szCs w:val="24"/>
          <w:highlight w:val="none"/>
          <w:lang w:eastAsia="zh-CN"/>
        </w:rPr>
        <w:t>成交供应商</w:t>
      </w:r>
      <w:r>
        <w:rPr>
          <w:rFonts w:hint="eastAsia" w:ascii="宋体" w:hAnsi="宋体" w:eastAsia="宋体" w:cs="宋体"/>
          <w:color w:val="auto"/>
          <w:szCs w:val="24"/>
          <w:highlight w:val="none"/>
        </w:rPr>
        <w:t>。</w:t>
      </w:r>
    </w:p>
    <w:p w14:paraId="21AE1400">
      <w:pPr>
        <w:pStyle w:val="132"/>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w:t>
      </w:r>
      <w:r>
        <w:rPr>
          <w:rFonts w:hint="eastAsia" w:ascii="宋体" w:hAnsi="宋体" w:eastAsia="宋体" w:cs="宋体"/>
          <w:b/>
          <w:color w:val="auto"/>
          <w:szCs w:val="24"/>
          <w:highlight w:val="none"/>
          <w:lang w:val="en-US" w:eastAsia="zh-CN"/>
        </w:rPr>
        <w:t>1</w:t>
      </w:r>
      <w:r>
        <w:rPr>
          <w:rFonts w:hint="eastAsia" w:ascii="宋体" w:hAnsi="宋体" w:eastAsia="宋体" w:cs="宋体"/>
          <w:b/>
          <w:color w:val="auto"/>
          <w:szCs w:val="24"/>
          <w:highlight w:val="none"/>
        </w:rPr>
        <w:t>.</w:t>
      </w:r>
      <w:r>
        <w:rPr>
          <w:rFonts w:hint="eastAsia" w:ascii="宋体" w:hAnsi="宋体" w:eastAsia="宋体" w:cs="宋体"/>
          <w:b/>
          <w:color w:val="auto"/>
          <w:szCs w:val="24"/>
          <w:highlight w:val="none"/>
          <w:lang w:eastAsia="zh-CN"/>
        </w:rPr>
        <w:t>成交通知</w:t>
      </w:r>
      <w:r>
        <w:rPr>
          <w:rFonts w:hint="eastAsia" w:ascii="宋体" w:hAnsi="宋体" w:eastAsia="宋体" w:cs="宋体"/>
          <w:b/>
          <w:color w:val="auto"/>
          <w:szCs w:val="24"/>
          <w:highlight w:val="none"/>
        </w:rPr>
        <w:t>与</w:t>
      </w:r>
      <w:r>
        <w:rPr>
          <w:rFonts w:hint="eastAsia" w:ascii="宋体" w:hAnsi="宋体" w:eastAsia="宋体" w:cs="宋体"/>
          <w:b/>
          <w:color w:val="auto"/>
          <w:szCs w:val="24"/>
          <w:highlight w:val="none"/>
          <w:lang w:eastAsia="zh-CN"/>
        </w:rPr>
        <w:t>成交结果</w:t>
      </w:r>
      <w:r>
        <w:rPr>
          <w:rFonts w:hint="eastAsia" w:ascii="宋体" w:hAnsi="宋体" w:eastAsia="宋体" w:cs="宋体"/>
          <w:b/>
          <w:color w:val="auto"/>
          <w:szCs w:val="24"/>
          <w:highlight w:val="none"/>
        </w:rPr>
        <w:t>公告</w:t>
      </w:r>
    </w:p>
    <w:p w14:paraId="323AFD49">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.1自</w:t>
      </w:r>
      <w:r>
        <w:rPr>
          <w:rFonts w:hint="eastAsia" w:ascii="宋体" w:hAnsi="宋体" w:eastAsia="宋体" w:cs="宋体"/>
          <w:color w:val="auto"/>
          <w:sz w:val="24"/>
          <w:highlight w:val="none"/>
          <w:lang w:eastAsia="zh-CN"/>
        </w:rPr>
        <w:t>成交人</w:t>
      </w:r>
      <w:r>
        <w:rPr>
          <w:rFonts w:hint="eastAsia" w:ascii="宋体" w:hAnsi="宋体" w:eastAsia="宋体" w:cs="宋体"/>
          <w:color w:val="auto"/>
          <w:sz w:val="24"/>
          <w:highlight w:val="none"/>
        </w:rPr>
        <w:t>确定之日起</w:t>
      </w:r>
      <w:r>
        <w:rPr>
          <w:rFonts w:hint="eastAsia" w:ascii="宋体" w:hAnsi="宋体" w:eastAsia="宋体" w:cs="宋体"/>
          <w:color w:val="auto"/>
          <w:sz w:val="24"/>
          <w:highlight w:val="none"/>
          <w:lang w:val="en-US" w:eastAsia="zh-CN"/>
        </w:rPr>
        <w:t>3天</w:t>
      </w:r>
      <w:r>
        <w:rPr>
          <w:rFonts w:hint="eastAsia" w:ascii="宋体" w:hAnsi="宋体" w:eastAsia="宋体" w:cs="宋体"/>
          <w:color w:val="auto"/>
          <w:sz w:val="24"/>
          <w:highlight w:val="none"/>
        </w:rPr>
        <w:t>内，采购机构通过电子交易平台向</w:t>
      </w:r>
      <w:r>
        <w:rPr>
          <w:rFonts w:hint="eastAsia" w:ascii="宋体" w:hAnsi="宋体" w:eastAsia="宋体" w:cs="宋体"/>
          <w:color w:val="auto"/>
          <w:sz w:val="24"/>
          <w:highlight w:val="none"/>
          <w:lang w:eastAsia="zh-CN"/>
        </w:rPr>
        <w:t>成交人</w:t>
      </w:r>
      <w:r>
        <w:rPr>
          <w:rFonts w:hint="eastAsia" w:ascii="宋体" w:hAnsi="宋体" w:eastAsia="宋体" w:cs="宋体"/>
          <w:color w:val="auto"/>
          <w:sz w:val="24"/>
          <w:highlight w:val="none"/>
        </w:rPr>
        <w:t>发出</w:t>
      </w:r>
      <w:r>
        <w:rPr>
          <w:rFonts w:hint="eastAsia" w:ascii="宋体" w:hAnsi="宋体" w:eastAsia="宋体" w:cs="宋体"/>
          <w:color w:val="auto"/>
          <w:sz w:val="24"/>
          <w:highlight w:val="none"/>
          <w:lang w:eastAsia="zh-CN"/>
        </w:rPr>
        <w:t>成交通知</w:t>
      </w:r>
      <w:r>
        <w:rPr>
          <w:rFonts w:hint="eastAsia" w:ascii="宋体" w:hAnsi="宋体" w:eastAsia="宋体" w:cs="宋体"/>
          <w:color w:val="auto"/>
          <w:sz w:val="24"/>
          <w:highlight w:val="none"/>
        </w:rPr>
        <w:t>书，同时编制发布采购结果公告。采购机构也可以以纸质形式进行</w:t>
      </w:r>
      <w:r>
        <w:rPr>
          <w:rFonts w:hint="eastAsia" w:ascii="宋体" w:hAnsi="宋体" w:eastAsia="宋体" w:cs="宋体"/>
          <w:color w:val="auto"/>
          <w:sz w:val="24"/>
          <w:highlight w:val="none"/>
          <w:lang w:eastAsia="zh-CN"/>
        </w:rPr>
        <w:t>成交通知</w:t>
      </w:r>
      <w:r>
        <w:rPr>
          <w:rFonts w:hint="eastAsia" w:ascii="宋体" w:hAnsi="宋体" w:eastAsia="宋体" w:cs="宋体"/>
          <w:color w:val="auto"/>
          <w:sz w:val="24"/>
          <w:highlight w:val="none"/>
        </w:rPr>
        <w:t>。</w:t>
      </w:r>
    </w:p>
    <w:p w14:paraId="0CFA11C6">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成交结果</w:t>
      </w:r>
      <w:r>
        <w:rPr>
          <w:rFonts w:hint="eastAsia" w:ascii="宋体" w:hAnsi="宋体" w:eastAsia="宋体" w:cs="宋体"/>
          <w:color w:val="auto"/>
          <w:sz w:val="24"/>
          <w:highlight w:val="none"/>
        </w:rPr>
        <w:t>公告内容包括</w:t>
      </w: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及其委托的采购机构的名称、地址、联系方式，项目名称和</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编号，</w:t>
      </w:r>
      <w:r>
        <w:rPr>
          <w:rFonts w:hint="eastAsia" w:ascii="宋体" w:hAnsi="宋体" w:eastAsia="宋体" w:cs="宋体"/>
          <w:color w:val="auto"/>
          <w:sz w:val="24"/>
          <w:highlight w:val="none"/>
          <w:lang w:eastAsia="zh-CN"/>
        </w:rPr>
        <w:t>成交人</w:t>
      </w:r>
      <w:r>
        <w:rPr>
          <w:rFonts w:hint="eastAsia" w:ascii="宋体" w:hAnsi="宋体" w:eastAsia="宋体" w:cs="宋体"/>
          <w:color w:val="auto"/>
          <w:sz w:val="24"/>
          <w:highlight w:val="none"/>
        </w:rPr>
        <w:t>名称、地址和</w:t>
      </w:r>
      <w:r>
        <w:rPr>
          <w:rFonts w:hint="eastAsia" w:ascii="宋体" w:hAnsi="宋体" w:eastAsia="宋体" w:cs="宋体"/>
          <w:color w:val="auto"/>
          <w:sz w:val="24"/>
          <w:highlight w:val="none"/>
          <w:lang w:eastAsia="zh-CN"/>
        </w:rPr>
        <w:t>成交</w:t>
      </w:r>
      <w:r>
        <w:rPr>
          <w:rFonts w:hint="eastAsia" w:ascii="宋体" w:hAnsi="宋体" w:eastAsia="宋体" w:cs="宋体"/>
          <w:color w:val="auto"/>
          <w:sz w:val="24"/>
          <w:highlight w:val="none"/>
        </w:rPr>
        <w:t>金额。</w:t>
      </w:r>
    </w:p>
    <w:p w14:paraId="55C98A67">
      <w:pP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6108E2E8">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68DF8C0E">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ascii="宋体" w:hAnsi="宋体" w:eastAsia="宋体" w:cs="宋体"/>
          <w:b/>
          <w:color w:val="auto"/>
          <w:highlight w:val="none"/>
          <w:lang w:val="en-US" w:eastAsia="zh-CN"/>
        </w:rPr>
        <w:t>2</w:t>
      </w:r>
      <w:r>
        <w:rPr>
          <w:rFonts w:hint="eastAsia" w:ascii="宋体" w:hAnsi="宋体" w:eastAsia="宋体" w:cs="宋体"/>
          <w:b/>
          <w:color w:val="auto"/>
          <w:highlight w:val="none"/>
        </w:rPr>
        <w:t>.</w:t>
      </w:r>
      <w:r>
        <w:rPr>
          <w:rFonts w:hint="eastAsia" w:ascii="宋体" w:hAnsi="宋体" w:eastAsia="宋体" w:cs="宋体"/>
          <w:color w:val="auto"/>
          <w:highlight w:val="none"/>
        </w:rPr>
        <w:t>合同主要条款详见第五部分拟签订的合同文本。</w:t>
      </w:r>
    </w:p>
    <w:p w14:paraId="7681C6B6">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ascii="宋体" w:hAnsi="宋体" w:eastAsia="宋体" w:cs="宋体"/>
          <w:b/>
          <w:color w:val="auto"/>
          <w:highlight w:val="none"/>
          <w:lang w:val="en-US" w:eastAsia="zh-CN"/>
        </w:rPr>
        <w:t>3</w:t>
      </w:r>
      <w:r>
        <w:rPr>
          <w:rFonts w:hint="eastAsia" w:ascii="宋体" w:hAnsi="宋体" w:eastAsia="宋体" w:cs="宋体"/>
          <w:b/>
          <w:color w:val="auto"/>
          <w:highlight w:val="none"/>
        </w:rPr>
        <w:t>.合同的签订</w:t>
      </w:r>
    </w:p>
    <w:p w14:paraId="328CE2AA">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eastAsia="zh-CN"/>
        </w:rPr>
        <w:t>交易人</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lang w:eastAsia="zh-CN"/>
        </w:rPr>
        <w:t>成交人</w:t>
      </w:r>
      <w:r>
        <w:rPr>
          <w:rFonts w:hint="eastAsia" w:ascii="宋体" w:hAnsi="宋体" w:eastAsia="宋体" w:cs="宋体"/>
          <w:color w:val="auto"/>
          <w:kern w:val="0"/>
          <w:sz w:val="24"/>
          <w:highlight w:val="none"/>
        </w:rPr>
        <w:t>应当通过电子交易平台在</w:t>
      </w:r>
      <w:r>
        <w:rPr>
          <w:rFonts w:hint="eastAsia" w:ascii="宋体" w:hAnsi="宋体" w:eastAsia="宋体" w:cs="宋体"/>
          <w:color w:val="auto"/>
          <w:kern w:val="0"/>
          <w:sz w:val="24"/>
          <w:highlight w:val="none"/>
          <w:lang w:eastAsia="zh-CN"/>
        </w:rPr>
        <w:t>成交通知</w:t>
      </w:r>
      <w:r>
        <w:rPr>
          <w:rFonts w:hint="eastAsia" w:ascii="宋体" w:hAnsi="宋体" w:eastAsia="宋体" w:cs="宋体"/>
          <w:color w:val="auto"/>
          <w:kern w:val="0"/>
          <w:sz w:val="24"/>
          <w:highlight w:val="none"/>
        </w:rPr>
        <w:t>书发出之日起三十日内，按照</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确定的事项签订采购合同。</w:t>
      </w:r>
    </w:p>
    <w:p w14:paraId="77E28BF4">
      <w:pPr>
        <w:pStyle w:val="132"/>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w:t>
      </w:r>
      <w:r>
        <w:rPr>
          <w:rFonts w:hint="eastAsia" w:ascii="宋体" w:hAnsi="宋体" w:eastAsia="宋体" w:cs="宋体"/>
          <w:color w:val="auto"/>
          <w:kern w:val="0"/>
          <w:highlight w:val="none"/>
          <w:lang w:val="en-US" w:eastAsia="zh-CN"/>
        </w:rPr>
        <w:t>3</w:t>
      </w:r>
      <w:r>
        <w:rPr>
          <w:rFonts w:hint="eastAsia" w:ascii="宋体" w:hAnsi="宋体" w:eastAsia="宋体" w:cs="宋体"/>
          <w:color w:val="auto"/>
          <w:kern w:val="0"/>
          <w:highlight w:val="none"/>
          <w:lang w:val="zh-CN"/>
        </w:rPr>
        <w:t>.2成交人按规定的日期、时间、地点，由法定代表人或其授权代表与交易人代表签订合同。如成交人为联合体的，由联合体成员各方法定代表人或其授权代表与交易人代表签订合同。</w:t>
      </w:r>
    </w:p>
    <w:p w14:paraId="127A2373">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.3如签订合同并生效后，供应商无故拒绝或延期，除按照合同条款处理外，列入不良行为记录一次，并给予通报。</w:t>
      </w:r>
    </w:p>
    <w:p w14:paraId="3BD2CE00">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.4</w:t>
      </w:r>
      <w:r>
        <w:rPr>
          <w:rFonts w:hint="eastAsia" w:ascii="宋体" w:hAnsi="宋体" w:eastAsia="宋体" w:cs="宋体"/>
          <w:color w:val="auto"/>
          <w:highlight w:val="none"/>
          <w:lang w:eastAsia="zh-CN"/>
        </w:rPr>
        <w:t>成交供应商</w:t>
      </w:r>
      <w:r>
        <w:rPr>
          <w:rFonts w:hint="eastAsia" w:ascii="宋体" w:hAnsi="宋体" w:eastAsia="宋体" w:cs="宋体"/>
          <w:color w:val="auto"/>
          <w:highlight w:val="none"/>
        </w:rPr>
        <w:t>拒绝与</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签订合同的，</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可以按照评审报告推荐的</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或者成交候选人名单排序，确定下一候选人为</w:t>
      </w:r>
      <w:r>
        <w:rPr>
          <w:rFonts w:hint="eastAsia" w:ascii="宋体" w:hAnsi="宋体" w:eastAsia="宋体" w:cs="宋体"/>
          <w:color w:val="auto"/>
          <w:highlight w:val="none"/>
          <w:lang w:eastAsia="zh-CN"/>
        </w:rPr>
        <w:t>成交供应商</w:t>
      </w:r>
      <w:r>
        <w:rPr>
          <w:rFonts w:hint="eastAsia" w:ascii="宋体" w:hAnsi="宋体" w:eastAsia="宋体" w:cs="宋体"/>
          <w:color w:val="auto"/>
          <w:highlight w:val="none"/>
        </w:rPr>
        <w:t>，也可以重新开展采购活动。</w:t>
      </w:r>
    </w:p>
    <w:p w14:paraId="703178B0">
      <w:pPr>
        <w:pStyle w:val="132"/>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.5采购合同由</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与</w:t>
      </w:r>
      <w:r>
        <w:rPr>
          <w:rFonts w:hint="eastAsia" w:ascii="宋体" w:hAnsi="宋体" w:eastAsia="宋体" w:cs="宋体"/>
          <w:color w:val="auto"/>
          <w:highlight w:val="none"/>
          <w:lang w:eastAsia="zh-CN"/>
        </w:rPr>
        <w:t>成交供应商</w:t>
      </w:r>
      <w:r>
        <w:rPr>
          <w:rFonts w:hint="eastAsia" w:ascii="宋体" w:hAnsi="宋体" w:eastAsia="宋体" w:cs="宋体"/>
          <w:color w:val="auto"/>
          <w:highlight w:val="none"/>
        </w:rPr>
        <w:t>根据</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等内容通过政府采购电子交易平台在线签订，自动备案。</w:t>
      </w:r>
    </w:p>
    <w:p w14:paraId="00446FA0">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ascii="宋体" w:hAnsi="宋体" w:eastAsia="宋体" w:cs="宋体"/>
          <w:b/>
          <w:color w:val="auto"/>
          <w:highlight w:val="none"/>
          <w:lang w:val="en-US" w:eastAsia="zh-CN"/>
        </w:rPr>
        <w:t>4</w:t>
      </w:r>
      <w:r>
        <w:rPr>
          <w:rFonts w:hint="eastAsia" w:ascii="宋体" w:hAnsi="宋体" w:eastAsia="宋体" w:cs="宋体"/>
          <w:b/>
          <w:color w:val="auto"/>
          <w:highlight w:val="none"/>
        </w:rPr>
        <w:t>.履约保证金</w:t>
      </w:r>
    </w:p>
    <w:p w14:paraId="753A157E">
      <w:pPr>
        <w:tabs>
          <w:tab w:val="left" w:pos="0"/>
        </w:tabs>
        <w:spacing w:line="360" w:lineRule="auto"/>
        <w:ind w:firstLine="482"/>
        <w:rPr>
          <w:rFonts w:hint="eastAsia" w:ascii="宋体" w:hAnsi="宋体" w:eastAsia="宋体" w:cs="宋体"/>
          <w:b/>
          <w:color w:val="auto"/>
          <w:sz w:val="24"/>
          <w:highlight w:val="none"/>
          <w:lang w:eastAsia="zh-CN"/>
        </w:rPr>
      </w:pPr>
      <w:r>
        <w:rPr>
          <w:rFonts w:hint="eastAsia" w:ascii="宋体" w:hAnsi="宋体" w:eastAsia="宋体" w:cs="宋体"/>
          <w:color w:val="auto"/>
          <w:kern w:val="0"/>
          <w:sz w:val="24"/>
          <w:highlight w:val="none"/>
        </w:rPr>
        <w:t>拟签订的合同文本要求</w:t>
      </w:r>
      <w:r>
        <w:rPr>
          <w:rFonts w:hint="eastAsia" w:ascii="宋体" w:hAnsi="宋体" w:eastAsia="宋体" w:cs="宋体"/>
          <w:color w:val="auto"/>
          <w:kern w:val="0"/>
          <w:sz w:val="24"/>
          <w:highlight w:val="none"/>
          <w:lang w:eastAsia="zh-CN"/>
        </w:rPr>
        <w:t>成交供应商</w:t>
      </w:r>
      <w:r>
        <w:rPr>
          <w:rFonts w:hint="eastAsia" w:ascii="宋体" w:hAnsi="宋体" w:eastAsia="宋体" w:cs="宋体"/>
          <w:color w:val="auto"/>
          <w:kern w:val="0"/>
          <w:sz w:val="24"/>
          <w:highlight w:val="none"/>
        </w:rPr>
        <w:t>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。履约保证金的数额不得超过采购合同金额的</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%。鼓励和支持供应商以银行、保险公司出具的保函形式提供履约保证金。</w:t>
      </w:r>
    </w:p>
    <w:p w14:paraId="6F32F429">
      <w:pPr>
        <w:snapToGrid w:val="0"/>
        <w:spacing w:line="360" w:lineRule="auto"/>
        <w:ind w:firstLine="3357" w:firstLineChars="1045"/>
        <w:rPr>
          <w:rFonts w:hint="eastAsia" w:ascii="宋体" w:hAnsi="宋体" w:eastAsia="宋体" w:cs="宋体"/>
          <w:b/>
          <w:color w:val="auto"/>
          <w:sz w:val="32"/>
          <w:highlight w:val="none"/>
        </w:rPr>
      </w:pPr>
    </w:p>
    <w:p w14:paraId="18F65D3B">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65793FBB">
      <w:pPr>
        <w:pStyle w:val="132"/>
        <w:snapToGrid w:val="0"/>
        <w:spacing w:before="0"/>
        <w:ind w:firstLine="0" w:firstLineChars="0"/>
        <w:rPr>
          <w:rFonts w:hint="eastAsia" w:ascii="宋体" w:hAnsi="宋体" w:eastAsia="宋体" w:cs="宋体"/>
          <w:color w:val="auto"/>
          <w:highlight w:val="none"/>
        </w:rPr>
      </w:pPr>
      <w:r>
        <w:rPr>
          <w:rFonts w:hint="eastAsia" w:ascii="宋体" w:hAnsi="宋体" w:eastAsia="宋体" w:cs="宋体"/>
          <w:b/>
          <w:bCs/>
          <w:color w:val="auto"/>
          <w:highlight w:val="none"/>
        </w:rPr>
        <w:t>2</w:t>
      </w:r>
      <w:r>
        <w:rPr>
          <w:rFonts w:hint="eastAsia" w:ascii="宋体" w:hAnsi="宋体" w:eastAsia="宋体" w:cs="宋体"/>
          <w:b/>
          <w:color w:val="auto"/>
          <w:szCs w:val="24"/>
          <w:highlight w:val="none"/>
          <w:lang w:val="en-US" w:eastAsia="zh-CN"/>
        </w:rPr>
        <w:t>5</w:t>
      </w:r>
      <w:r>
        <w:rPr>
          <w:rFonts w:hint="eastAsia" w:ascii="宋体" w:hAnsi="宋体" w:eastAsia="宋体" w:cs="宋体"/>
          <w:b/>
          <w:color w:val="auto"/>
          <w:szCs w:val="24"/>
          <w:highlight w:val="none"/>
        </w:rPr>
        <w:t>.电子交易活动的中止。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14:paraId="40CFBEFB">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 xml:space="preserve">.1电子交易平台发生故障而无法登录访问的； </w:t>
      </w:r>
    </w:p>
    <w:p w14:paraId="3B26BF96">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.2电子交易平台应用或数据库出现错误，不能进行正常操作的；</w:t>
      </w:r>
    </w:p>
    <w:p w14:paraId="488E8F58">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.3电子交易平台发现严重安全漏洞，有潜在泄密危险的；</w:t>
      </w:r>
    </w:p>
    <w:p w14:paraId="690CD78F">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 xml:space="preserve">.4病毒发作导致不能进行正常操作的； </w:t>
      </w:r>
    </w:p>
    <w:p w14:paraId="73FF2FE5">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.5其他无法保证电子交易的公平、公正和安全的情况。</w:t>
      </w:r>
    </w:p>
    <w:p w14:paraId="758BA913">
      <w:pPr>
        <w:pStyle w:val="132"/>
        <w:snapToGrid w:val="0"/>
        <w:spacing w:before="0"/>
        <w:ind w:firstLine="0" w:firstLineChars="0"/>
        <w:rPr>
          <w:rFonts w:hint="eastAsia" w:ascii="宋体" w:hAnsi="宋体" w:eastAsia="宋体" w:cs="宋体"/>
          <w:color w:val="auto"/>
          <w:sz w:val="24"/>
          <w:highlight w:val="none"/>
        </w:rPr>
      </w:pPr>
      <w:r>
        <w:rPr>
          <w:rFonts w:hint="eastAsia" w:ascii="宋体" w:hAnsi="宋体" w:eastAsia="宋体" w:cs="宋体"/>
          <w:b/>
          <w:bCs/>
          <w:color w:val="auto"/>
          <w:highlight w:val="none"/>
        </w:rPr>
        <w:t>2</w:t>
      </w:r>
      <w:r>
        <w:rPr>
          <w:rFonts w:hint="eastAsia" w:ascii="宋体" w:hAnsi="宋体" w:eastAsia="宋体" w:cs="宋体"/>
          <w:b/>
          <w:bCs/>
          <w:color w:val="auto"/>
          <w:highlight w:val="none"/>
          <w:lang w:val="en-US" w:eastAsia="zh-CN"/>
        </w:rPr>
        <w:t>6</w:t>
      </w:r>
      <w:r>
        <w:rPr>
          <w:rFonts w:hint="eastAsia" w:ascii="宋体" w:hAnsi="宋体" w:eastAsia="宋体" w:cs="宋体"/>
          <w:b/>
          <w:bCs/>
          <w:color w:val="auto"/>
          <w:highlight w:val="none"/>
        </w:rPr>
        <w:t>.</w:t>
      </w:r>
      <w:r>
        <w:rPr>
          <w:rFonts w:hint="eastAsia" w:ascii="宋体" w:hAnsi="宋体" w:eastAsia="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620EAFD0">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195A4B3F">
      <w:pPr>
        <w:pStyle w:val="26"/>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ascii="宋体" w:hAnsi="宋体" w:eastAsia="宋体" w:cs="宋体"/>
          <w:b/>
          <w:color w:val="auto"/>
          <w:highlight w:val="none"/>
          <w:lang w:val="en-US" w:eastAsia="zh-CN"/>
        </w:rPr>
        <w:t>7</w:t>
      </w:r>
      <w:r>
        <w:rPr>
          <w:rFonts w:hint="eastAsia" w:ascii="宋体" w:hAnsi="宋体" w:eastAsia="宋体" w:cs="宋体"/>
          <w:b/>
          <w:color w:val="auto"/>
          <w:highlight w:val="none"/>
        </w:rPr>
        <w:t>.验收</w:t>
      </w:r>
    </w:p>
    <w:p w14:paraId="3D132BEC">
      <w:pPr>
        <w:tabs>
          <w:tab w:val="left" w:pos="0"/>
        </w:tabs>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lang w:val="en-US" w:eastAsia="zh-CN"/>
        </w:rPr>
        <w:t>7</w:t>
      </w: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eastAsia="zh-CN"/>
        </w:rPr>
        <w:t>交易人</w:t>
      </w:r>
      <w:r>
        <w:rPr>
          <w:rFonts w:hint="eastAsia" w:ascii="宋体" w:hAnsi="宋体" w:eastAsia="宋体" w:cs="宋体"/>
          <w:color w:val="auto"/>
          <w:kern w:val="0"/>
          <w:sz w:val="24"/>
          <w:highlight w:val="none"/>
        </w:rPr>
        <w:t>应当组织对供应商履约的验收。</w:t>
      </w:r>
    </w:p>
    <w:bookmarkEnd w:id="16"/>
    <w:bookmarkEnd w:id="17"/>
    <w:bookmarkEnd w:id="18"/>
    <w:p w14:paraId="7E5272FB">
      <w:pPr>
        <w:rPr>
          <w:rFonts w:hint="eastAsia" w:ascii="宋体" w:hAnsi="宋体" w:eastAsia="宋体" w:cs="宋体"/>
          <w:b/>
          <w:color w:val="auto"/>
          <w:sz w:val="36"/>
          <w:szCs w:val="36"/>
          <w:highlight w:val="none"/>
        </w:rPr>
      </w:pPr>
      <w:bookmarkStart w:id="19" w:name="第四部分"/>
      <w:r>
        <w:rPr>
          <w:rFonts w:hint="eastAsia" w:ascii="宋体" w:hAnsi="宋体" w:eastAsia="宋体" w:cs="宋体"/>
          <w:b/>
          <w:color w:val="auto"/>
          <w:sz w:val="36"/>
          <w:szCs w:val="36"/>
          <w:highlight w:val="none"/>
        </w:rPr>
        <w:br w:type="page"/>
      </w:r>
    </w:p>
    <w:p w14:paraId="1426E740">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第三部分   </w:t>
      </w:r>
      <w:r>
        <w:rPr>
          <w:rFonts w:hint="eastAsia" w:ascii="宋体" w:hAnsi="宋体" w:eastAsia="宋体" w:cs="宋体"/>
          <w:b/>
          <w:color w:val="auto"/>
          <w:sz w:val="36"/>
          <w:szCs w:val="36"/>
          <w:highlight w:val="none"/>
          <w:lang w:val="en-US" w:eastAsia="zh-CN"/>
        </w:rPr>
        <w:t>交易</w:t>
      </w:r>
      <w:r>
        <w:rPr>
          <w:rFonts w:hint="eastAsia" w:ascii="宋体" w:hAnsi="宋体" w:eastAsia="宋体" w:cs="宋体"/>
          <w:b/>
          <w:color w:val="auto"/>
          <w:sz w:val="36"/>
          <w:szCs w:val="36"/>
          <w:highlight w:val="none"/>
        </w:rPr>
        <w:t>需求</w:t>
      </w:r>
    </w:p>
    <w:p w14:paraId="3C3B7519">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属于实质性要求条款的，请用符号“▲”标明，否则属于非实质性要求。</w:t>
      </w:r>
    </w:p>
    <w:p w14:paraId="3FCB95E6">
      <w:pPr>
        <w:numPr>
          <w:ilvl w:val="0"/>
          <w:numId w:val="2"/>
        </w:numPr>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交易一览表</w:t>
      </w:r>
    </w:p>
    <w:p w14:paraId="2D38D89F">
      <w:pPr>
        <w:spacing w:after="120"/>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标项：1</w:t>
      </w:r>
    </w:p>
    <w:tbl>
      <w:tblPr>
        <w:tblStyle w:val="62"/>
        <w:tblW w:w="8795" w:type="dxa"/>
        <w:jc w:val="center"/>
        <w:tblLayout w:type="fixed"/>
        <w:tblCellMar>
          <w:top w:w="0" w:type="dxa"/>
          <w:left w:w="0" w:type="dxa"/>
          <w:bottom w:w="0" w:type="dxa"/>
          <w:right w:w="0" w:type="dxa"/>
        </w:tblCellMar>
      </w:tblPr>
      <w:tblGrid>
        <w:gridCol w:w="717"/>
        <w:gridCol w:w="3608"/>
        <w:gridCol w:w="1898"/>
        <w:gridCol w:w="925"/>
        <w:gridCol w:w="835"/>
        <w:gridCol w:w="812"/>
      </w:tblGrid>
      <w:tr w14:paraId="5409798F">
        <w:tblPrEx>
          <w:tblCellMar>
            <w:top w:w="0" w:type="dxa"/>
            <w:left w:w="0" w:type="dxa"/>
            <w:bottom w:w="0" w:type="dxa"/>
            <w:right w:w="0" w:type="dxa"/>
          </w:tblCellMar>
        </w:tblPrEx>
        <w:trPr>
          <w:cantSplit/>
          <w:trHeight w:val="431" w:hRule="atLeast"/>
          <w:jc w:val="center"/>
        </w:trPr>
        <w:tc>
          <w:tcPr>
            <w:tcW w:w="7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F0E69E1">
            <w:pPr>
              <w:spacing w:line="440" w:lineRule="exact"/>
              <w:jc w:val="center"/>
              <w:rPr>
                <w:rFonts w:hint="eastAsia" w:ascii="宋体" w:hAnsi="宋体" w:eastAsia="宋体" w:cs="宋体"/>
                <w:b w:val="0"/>
                <w:color w:val="000000" w:themeColor="text1"/>
                <w:sz w:val="24"/>
                <w:szCs w:val="24"/>
                <w:highlight w:val="none"/>
                <w14:textFill>
                  <w14:solidFill>
                    <w14:schemeClr w14:val="tx1"/>
                  </w14:solidFill>
                </w14:textFill>
              </w:rPr>
            </w:pPr>
            <w:r>
              <w:rPr>
                <w:rFonts w:hint="eastAsia" w:ascii="宋体" w:hAnsi="宋体" w:eastAsia="宋体" w:cs="宋体"/>
                <w:b w:val="0"/>
                <w:color w:val="000000" w:themeColor="text1"/>
                <w:sz w:val="24"/>
                <w:szCs w:val="24"/>
                <w:highlight w:val="none"/>
                <w14:textFill>
                  <w14:solidFill>
                    <w14:schemeClr w14:val="tx1"/>
                  </w14:solidFill>
                </w14:textFill>
              </w:rPr>
              <w:t>序号</w:t>
            </w:r>
          </w:p>
        </w:tc>
        <w:tc>
          <w:tcPr>
            <w:tcW w:w="3608"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4D8CABA">
            <w:pPr>
              <w:spacing w:line="440" w:lineRule="exact"/>
              <w:jc w:val="center"/>
              <w:rPr>
                <w:rFonts w:hint="eastAsia" w:ascii="宋体" w:hAnsi="宋体" w:eastAsia="宋体" w:cs="宋体"/>
                <w:b w:val="0"/>
                <w:color w:val="000000" w:themeColor="text1"/>
                <w:sz w:val="24"/>
                <w:szCs w:val="24"/>
                <w:highlight w:val="none"/>
                <w14:textFill>
                  <w14:solidFill>
                    <w14:schemeClr w14:val="tx1"/>
                  </w14:solidFill>
                </w14:textFill>
              </w:rPr>
            </w:pPr>
            <w:r>
              <w:rPr>
                <w:rFonts w:hint="eastAsia" w:ascii="宋体" w:hAnsi="宋体" w:eastAsia="宋体" w:cs="宋体"/>
                <w:b w:val="0"/>
                <w:color w:val="000000" w:themeColor="text1"/>
                <w:sz w:val="24"/>
                <w:szCs w:val="24"/>
                <w:highlight w:val="none"/>
                <w14:textFill>
                  <w14:solidFill>
                    <w14:schemeClr w14:val="tx1"/>
                  </w14:solidFill>
                </w14:textFill>
              </w:rPr>
              <w:t>名称</w:t>
            </w:r>
          </w:p>
        </w:tc>
        <w:tc>
          <w:tcPr>
            <w:tcW w:w="1898"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C74B322">
            <w:pPr>
              <w:spacing w:line="440" w:lineRule="exact"/>
              <w:jc w:val="center"/>
              <w:rPr>
                <w:rFonts w:hint="eastAsia" w:ascii="宋体" w:hAnsi="宋体" w:eastAsia="宋体" w:cs="宋体"/>
                <w:b w:val="0"/>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kern w:val="0"/>
                <w:sz w:val="24"/>
                <w:highlight w:val="none"/>
                <w14:textFill>
                  <w14:solidFill>
                    <w14:schemeClr w14:val="tx1"/>
                  </w14:solidFill>
                </w14:textFill>
              </w:rPr>
              <w:t>具体</w:t>
            </w:r>
            <w:r>
              <w:rPr>
                <w:rFonts w:hint="eastAsia" w:ascii="宋体" w:hAnsi="宋体" w:eastAsia="宋体" w:cs="宋体"/>
                <w:bCs/>
                <w:color w:val="000000" w:themeColor="text1"/>
                <w:kern w:val="0"/>
                <w:sz w:val="24"/>
                <w:highlight w:val="none"/>
                <w:lang w:val="en-US" w:eastAsia="zh-CN"/>
                <w14:textFill>
                  <w14:solidFill>
                    <w14:schemeClr w14:val="tx1"/>
                  </w14:solidFill>
                </w14:textFill>
              </w:rPr>
              <w:t>交易</w:t>
            </w:r>
            <w:r>
              <w:rPr>
                <w:rFonts w:hint="eastAsia" w:ascii="宋体" w:hAnsi="宋体" w:eastAsia="宋体" w:cs="宋体"/>
                <w:bCs/>
                <w:color w:val="000000" w:themeColor="text1"/>
                <w:kern w:val="0"/>
                <w:sz w:val="24"/>
                <w:highlight w:val="none"/>
                <w14:textFill>
                  <w14:solidFill>
                    <w14:schemeClr w14:val="tx1"/>
                  </w14:solidFill>
                </w14:textFill>
              </w:rPr>
              <w:t>要求</w:t>
            </w:r>
          </w:p>
        </w:tc>
        <w:tc>
          <w:tcPr>
            <w:tcW w:w="9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ED785F4">
            <w:pPr>
              <w:spacing w:line="440" w:lineRule="exact"/>
              <w:jc w:val="center"/>
              <w:rPr>
                <w:rFonts w:hint="eastAsia" w:ascii="宋体" w:hAnsi="宋体" w:eastAsia="宋体" w:cs="宋体"/>
                <w:b w:val="0"/>
                <w:color w:val="000000" w:themeColor="text1"/>
                <w:sz w:val="24"/>
                <w:szCs w:val="24"/>
                <w:highlight w:val="none"/>
                <w14:textFill>
                  <w14:solidFill>
                    <w14:schemeClr w14:val="tx1"/>
                  </w14:solidFill>
                </w14:textFill>
              </w:rPr>
            </w:pPr>
            <w:r>
              <w:rPr>
                <w:rFonts w:hint="eastAsia" w:ascii="宋体" w:hAnsi="宋体" w:eastAsia="宋体" w:cs="宋体"/>
                <w:b w:val="0"/>
                <w:color w:val="000000" w:themeColor="text1"/>
                <w:sz w:val="24"/>
                <w:szCs w:val="24"/>
                <w:highlight w:val="none"/>
                <w14:textFill>
                  <w14:solidFill>
                    <w14:schemeClr w14:val="tx1"/>
                  </w14:solidFill>
                </w14:textFill>
              </w:rPr>
              <w:t>单位</w:t>
            </w:r>
          </w:p>
        </w:tc>
        <w:tc>
          <w:tcPr>
            <w:tcW w:w="83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3E2060C">
            <w:pPr>
              <w:spacing w:line="440" w:lineRule="exact"/>
              <w:jc w:val="center"/>
              <w:rPr>
                <w:rFonts w:hint="eastAsia" w:ascii="宋体" w:hAnsi="宋体" w:eastAsia="宋体" w:cs="宋体"/>
                <w:b w:val="0"/>
                <w:color w:val="000000" w:themeColor="text1"/>
                <w:sz w:val="24"/>
                <w:szCs w:val="24"/>
                <w:highlight w:val="none"/>
                <w14:textFill>
                  <w14:solidFill>
                    <w14:schemeClr w14:val="tx1"/>
                  </w14:solidFill>
                </w14:textFill>
              </w:rPr>
            </w:pPr>
            <w:r>
              <w:rPr>
                <w:rFonts w:hint="eastAsia" w:ascii="宋体" w:hAnsi="宋体" w:eastAsia="宋体" w:cs="宋体"/>
                <w:b w:val="0"/>
                <w:color w:val="000000" w:themeColor="text1"/>
                <w:sz w:val="24"/>
                <w:szCs w:val="24"/>
                <w:highlight w:val="none"/>
                <w14:textFill>
                  <w14:solidFill>
                    <w14:schemeClr w14:val="tx1"/>
                  </w14:solidFill>
                </w14:textFill>
              </w:rPr>
              <w:t>数量</w:t>
            </w:r>
          </w:p>
        </w:tc>
        <w:tc>
          <w:tcPr>
            <w:tcW w:w="812" w:type="dxa"/>
            <w:tcBorders>
              <w:top w:val="single" w:color="auto" w:sz="4" w:space="0"/>
              <w:left w:val="nil"/>
              <w:bottom w:val="single" w:color="auto" w:sz="4" w:space="0"/>
              <w:right w:val="single" w:color="auto" w:sz="4" w:space="0"/>
            </w:tcBorders>
            <w:noWrap w:val="0"/>
            <w:vAlign w:val="center"/>
          </w:tcPr>
          <w:p w14:paraId="3C866E01">
            <w:pPr>
              <w:spacing w:line="440" w:lineRule="exact"/>
              <w:jc w:val="center"/>
              <w:rPr>
                <w:rFonts w:hint="eastAsia" w:ascii="宋体" w:hAnsi="宋体" w:eastAsia="宋体" w:cs="宋体"/>
                <w:b w:val="0"/>
                <w:color w:val="000000" w:themeColor="text1"/>
                <w:sz w:val="24"/>
                <w:szCs w:val="24"/>
                <w:highlight w:val="none"/>
                <w14:textFill>
                  <w14:solidFill>
                    <w14:schemeClr w14:val="tx1"/>
                  </w14:solidFill>
                </w14:textFill>
              </w:rPr>
            </w:pPr>
            <w:r>
              <w:rPr>
                <w:rFonts w:hint="eastAsia" w:ascii="宋体" w:hAnsi="宋体" w:eastAsia="宋体" w:cs="宋体"/>
                <w:b w:val="0"/>
                <w:color w:val="000000" w:themeColor="text1"/>
                <w:sz w:val="24"/>
                <w:szCs w:val="24"/>
                <w:highlight w:val="none"/>
                <w14:textFill>
                  <w14:solidFill>
                    <w14:schemeClr w14:val="tx1"/>
                  </w14:solidFill>
                </w14:textFill>
              </w:rPr>
              <w:t>备注</w:t>
            </w:r>
          </w:p>
        </w:tc>
      </w:tr>
      <w:tr w14:paraId="401E2806">
        <w:tblPrEx>
          <w:tblCellMar>
            <w:top w:w="0" w:type="dxa"/>
            <w:left w:w="0" w:type="dxa"/>
            <w:bottom w:w="0" w:type="dxa"/>
            <w:right w:w="0" w:type="dxa"/>
          </w:tblCellMar>
        </w:tblPrEx>
        <w:trPr>
          <w:cantSplit/>
          <w:trHeight w:val="679" w:hRule="atLeast"/>
          <w:jc w:val="center"/>
        </w:trPr>
        <w:tc>
          <w:tcPr>
            <w:tcW w:w="717"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BE7F551">
            <w:pPr>
              <w:spacing w:line="440" w:lineRule="exact"/>
              <w:jc w:val="center"/>
              <w:rPr>
                <w:rFonts w:hint="eastAsia" w:ascii="宋体" w:hAnsi="宋体" w:eastAsia="宋体" w:cs="宋体"/>
                <w:b w:val="0"/>
                <w:color w:val="000000" w:themeColor="text1"/>
                <w:sz w:val="24"/>
                <w:szCs w:val="24"/>
                <w:highlight w:val="none"/>
                <w14:textFill>
                  <w14:solidFill>
                    <w14:schemeClr w14:val="tx1"/>
                  </w14:solidFill>
                </w14:textFill>
              </w:rPr>
            </w:pPr>
            <w:r>
              <w:rPr>
                <w:rFonts w:hint="eastAsia" w:ascii="宋体" w:hAnsi="宋体" w:eastAsia="宋体" w:cs="宋体"/>
                <w:b w:val="0"/>
                <w:color w:val="000000" w:themeColor="text1"/>
                <w:sz w:val="24"/>
                <w:szCs w:val="24"/>
                <w:highlight w:val="none"/>
                <w14:textFill>
                  <w14:solidFill>
                    <w14:schemeClr w14:val="tx1"/>
                  </w14:solidFill>
                </w14:textFill>
              </w:rPr>
              <w:t>1</w:t>
            </w:r>
          </w:p>
        </w:tc>
        <w:tc>
          <w:tcPr>
            <w:tcW w:w="3608"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C1A0490">
            <w:pPr>
              <w:spacing w:line="440" w:lineRule="exact"/>
              <w:jc w:val="center"/>
              <w:rPr>
                <w:rFonts w:hint="eastAsia" w:ascii="宋体" w:hAnsi="宋体" w:eastAsia="宋体" w:cs="宋体"/>
                <w:b w:val="0"/>
                <w:color w:val="000000" w:themeColor="text1"/>
                <w:sz w:val="24"/>
                <w:szCs w:val="24"/>
                <w:highlight w:val="none"/>
                <w14:textFill>
                  <w14:solidFill>
                    <w14:schemeClr w14:val="tx1"/>
                  </w14:solidFill>
                </w14:textFill>
              </w:rPr>
            </w:pPr>
            <w:r>
              <w:rPr>
                <w:rFonts w:hint="eastAsia" w:ascii="宋体" w:hAnsi="宋体" w:eastAsia="宋体" w:cs="宋体"/>
                <w:b w:val="0"/>
                <w:color w:val="000000" w:themeColor="text1"/>
                <w:sz w:val="24"/>
                <w:szCs w:val="24"/>
                <w:highlight w:val="none"/>
                <w14:textFill>
                  <w14:solidFill>
                    <w14:schemeClr w14:val="tx1"/>
                  </w14:solidFill>
                </w14:textFill>
              </w:rPr>
              <w:t>杭州萧山</w:t>
            </w:r>
            <w:r>
              <w:rPr>
                <w:rFonts w:hint="eastAsia" w:ascii="宋体" w:hAnsi="宋体" w:eastAsia="宋体" w:cs="宋体"/>
                <w:b w:val="0"/>
                <w:color w:val="000000" w:themeColor="text1"/>
                <w:sz w:val="24"/>
                <w:szCs w:val="24"/>
                <w:highlight w:val="none"/>
                <w:lang w:val="en-US" w:eastAsia="zh-CN"/>
                <w14:textFill>
                  <w14:solidFill>
                    <w14:schemeClr w14:val="tx1"/>
                  </w14:solidFill>
                </w14:textFill>
              </w:rPr>
              <w:t>钱江世纪城开发建设有限责任公司</w:t>
            </w:r>
            <w:r>
              <w:rPr>
                <w:rFonts w:hint="eastAsia" w:ascii="宋体" w:hAnsi="宋体" w:eastAsia="宋体" w:cs="宋体"/>
                <w:b w:val="0"/>
                <w:color w:val="000000" w:themeColor="text1"/>
                <w:sz w:val="24"/>
                <w:szCs w:val="24"/>
                <w:highlight w:val="none"/>
                <w14:textFill>
                  <w14:solidFill>
                    <w14:schemeClr w14:val="tx1"/>
                  </w14:solidFill>
                </w14:textFill>
              </w:rPr>
              <w:t xml:space="preserve"> </w:t>
            </w:r>
            <w:r>
              <w:rPr>
                <w:rFonts w:hint="eastAsia" w:ascii="宋体" w:hAnsi="宋体" w:cs="宋体"/>
                <w:b w:val="0"/>
                <w:color w:val="000000" w:themeColor="text1"/>
                <w:sz w:val="24"/>
                <w:szCs w:val="24"/>
                <w:highlight w:val="none"/>
                <w:lang w:eastAsia="zh-CN"/>
                <w14:textFill>
                  <w14:solidFill>
                    <w14:schemeClr w14:val="tx1"/>
                  </w14:solidFill>
                </w14:textFill>
              </w:rPr>
              <w:t>2025</w:t>
            </w:r>
            <w:r>
              <w:rPr>
                <w:rFonts w:hint="eastAsia" w:ascii="宋体" w:hAnsi="宋体" w:eastAsia="宋体" w:cs="宋体"/>
                <w:b w:val="0"/>
                <w:color w:val="000000" w:themeColor="text1"/>
                <w:sz w:val="24"/>
                <w:szCs w:val="24"/>
                <w:highlight w:val="none"/>
                <w14:textFill>
                  <w14:solidFill>
                    <w14:schemeClr w14:val="tx1"/>
                  </w14:solidFill>
                </w14:textFill>
              </w:rPr>
              <w:t xml:space="preserve"> 年度资产保险项目</w:t>
            </w:r>
          </w:p>
        </w:tc>
        <w:tc>
          <w:tcPr>
            <w:tcW w:w="1898"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9B39F8F">
            <w:pPr>
              <w:spacing w:line="440" w:lineRule="exact"/>
              <w:jc w:val="center"/>
              <w:rPr>
                <w:rFonts w:hint="eastAsia" w:ascii="宋体" w:hAnsi="宋体" w:eastAsia="宋体" w:cs="宋体"/>
                <w:b w:val="0"/>
                <w:color w:val="000000" w:themeColor="text1"/>
                <w:sz w:val="24"/>
                <w:szCs w:val="24"/>
                <w:highlight w:val="none"/>
                <w14:textFill>
                  <w14:solidFill>
                    <w14:schemeClr w14:val="tx1"/>
                  </w14:solidFill>
                </w14:textFill>
              </w:rPr>
            </w:pPr>
            <w:r>
              <w:rPr>
                <w:rFonts w:hint="eastAsia" w:ascii="宋体" w:hAnsi="宋体" w:eastAsia="宋体" w:cs="宋体"/>
                <w:b w:val="0"/>
                <w:color w:val="000000" w:themeColor="text1"/>
                <w:sz w:val="24"/>
                <w:szCs w:val="24"/>
                <w:highlight w:val="none"/>
                <w14:textFill>
                  <w14:solidFill>
                    <w14:schemeClr w14:val="tx1"/>
                  </w14:solidFill>
                </w14:textFill>
              </w:rPr>
              <w:t>详见</w:t>
            </w:r>
            <w:r>
              <w:rPr>
                <w:rFonts w:hint="eastAsia" w:ascii="宋体" w:hAnsi="宋体" w:eastAsia="宋体" w:cs="宋体"/>
                <w:b w:val="0"/>
                <w:color w:val="000000" w:themeColor="text1"/>
                <w:sz w:val="24"/>
                <w:szCs w:val="24"/>
                <w:highlight w:val="none"/>
                <w:lang w:val="en-US" w:eastAsia="zh-CN"/>
                <w14:textFill>
                  <w14:solidFill>
                    <w14:schemeClr w14:val="tx1"/>
                  </w14:solidFill>
                </w14:textFill>
              </w:rPr>
              <w:t>交易</w:t>
            </w:r>
            <w:r>
              <w:rPr>
                <w:rFonts w:hint="eastAsia" w:ascii="宋体" w:hAnsi="宋体" w:eastAsia="宋体" w:cs="宋体"/>
                <w:b w:val="0"/>
                <w:color w:val="000000" w:themeColor="text1"/>
                <w:sz w:val="24"/>
                <w:szCs w:val="24"/>
                <w:highlight w:val="none"/>
                <w14:textFill>
                  <w14:solidFill>
                    <w14:schemeClr w14:val="tx1"/>
                  </w14:solidFill>
                </w14:textFill>
              </w:rPr>
              <w:t>需求</w:t>
            </w:r>
          </w:p>
        </w:tc>
        <w:tc>
          <w:tcPr>
            <w:tcW w:w="92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63D8E48">
            <w:pPr>
              <w:spacing w:line="440" w:lineRule="exact"/>
              <w:jc w:val="center"/>
              <w:rPr>
                <w:rFonts w:hint="eastAsia" w:ascii="宋体" w:hAnsi="宋体" w:eastAsia="宋体" w:cs="宋体"/>
                <w:b w:val="0"/>
                <w:color w:val="000000" w:themeColor="text1"/>
                <w:sz w:val="24"/>
                <w:szCs w:val="24"/>
                <w:highlight w:val="none"/>
                <w:lang w:eastAsia="zh-CN"/>
                <w14:textFill>
                  <w14:solidFill>
                    <w14:schemeClr w14:val="tx1"/>
                  </w14:solidFill>
                </w14:textFill>
              </w:rPr>
            </w:pPr>
            <w:r>
              <w:rPr>
                <w:rFonts w:hint="eastAsia" w:ascii="宋体" w:hAnsi="宋体" w:eastAsia="宋体" w:cs="宋体"/>
                <w:b w:val="0"/>
                <w:color w:val="000000" w:themeColor="text1"/>
                <w:sz w:val="24"/>
                <w:szCs w:val="24"/>
                <w:highlight w:val="none"/>
                <w:lang w:eastAsia="zh-CN"/>
                <w14:textFill>
                  <w14:solidFill>
                    <w14:schemeClr w14:val="tx1"/>
                  </w14:solidFill>
                </w14:textFill>
              </w:rPr>
              <w:t>项</w:t>
            </w:r>
          </w:p>
        </w:tc>
        <w:tc>
          <w:tcPr>
            <w:tcW w:w="83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52AE5433">
            <w:pPr>
              <w:spacing w:line="440" w:lineRule="exact"/>
              <w:jc w:val="center"/>
              <w:rPr>
                <w:rFonts w:hint="eastAsia" w:ascii="宋体" w:hAnsi="宋体" w:eastAsia="宋体" w:cs="宋体"/>
                <w:b w:val="0"/>
                <w:color w:val="000000" w:themeColor="text1"/>
                <w:sz w:val="24"/>
                <w:szCs w:val="24"/>
                <w:highlight w:val="none"/>
                <w14:textFill>
                  <w14:solidFill>
                    <w14:schemeClr w14:val="tx1"/>
                  </w14:solidFill>
                </w14:textFill>
              </w:rPr>
            </w:pPr>
            <w:r>
              <w:rPr>
                <w:rFonts w:hint="eastAsia" w:ascii="宋体" w:hAnsi="宋体" w:eastAsia="宋体" w:cs="宋体"/>
                <w:b w:val="0"/>
                <w:color w:val="000000" w:themeColor="text1"/>
                <w:sz w:val="24"/>
                <w:szCs w:val="24"/>
                <w:highlight w:val="none"/>
                <w14:textFill>
                  <w14:solidFill>
                    <w14:schemeClr w14:val="tx1"/>
                  </w14:solidFill>
                </w14:textFill>
              </w:rPr>
              <w:t>1</w:t>
            </w:r>
          </w:p>
        </w:tc>
        <w:tc>
          <w:tcPr>
            <w:tcW w:w="812" w:type="dxa"/>
            <w:tcBorders>
              <w:top w:val="single" w:color="auto" w:sz="4" w:space="0"/>
              <w:left w:val="nil"/>
              <w:bottom w:val="single" w:color="auto" w:sz="4" w:space="0"/>
              <w:right w:val="single" w:color="auto" w:sz="4" w:space="0"/>
            </w:tcBorders>
            <w:noWrap w:val="0"/>
            <w:vAlign w:val="center"/>
          </w:tcPr>
          <w:p w14:paraId="05927AC8">
            <w:pPr>
              <w:spacing w:line="440" w:lineRule="exact"/>
              <w:ind w:firstLine="480" w:firstLineChars="200"/>
              <w:rPr>
                <w:rFonts w:hint="eastAsia" w:ascii="宋体" w:hAnsi="宋体" w:eastAsia="宋体" w:cs="宋体"/>
                <w:b w:val="0"/>
                <w:color w:val="000000" w:themeColor="text1"/>
                <w:sz w:val="24"/>
                <w:szCs w:val="24"/>
                <w:highlight w:val="none"/>
                <w14:textFill>
                  <w14:solidFill>
                    <w14:schemeClr w14:val="tx1"/>
                  </w14:solidFill>
                </w14:textFill>
              </w:rPr>
            </w:pPr>
          </w:p>
        </w:tc>
      </w:tr>
    </w:tbl>
    <w:p w14:paraId="69B38AB8">
      <w:pPr>
        <w:spacing w:line="360" w:lineRule="auto"/>
        <w:rPr>
          <w:rFonts w:hint="eastAsia" w:ascii="宋体" w:hAnsi="宋体" w:eastAsia="宋体" w:cs="宋体"/>
          <w:b/>
          <w:color w:val="auto"/>
          <w:sz w:val="24"/>
          <w:highlight w:val="none"/>
        </w:rPr>
      </w:pPr>
    </w:p>
    <w:p w14:paraId="6FC01498">
      <w:pPr>
        <w:spacing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8"/>
          <w:szCs w:val="28"/>
          <w:highlight w:val="none"/>
        </w:rPr>
        <w:t>二、</w:t>
      </w:r>
      <w:r>
        <w:rPr>
          <w:rFonts w:hint="eastAsia" w:ascii="宋体" w:hAnsi="宋体" w:eastAsia="宋体" w:cs="宋体"/>
          <w:b/>
          <w:color w:val="auto"/>
          <w:sz w:val="28"/>
          <w:szCs w:val="28"/>
          <w:highlight w:val="none"/>
          <w:lang w:val="en-US" w:eastAsia="zh-CN"/>
        </w:rPr>
        <w:t>交易</w:t>
      </w:r>
      <w:r>
        <w:rPr>
          <w:rFonts w:hint="eastAsia" w:ascii="宋体" w:hAnsi="宋体" w:eastAsia="宋体" w:cs="宋体"/>
          <w:b/>
          <w:color w:val="auto"/>
          <w:sz w:val="28"/>
          <w:szCs w:val="28"/>
          <w:highlight w:val="none"/>
        </w:rPr>
        <w:t>需求</w:t>
      </w:r>
    </w:p>
    <w:p w14:paraId="04E146FB">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（一）技术需求</w:t>
      </w:r>
    </w:p>
    <w:p w14:paraId="7F19364E">
      <w:pPr>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1、被保险人：</w:t>
      </w:r>
      <w:r>
        <w:rPr>
          <w:rFonts w:hint="eastAsia" w:ascii="宋体" w:hAnsi="宋体" w:eastAsia="宋体" w:cs="宋体"/>
          <w:color w:val="000000" w:themeColor="text1"/>
          <w:sz w:val="24"/>
          <w:szCs w:val="24"/>
          <w:highlight w:val="none"/>
          <w:lang w:eastAsia="zh-CN"/>
          <w14:textFill>
            <w14:solidFill>
              <w14:schemeClr w14:val="tx1"/>
            </w14:solidFill>
          </w14:textFill>
        </w:rPr>
        <w:t>杭州萧山钱江世纪城开发建设有限责任公司</w:t>
      </w:r>
    </w:p>
    <w:p w14:paraId="47381E4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2、保险金额：见下表</w:t>
      </w:r>
    </w:p>
    <w:tbl>
      <w:tblPr>
        <w:tblStyle w:val="62"/>
        <w:tblW w:w="969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474"/>
        <w:gridCol w:w="917"/>
        <w:gridCol w:w="2155"/>
        <w:gridCol w:w="946"/>
        <w:gridCol w:w="2285"/>
        <w:gridCol w:w="1683"/>
        <w:gridCol w:w="1236"/>
      </w:tblGrid>
      <w:tr w14:paraId="4F844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71" w:hRule="atLeast"/>
        </w:trPr>
        <w:tc>
          <w:tcPr>
            <w:tcW w:w="9696" w:type="dxa"/>
            <w:gridSpan w:val="7"/>
            <w:tcBorders>
              <w:top w:val="single" w:color="000000" w:sz="8" w:space="0"/>
              <w:left w:val="single" w:color="000000" w:sz="8" w:space="0"/>
              <w:bottom w:val="nil"/>
              <w:right w:val="single" w:color="000000" w:sz="8" w:space="0"/>
            </w:tcBorders>
            <w:shd w:val="clear" w:color="auto" w:fill="auto"/>
            <w:noWrap/>
            <w:tcMar>
              <w:top w:w="15" w:type="dxa"/>
              <w:left w:w="15" w:type="dxa"/>
              <w:right w:w="15" w:type="dxa"/>
            </w:tcMar>
            <w:vAlign w:val="center"/>
          </w:tcPr>
          <w:p w14:paraId="4849A143">
            <w:pPr>
              <w:keepNext w:val="0"/>
              <w:keepLines w:val="0"/>
              <w:widowControl/>
              <w:suppressLineNumbers w:val="0"/>
              <w:jc w:val="center"/>
              <w:textAlignment w:val="center"/>
              <w:rPr>
                <w:rFonts w:ascii="黑体" w:hAnsi="宋体" w:eastAsia="黑体" w:cs="黑体"/>
                <w:i w:val="0"/>
                <w:color w:val="000000"/>
                <w:sz w:val="32"/>
                <w:szCs w:val="32"/>
                <w:u w:val="none"/>
              </w:rPr>
            </w:pPr>
            <w:r>
              <w:rPr>
                <w:rFonts w:hint="eastAsia" w:ascii="黑体" w:hAnsi="宋体" w:eastAsia="黑体" w:cs="黑体"/>
                <w:i w:val="0"/>
                <w:color w:val="000000"/>
                <w:kern w:val="0"/>
                <w:sz w:val="32"/>
                <w:szCs w:val="32"/>
                <w:u w:val="none"/>
                <w:lang w:val="en-US" w:eastAsia="zh-CN" w:bidi="ar"/>
              </w:rPr>
              <w:t>钱江世纪城开发公司投保资产</w:t>
            </w:r>
          </w:p>
        </w:tc>
      </w:tr>
      <w:tr w14:paraId="584B2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7" w:hRule="atLeast"/>
        </w:trPr>
        <w:tc>
          <w:tcPr>
            <w:tcW w:w="474" w:type="dxa"/>
            <w:vMerge w:val="restart"/>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5179524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序号</w:t>
            </w:r>
          </w:p>
        </w:tc>
        <w:tc>
          <w:tcPr>
            <w:tcW w:w="917"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50168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资产类型 </w:t>
            </w:r>
          </w:p>
        </w:tc>
        <w:tc>
          <w:tcPr>
            <w:tcW w:w="2155"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2DA55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资产名称</w:t>
            </w:r>
          </w:p>
        </w:tc>
        <w:tc>
          <w:tcPr>
            <w:tcW w:w="946" w:type="dxa"/>
            <w:vMerge w:val="restart"/>
            <w:tcBorders>
              <w:top w:val="single" w:color="000000" w:sz="4" w:space="0"/>
              <w:left w:val="single" w:color="000000" w:sz="4" w:space="0"/>
              <w:right w:val="single" w:color="000000" w:sz="4" w:space="0"/>
            </w:tcBorders>
            <w:shd w:val="clear" w:color="auto" w:fill="auto"/>
            <w:noWrap/>
            <w:tcMar>
              <w:top w:w="15" w:type="dxa"/>
              <w:left w:w="15" w:type="dxa"/>
              <w:right w:w="15" w:type="dxa"/>
            </w:tcMar>
            <w:vAlign w:val="center"/>
          </w:tcPr>
          <w:p w14:paraId="76889E8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估值（万）</w:t>
            </w:r>
          </w:p>
        </w:tc>
        <w:tc>
          <w:tcPr>
            <w:tcW w:w="2285" w:type="dxa"/>
            <w:vMerge w:val="restart"/>
            <w:tcBorders>
              <w:top w:val="single" w:color="000000" w:sz="4" w:space="0"/>
              <w:left w:val="single" w:color="000000" w:sz="4" w:space="0"/>
              <w:right w:val="single" w:color="000000" w:sz="4" w:space="0"/>
            </w:tcBorders>
            <w:shd w:val="clear" w:color="auto" w:fill="auto"/>
            <w:noWrap/>
            <w:tcMar>
              <w:top w:w="15" w:type="dxa"/>
              <w:left w:w="15" w:type="dxa"/>
              <w:right w:w="15" w:type="dxa"/>
            </w:tcMar>
            <w:vAlign w:val="center"/>
          </w:tcPr>
          <w:p w14:paraId="413708AB">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场内电梯（车位）</w:t>
            </w:r>
          </w:p>
        </w:tc>
        <w:tc>
          <w:tcPr>
            <w:tcW w:w="2919"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23716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投保险种</w:t>
            </w:r>
          </w:p>
        </w:tc>
      </w:tr>
      <w:tr w14:paraId="089B84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7" w:hRule="atLeast"/>
        </w:trPr>
        <w:tc>
          <w:tcPr>
            <w:tcW w:w="474" w:type="dxa"/>
            <w:vMerge w:val="continue"/>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060EBB84">
            <w:pPr>
              <w:jc w:val="center"/>
              <w:rPr>
                <w:rFonts w:hint="eastAsia" w:ascii="宋体" w:hAnsi="宋体" w:eastAsia="宋体" w:cs="宋体"/>
                <w:i w:val="0"/>
                <w:color w:val="000000"/>
                <w:sz w:val="22"/>
                <w:szCs w:val="22"/>
                <w:u w:val="none"/>
              </w:rPr>
            </w:pPr>
          </w:p>
        </w:tc>
        <w:tc>
          <w:tcPr>
            <w:tcW w:w="917"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9178A7">
            <w:pPr>
              <w:jc w:val="center"/>
              <w:rPr>
                <w:rFonts w:hint="eastAsia" w:ascii="宋体" w:hAnsi="宋体" w:eastAsia="宋体" w:cs="宋体"/>
                <w:i w:val="0"/>
                <w:color w:val="000000"/>
                <w:sz w:val="22"/>
                <w:szCs w:val="22"/>
                <w:u w:val="none"/>
              </w:rPr>
            </w:pPr>
          </w:p>
        </w:tc>
        <w:tc>
          <w:tcPr>
            <w:tcW w:w="215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AF1E07">
            <w:pPr>
              <w:jc w:val="center"/>
              <w:rPr>
                <w:rFonts w:hint="eastAsia" w:ascii="宋体" w:hAnsi="宋体" w:eastAsia="宋体" w:cs="宋体"/>
                <w:i w:val="0"/>
                <w:color w:val="000000"/>
                <w:sz w:val="22"/>
                <w:szCs w:val="22"/>
                <w:u w:val="none"/>
              </w:rPr>
            </w:pPr>
          </w:p>
        </w:tc>
        <w:tc>
          <w:tcPr>
            <w:tcW w:w="946" w:type="dxa"/>
            <w:vMerge w:val="continue"/>
            <w:tcBorders>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011095">
            <w:pPr>
              <w:jc w:val="center"/>
              <w:rPr>
                <w:rFonts w:hint="eastAsia" w:ascii="宋体" w:hAnsi="宋体" w:eastAsia="宋体" w:cs="宋体"/>
                <w:i w:val="0"/>
                <w:color w:val="000000"/>
                <w:sz w:val="22"/>
                <w:szCs w:val="22"/>
                <w:u w:val="none"/>
              </w:rPr>
            </w:pPr>
          </w:p>
        </w:tc>
        <w:tc>
          <w:tcPr>
            <w:tcW w:w="2285" w:type="dxa"/>
            <w:vMerge w:val="continue"/>
            <w:tcBorders>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9836A5">
            <w:pPr>
              <w:jc w:val="center"/>
              <w:rPr>
                <w:rFonts w:hint="eastAsia" w:ascii="宋体" w:hAnsi="宋体" w:eastAsia="宋体" w:cs="宋体"/>
                <w:i w:val="0"/>
                <w:color w:val="000000"/>
                <w:sz w:val="22"/>
                <w:szCs w:val="22"/>
                <w:u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1DC41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险种1</w:t>
            </w:r>
          </w:p>
        </w:tc>
        <w:tc>
          <w:tcPr>
            <w:tcW w:w="1236" w:type="dxa"/>
            <w:tcBorders>
              <w:top w:val="single" w:color="000000" w:sz="4" w:space="0"/>
              <w:left w:val="single" w:color="000000" w:sz="4" w:space="0"/>
              <w:bottom w:val="single" w:color="000000" w:sz="4" w:space="0"/>
              <w:right w:val="single" w:color="000000" w:sz="8" w:space="0"/>
            </w:tcBorders>
            <w:shd w:val="clear" w:color="auto" w:fill="auto"/>
            <w:noWrap/>
            <w:tcMar>
              <w:top w:w="15" w:type="dxa"/>
              <w:left w:w="15" w:type="dxa"/>
              <w:right w:w="15" w:type="dxa"/>
            </w:tcMar>
            <w:vAlign w:val="center"/>
          </w:tcPr>
          <w:p w14:paraId="2AD9AC8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险种2</w:t>
            </w:r>
          </w:p>
        </w:tc>
      </w:tr>
      <w:tr w14:paraId="72A6D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77451B8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17"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7DE35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农贸市场</w:t>
            </w:r>
          </w:p>
        </w:tc>
        <w:tc>
          <w:tcPr>
            <w:tcW w:w="2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A3811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橙柿农贸市场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7EC15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6339</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12A8B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2台直梯，20个停车位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8D222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restart"/>
            <w:tcBorders>
              <w:top w:val="single" w:color="000000" w:sz="4" w:space="0"/>
              <w:left w:val="single" w:color="000000" w:sz="4" w:space="0"/>
              <w:right w:val="single" w:color="000000" w:sz="8" w:space="0"/>
            </w:tcBorders>
            <w:shd w:val="clear" w:color="auto" w:fill="auto"/>
            <w:tcMar>
              <w:top w:w="15" w:type="dxa"/>
              <w:left w:w="15" w:type="dxa"/>
              <w:right w:w="15" w:type="dxa"/>
            </w:tcMar>
            <w:vAlign w:val="center"/>
          </w:tcPr>
          <w:p w14:paraId="0695172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公众责任险，累计赔偿限额设置为5000万元</w:t>
            </w:r>
          </w:p>
        </w:tc>
      </w:tr>
      <w:tr w14:paraId="627FE0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330736B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917"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813D79">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33576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橙</w:t>
            </w:r>
            <w:r>
              <w:rPr>
                <w:rFonts w:hint="eastAsia" w:ascii="宋体" w:hAnsi="宋体" w:eastAsia="宋体" w:cs="宋体"/>
                <w:i w:val="0"/>
                <w:color w:val="000000"/>
                <w:kern w:val="0"/>
                <w:sz w:val="22"/>
                <w:szCs w:val="22"/>
                <w:u w:val="none"/>
                <w:lang w:val="en-US" w:eastAsia="zh-CN" w:bidi="ar"/>
              </w:rPr>
              <w:t>净超市</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08F18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2618</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0F7898">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6台直梯，2台扶梯，286个停车位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AC725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75196C78">
            <w:pPr>
              <w:jc w:val="center"/>
              <w:rPr>
                <w:rFonts w:hint="eastAsia" w:ascii="宋体" w:hAnsi="宋体" w:eastAsia="宋体" w:cs="宋体"/>
                <w:i w:val="0"/>
                <w:color w:val="000000"/>
                <w:sz w:val="22"/>
                <w:szCs w:val="22"/>
                <w:u w:val="none"/>
              </w:rPr>
            </w:pPr>
          </w:p>
        </w:tc>
      </w:tr>
      <w:tr w14:paraId="3CABC2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442C6BD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917"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9AB3E0">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32776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盈丰农贸市场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EBF9D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0186F2">
            <w:pPr>
              <w:keepNext w:val="0"/>
              <w:keepLines w:val="0"/>
              <w:widowControl/>
              <w:suppressLineNumbers w:val="0"/>
              <w:jc w:val="center"/>
              <w:textAlignment w:val="center"/>
              <w:rPr>
                <w:rFonts w:hint="eastAsia" w:ascii="宋体" w:hAnsi="宋体" w:eastAsia="宋体" w:cs="宋体"/>
                <w:i w:val="0"/>
                <w:color w:val="000000"/>
                <w:kern w:val="0"/>
                <w:sz w:val="22"/>
                <w:szCs w:val="22"/>
                <w:highlight w:val="yellow"/>
                <w:u w:val="none"/>
                <w:lang w:val="en-US" w:eastAsia="zh-CN" w:bidi="ar"/>
              </w:rPr>
            </w:pPr>
            <w:r>
              <w:rPr>
                <w:rFonts w:hint="eastAsia" w:ascii="宋体" w:hAnsi="宋体" w:eastAsia="宋体" w:cs="宋体"/>
                <w:i w:val="0"/>
                <w:iCs w:val="0"/>
                <w:color w:val="000000"/>
                <w:kern w:val="0"/>
                <w:sz w:val="22"/>
                <w:szCs w:val="22"/>
                <w:u w:val="none"/>
                <w:lang w:val="en-US" w:eastAsia="zh-CN" w:bidi="ar"/>
              </w:rPr>
              <w:t>70个停车位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BD2A3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17A7DD46">
            <w:pPr>
              <w:jc w:val="center"/>
              <w:rPr>
                <w:rFonts w:hint="eastAsia" w:ascii="宋体" w:hAnsi="宋体" w:eastAsia="宋体" w:cs="宋体"/>
                <w:i w:val="0"/>
                <w:color w:val="000000"/>
                <w:sz w:val="22"/>
                <w:szCs w:val="22"/>
                <w:u w:val="none"/>
              </w:rPr>
            </w:pPr>
          </w:p>
        </w:tc>
      </w:tr>
      <w:tr w14:paraId="6AC20E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3BE3989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917"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7E0283">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EE7E4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丰东临时农贸市场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26C3E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E946F9">
            <w:pPr>
              <w:keepNext w:val="0"/>
              <w:keepLines w:val="0"/>
              <w:widowControl/>
              <w:suppressLineNumbers w:val="0"/>
              <w:jc w:val="center"/>
              <w:textAlignment w:val="center"/>
              <w:rPr>
                <w:rFonts w:hint="eastAsia" w:ascii="宋体" w:hAnsi="宋体" w:eastAsia="宋体" w:cs="宋体"/>
                <w:i w:val="0"/>
                <w:color w:val="000000"/>
                <w:kern w:val="0"/>
                <w:sz w:val="22"/>
                <w:szCs w:val="22"/>
                <w:highlight w:val="yellow"/>
                <w:u w:val="none"/>
                <w:lang w:val="en-US" w:eastAsia="zh-CN" w:bidi="ar"/>
              </w:rPr>
            </w:pPr>
            <w:r>
              <w:rPr>
                <w:rFonts w:hint="eastAsia" w:ascii="宋体" w:hAnsi="宋体" w:eastAsia="宋体" w:cs="宋体"/>
                <w:i w:val="0"/>
                <w:iCs w:val="0"/>
                <w:color w:val="000000"/>
                <w:kern w:val="0"/>
                <w:sz w:val="22"/>
                <w:szCs w:val="22"/>
                <w:u w:val="none"/>
                <w:lang w:val="en-US" w:eastAsia="zh-CN" w:bidi="ar"/>
              </w:rPr>
              <w:t>30个停车位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5033B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54F14A25">
            <w:pPr>
              <w:jc w:val="center"/>
              <w:rPr>
                <w:rFonts w:hint="eastAsia" w:ascii="宋体" w:hAnsi="宋体" w:eastAsia="宋体" w:cs="宋体"/>
                <w:i w:val="0"/>
                <w:color w:val="000000"/>
                <w:sz w:val="22"/>
                <w:szCs w:val="22"/>
                <w:u w:val="none"/>
              </w:rPr>
            </w:pPr>
          </w:p>
        </w:tc>
      </w:tr>
      <w:tr w14:paraId="1D46A1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07C5464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917" w:type="dxa"/>
            <w:vMerge w:val="continue"/>
            <w:tcBorders>
              <w:top w:val="single" w:color="000000" w:sz="4" w:space="0"/>
              <w:left w:val="single" w:color="000000" w:sz="4" w:space="0"/>
              <w:bottom w:val="single" w:color="auto" w:sz="4" w:space="0"/>
              <w:right w:val="single" w:color="000000" w:sz="4" w:space="0"/>
            </w:tcBorders>
            <w:shd w:val="clear" w:color="auto" w:fill="auto"/>
            <w:noWrap/>
            <w:tcMar>
              <w:top w:w="15" w:type="dxa"/>
              <w:left w:w="15" w:type="dxa"/>
              <w:right w:w="15" w:type="dxa"/>
            </w:tcMar>
            <w:vAlign w:val="center"/>
          </w:tcPr>
          <w:p w14:paraId="723D1F08">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71B766B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澄虹府农贸市场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89877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6D7EF2">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2台扶梯，20个停车位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2CE39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1598E5AB">
            <w:pPr>
              <w:jc w:val="center"/>
              <w:rPr>
                <w:rFonts w:hint="eastAsia" w:ascii="宋体" w:hAnsi="宋体" w:eastAsia="宋体" w:cs="宋体"/>
                <w:i w:val="0"/>
                <w:color w:val="000000"/>
                <w:sz w:val="22"/>
                <w:szCs w:val="22"/>
                <w:u w:val="none"/>
              </w:rPr>
            </w:pPr>
          </w:p>
        </w:tc>
      </w:tr>
      <w:tr w14:paraId="588F4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69DA1A5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917" w:type="dxa"/>
            <w:vMerge w:val="restart"/>
            <w:tcBorders>
              <w:top w:val="single" w:color="auto" w:sz="4" w:space="0"/>
              <w:left w:val="single" w:color="auto" w:sz="4" w:space="0"/>
              <w:right w:val="single" w:color="auto" w:sz="4" w:space="0"/>
            </w:tcBorders>
            <w:shd w:val="clear" w:color="auto" w:fill="auto"/>
            <w:noWrap/>
            <w:tcMar>
              <w:top w:w="15" w:type="dxa"/>
              <w:left w:w="15" w:type="dxa"/>
              <w:right w:w="15" w:type="dxa"/>
            </w:tcMar>
            <w:vAlign w:val="center"/>
          </w:tcPr>
          <w:p w14:paraId="0458684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商铺</w:t>
            </w: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2D8357F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盈一佳苑商铺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88665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7358</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67A1F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30E06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7858DF2E">
            <w:pPr>
              <w:jc w:val="center"/>
              <w:rPr>
                <w:rFonts w:hint="eastAsia" w:ascii="宋体" w:hAnsi="宋体" w:eastAsia="宋体" w:cs="宋体"/>
                <w:i w:val="0"/>
                <w:color w:val="000000"/>
                <w:sz w:val="22"/>
                <w:szCs w:val="22"/>
                <w:u w:val="none"/>
              </w:rPr>
            </w:pPr>
          </w:p>
        </w:tc>
      </w:tr>
      <w:tr w14:paraId="4D5FE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5DCE528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2B632D44">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67EEE6F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佳丰南苑商铺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113FF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2662</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81EB1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DCE5D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303C905E">
            <w:pPr>
              <w:jc w:val="center"/>
              <w:rPr>
                <w:rFonts w:hint="eastAsia" w:ascii="宋体" w:hAnsi="宋体" w:eastAsia="宋体" w:cs="宋体"/>
                <w:i w:val="0"/>
                <w:color w:val="000000"/>
                <w:sz w:val="22"/>
                <w:szCs w:val="22"/>
                <w:u w:val="none"/>
              </w:rPr>
            </w:pPr>
          </w:p>
        </w:tc>
      </w:tr>
      <w:tr w14:paraId="0C5CE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5DAB646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06C70752">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30D1086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宁东北苑商铺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5043F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7057</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9842CB">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3910A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70B6410C">
            <w:pPr>
              <w:jc w:val="center"/>
              <w:rPr>
                <w:rFonts w:hint="eastAsia" w:ascii="宋体" w:hAnsi="宋体" w:eastAsia="宋体" w:cs="宋体"/>
                <w:i w:val="0"/>
                <w:color w:val="000000"/>
                <w:sz w:val="22"/>
                <w:szCs w:val="22"/>
                <w:u w:val="none"/>
              </w:rPr>
            </w:pPr>
          </w:p>
        </w:tc>
      </w:tr>
      <w:tr w14:paraId="06C000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69D4399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521A0A40">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6BBB375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济仁华庭商铺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9F046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10811</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2847A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E6C38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39D298C2">
            <w:pPr>
              <w:jc w:val="center"/>
              <w:rPr>
                <w:rFonts w:hint="eastAsia" w:ascii="宋体" w:hAnsi="宋体" w:eastAsia="宋体" w:cs="宋体"/>
                <w:i w:val="0"/>
                <w:color w:val="000000"/>
                <w:sz w:val="22"/>
                <w:szCs w:val="22"/>
                <w:u w:val="none"/>
              </w:rPr>
            </w:pPr>
          </w:p>
        </w:tc>
      </w:tr>
      <w:tr w14:paraId="5ECD2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66596C0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23EC07B7">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793DCA1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振盈华庭商铺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D0A3F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1963</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89A5B2">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D52D9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33E34D01">
            <w:pPr>
              <w:jc w:val="center"/>
              <w:rPr>
                <w:rFonts w:hint="eastAsia" w:ascii="宋体" w:hAnsi="宋体" w:eastAsia="宋体" w:cs="宋体"/>
                <w:i w:val="0"/>
                <w:color w:val="000000"/>
                <w:sz w:val="22"/>
                <w:szCs w:val="22"/>
                <w:u w:val="none"/>
              </w:rPr>
            </w:pPr>
          </w:p>
        </w:tc>
      </w:tr>
      <w:tr w14:paraId="7340E7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7B8A5DA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592513DE">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2628C24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佳宁华庭商铺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3A15B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2482</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EED552">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09119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40E39E1C">
            <w:pPr>
              <w:jc w:val="center"/>
              <w:rPr>
                <w:rFonts w:hint="eastAsia" w:ascii="宋体" w:hAnsi="宋体" w:eastAsia="宋体" w:cs="宋体"/>
                <w:i w:val="0"/>
                <w:color w:val="000000"/>
                <w:sz w:val="22"/>
                <w:szCs w:val="22"/>
                <w:u w:val="none"/>
              </w:rPr>
            </w:pPr>
          </w:p>
        </w:tc>
      </w:tr>
      <w:tr w14:paraId="1B5EAD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2AA96BC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2228E920">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596C103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盈瑞华庭商铺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1B50C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5178</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32CA1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C6F49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3DC7081E">
            <w:pPr>
              <w:jc w:val="center"/>
              <w:rPr>
                <w:rFonts w:hint="eastAsia" w:ascii="宋体" w:hAnsi="宋体" w:eastAsia="宋体" w:cs="宋体"/>
                <w:i w:val="0"/>
                <w:color w:val="000000"/>
                <w:sz w:val="22"/>
                <w:szCs w:val="22"/>
                <w:u w:val="none"/>
              </w:rPr>
            </w:pPr>
          </w:p>
        </w:tc>
      </w:tr>
      <w:tr w14:paraId="5048B6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184BC06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512BEB1A">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046FD9C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新中南家园商铺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C74E7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4039</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01092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978DE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31F28576">
            <w:pPr>
              <w:jc w:val="center"/>
              <w:rPr>
                <w:rFonts w:hint="eastAsia" w:ascii="宋体" w:hAnsi="宋体" w:eastAsia="宋体" w:cs="宋体"/>
                <w:i w:val="0"/>
                <w:color w:val="000000"/>
                <w:sz w:val="22"/>
                <w:szCs w:val="22"/>
                <w:u w:val="none"/>
              </w:rPr>
            </w:pPr>
          </w:p>
        </w:tc>
      </w:tr>
      <w:tr w14:paraId="40A4C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33F8651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15E774F6">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587A29C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新中北家园商铺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6E413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42907</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4F87D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7F75C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5043857A">
            <w:pPr>
              <w:jc w:val="center"/>
              <w:rPr>
                <w:rFonts w:hint="eastAsia" w:ascii="宋体" w:hAnsi="宋体" w:eastAsia="宋体" w:cs="宋体"/>
                <w:i w:val="0"/>
                <w:color w:val="000000"/>
                <w:sz w:val="22"/>
                <w:szCs w:val="22"/>
                <w:u w:val="none"/>
              </w:rPr>
            </w:pPr>
          </w:p>
        </w:tc>
      </w:tr>
      <w:tr w14:paraId="18B2BB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5B83E84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52A1722A">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4A1C582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佳境天城商铺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6CFB9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11573</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29226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FF2C0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15D57E49">
            <w:pPr>
              <w:jc w:val="center"/>
              <w:rPr>
                <w:rFonts w:hint="eastAsia" w:ascii="宋体" w:hAnsi="宋体" w:eastAsia="宋体" w:cs="宋体"/>
                <w:i w:val="0"/>
                <w:color w:val="000000"/>
                <w:sz w:val="22"/>
                <w:szCs w:val="22"/>
                <w:u w:val="none"/>
              </w:rPr>
            </w:pPr>
          </w:p>
        </w:tc>
      </w:tr>
      <w:tr w14:paraId="672FB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771D6DAA">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5D4D924A">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318A547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利二花苑商铺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902E2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6900 </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59B3F8">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3054D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28F5F9E2">
            <w:pPr>
              <w:jc w:val="center"/>
              <w:rPr>
                <w:rFonts w:hint="eastAsia" w:ascii="宋体" w:hAnsi="宋体" w:eastAsia="宋体" w:cs="宋体"/>
                <w:i w:val="0"/>
                <w:color w:val="000000"/>
                <w:sz w:val="22"/>
                <w:szCs w:val="22"/>
                <w:u w:val="none"/>
              </w:rPr>
            </w:pPr>
          </w:p>
        </w:tc>
      </w:tr>
      <w:tr w14:paraId="0B7982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56E550DF">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3AD90FD2">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76BA6AB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丰瑞北苑商铺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8F6425">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4557 </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051A0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66676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58900588">
            <w:pPr>
              <w:jc w:val="center"/>
              <w:rPr>
                <w:rFonts w:hint="eastAsia" w:ascii="宋体" w:hAnsi="宋体" w:eastAsia="宋体" w:cs="宋体"/>
                <w:i w:val="0"/>
                <w:color w:val="000000"/>
                <w:sz w:val="22"/>
                <w:szCs w:val="22"/>
                <w:u w:val="none"/>
              </w:rPr>
            </w:pPr>
          </w:p>
        </w:tc>
      </w:tr>
      <w:tr w14:paraId="3D7345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2B1E2B61">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08C77082">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25BE8CC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丰瑞南苑商铺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B839C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507 </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18AB8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7A288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446CF6FE">
            <w:pPr>
              <w:jc w:val="center"/>
              <w:rPr>
                <w:rFonts w:hint="eastAsia" w:ascii="宋体" w:hAnsi="宋体" w:eastAsia="宋体" w:cs="宋体"/>
                <w:i w:val="0"/>
                <w:color w:val="000000"/>
                <w:sz w:val="22"/>
                <w:szCs w:val="22"/>
                <w:u w:val="none"/>
              </w:rPr>
            </w:pPr>
          </w:p>
        </w:tc>
      </w:tr>
      <w:tr w14:paraId="7ED342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615EFBE8">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19</w:t>
            </w:r>
          </w:p>
        </w:tc>
        <w:tc>
          <w:tcPr>
            <w:tcW w:w="917" w:type="dxa"/>
            <w:vMerge w:val="continue"/>
            <w:tcBorders>
              <w:left w:val="single" w:color="auto" w:sz="4" w:space="0"/>
              <w:right w:val="single" w:color="auto" w:sz="4" w:space="0"/>
            </w:tcBorders>
            <w:shd w:val="clear" w:color="auto" w:fill="auto"/>
            <w:noWrap/>
            <w:tcMar>
              <w:top w:w="15" w:type="dxa"/>
              <w:left w:w="15" w:type="dxa"/>
              <w:right w:w="15" w:type="dxa"/>
            </w:tcMar>
            <w:vAlign w:val="center"/>
          </w:tcPr>
          <w:p w14:paraId="593351F0">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79AE3A0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顺丰家园商铺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1D3CD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759 </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23E11B">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C8909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7B527DAA">
            <w:pPr>
              <w:jc w:val="center"/>
              <w:rPr>
                <w:rFonts w:hint="eastAsia" w:ascii="宋体" w:hAnsi="宋体" w:eastAsia="宋体" w:cs="宋体"/>
                <w:i w:val="0"/>
                <w:color w:val="000000"/>
                <w:sz w:val="22"/>
                <w:szCs w:val="22"/>
                <w:u w:val="none"/>
              </w:rPr>
            </w:pPr>
          </w:p>
        </w:tc>
      </w:tr>
      <w:tr w14:paraId="7FDFBE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65125F87">
            <w:pPr>
              <w:keepNext w:val="0"/>
              <w:keepLines w:val="0"/>
              <w:widowControl/>
              <w:suppressLineNumbers w:val="0"/>
              <w:jc w:val="center"/>
              <w:textAlignment w:val="center"/>
              <w:rPr>
                <w:rFonts w:hint="default" w:ascii="宋体" w:hAnsi="宋体" w:cs="宋体"/>
                <w:i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20</w:t>
            </w:r>
          </w:p>
        </w:tc>
        <w:tc>
          <w:tcPr>
            <w:tcW w:w="917" w:type="dxa"/>
            <w:vMerge w:val="restar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C21DBA7">
            <w:pPr>
              <w:jc w:val="center"/>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安置房住宅</w:t>
            </w: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67FFC3B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佳丰南苑住宅</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B94F5C">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5600 </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B8984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7CF56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3123C0B0">
            <w:pPr>
              <w:jc w:val="center"/>
              <w:rPr>
                <w:rFonts w:hint="eastAsia" w:ascii="宋体" w:hAnsi="宋体" w:eastAsia="宋体" w:cs="宋体"/>
                <w:i w:val="0"/>
                <w:color w:val="000000"/>
                <w:sz w:val="22"/>
                <w:szCs w:val="22"/>
                <w:u w:val="none"/>
              </w:rPr>
            </w:pPr>
          </w:p>
        </w:tc>
      </w:tr>
      <w:tr w14:paraId="6AA89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4E028709">
            <w:pPr>
              <w:keepNext w:val="0"/>
              <w:keepLines w:val="0"/>
              <w:widowControl/>
              <w:suppressLineNumbers w:val="0"/>
              <w:jc w:val="center"/>
              <w:textAlignment w:val="center"/>
              <w:rPr>
                <w:rFonts w:hint="default" w:ascii="宋体" w:hAnsi="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1</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17340B9">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512B06A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丰瑞南苑住宅</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463F0F">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1260 </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C02DD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22029B">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37410986">
            <w:pPr>
              <w:jc w:val="center"/>
              <w:rPr>
                <w:rFonts w:hint="eastAsia" w:ascii="宋体" w:hAnsi="宋体" w:eastAsia="宋体" w:cs="宋体"/>
                <w:i w:val="0"/>
                <w:color w:val="000000"/>
                <w:sz w:val="22"/>
                <w:szCs w:val="22"/>
                <w:u w:val="none"/>
              </w:rPr>
            </w:pPr>
          </w:p>
        </w:tc>
      </w:tr>
      <w:tr w14:paraId="71D82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7C6FBD6B">
            <w:pPr>
              <w:keepNext w:val="0"/>
              <w:keepLines w:val="0"/>
              <w:widowControl/>
              <w:suppressLineNumbers w:val="0"/>
              <w:jc w:val="center"/>
              <w:textAlignment w:val="center"/>
              <w:rPr>
                <w:rFonts w:hint="default" w:ascii="宋体" w:hAnsi="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2</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D01F641">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539A49F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利一家园住宅</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373A6E">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1520 </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FB3B2B">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E5B80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694F65DE">
            <w:pPr>
              <w:jc w:val="center"/>
              <w:rPr>
                <w:rFonts w:hint="eastAsia" w:ascii="宋体" w:hAnsi="宋体" w:eastAsia="宋体" w:cs="宋体"/>
                <w:i w:val="0"/>
                <w:color w:val="000000"/>
                <w:sz w:val="22"/>
                <w:szCs w:val="22"/>
                <w:u w:val="none"/>
              </w:rPr>
            </w:pPr>
          </w:p>
        </w:tc>
      </w:tr>
      <w:tr w14:paraId="7F061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41C795B1">
            <w:pPr>
              <w:keepNext w:val="0"/>
              <w:keepLines w:val="0"/>
              <w:widowControl/>
              <w:suppressLineNumbers w:val="0"/>
              <w:jc w:val="center"/>
              <w:textAlignment w:val="center"/>
              <w:rPr>
                <w:rFonts w:hint="eastAsia" w:ascii="宋体" w:hAnsi="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3</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0F535B2">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7A49928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佳宁华庭住宅</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1D5DC9">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9500 </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523DD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D821F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6EC10BB3">
            <w:pPr>
              <w:jc w:val="center"/>
              <w:rPr>
                <w:rFonts w:hint="eastAsia" w:ascii="宋体" w:hAnsi="宋体" w:eastAsia="宋体" w:cs="宋体"/>
                <w:i w:val="0"/>
                <w:color w:val="000000"/>
                <w:sz w:val="22"/>
                <w:szCs w:val="22"/>
                <w:u w:val="none"/>
              </w:rPr>
            </w:pPr>
          </w:p>
        </w:tc>
      </w:tr>
      <w:tr w14:paraId="4C9B6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67710E3C">
            <w:pPr>
              <w:keepNext w:val="0"/>
              <w:keepLines w:val="0"/>
              <w:widowControl/>
              <w:suppressLineNumbers w:val="0"/>
              <w:jc w:val="center"/>
              <w:textAlignment w:val="center"/>
              <w:rPr>
                <w:rFonts w:hint="eastAsia" w:ascii="宋体" w:hAnsi="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4</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9F788C6">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6A5F955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仁孝华庭住宅</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4ACBB8">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26000 </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ED296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C70B7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65A87CDD">
            <w:pPr>
              <w:jc w:val="center"/>
              <w:rPr>
                <w:rFonts w:hint="eastAsia" w:ascii="宋体" w:hAnsi="宋体" w:eastAsia="宋体" w:cs="宋体"/>
                <w:i w:val="0"/>
                <w:color w:val="000000"/>
                <w:sz w:val="22"/>
                <w:szCs w:val="22"/>
                <w:u w:val="none"/>
              </w:rPr>
            </w:pPr>
          </w:p>
        </w:tc>
      </w:tr>
      <w:tr w14:paraId="1C210F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55393636">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5</w:t>
            </w:r>
          </w:p>
        </w:tc>
        <w:tc>
          <w:tcPr>
            <w:tcW w:w="917" w:type="dxa"/>
            <w:vMerge w:val="restar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4A6BF2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停车场</w:t>
            </w: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647C642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P1停车场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FA761E">
            <w:pPr>
              <w:keepNext w:val="0"/>
              <w:keepLines w:val="0"/>
              <w:widowControl/>
              <w:suppressLineNumbers w:val="0"/>
              <w:jc w:val="center"/>
              <w:textAlignment w:val="center"/>
              <w:rPr>
                <w:rFonts w:ascii="仿宋" w:hAnsi="仿宋" w:eastAsia="仿宋" w:cs="仿宋"/>
                <w:i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 xml:space="preserve">965 </w:t>
            </w:r>
          </w:p>
        </w:tc>
        <w:tc>
          <w:tcPr>
            <w:tcW w:w="22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942578">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宋体" w:hAnsi="宋体" w:eastAsia="宋体" w:cs="宋体"/>
                <w:i w:val="0"/>
                <w:iCs w:val="0"/>
                <w:color w:val="000000"/>
                <w:kern w:val="0"/>
                <w:sz w:val="22"/>
                <w:szCs w:val="22"/>
                <w:u w:val="none"/>
                <w:lang w:val="en-US" w:eastAsia="zh-CN" w:bidi="ar"/>
              </w:rPr>
              <w:t>193个停车位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2DA53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51871D63">
            <w:pPr>
              <w:jc w:val="center"/>
              <w:rPr>
                <w:rFonts w:hint="eastAsia" w:ascii="宋体" w:hAnsi="宋体" w:eastAsia="宋体" w:cs="宋体"/>
                <w:i w:val="0"/>
                <w:color w:val="000000"/>
                <w:sz w:val="22"/>
                <w:szCs w:val="22"/>
                <w:u w:val="none"/>
              </w:rPr>
            </w:pPr>
          </w:p>
        </w:tc>
      </w:tr>
      <w:tr w14:paraId="632DA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69221746">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6</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64EF120">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1525E1A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P3停车场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7FC7F5">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 xml:space="preserve">1885 </w:t>
            </w:r>
          </w:p>
        </w:tc>
        <w:tc>
          <w:tcPr>
            <w:tcW w:w="22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2E2173">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宋体" w:hAnsi="宋体" w:eastAsia="宋体" w:cs="宋体"/>
                <w:i w:val="0"/>
                <w:iCs w:val="0"/>
                <w:color w:val="000000"/>
                <w:kern w:val="0"/>
                <w:sz w:val="22"/>
                <w:szCs w:val="22"/>
                <w:u w:val="none"/>
                <w:lang w:val="en-US" w:eastAsia="zh-CN" w:bidi="ar"/>
              </w:rPr>
              <w:t>377个停车位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8CA93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68F0AACA">
            <w:pPr>
              <w:jc w:val="center"/>
              <w:rPr>
                <w:rFonts w:hint="eastAsia" w:ascii="宋体" w:hAnsi="宋体" w:eastAsia="宋体" w:cs="宋体"/>
                <w:i w:val="0"/>
                <w:color w:val="000000"/>
                <w:sz w:val="22"/>
                <w:szCs w:val="22"/>
                <w:u w:val="none"/>
              </w:rPr>
            </w:pPr>
          </w:p>
        </w:tc>
      </w:tr>
      <w:tr w14:paraId="3EAE86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5A94431F">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7</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53B8D0F">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0C5BF04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P4停车场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7D7316">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 xml:space="preserve">1795 </w:t>
            </w:r>
          </w:p>
        </w:tc>
        <w:tc>
          <w:tcPr>
            <w:tcW w:w="22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CED98B">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宋体" w:hAnsi="宋体" w:eastAsia="宋体" w:cs="宋体"/>
                <w:i w:val="0"/>
                <w:iCs w:val="0"/>
                <w:color w:val="000000"/>
                <w:kern w:val="0"/>
                <w:sz w:val="22"/>
                <w:szCs w:val="22"/>
                <w:u w:val="none"/>
                <w:lang w:val="en-US" w:eastAsia="zh-CN" w:bidi="ar"/>
              </w:rPr>
              <w:t>359个停车位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06EA0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1EC9D84D">
            <w:pPr>
              <w:jc w:val="center"/>
              <w:rPr>
                <w:rFonts w:hint="eastAsia" w:ascii="宋体" w:hAnsi="宋体" w:eastAsia="宋体" w:cs="宋体"/>
                <w:i w:val="0"/>
                <w:color w:val="000000"/>
                <w:sz w:val="22"/>
                <w:szCs w:val="22"/>
                <w:u w:val="none"/>
              </w:rPr>
            </w:pPr>
          </w:p>
        </w:tc>
      </w:tr>
      <w:tr w14:paraId="74F59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49503294">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8</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CA0FF1F">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09B4690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P5停车场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4076CE">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 xml:space="preserve">2465 </w:t>
            </w:r>
          </w:p>
        </w:tc>
        <w:tc>
          <w:tcPr>
            <w:tcW w:w="22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00730A">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宋体" w:hAnsi="宋体" w:eastAsia="宋体" w:cs="宋体"/>
                <w:i w:val="0"/>
                <w:iCs w:val="0"/>
                <w:color w:val="000000"/>
                <w:kern w:val="0"/>
                <w:sz w:val="22"/>
                <w:szCs w:val="22"/>
                <w:u w:val="none"/>
                <w:lang w:val="en-US" w:eastAsia="zh-CN" w:bidi="ar"/>
              </w:rPr>
              <w:t>600个停车位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BDB0F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23D041E7">
            <w:pPr>
              <w:jc w:val="center"/>
              <w:rPr>
                <w:rFonts w:hint="eastAsia" w:ascii="宋体" w:hAnsi="宋体" w:eastAsia="宋体" w:cs="宋体"/>
                <w:i w:val="0"/>
                <w:color w:val="000000"/>
                <w:sz w:val="22"/>
                <w:szCs w:val="22"/>
                <w:u w:val="none"/>
              </w:rPr>
            </w:pPr>
          </w:p>
        </w:tc>
      </w:tr>
      <w:tr w14:paraId="79E9CB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0C07E3E5">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29</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AD1CCBB">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66DC572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沿江公园停车场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B02DE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1675</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1CE87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218个停车位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C2C65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30C4F113">
            <w:pPr>
              <w:jc w:val="center"/>
              <w:rPr>
                <w:rFonts w:hint="eastAsia" w:ascii="宋体" w:hAnsi="宋体" w:eastAsia="宋体" w:cs="宋体"/>
                <w:i w:val="0"/>
                <w:color w:val="000000"/>
                <w:sz w:val="22"/>
                <w:szCs w:val="22"/>
                <w:u w:val="none"/>
              </w:rPr>
            </w:pPr>
          </w:p>
        </w:tc>
      </w:tr>
      <w:tr w14:paraId="407B1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4BE72197">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0</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8F9A62A">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14:paraId="5CBCB00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H公园</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863FD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7390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2743C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1台直梯，437个停车位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72FCD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42144427">
            <w:pPr>
              <w:jc w:val="center"/>
              <w:rPr>
                <w:rFonts w:hint="eastAsia" w:ascii="宋体" w:hAnsi="宋体" w:eastAsia="宋体" w:cs="宋体"/>
                <w:i w:val="0"/>
                <w:color w:val="000000"/>
                <w:sz w:val="22"/>
                <w:szCs w:val="22"/>
                <w:u w:val="none"/>
              </w:rPr>
            </w:pPr>
          </w:p>
        </w:tc>
      </w:tr>
      <w:tr w14:paraId="5D8F1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081533F1">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1</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5E62028">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nil"/>
              <w:right w:val="single" w:color="000000" w:sz="4" w:space="0"/>
            </w:tcBorders>
            <w:shd w:val="clear" w:color="auto" w:fill="auto"/>
            <w:tcMar>
              <w:top w:w="15" w:type="dxa"/>
              <w:left w:w="15" w:type="dxa"/>
              <w:right w:w="15" w:type="dxa"/>
            </w:tcMar>
            <w:vAlign w:val="center"/>
          </w:tcPr>
          <w:p w14:paraId="0FE434E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亚运村国际区地下停车场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A0F9C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8431</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5D913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473个停车位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A921E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04065750">
            <w:pPr>
              <w:jc w:val="center"/>
              <w:rPr>
                <w:rFonts w:hint="eastAsia" w:ascii="宋体" w:hAnsi="宋体" w:eastAsia="宋体" w:cs="宋体"/>
                <w:i w:val="0"/>
                <w:color w:val="000000"/>
                <w:sz w:val="22"/>
                <w:szCs w:val="22"/>
                <w:u w:val="none"/>
              </w:rPr>
            </w:pPr>
          </w:p>
        </w:tc>
      </w:tr>
      <w:tr w14:paraId="0FABA0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76F6CD04">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2</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B01E590">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757561D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媒体村公园含地下停车场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0DEE8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4260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BC4EA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284个停车位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A2E2D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1E629379">
            <w:pPr>
              <w:jc w:val="center"/>
              <w:rPr>
                <w:rFonts w:hint="eastAsia" w:ascii="宋体" w:hAnsi="宋体" w:eastAsia="宋体" w:cs="宋体"/>
                <w:i w:val="0"/>
                <w:color w:val="000000"/>
                <w:sz w:val="22"/>
                <w:szCs w:val="22"/>
                <w:u w:val="none"/>
              </w:rPr>
            </w:pPr>
          </w:p>
        </w:tc>
      </w:tr>
      <w:tr w14:paraId="09FD64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18BFBF87">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3</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428D43F">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3CEB4B8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运一公园含地下停车场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1C0FC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1720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D85A75">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86个停车位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DCF80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6A67529C">
            <w:pPr>
              <w:jc w:val="center"/>
              <w:rPr>
                <w:rFonts w:hint="eastAsia" w:ascii="宋体" w:hAnsi="宋体" w:eastAsia="宋体" w:cs="宋体"/>
                <w:i w:val="0"/>
                <w:color w:val="000000"/>
                <w:sz w:val="22"/>
                <w:szCs w:val="22"/>
                <w:u w:val="none"/>
              </w:rPr>
            </w:pPr>
          </w:p>
        </w:tc>
      </w:tr>
      <w:tr w14:paraId="38D5D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6036FC19">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4</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7A4BC48">
            <w:pPr>
              <w:jc w:val="center"/>
              <w:rPr>
                <w:rFonts w:hint="eastAsia" w:ascii="宋体" w:hAnsi="宋体" w:eastAsia="宋体" w:cs="宋体"/>
                <w:i w:val="0"/>
                <w:color w:val="000000"/>
                <w:sz w:val="22"/>
                <w:szCs w:val="22"/>
                <w:u w:val="none"/>
              </w:rPr>
            </w:pPr>
          </w:p>
        </w:tc>
        <w:tc>
          <w:tcPr>
            <w:tcW w:w="2155"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7203F80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世纪城实验小学地下室</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83000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A199C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70个停车位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C6A90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14CEB785">
            <w:pPr>
              <w:jc w:val="center"/>
              <w:rPr>
                <w:rFonts w:hint="eastAsia" w:ascii="宋体" w:hAnsi="宋体" w:eastAsia="宋体" w:cs="宋体"/>
                <w:i w:val="0"/>
                <w:color w:val="000000"/>
                <w:sz w:val="22"/>
                <w:szCs w:val="22"/>
                <w:u w:val="none"/>
              </w:rPr>
            </w:pPr>
          </w:p>
        </w:tc>
      </w:tr>
      <w:tr w14:paraId="17BF6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149A20C5">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5</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89ECE07">
            <w:pPr>
              <w:jc w:val="center"/>
              <w:rPr>
                <w:rFonts w:hint="eastAsia" w:ascii="宋体" w:hAnsi="宋体" w:eastAsia="宋体" w:cs="宋体"/>
                <w:i w:val="0"/>
                <w:color w:val="000000"/>
                <w:sz w:val="22"/>
                <w:szCs w:val="22"/>
                <w:u w:val="none"/>
              </w:rPr>
            </w:pPr>
          </w:p>
        </w:tc>
        <w:tc>
          <w:tcPr>
            <w:tcW w:w="2155"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094217D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文渊初中地下室</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FC5E8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7380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D44A8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369个停车位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2A9A0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45F7B864">
            <w:pPr>
              <w:jc w:val="center"/>
              <w:rPr>
                <w:rFonts w:hint="eastAsia" w:ascii="宋体" w:hAnsi="宋体" w:eastAsia="宋体" w:cs="宋体"/>
                <w:i w:val="0"/>
                <w:color w:val="000000"/>
                <w:sz w:val="22"/>
                <w:szCs w:val="22"/>
                <w:u w:val="none"/>
              </w:rPr>
            </w:pPr>
          </w:p>
        </w:tc>
      </w:tr>
      <w:tr w14:paraId="70107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5941EB61">
            <w:pPr>
              <w:keepNext w:val="0"/>
              <w:keepLines w:val="0"/>
              <w:widowControl/>
              <w:suppressLineNumbers w:val="0"/>
              <w:jc w:val="center"/>
              <w:textAlignment w:val="center"/>
              <w:rPr>
                <w:rFonts w:hint="default" w:ascii="宋体" w:hAnsi="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6</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169383A">
            <w:pPr>
              <w:jc w:val="center"/>
              <w:rPr>
                <w:rFonts w:hint="eastAsia" w:ascii="宋体" w:hAnsi="宋体" w:eastAsia="宋体" w:cs="宋体"/>
                <w:i w:val="0"/>
                <w:color w:val="000000"/>
                <w:sz w:val="22"/>
                <w:szCs w:val="22"/>
                <w:u w:val="none"/>
              </w:rPr>
            </w:pPr>
          </w:p>
        </w:tc>
        <w:tc>
          <w:tcPr>
            <w:tcW w:w="2155"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49D79E4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君品名邸公园地下停车场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E2F351">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2000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A76BA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99个停车位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437A5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3F69F4D1">
            <w:pPr>
              <w:jc w:val="center"/>
              <w:rPr>
                <w:rFonts w:hint="eastAsia" w:ascii="宋体" w:hAnsi="宋体" w:eastAsia="宋体" w:cs="宋体"/>
                <w:i w:val="0"/>
                <w:color w:val="000000"/>
                <w:sz w:val="22"/>
                <w:szCs w:val="22"/>
                <w:u w:val="none"/>
              </w:rPr>
            </w:pPr>
          </w:p>
        </w:tc>
      </w:tr>
      <w:tr w14:paraId="56F85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12665C83">
            <w:pPr>
              <w:keepNext w:val="0"/>
              <w:keepLines w:val="0"/>
              <w:widowControl/>
              <w:suppressLineNumbers w:val="0"/>
              <w:jc w:val="center"/>
              <w:textAlignment w:val="center"/>
              <w:rPr>
                <w:rFonts w:hint="default" w:ascii="宋体" w:hAnsi="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7</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38FEACD">
            <w:pPr>
              <w:jc w:val="center"/>
              <w:rPr>
                <w:rFonts w:hint="eastAsia" w:ascii="宋体" w:hAnsi="宋体" w:eastAsia="宋体" w:cs="宋体"/>
                <w:i w:val="0"/>
                <w:color w:val="000000"/>
                <w:sz w:val="22"/>
                <w:szCs w:val="22"/>
                <w:u w:val="none"/>
              </w:rPr>
            </w:pPr>
          </w:p>
        </w:tc>
        <w:tc>
          <w:tcPr>
            <w:tcW w:w="2155"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10F6BCF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御虹府公园地下停车场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C55959">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1740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03D168">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87个停车位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0A333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6A04686C">
            <w:pPr>
              <w:jc w:val="center"/>
              <w:rPr>
                <w:rFonts w:hint="eastAsia" w:ascii="宋体" w:hAnsi="宋体" w:eastAsia="宋体" w:cs="宋体"/>
                <w:i w:val="0"/>
                <w:color w:val="000000"/>
                <w:sz w:val="22"/>
                <w:szCs w:val="22"/>
                <w:u w:val="none"/>
              </w:rPr>
            </w:pPr>
          </w:p>
        </w:tc>
      </w:tr>
      <w:tr w14:paraId="688B7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auto" w:sz="4" w:space="0"/>
            </w:tcBorders>
            <w:shd w:val="clear" w:color="auto" w:fill="auto"/>
            <w:noWrap/>
            <w:tcMar>
              <w:top w:w="15" w:type="dxa"/>
              <w:left w:w="15" w:type="dxa"/>
              <w:right w:w="15" w:type="dxa"/>
            </w:tcMar>
            <w:vAlign w:val="center"/>
          </w:tcPr>
          <w:p w14:paraId="00E0C12F">
            <w:pPr>
              <w:keepNext w:val="0"/>
              <w:keepLines w:val="0"/>
              <w:widowControl/>
              <w:suppressLineNumbers w:val="0"/>
              <w:jc w:val="center"/>
              <w:textAlignment w:val="center"/>
              <w:rPr>
                <w:rFonts w:hint="default" w:ascii="宋体" w:hAnsi="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8</w:t>
            </w:r>
          </w:p>
        </w:tc>
        <w:tc>
          <w:tcPr>
            <w:tcW w:w="917" w:type="dxa"/>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9A2A106">
            <w:pPr>
              <w:jc w:val="center"/>
              <w:rPr>
                <w:rFonts w:hint="eastAsia" w:ascii="宋体" w:hAnsi="宋体" w:eastAsia="宋体" w:cs="宋体"/>
                <w:i w:val="0"/>
                <w:color w:val="000000"/>
                <w:sz w:val="22"/>
                <w:szCs w:val="22"/>
                <w:u w:val="none"/>
              </w:rPr>
            </w:pPr>
          </w:p>
        </w:tc>
        <w:tc>
          <w:tcPr>
            <w:tcW w:w="2155"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14:paraId="4C927AA5">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星翠澜庭公园地下停车场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D7AD9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740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5AEBA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37个停车位</w:t>
            </w: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4B5E5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77E29A19">
            <w:pPr>
              <w:jc w:val="center"/>
              <w:rPr>
                <w:rFonts w:hint="eastAsia" w:ascii="宋体" w:hAnsi="宋体" w:eastAsia="宋体" w:cs="宋体"/>
                <w:i w:val="0"/>
                <w:color w:val="000000"/>
                <w:sz w:val="22"/>
                <w:szCs w:val="22"/>
                <w:u w:val="none"/>
              </w:rPr>
            </w:pPr>
          </w:p>
        </w:tc>
      </w:tr>
      <w:tr w14:paraId="1D2C9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39269DD7">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cs="宋体"/>
                <w:i w:val="0"/>
                <w:iCs w:val="0"/>
                <w:color w:val="000000"/>
                <w:kern w:val="0"/>
                <w:sz w:val="22"/>
                <w:szCs w:val="22"/>
                <w:u w:val="none"/>
                <w:lang w:val="en-US" w:eastAsia="zh-CN" w:bidi="ar"/>
              </w:rPr>
              <w:t>39</w:t>
            </w:r>
          </w:p>
        </w:tc>
        <w:tc>
          <w:tcPr>
            <w:tcW w:w="917" w:type="dxa"/>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EEA94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广告设施</w:t>
            </w:r>
          </w:p>
        </w:tc>
        <w:tc>
          <w:tcPr>
            <w:tcW w:w="215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76364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公交广告及自行车广告牌</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FB2615">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3400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70B7FC">
            <w:pPr>
              <w:keepNext w:val="0"/>
              <w:keepLines w:val="0"/>
              <w:widowControl/>
              <w:suppressLineNumbers w:val="0"/>
              <w:jc w:val="center"/>
              <w:textAlignment w:val="center"/>
              <w:rPr>
                <w:rFonts w:hint="eastAsia" w:ascii="宋体" w:hAnsi="宋体" w:eastAsia="宋体" w:cs="宋体"/>
                <w:i w:val="0"/>
                <w:color w:val="000000"/>
                <w:kern w:val="0"/>
                <w:sz w:val="22"/>
                <w:szCs w:val="22"/>
                <w:highlight w:val="yellow"/>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380D9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2B7BD868">
            <w:pPr>
              <w:jc w:val="center"/>
              <w:rPr>
                <w:rFonts w:hint="eastAsia" w:ascii="宋体" w:hAnsi="宋体" w:eastAsia="宋体" w:cs="宋体"/>
                <w:i w:val="0"/>
                <w:color w:val="000000"/>
                <w:sz w:val="22"/>
                <w:szCs w:val="22"/>
                <w:u w:val="none"/>
              </w:rPr>
            </w:pPr>
          </w:p>
        </w:tc>
      </w:tr>
      <w:tr w14:paraId="24B77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6D24463B">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4</w:t>
            </w:r>
            <w:r>
              <w:rPr>
                <w:rFonts w:hint="eastAsia" w:ascii="宋体" w:hAnsi="宋体" w:cs="宋体"/>
                <w:i w:val="0"/>
                <w:iCs w:val="0"/>
                <w:color w:val="000000"/>
                <w:kern w:val="0"/>
                <w:sz w:val="22"/>
                <w:szCs w:val="22"/>
                <w:u w:val="none"/>
                <w:lang w:val="en-US" w:eastAsia="zh-CN" w:bidi="ar"/>
              </w:rPr>
              <w:t>0</w:t>
            </w:r>
          </w:p>
        </w:tc>
        <w:tc>
          <w:tcPr>
            <w:tcW w:w="917" w:type="dxa"/>
            <w:vMerge w:val="restart"/>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14:paraId="1742884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管理用房</w:t>
            </w:r>
          </w:p>
        </w:tc>
        <w:tc>
          <w:tcPr>
            <w:tcW w:w="215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5B80E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东风河管理用房利一家园</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FFFB2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467</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EF473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CF528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686351F5">
            <w:pPr>
              <w:jc w:val="center"/>
              <w:rPr>
                <w:rFonts w:hint="eastAsia" w:ascii="宋体" w:hAnsi="宋体" w:eastAsia="宋体" w:cs="宋体"/>
                <w:i w:val="0"/>
                <w:color w:val="000000"/>
                <w:sz w:val="22"/>
                <w:szCs w:val="22"/>
                <w:u w:val="none"/>
              </w:rPr>
            </w:pPr>
          </w:p>
        </w:tc>
      </w:tr>
      <w:tr w14:paraId="1436F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4FD12D42">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4</w:t>
            </w:r>
            <w:r>
              <w:rPr>
                <w:rFonts w:hint="eastAsia" w:ascii="宋体" w:hAnsi="宋体" w:cs="宋体"/>
                <w:i w:val="0"/>
                <w:iCs w:val="0"/>
                <w:color w:val="000000"/>
                <w:kern w:val="0"/>
                <w:sz w:val="22"/>
                <w:szCs w:val="22"/>
                <w:u w:val="none"/>
                <w:lang w:val="en-US" w:eastAsia="zh-CN" w:bidi="ar"/>
              </w:rPr>
              <w:t>1</w:t>
            </w:r>
          </w:p>
        </w:tc>
        <w:tc>
          <w:tcPr>
            <w:tcW w:w="917" w:type="dxa"/>
            <w:vMerge w:val="continue"/>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14:paraId="44BE4745">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95477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东风河管理用房五堡直河</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1B728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801</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24F71B">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CA03F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45A8C44C">
            <w:pPr>
              <w:jc w:val="center"/>
              <w:rPr>
                <w:rFonts w:hint="eastAsia" w:ascii="宋体" w:hAnsi="宋体" w:eastAsia="宋体" w:cs="宋体"/>
                <w:i w:val="0"/>
                <w:color w:val="000000"/>
                <w:sz w:val="22"/>
                <w:szCs w:val="22"/>
                <w:u w:val="none"/>
              </w:rPr>
            </w:pPr>
          </w:p>
        </w:tc>
      </w:tr>
      <w:tr w14:paraId="1204C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3E00370B">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4</w:t>
            </w:r>
            <w:r>
              <w:rPr>
                <w:rFonts w:hint="eastAsia" w:ascii="宋体" w:hAnsi="宋体" w:cs="宋体"/>
                <w:i w:val="0"/>
                <w:iCs w:val="0"/>
                <w:color w:val="000000"/>
                <w:kern w:val="0"/>
                <w:sz w:val="22"/>
                <w:szCs w:val="22"/>
                <w:u w:val="none"/>
                <w:lang w:val="en-US" w:eastAsia="zh-CN" w:bidi="ar"/>
              </w:rPr>
              <w:t>2</w:t>
            </w:r>
          </w:p>
        </w:tc>
        <w:tc>
          <w:tcPr>
            <w:tcW w:w="917"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D7F5B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公园</w:t>
            </w:r>
          </w:p>
        </w:tc>
        <w:tc>
          <w:tcPr>
            <w:tcW w:w="215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24DAF28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丰北公园</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CEE04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BE8785">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024B4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15F89E4C">
            <w:pPr>
              <w:jc w:val="center"/>
              <w:rPr>
                <w:rFonts w:hint="eastAsia" w:ascii="宋体" w:hAnsi="宋体" w:eastAsia="宋体" w:cs="宋体"/>
                <w:i w:val="0"/>
                <w:color w:val="000000"/>
                <w:sz w:val="22"/>
                <w:szCs w:val="22"/>
                <w:u w:val="none"/>
              </w:rPr>
            </w:pPr>
          </w:p>
        </w:tc>
      </w:tr>
      <w:tr w14:paraId="0A9625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221CC0FB">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4</w:t>
            </w:r>
            <w:r>
              <w:rPr>
                <w:rFonts w:hint="eastAsia" w:ascii="宋体" w:hAnsi="宋体" w:cs="宋体"/>
                <w:i w:val="0"/>
                <w:iCs w:val="0"/>
                <w:color w:val="000000"/>
                <w:kern w:val="0"/>
                <w:sz w:val="22"/>
                <w:szCs w:val="22"/>
                <w:u w:val="none"/>
                <w:lang w:val="en-US" w:eastAsia="zh-CN" w:bidi="ar"/>
              </w:rPr>
              <w:t>3</w:t>
            </w:r>
          </w:p>
        </w:tc>
        <w:tc>
          <w:tcPr>
            <w:tcW w:w="917"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C91CD7">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69C2A1C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运一公园</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CBA93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7500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82A7E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E19F2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264F72C2">
            <w:pPr>
              <w:jc w:val="center"/>
              <w:rPr>
                <w:rFonts w:hint="eastAsia" w:ascii="宋体" w:hAnsi="宋体" w:eastAsia="宋体" w:cs="宋体"/>
                <w:i w:val="0"/>
                <w:color w:val="000000"/>
                <w:sz w:val="22"/>
                <w:szCs w:val="22"/>
                <w:u w:val="none"/>
              </w:rPr>
            </w:pPr>
          </w:p>
        </w:tc>
      </w:tr>
      <w:tr w14:paraId="0E33A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0C4CD79E">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4</w:t>
            </w:r>
            <w:r>
              <w:rPr>
                <w:rFonts w:hint="eastAsia" w:ascii="宋体" w:hAnsi="宋体" w:cs="宋体"/>
                <w:i w:val="0"/>
                <w:iCs w:val="0"/>
                <w:color w:val="000000"/>
                <w:kern w:val="0"/>
                <w:sz w:val="22"/>
                <w:szCs w:val="22"/>
                <w:u w:val="none"/>
                <w:lang w:val="en-US" w:eastAsia="zh-CN" w:bidi="ar"/>
              </w:rPr>
              <w:t>4</w:t>
            </w:r>
          </w:p>
        </w:tc>
        <w:tc>
          <w:tcPr>
            <w:tcW w:w="917"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CFDE8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泵房</w:t>
            </w:r>
          </w:p>
        </w:tc>
        <w:tc>
          <w:tcPr>
            <w:tcW w:w="2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25479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振宁路污水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泵房</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8C3E8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199</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37FBA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78A2D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392EE17E">
            <w:pPr>
              <w:jc w:val="center"/>
              <w:rPr>
                <w:rFonts w:hint="eastAsia" w:ascii="宋体" w:hAnsi="宋体" w:eastAsia="宋体" w:cs="宋体"/>
                <w:i w:val="0"/>
                <w:color w:val="000000"/>
                <w:sz w:val="22"/>
                <w:szCs w:val="22"/>
                <w:u w:val="none"/>
              </w:rPr>
            </w:pPr>
          </w:p>
        </w:tc>
      </w:tr>
      <w:tr w14:paraId="73F284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5280E77E">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4</w:t>
            </w:r>
            <w:r>
              <w:rPr>
                <w:rFonts w:hint="eastAsia" w:ascii="宋体" w:hAnsi="宋体" w:cs="宋体"/>
                <w:i w:val="0"/>
                <w:iCs w:val="0"/>
                <w:color w:val="000000"/>
                <w:kern w:val="0"/>
                <w:sz w:val="22"/>
                <w:szCs w:val="22"/>
                <w:u w:val="none"/>
                <w:lang w:val="en-US" w:eastAsia="zh-CN" w:bidi="ar"/>
              </w:rPr>
              <w:t>5</w:t>
            </w:r>
          </w:p>
        </w:tc>
        <w:tc>
          <w:tcPr>
            <w:tcW w:w="917"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B8F604">
            <w:pPr>
              <w:jc w:val="center"/>
              <w:rPr>
                <w:rFonts w:hint="eastAsia" w:ascii="宋体" w:hAnsi="宋体" w:eastAsia="宋体" w:cs="宋体"/>
                <w:i w:val="0"/>
                <w:color w:val="000000"/>
                <w:sz w:val="22"/>
                <w:szCs w:val="22"/>
                <w:u w:val="none"/>
              </w:rPr>
            </w:pPr>
          </w:p>
        </w:tc>
        <w:tc>
          <w:tcPr>
            <w:tcW w:w="215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5EC0389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奔竞大道污水泵房</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31CB1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324</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7E45F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D407D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705F0210">
            <w:pPr>
              <w:jc w:val="center"/>
              <w:rPr>
                <w:rFonts w:hint="eastAsia" w:ascii="宋体" w:hAnsi="宋体" w:eastAsia="宋体" w:cs="宋体"/>
                <w:i w:val="0"/>
                <w:color w:val="000000"/>
                <w:sz w:val="22"/>
                <w:szCs w:val="22"/>
                <w:u w:val="none"/>
              </w:rPr>
            </w:pPr>
          </w:p>
        </w:tc>
      </w:tr>
      <w:tr w14:paraId="2965AB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45C6F188">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46</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6DC1B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文化设施</w:t>
            </w:r>
          </w:p>
        </w:tc>
        <w:tc>
          <w:tcPr>
            <w:tcW w:w="215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1A9EB55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亚运村国际区</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33FF81">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23000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BA33D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B8C96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财产一切险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59058301">
            <w:pPr>
              <w:jc w:val="center"/>
              <w:rPr>
                <w:rFonts w:hint="eastAsia" w:ascii="宋体" w:hAnsi="宋体" w:eastAsia="宋体" w:cs="宋体"/>
                <w:i w:val="0"/>
                <w:color w:val="000000"/>
                <w:sz w:val="22"/>
                <w:szCs w:val="22"/>
                <w:u w:val="none"/>
              </w:rPr>
            </w:pPr>
          </w:p>
        </w:tc>
      </w:tr>
      <w:tr w14:paraId="619D02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458AB983">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47</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BFFB6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综合管廊</w:t>
            </w:r>
          </w:p>
        </w:tc>
        <w:tc>
          <w:tcPr>
            <w:tcW w:w="2155"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14:paraId="54353E01">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管廊项目</w:t>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31049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215684</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228AC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9F7CC2">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财产</w:t>
            </w:r>
            <w:r>
              <w:rPr>
                <w:rFonts w:hint="eastAsia" w:ascii="宋体" w:hAnsi="宋体" w:cs="宋体"/>
                <w:i w:val="0"/>
                <w:iCs w:val="0"/>
                <w:color w:val="000000"/>
                <w:kern w:val="0"/>
                <w:sz w:val="22"/>
                <w:szCs w:val="22"/>
                <w:u w:val="none"/>
                <w:lang w:val="en-US" w:eastAsia="zh-CN" w:bidi="ar"/>
              </w:rPr>
              <w:t>基本</w:t>
            </w:r>
            <w:r>
              <w:rPr>
                <w:rFonts w:hint="eastAsia" w:ascii="宋体" w:hAnsi="宋体" w:eastAsia="宋体" w:cs="宋体"/>
                <w:i w:val="0"/>
                <w:iCs w:val="0"/>
                <w:color w:val="000000"/>
                <w:kern w:val="0"/>
                <w:sz w:val="22"/>
                <w:szCs w:val="22"/>
                <w:u w:val="none"/>
                <w:lang w:val="en-US" w:eastAsia="zh-CN" w:bidi="ar"/>
              </w:rPr>
              <w:t>险</w:t>
            </w:r>
          </w:p>
        </w:tc>
        <w:tc>
          <w:tcPr>
            <w:tcW w:w="1236" w:type="dxa"/>
            <w:vMerge w:val="continue"/>
            <w:tcBorders>
              <w:left w:val="single" w:color="000000" w:sz="4" w:space="0"/>
              <w:right w:val="single" w:color="000000" w:sz="8" w:space="0"/>
            </w:tcBorders>
            <w:shd w:val="clear" w:color="auto" w:fill="auto"/>
            <w:tcMar>
              <w:top w:w="15" w:type="dxa"/>
              <w:left w:w="15" w:type="dxa"/>
              <w:right w:w="15" w:type="dxa"/>
            </w:tcMar>
            <w:vAlign w:val="center"/>
          </w:tcPr>
          <w:p w14:paraId="7C64104E">
            <w:pPr>
              <w:jc w:val="center"/>
              <w:rPr>
                <w:rFonts w:hint="eastAsia" w:ascii="宋体" w:hAnsi="宋体" w:eastAsia="宋体" w:cs="宋体"/>
                <w:i w:val="0"/>
                <w:color w:val="000000"/>
                <w:sz w:val="22"/>
                <w:szCs w:val="22"/>
                <w:u w:val="none"/>
              </w:rPr>
            </w:pPr>
          </w:p>
        </w:tc>
      </w:tr>
      <w:tr w14:paraId="302A55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8" w:hRule="atLeast"/>
        </w:trPr>
        <w:tc>
          <w:tcPr>
            <w:tcW w:w="474" w:type="dxa"/>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530FA659">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48</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F21AB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管理用房</w:t>
            </w:r>
          </w:p>
        </w:tc>
        <w:tc>
          <w:tcPr>
            <w:tcW w:w="2155" w:type="dxa"/>
            <w:vMerge w:val="continue"/>
            <w:tcBorders>
              <w:left w:val="single" w:color="000000" w:sz="4" w:space="0"/>
              <w:bottom w:val="nil"/>
              <w:right w:val="single" w:color="000000" w:sz="4" w:space="0"/>
            </w:tcBorders>
            <w:shd w:val="clear" w:color="auto" w:fill="auto"/>
            <w:tcMar>
              <w:top w:w="15" w:type="dxa"/>
              <w:left w:w="15" w:type="dxa"/>
              <w:right w:w="15" w:type="dxa"/>
            </w:tcMar>
            <w:vAlign w:val="center"/>
          </w:tcPr>
          <w:p w14:paraId="0F6541A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9EA89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4000</w:t>
            </w:r>
          </w:p>
        </w:tc>
        <w:tc>
          <w:tcPr>
            <w:tcW w:w="22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3C6D6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8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D8B6B9">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财产</w:t>
            </w:r>
            <w:r>
              <w:rPr>
                <w:rFonts w:hint="eastAsia" w:ascii="宋体" w:hAnsi="宋体" w:cs="宋体"/>
                <w:i w:val="0"/>
                <w:iCs w:val="0"/>
                <w:color w:val="000000"/>
                <w:kern w:val="0"/>
                <w:sz w:val="22"/>
                <w:szCs w:val="22"/>
                <w:u w:val="none"/>
                <w:lang w:val="en-US" w:eastAsia="zh-CN" w:bidi="ar"/>
              </w:rPr>
              <w:t>基本</w:t>
            </w:r>
            <w:r>
              <w:rPr>
                <w:rFonts w:hint="eastAsia" w:ascii="宋体" w:hAnsi="宋体" w:eastAsia="宋体" w:cs="宋体"/>
                <w:i w:val="0"/>
                <w:iCs w:val="0"/>
                <w:color w:val="000000"/>
                <w:kern w:val="0"/>
                <w:sz w:val="22"/>
                <w:szCs w:val="22"/>
                <w:u w:val="none"/>
                <w:lang w:val="en-US" w:eastAsia="zh-CN" w:bidi="ar"/>
              </w:rPr>
              <w:t>险</w:t>
            </w:r>
          </w:p>
        </w:tc>
        <w:tc>
          <w:tcPr>
            <w:tcW w:w="1236" w:type="dxa"/>
            <w:vMerge w:val="continue"/>
            <w:tcBorders>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2AF83DF8">
            <w:pPr>
              <w:jc w:val="center"/>
              <w:rPr>
                <w:rFonts w:hint="eastAsia" w:ascii="宋体" w:hAnsi="宋体" w:eastAsia="宋体" w:cs="宋体"/>
                <w:i w:val="0"/>
                <w:color w:val="000000"/>
                <w:sz w:val="22"/>
                <w:szCs w:val="22"/>
                <w:u w:val="none"/>
              </w:rPr>
            </w:pPr>
          </w:p>
        </w:tc>
      </w:tr>
      <w:tr w14:paraId="48889E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40" w:hRule="atLeast"/>
        </w:trPr>
        <w:tc>
          <w:tcPr>
            <w:tcW w:w="474" w:type="dxa"/>
            <w:tcBorders>
              <w:top w:val="single" w:color="000000" w:sz="4" w:space="0"/>
              <w:left w:val="single" w:color="000000" w:sz="8" w:space="0"/>
              <w:bottom w:val="single" w:color="000000" w:sz="8" w:space="0"/>
              <w:right w:val="single" w:color="000000" w:sz="4" w:space="0"/>
            </w:tcBorders>
            <w:shd w:val="clear" w:color="auto" w:fill="auto"/>
            <w:noWrap/>
            <w:tcMar>
              <w:top w:w="15" w:type="dxa"/>
              <w:left w:w="15" w:type="dxa"/>
              <w:right w:w="15" w:type="dxa"/>
            </w:tcMar>
            <w:vAlign w:val="center"/>
          </w:tcPr>
          <w:p w14:paraId="3A50889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917" w:type="dxa"/>
            <w:tcBorders>
              <w:top w:val="single" w:color="000000" w:sz="4" w:space="0"/>
              <w:left w:val="single" w:color="000000" w:sz="4" w:space="0"/>
              <w:bottom w:val="single" w:color="000000" w:sz="8" w:space="0"/>
              <w:right w:val="single" w:color="000000" w:sz="4" w:space="0"/>
            </w:tcBorders>
            <w:shd w:val="clear" w:color="auto" w:fill="auto"/>
            <w:noWrap/>
            <w:tcMar>
              <w:top w:w="15" w:type="dxa"/>
              <w:left w:w="15" w:type="dxa"/>
              <w:right w:w="15" w:type="dxa"/>
            </w:tcMar>
            <w:vAlign w:val="center"/>
          </w:tcPr>
          <w:p w14:paraId="4B85DA49">
            <w:pPr>
              <w:jc w:val="center"/>
              <w:rPr>
                <w:rFonts w:hint="eastAsia" w:ascii="宋体" w:hAnsi="宋体" w:eastAsia="宋体" w:cs="宋体"/>
                <w:i w:val="0"/>
                <w:color w:val="000000"/>
                <w:sz w:val="22"/>
                <w:szCs w:val="22"/>
                <w:u w:val="none"/>
              </w:rPr>
            </w:pPr>
          </w:p>
        </w:tc>
        <w:tc>
          <w:tcPr>
            <w:tcW w:w="5386" w:type="dxa"/>
            <w:gridSpan w:val="3"/>
            <w:tcBorders>
              <w:top w:val="single" w:color="000000" w:sz="4" w:space="0"/>
              <w:left w:val="single" w:color="000000" w:sz="4" w:space="0"/>
              <w:bottom w:val="single" w:color="000000" w:sz="8" w:space="0"/>
              <w:right w:val="single" w:color="000000" w:sz="4" w:space="0"/>
            </w:tcBorders>
            <w:shd w:val="clear" w:color="auto" w:fill="auto"/>
            <w:tcMar>
              <w:top w:w="15" w:type="dxa"/>
              <w:left w:w="15" w:type="dxa"/>
              <w:right w:w="15" w:type="dxa"/>
            </w:tcMar>
            <w:vAlign w:val="center"/>
          </w:tcPr>
          <w:p w14:paraId="79B17B19">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cs="宋体"/>
                <w:i w:val="0"/>
                <w:color w:val="000000"/>
                <w:kern w:val="0"/>
                <w:sz w:val="22"/>
                <w:szCs w:val="22"/>
                <w:u w:val="none"/>
                <w:lang w:val="en-US" w:eastAsia="zh-CN" w:bidi="ar"/>
              </w:rPr>
              <w:t>469522</w:t>
            </w:r>
          </w:p>
        </w:tc>
        <w:tc>
          <w:tcPr>
            <w:tcW w:w="1683" w:type="dxa"/>
            <w:tcBorders>
              <w:top w:val="single" w:color="000000" w:sz="4" w:space="0"/>
              <w:left w:val="single" w:color="000000" w:sz="4" w:space="0"/>
              <w:bottom w:val="single" w:color="000000" w:sz="8" w:space="0"/>
              <w:right w:val="single" w:color="000000" w:sz="4" w:space="0"/>
            </w:tcBorders>
            <w:shd w:val="clear" w:color="auto" w:fill="auto"/>
            <w:noWrap/>
            <w:tcMar>
              <w:top w:w="15" w:type="dxa"/>
              <w:left w:w="15" w:type="dxa"/>
              <w:right w:w="15" w:type="dxa"/>
            </w:tcMar>
            <w:vAlign w:val="center"/>
          </w:tcPr>
          <w:p w14:paraId="178A4E8E">
            <w:pPr>
              <w:jc w:val="center"/>
              <w:rPr>
                <w:rFonts w:hint="eastAsia" w:ascii="宋体" w:hAnsi="宋体" w:eastAsia="宋体" w:cs="宋体"/>
                <w:i w:val="0"/>
                <w:color w:val="000000"/>
                <w:sz w:val="22"/>
                <w:szCs w:val="22"/>
                <w:u w:val="none"/>
              </w:rPr>
            </w:pPr>
          </w:p>
        </w:tc>
        <w:tc>
          <w:tcPr>
            <w:tcW w:w="1236" w:type="dxa"/>
            <w:tcBorders>
              <w:top w:val="single" w:color="000000" w:sz="4" w:space="0"/>
              <w:left w:val="single" w:color="000000" w:sz="4" w:space="0"/>
              <w:bottom w:val="single" w:color="000000" w:sz="8" w:space="0"/>
              <w:right w:val="single" w:color="000000" w:sz="8" w:space="0"/>
            </w:tcBorders>
            <w:shd w:val="clear" w:color="auto" w:fill="auto"/>
            <w:noWrap/>
            <w:tcMar>
              <w:top w:w="15" w:type="dxa"/>
              <w:left w:w="15" w:type="dxa"/>
              <w:right w:w="15" w:type="dxa"/>
            </w:tcMar>
            <w:vAlign w:val="center"/>
          </w:tcPr>
          <w:p w14:paraId="1AFAEC62">
            <w:pPr>
              <w:jc w:val="center"/>
              <w:rPr>
                <w:rFonts w:hint="eastAsia" w:ascii="宋体" w:hAnsi="宋体" w:eastAsia="宋体" w:cs="宋体"/>
                <w:i w:val="0"/>
                <w:color w:val="000000"/>
                <w:sz w:val="22"/>
                <w:szCs w:val="22"/>
                <w:u w:val="none"/>
              </w:rPr>
            </w:pPr>
          </w:p>
        </w:tc>
      </w:tr>
    </w:tbl>
    <w:p w14:paraId="001DA52F">
      <w:pPr>
        <w:keepNext w:val="0"/>
        <w:keepLines w:val="0"/>
        <w:pageBreakBefore w:val="0"/>
        <w:widowControl w:val="0"/>
        <w:kinsoku/>
        <w:wordWrap/>
        <w:overflowPunct/>
        <w:topLinePunct w:val="0"/>
        <w:autoSpaceDE/>
        <w:autoSpaceDN/>
        <w:bidi w:val="0"/>
        <w:adjustRightInd w:val="0"/>
        <w:snapToGrid/>
        <w:spacing w:line="5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123B51F6">
      <w:pPr>
        <w:keepNext w:val="0"/>
        <w:keepLines w:val="0"/>
        <w:pageBreakBefore w:val="0"/>
        <w:widowControl w:val="0"/>
        <w:kinsoku/>
        <w:wordWrap/>
        <w:overflowPunct/>
        <w:topLinePunct w:val="0"/>
        <w:autoSpaceDE/>
        <w:autoSpaceDN/>
        <w:bidi w:val="0"/>
        <w:adjustRightInd w:val="0"/>
        <w:snapToGrid/>
        <w:spacing w:line="5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14C6F90F">
      <w:pPr>
        <w:numPr>
          <w:ilvl w:val="0"/>
          <w:numId w:val="3"/>
        </w:numPr>
        <w:spacing w:line="360" w:lineRule="auto"/>
        <w:ind w:firstLine="281" w:firstLineChars="100"/>
        <w:jc w:val="center"/>
        <w:rPr>
          <w:rFonts w:hint="eastAsia" w:asciiTheme="minorEastAsia" w:hAnsiTheme="minorEastAsia" w:eastAsiaTheme="minorEastAsia" w:cstheme="minorEastAsia"/>
          <w:b/>
          <w:color w:val="auto"/>
          <w:sz w:val="28"/>
          <w:szCs w:val="28"/>
          <w:highlight w:val="none"/>
          <w:lang w:val="en-US" w:eastAsia="zh-CN"/>
        </w:rPr>
      </w:pPr>
      <w:r>
        <w:rPr>
          <w:rFonts w:hint="eastAsia" w:asciiTheme="minorEastAsia" w:hAnsiTheme="minorEastAsia" w:eastAsiaTheme="minorEastAsia" w:cstheme="minorEastAsia"/>
          <w:b/>
          <w:color w:val="auto"/>
          <w:sz w:val="28"/>
          <w:szCs w:val="28"/>
          <w:highlight w:val="none"/>
          <w:lang w:val="en-US" w:eastAsia="zh-CN"/>
        </w:rPr>
        <w:t>保险方案</w:t>
      </w:r>
    </w:p>
    <w:p w14:paraId="6D41DEC6">
      <w:pPr>
        <w:pStyle w:val="5"/>
        <w:keepNext/>
        <w:keepLines/>
        <w:widowControl w:val="0"/>
        <w:numPr>
          <w:ilvl w:val="0"/>
          <w:numId w:val="4"/>
        </w:numPr>
        <w:adjustRightInd w:val="0"/>
        <w:spacing w:before="260" w:after="260" w:line="416" w:lineRule="auto"/>
        <w:jc w:val="both"/>
        <w:outlineLvl w:val="2"/>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财产基本险</w:t>
      </w:r>
    </w:p>
    <w:tbl>
      <w:tblPr>
        <w:tblStyle w:val="62"/>
        <w:tblW w:w="5451"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944"/>
        <w:gridCol w:w="8180"/>
      </w:tblGrid>
      <w:tr w14:paraId="6CBAC4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shd w:val="clear" w:color="auto" w:fill="DEEAF6"/>
            <w:noWrap w:val="0"/>
            <w:vAlign w:val="center"/>
          </w:tcPr>
          <w:p w14:paraId="6BFDCA12">
            <w:pPr>
              <w:widowControl w:val="0"/>
              <w:autoSpaceDE/>
              <w:autoSpaceDN/>
              <w:spacing w:after="0"/>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明细列项</w:t>
            </w:r>
          </w:p>
        </w:tc>
        <w:tc>
          <w:tcPr>
            <w:tcW w:w="4039" w:type="pct"/>
            <w:shd w:val="clear" w:color="auto" w:fill="DEEAF6"/>
            <w:noWrap w:val="0"/>
            <w:vAlign w:val="center"/>
          </w:tcPr>
          <w:p w14:paraId="6D39904E">
            <w:pPr>
              <w:widowControl w:val="0"/>
              <w:autoSpaceDE/>
              <w:autoSpaceDN/>
              <w:spacing w:after="0"/>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具体内容</w:t>
            </w:r>
          </w:p>
        </w:tc>
      </w:tr>
      <w:tr w14:paraId="6825651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26B1639C">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险种</w:t>
            </w:r>
          </w:p>
        </w:tc>
        <w:tc>
          <w:tcPr>
            <w:tcW w:w="4039" w:type="pct"/>
            <w:noWrap w:val="0"/>
            <w:vAlign w:val="center"/>
          </w:tcPr>
          <w:p w14:paraId="1B1A2B3C">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财产</w:t>
            </w:r>
            <w:r>
              <w:rPr>
                <w:rFonts w:hint="eastAsia" w:asciiTheme="minorEastAsia" w:hAnsiTheme="minorEastAsia" w:eastAsiaTheme="minorEastAsia" w:cstheme="minorEastAsia"/>
                <w:color w:val="auto"/>
                <w:sz w:val="24"/>
                <w:szCs w:val="24"/>
                <w:highlight w:val="none"/>
                <w:lang w:val="en-US" w:eastAsia="zh-CN" w:bidi="ar-SA"/>
              </w:rPr>
              <w:t>基本险</w:t>
            </w:r>
          </w:p>
        </w:tc>
      </w:tr>
      <w:tr w14:paraId="60D47E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7DAD8088">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投保人</w:t>
            </w:r>
          </w:p>
        </w:tc>
        <w:tc>
          <w:tcPr>
            <w:tcW w:w="4039" w:type="pct"/>
            <w:noWrap w:val="0"/>
            <w:vAlign w:val="center"/>
          </w:tcPr>
          <w:p w14:paraId="15C274DC">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eastAsia="zh-CN"/>
              </w:rPr>
              <w:t>杭州萧山钱江世纪城开发建设有限责任公司</w:t>
            </w:r>
          </w:p>
        </w:tc>
      </w:tr>
      <w:tr w14:paraId="5C7EB7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16AD278B">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被保险人</w:t>
            </w:r>
          </w:p>
        </w:tc>
        <w:tc>
          <w:tcPr>
            <w:tcW w:w="4039" w:type="pct"/>
            <w:noWrap w:val="0"/>
            <w:vAlign w:val="center"/>
          </w:tcPr>
          <w:p w14:paraId="35554A4D">
            <w:pPr>
              <w:widowControl w:val="0"/>
              <w:autoSpaceDE/>
              <w:autoSpaceDN/>
              <w:spacing w:after="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color w:val="auto"/>
                <w:sz w:val="24"/>
                <w:highlight w:val="none"/>
                <w:lang w:eastAsia="zh-CN"/>
              </w:rPr>
              <w:t>杭州萧山钱江世纪城开发建设有限责任公司</w:t>
            </w:r>
          </w:p>
        </w:tc>
      </w:tr>
      <w:tr w14:paraId="3192C7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3537A822">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项目信息</w:t>
            </w:r>
          </w:p>
        </w:tc>
        <w:tc>
          <w:tcPr>
            <w:tcW w:w="4039" w:type="pct"/>
            <w:noWrap w:val="0"/>
            <w:vAlign w:val="center"/>
          </w:tcPr>
          <w:p w14:paraId="16566E22">
            <w:pPr>
              <w:widowControl w:val="0"/>
              <w:autoSpaceDE/>
              <w:autoSpaceDN/>
              <w:spacing w:after="0"/>
              <w:jc w:val="both"/>
              <w:rPr>
                <w:rFonts w:hint="eastAsia" w:asciiTheme="minorEastAsia" w:hAnsiTheme="minorEastAsia" w:eastAsiaTheme="minorEastAsia" w:cstheme="minorEastAsia"/>
                <w:color w:val="auto"/>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bidi="ar-SA"/>
              </w:rPr>
              <w:t xml:space="preserve">详见“二、交易需求”投保资产  </w:t>
            </w:r>
          </w:p>
          <w:p w14:paraId="07E9343E">
            <w:pPr>
              <w:widowControl w:val="0"/>
              <w:autoSpaceDE/>
              <w:autoSpaceDN/>
              <w:spacing w:after="0"/>
              <w:jc w:val="both"/>
              <w:rPr>
                <w:rFonts w:hint="default" w:asciiTheme="minorEastAsia" w:hAnsiTheme="minorEastAsia" w:eastAsiaTheme="minorEastAsia" w:cstheme="minorEastAsia"/>
                <w:color w:val="auto"/>
                <w:sz w:val="24"/>
                <w:szCs w:val="24"/>
                <w:highlight w:val="none"/>
                <w:lang w:val="en-US" w:eastAsia="zh-CN" w:bidi="ar-SA"/>
              </w:rPr>
            </w:pPr>
          </w:p>
        </w:tc>
      </w:tr>
      <w:tr w14:paraId="6816DD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4F3FD227">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保险责任</w:t>
            </w:r>
          </w:p>
        </w:tc>
        <w:tc>
          <w:tcPr>
            <w:tcW w:w="4039" w:type="pct"/>
            <w:noWrap w:val="0"/>
            <w:vAlign w:val="center"/>
          </w:tcPr>
          <w:p w14:paraId="62B5D99F">
            <w:pPr>
              <w:widowControl/>
              <w:numPr>
                <w:ilvl w:val="0"/>
                <w:numId w:val="6"/>
              </w:numPr>
              <w:autoSpaceDE/>
              <w:autoSpaceDN/>
              <w:spacing w:after="0" w:line="288" w:lineRule="auto"/>
              <w:jc w:val="both"/>
              <w:rPr>
                <w:rFonts w:hint="eastAsia" w:ascii="宋体" w:hAnsi="宋体" w:eastAsia="宋体" w:cs="宋体"/>
                <w:i w:val="0"/>
                <w:caps w:val="0"/>
                <w:color w:val="333333"/>
                <w:spacing w:val="0"/>
                <w:sz w:val="24"/>
                <w:szCs w:val="24"/>
                <w:shd w:val="clear" w:fill="FFFFFF"/>
              </w:rPr>
            </w:pPr>
            <w:r>
              <w:rPr>
                <w:rFonts w:hint="eastAsia" w:asciiTheme="minorEastAsia" w:hAnsiTheme="minorEastAsia" w:eastAsiaTheme="minorEastAsia" w:cstheme="minorEastAsia"/>
                <w:color w:val="auto"/>
                <w:sz w:val="24"/>
                <w:szCs w:val="24"/>
                <w:highlight w:val="none"/>
                <w:lang w:val="en-US" w:bidi="ar-SA"/>
              </w:rPr>
              <w:t>在保险期间内，</w:t>
            </w:r>
            <w:r>
              <w:rPr>
                <w:rFonts w:hint="eastAsia" w:ascii="宋体" w:hAnsi="宋体" w:eastAsia="宋体" w:cs="宋体"/>
                <w:color w:val="auto"/>
                <w:sz w:val="24"/>
                <w:szCs w:val="24"/>
                <w:highlight w:val="none"/>
                <w:lang w:val="en-US" w:bidi="ar-SA"/>
              </w:rPr>
              <w:t>由于</w:t>
            </w:r>
            <w:r>
              <w:rPr>
                <w:rFonts w:hint="eastAsia" w:ascii="宋体" w:hAnsi="宋体" w:eastAsia="宋体" w:cs="宋体"/>
                <w:i w:val="0"/>
                <w:caps w:val="0"/>
                <w:color w:val="333333"/>
                <w:spacing w:val="0"/>
                <w:sz w:val="24"/>
                <w:szCs w:val="24"/>
                <w:shd w:val="clear" w:fill="FFFFFF"/>
              </w:rPr>
              <w:t>火灾、爆炸、雷击、飞行物体坠落等原因造成的损失。</w:t>
            </w:r>
          </w:p>
          <w:p w14:paraId="07BD5CDA">
            <w:pPr>
              <w:widowControl/>
              <w:numPr>
                <w:ilvl w:val="0"/>
                <w:numId w:val="0"/>
              </w:numPr>
              <w:autoSpaceDE/>
              <w:autoSpaceDN/>
              <w:spacing w:after="0" w:line="288" w:lineRule="auto"/>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2.前款原因造成的保险事故发生时，</w:t>
            </w:r>
            <w:r>
              <w:rPr>
                <w:rFonts w:hint="eastAsia" w:asciiTheme="minorEastAsia" w:hAnsiTheme="minorEastAsia" w:eastAsiaTheme="minorEastAsia" w:cstheme="minorEastAsia"/>
                <w:b/>
                <w:bCs/>
                <w:color w:val="auto"/>
                <w:sz w:val="24"/>
                <w:szCs w:val="24"/>
                <w:highlight w:val="none"/>
                <w:lang w:val="en-US" w:bidi="ar-SA"/>
              </w:rPr>
              <w:t>为抢救保险标的或防止灾害蔓延，采取必要的、合理的措施而造成保险标的的损失，保险人按照本保险合同的约定也负责赔偿。</w:t>
            </w:r>
          </w:p>
          <w:p w14:paraId="03D1E3EE">
            <w:pPr>
              <w:widowControl/>
              <w:autoSpaceDE/>
              <w:autoSpaceDN/>
              <w:spacing w:after="0" w:line="288" w:lineRule="auto"/>
              <w:jc w:val="both"/>
              <w:rPr>
                <w:rFonts w:hint="eastAsia" w:asciiTheme="minorEastAsia" w:hAnsiTheme="minorEastAsia" w:eastAsiaTheme="minorEastAsia" w:cstheme="minorEastAsia"/>
                <w:color w:val="auto"/>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3.保险事故发生后，被保险人为防止或减少保险标的的损失所支付的必要的、合理的费用，保险人按照本保险合同的约定也负责赔偿。</w:t>
            </w:r>
          </w:p>
          <w:p w14:paraId="5AC56633">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4.具体详见保险条款（基本条款、扩展条款、特别约定等）约定。</w:t>
            </w:r>
          </w:p>
        </w:tc>
      </w:tr>
      <w:tr w14:paraId="6B27E7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3CD0CE55">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保险期限</w:t>
            </w:r>
          </w:p>
        </w:tc>
        <w:tc>
          <w:tcPr>
            <w:tcW w:w="4039" w:type="pct"/>
            <w:noWrap w:val="0"/>
            <w:vAlign w:val="center"/>
          </w:tcPr>
          <w:p w14:paraId="0184280E">
            <w:pPr>
              <w:widowControl w:val="0"/>
              <w:autoSpaceDE/>
              <w:autoSpaceDN/>
              <w:spacing w:after="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1年，</w:t>
            </w:r>
            <w:r>
              <w:rPr>
                <w:rFonts w:hint="eastAsia" w:asciiTheme="minorEastAsia" w:hAnsiTheme="minorEastAsia" w:eastAsiaTheme="minorEastAsia" w:cstheme="minorEastAsia"/>
                <w:b/>
                <w:bCs/>
                <w:color w:val="FF0000"/>
                <w:sz w:val="24"/>
                <w:szCs w:val="24"/>
                <w:highlight w:val="none"/>
                <w:lang w:val="en-US" w:eastAsia="zh-CN" w:bidi="ar-SA"/>
              </w:rPr>
              <w:t>自2025</w:t>
            </w:r>
            <w:r>
              <w:rPr>
                <w:rFonts w:hint="eastAsia" w:asciiTheme="minorEastAsia" w:hAnsiTheme="minorEastAsia" w:eastAsiaTheme="minorEastAsia" w:cstheme="minorEastAsia"/>
                <w:b/>
                <w:bCs/>
                <w:color w:val="FF0000"/>
                <w:sz w:val="24"/>
                <w:szCs w:val="24"/>
                <w:highlight w:val="none"/>
                <w:lang w:val="en-US" w:bidi="ar-SA"/>
              </w:rPr>
              <w:t>年</w:t>
            </w:r>
            <w:r>
              <w:rPr>
                <w:rFonts w:hint="eastAsia" w:asciiTheme="minorEastAsia" w:hAnsiTheme="minorEastAsia" w:eastAsiaTheme="minorEastAsia" w:cstheme="minorEastAsia"/>
                <w:b/>
                <w:bCs/>
                <w:color w:val="FF0000"/>
                <w:sz w:val="24"/>
                <w:szCs w:val="24"/>
                <w:highlight w:val="none"/>
                <w:lang w:val="en-US" w:eastAsia="zh-CN" w:bidi="ar-SA"/>
              </w:rPr>
              <w:t xml:space="preserve">   </w:t>
            </w:r>
            <w:r>
              <w:rPr>
                <w:rFonts w:hint="eastAsia" w:asciiTheme="minorEastAsia" w:hAnsiTheme="minorEastAsia" w:eastAsiaTheme="minorEastAsia" w:cstheme="minorEastAsia"/>
                <w:b/>
                <w:bCs/>
                <w:color w:val="FF0000"/>
                <w:sz w:val="24"/>
                <w:szCs w:val="24"/>
                <w:highlight w:val="none"/>
                <w:lang w:val="en-US" w:bidi="ar-SA"/>
              </w:rPr>
              <w:t>月</w:t>
            </w:r>
            <w:r>
              <w:rPr>
                <w:rFonts w:hint="eastAsia" w:asciiTheme="minorEastAsia" w:hAnsiTheme="minorEastAsia" w:eastAsiaTheme="minorEastAsia" w:cstheme="minorEastAsia"/>
                <w:b/>
                <w:bCs/>
                <w:color w:val="FF0000"/>
                <w:sz w:val="24"/>
                <w:szCs w:val="24"/>
                <w:highlight w:val="none"/>
                <w:lang w:val="en-US" w:eastAsia="zh-CN" w:bidi="ar-SA"/>
              </w:rPr>
              <w:t xml:space="preserve">   </w:t>
            </w:r>
            <w:r>
              <w:rPr>
                <w:rFonts w:hint="eastAsia" w:asciiTheme="minorEastAsia" w:hAnsiTheme="minorEastAsia" w:eastAsiaTheme="minorEastAsia" w:cstheme="minorEastAsia"/>
                <w:b/>
                <w:bCs/>
                <w:color w:val="FF0000"/>
                <w:sz w:val="24"/>
                <w:szCs w:val="24"/>
                <w:highlight w:val="none"/>
                <w:lang w:val="en-US" w:bidi="ar-SA"/>
              </w:rPr>
              <w:t>日</w:t>
            </w:r>
            <w:r>
              <w:rPr>
                <w:rFonts w:hint="eastAsia" w:asciiTheme="minorEastAsia" w:hAnsiTheme="minorEastAsia" w:eastAsiaTheme="minorEastAsia" w:cstheme="minorEastAsia"/>
                <w:b/>
                <w:bCs/>
                <w:color w:val="FF0000"/>
                <w:sz w:val="24"/>
                <w:szCs w:val="24"/>
                <w:highlight w:val="none"/>
                <w:lang w:val="en-US" w:eastAsia="zh-CN" w:bidi="ar-SA"/>
              </w:rPr>
              <w:t>0时起</w:t>
            </w:r>
            <w:r>
              <w:rPr>
                <w:rFonts w:hint="eastAsia" w:asciiTheme="minorEastAsia" w:hAnsiTheme="minorEastAsia" w:eastAsiaTheme="minorEastAsia" w:cstheme="minorEastAsia"/>
                <w:b/>
                <w:bCs/>
                <w:color w:val="FF0000"/>
                <w:sz w:val="24"/>
                <w:szCs w:val="24"/>
                <w:highlight w:val="none"/>
                <w:lang w:val="en-US" w:bidi="ar-SA"/>
              </w:rPr>
              <w:t>至202</w:t>
            </w:r>
            <w:r>
              <w:rPr>
                <w:rFonts w:hint="eastAsia" w:asciiTheme="minorEastAsia" w:hAnsiTheme="minorEastAsia" w:eastAsiaTheme="minorEastAsia" w:cstheme="minorEastAsia"/>
                <w:b/>
                <w:bCs/>
                <w:color w:val="FF0000"/>
                <w:sz w:val="24"/>
                <w:szCs w:val="24"/>
                <w:highlight w:val="none"/>
                <w:lang w:val="en-US" w:eastAsia="zh-CN" w:bidi="ar-SA"/>
              </w:rPr>
              <w:t>5</w:t>
            </w:r>
            <w:r>
              <w:rPr>
                <w:rFonts w:hint="eastAsia" w:asciiTheme="minorEastAsia" w:hAnsiTheme="minorEastAsia" w:eastAsiaTheme="minorEastAsia" w:cstheme="minorEastAsia"/>
                <w:b/>
                <w:bCs/>
                <w:color w:val="FF0000"/>
                <w:sz w:val="24"/>
                <w:szCs w:val="24"/>
                <w:highlight w:val="none"/>
                <w:lang w:val="en-US" w:bidi="ar-SA"/>
              </w:rPr>
              <w:t>年</w:t>
            </w:r>
            <w:r>
              <w:rPr>
                <w:rFonts w:hint="eastAsia" w:asciiTheme="minorEastAsia" w:hAnsiTheme="minorEastAsia" w:eastAsiaTheme="minorEastAsia" w:cstheme="minorEastAsia"/>
                <w:b/>
                <w:bCs/>
                <w:color w:val="FF0000"/>
                <w:sz w:val="24"/>
                <w:szCs w:val="24"/>
                <w:highlight w:val="none"/>
                <w:lang w:val="en-US" w:eastAsia="zh-CN" w:bidi="ar-SA"/>
              </w:rPr>
              <w:t xml:space="preserve">   </w:t>
            </w:r>
            <w:r>
              <w:rPr>
                <w:rFonts w:hint="eastAsia" w:asciiTheme="minorEastAsia" w:hAnsiTheme="minorEastAsia" w:eastAsiaTheme="minorEastAsia" w:cstheme="minorEastAsia"/>
                <w:b/>
                <w:bCs/>
                <w:color w:val="FF0000"/>
                <w:sz w:val="24"/>
                <w:szCs w:val="24"/>
                <w:highlight w:val="none"/>
                <w:lang w:val="en-US" w:bidi="ar-SA"/>
              </w:rPr>
              <w:t>月</w:t>
            </w:r>
            <w:r>
              <w:rPr>
                <w:rFonts w:hint="eastAsia" w:asciiTheme="minorEastAsia" w:hAnsiTheme="minorEastAsia" w:eastAsiaTheme="minorEastAsia" w:cstheme="minorEastAsia"/>
                <w:b/>
                <w:bCs/>
                <w:color w:val="FF0000"/>
                <w:sz w:val="24"/>
                <w:szCs w:val="24"/>
                <w:highlight w:val="none"/>
                <w:lang w:val="en-US" w:eastAsia="zh-CN" w:bidi="ar-SA"/>
              </w:rPr>
              <w:t xml:space="preserve">   </w:t>
            </w:r>
            <w:r>
              <w:rPr>
                <w:rFonts w:hint="eastAsia" w:asciiTheme="minorEastAsia" w:hAnsiTheme="minorEastAsia" w:eastAsiaTheme="minorEastAsia" w:cstheme="minorEastAsia"/>
                <w:b/>
                <w:bCs/>
                <w:color w:val="FF0000"/>
                <w:sz w:val="24"/>
                <w:szCs w:val="24"/>
                <w:highlight w:val="none"/>
                <w:lang w:val="en-US" w:bidi="ar-SA"/>
              </w:rPr>
              <w:t>日</w:t>
            </w:r>
            <w:r>
              <w:rPr>
                <w:rFonts w:hint="eastAsia" w:asciiTheme="minorEastAsia" w:hAnsiTheme="minorEastAsia" w:eastAsiaTheme="minorEastAsia" w:cstheme="minorEastAsia"/>
                <w:b/>
                <w:bCs/>
                <w:color w:val="FF0000"/>
                <w:sz w:val="24"/>
                <w:szCs w:val="24"/>
                <w:highlight w:val="none"/>
                <w:lang w:val="en-US" w:eastAsia="zh-CN" w:bidi="ar-SA"/>
              </w:rPr>
              <w:t>24时止</w:t>
            </w:r>
            <w:r>
              <w:rPr>
                <w:rFonts w:hint="eastAsia" w:asciiTheme="minorEastAsia" w:hAnsiTheme="minorEastAsia" w:eastAsiaTheme="minorEastAsia" w:cstheme="minorEastAsia"/>
                <w:b/>
                <w:bCs/>
                <w:color w:val="FF0000"/>
                <w:sz w:val="24"/>
                <w:szCs w:val="24"/>
                <w:highlight w:val="none"/>
                <w:lang w:val="en-US" w:bidi="ar-SA"/>
              </w:rPr>
              <w:t>。</w:t>
            </w:r>
          </w:p>
        </w:tc>
      </w:tr>
      <w:tr w14:paraId="225474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3840B5F8">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保险金额</w:t>
            </w:r>
          </w:p>
        </w:tc>
        <w:tc>
          <w:tcPr>
            <w:tcW w:w="4039" w:type="pct"/>
            <w:noWrap w:val="0"/>
            <w:vAlign w:val="center"/>
          </w:tcPr>
          <w:p w14:paraId="4DF35DC4">
            <w:pPr>
              <w:widowControl w:val="0"/>
              <w:autoSpaceDE/>
              <w:autoSpaceDN/>
              <w:spacing w:after="0"/>
              <w:jc w:val="both"/>
              <w:rPr>
                <w:rFonts w:hint="default" w:asciiTheme="minorEastAsia" w:hAnsiTheme="minorEastAsia" w:eastAsiaTheme="minorEastAsia" w:cstheme="minorEastAsia"/>
                <w:b/>
                <w:bCs/>
                <w:color w:val="auto"/>
                <w:sz w:val="24"/>
                <w:szCs w:val="24"/>
                <w:highlight w:val="none"/>
                <w:lang w:val="en-US" w:bidi="zh-CN"/>
              </w:rPr>
            </w:pPr>
            <w:r>
              <w:rPr>
                <w:rFonts w:hint="eastAsia" w:asciiTheme="minorEastAsia" w:hAnsiTheme="minorEastAsia" w:eastAsiaTheme="minorEastAsia" w:cstheme="minorEastAsia"/>
                <w:b/>
                <w:bCs/>
                <w:color w:val="auto"/>
                <w:sz w:val="24"/>
                <w:szCs w:val="24"/>
                <w:highlight w:val="none"/>
                <w:lang w:val="en-US" w:bidi="zh-CN"/>
              </w:rPr>
              <w:t>财产基本险：人民币219684万元 （投保资产序号47-48）</w:t>
            </w:r>
          </w:p>
          <w:p w14:paraId="1494C82E">
            <w:pPr>
              <w:widowControl w:val="0"/>
              <w:autoSpaceDE/>
              <w:autoSpaceDN/>
              <w:spacing w:after="0"/>
              <w:jc w:val="both"/>
              <w:rPr>
                <w:rFonts w:hint="default" w:asciiTheme="minorEastAsia" w:hAnsiTheme="minorEastAsia" w:eastAsiaTheme="minorEastAsia" w:cstheme="minorEastAsia"/>
                <w:b/>
                <w:bCs/>
                <w:color w:val="auto"/>
                <w:kern w:val="2"/>
                <w:sz w:val="24"/>
                <w:szCs w:val="24"/>
                <w:highlight w:val="none"/>
                <w:lang w:val="en-US" w:bidi="ar-SA"/>
              </w:rPr>
            </w:pPr>
          </w:p>
        </w:tc>
      </w:tr>
      <w:tr w14:paraId="36289B4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73181C2E">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保险费率</w:t>
            </w:r>
          </w:p>
        </w:tc>
        <w:tc>
          <w:tcPr>
            <w:tcW w:w="4039" w:type="pct"/>
            <w:noWrap w:val="0"/>
            <w:vAlign w:val="center"/>
          </w:tcPr>
          <w:p w14:paraId="4629FE7D">
            <w:pPr>
              <w:widowControl w:val="0"/>
              <w:autoSpaceDE/>
              <w:autoSpaceDN/>
              <w:spacing w:after="0"/>
              <w:jc w:val="both"/>
              <w:rPr>
                <w:rFonts w:hint="eastAsia" w:asciiTheme="minorEastAsia" w:hAnsiTheme="minorEastAsia" w:eastAsiaTheme="minorEastAsia" w:cstheme="minorEastAsia"/>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待报价</w:t>
            </w:r>
          </w:p>
        </w:tc>
      </w:tr>
      <w:tr w14:paraId="348C2A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6DC9BE1D">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kern w:val="2"/>
                <w:sz w:val="24"/>
                <w:szCs w:val="24"/>
                <w:highlight w:val="none"/>
                <w:lang w:val="en-US" w:eastAsia="zh-CN" w:bidi="ar-SA"/>
              </w:rPr>
              <w:t>保险费</w:t>
            </w:r>
          </w:p>
        </w:tc>
        <w:tc>
          <w:tcPr>
            <w:tcW w:w="4039" w:type="pct"/>
            <w:noWrap w:val="0"/>
            <w:vAlign w:val="center"/>
          </w:tcPr>
          <w:p w14:paraId="7D5B9877">
            <w:pPr>
              <w:widowControl w:val="0"/>
              <w:autoSpaceDE/>
              <w:autoSpaceDN/>
              <w:spacing w:after="0"/>
              <w:jc w:val="both"/>
              <w:rPr>
                <w:rFonts w:hint="eastAsia" w:asciiTheme="minorEastAsia" w:hAnsiTheme="minorEastAsia" w:eastAsiaTheme="minorEastAsia" w:cstheme="minorEastAsia"/>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待报价</w:t>
            </w:r>
          </w:p>
        </w:tc>
      </w:tr>
      <w:tr w14:paraId="4CBBB4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206DC533">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保险价值</w:t>
            </w:r>
          </w:p>
        </w:tc>
        <w:tc>
          <w:tcPr>
            <w:tcW w:w="4039" w:type="pct"/>
            <w:noWrap w:val="0"/>
            <w:vAlign w:val="center"/>
          </w:tcPr>
          <w:p w14:paraId="4A48609F">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出险时的重置价值</w:t>
            </w:r>
          </w:p>
        </w:tc>
      </w:tr>
      <w:tr w14:paraId="543860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5DDEB02C">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免赔额</w:t>
            </w:r>
          </w:p>
        </w:tc>
        <w:tc>
          <w:tcPr>
            <w:tcW w:w="4039" w:type="pct"/>
            <w:noWrap w:val="0"/>
            <w:vAlign w:val="center"/>
          </w:tcPr>
          <w:p w14:paraId="6B641072">
            <w:pPr>
              <w:widowControl/>
              <w:numPr>
                <w:ilvl w:val="0"/>
                <w:numId w:val="0"/>
              </w:numPr>
              <w:tabs>
                <w:tab w:val="left" w:pos="312"/>
              </w:tabs>
              <w:autoSpaceDE/>
              <w:autoSpaceDN/>
              <w:spacing w:after="0" w:line="288" w:lineRule="auto"/>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1.</w:t>
            </w:r>
            <w:r>
              <w:rPr>
                <w:rFonts w:hint="eastAsia" w:asciiTheme="minorEastAsia" w:hAnsiTheme="minorEastAsia" w:eastAsiaTheme="minorEastAsia" w:cstheme="minorEastAsia"/>
                <w:b/>
                <w:bCs/>
                <w:color w:val="auto"/>
                <w:sz w:val="24"/>
                <w:szCs w:val="24"/>
                <w:highlight w:val="none"/>
                <w:lang w:val="en-US" w:bidi="ar-SA"/>
              </w:rPr>
              <w:t>地震：每次事故免赔额人民币</w:t>
            </w:r>
            <w:r>
              <w:rPr>
                <w:rFonts w:hint="eastAsia" w:asciiTheme="minorEastAsia" w:hAnsiTheme="minorEastAsia" w:eastAsiaTheme="minorEastAsia" w:cstheme="minorEastAsia"/>
                <w:b/>
                <w:bCs/>
                <w:color w:val="auto"/>
                <w:sz w:val="24"/>
                <w:szCs w:val="24"/>
                <w:highlight w:val="none"/>
                <w:lang w:val="en-US" w:eastAsia="zh-CN" w:bidi="ar-SA"/>
              </w:rPr>
              <w:t>10</w:t>
            </w:r>
            <w:r>
              <w:rPr>
                <w:rFonts w:hint="eastAsia" w:asciiTheme="minorEastAsia" w:hAnsiTheme="minorEastAsia" w:eastAsiaTheme="minorEastAsia" w:cstheme="minorEastAsia"/>
                <w:b/>
                <w:bCs/>
                <w:color w:val="auto"/>
                <w:sz w:val="24"/>
                <w:szCs w:val="24"/>
                <w:highlight w:val="none"/>
                <w:lang w:val="en-US" w:bidi="ar-SA"/>
              </w:rPr>
              <w:t>万元或损失金额的</w:t>
            </w:r>
            <w:r>
              <w:rPr>
                <w:rFonts w:hint="eastAsia" w:asciiTheme="minorEastAsia" w:hAnsiTheme="minorEastAsia" w:eastAsiaTheme="minorEastAsia" w:cstheme="minorEastAsia"/>
                <w:b/>
                <w:bCs/>
                <w:color w:val="auto"/>
                <w:sz w:val="24"/>
                <w:szCs w:val="24"/>
                <w:highlight w:val="none"/>
                <w:lang w:val="en-US" w:eastAsia="zh-CN" w:bidi="ar-SA"/>
              </w:rPr>
              <w:t>5</w:t>
            </w:r>
            <w:r>
              <w:rPr>
                <w:rFonts w:hint="eastAsia" w:asciiTheme="minorEastAsia" w:hAnsiTheme="minorEastAsia" w:eastAsiaTheme="minorEastAsia" w:cstheme="minorEastAsia"/>
                <w:b/>
                <w:bCs/>
                <w:color w:val="auto"/>
                <w:sz w:val="24"/>
                <w:szCs w:val="24"/>
                <w:highlight w:val="none"/>
                <w:lang w:val="en-US" w:bidi="ar-SA"/>
              </w:rPr>
              <w:t>%，以高者为准。</w:t>
            </w:r>
          </w:p>
          <w:p w14:paraId="237437C1">
            <w:pPr>
              <w:widowControl/>
              <w:autoSpaceDE/>
              <w:autoSpaceDN/>
              <w:spacing w:after="0" w:line="288" w:lineRule="auto"/>
              <w:jc w:val="both"/>
              <w:rPr>
                <w:rFonts w:hint="eastAsia" w:asciiTheme="minorEastAsia" w:hAnsiTheme="minorEastAsia" w:eastAsiaTheme="minorEastAsia" w:cstheme="minorEastAsia"/>
                <w:b/>
                <w:bCs/>
                <w:color w:val="auto"/>
                <w:sz w:val="24"/>
                <w:szCs w:val="24"/>
                <w:highlight w:val="none"/>
                <w:lang w:val="en-US" w:eastAsia="zh-CN" w:bidi="ar-SA"/>
              </w:rPr>
            </w:pPr>
            <w:r>
              <w:rPr>
                <w:rFonts w:hint="eastAsia" w:asciiTheme="minorEastAsia" w:hAnsiTheme="minorEastAsia" w:eastAsiaTheme="minorEastAsia" w:cstheme="minorEastAsia"/>
                <w:b/>
                <w:bCs/>
                <w:color w:val="auto"/>
                <w:sz w:val="24"/>
                <w:szCs w:val="24"/>
                <w:highlight w:val="none"/>
                <w:lang w:val="en-US" w:eastAsia="zh-CN" w:bidi="ar-SA"/>
              </w:rPr>
              <w:t>2</w:t>
            </w:r>
            <w:r>
              <w:rPr>
                <w:rFonts w:hint="eastAsia" w:asciiTheme="minorEastAsia" w:hAnsiTheme="minorEastAsia" w:eastAsiaTheme="minorEastAsia" w:cstheme="minorEastAsia"/>
                <w:b/>
                <w:bCs/>
                <w:color w:val="auto"/>
                <w:sz w:val="24"/>
                <w:szCs w:val="24"/>
                <w:highlight w:val="none"/>
                <w:lang w:val="en-US" w:bidi="ar-SA"/>
              </w:rPr>
              <w:t>.</w:t>
            </w:r>
            <w:r>
              <w:rPr>
                <w:rFonts w:hint="eastAsia" w:asciiTheme="minorEastAsia" w:hAnsiTheme="minorEastAsia" w:eastAsiaTheme="minorEastAsia" w:cstheme="minorEastAsia"/>
                <w:b/>
                <w:bCs/>
                <w:color w:val="auto"/>
                <w:sz w:val="24"/>
                <w:szCs w:val="24"/>
                <w:highlight w:val="none"/>
                <w:lang w:val="en-US" w:eastAsia="zh-CN" w:bidi="ar-SA"/>
              </w:rPr>
              <w:t>火灾事故</w:t>
            </w:r>
            <w:r>
              <w:rPr>
                <w:rFonts w:hint="eastAsia" w:asciiTheme="minorEastAsia" w:hAnsiTheme="minorEastAsia" w:eastAsiaTheme="minorEastAsia" w:cstheme="minorEastAsia"/>
                <w:b/>
                <w:bCs/>
                <w:color w:val="auto"/>
                <w:sz w:val="24"/>
                <w:szCs w:val="24"/>
                <w:highlight w:val="none"/>
                <w:lang w:val="en-US" w:bidi="ar-SA"/>
              </w:rPr>
              <w:t>：每次事故免赔额人民币</w:t>
            </w:r>
            <w:r>
              <w:rPr>
                <w:rFonts w:hint="eastAsia" w:asciiTheme="minorEastAsia" w:hAnsiTheme="minorEastAsia" w:eastAsiaTheme="minorEastAsia" w:cstheme="minorEastAsia"/>
                <w:b/>
                <w:bCs/>
                <w:color w:val="auto"/>
                <w:sz w:val="24"/>
                <w:szCs w:val="24"/>
                <w:highlight w:val="none"/>
                <w:lang w:val="en-US" w:eastAsia="zh-CN" w:bidi="ar-SA"/>
              </w:rPr>
              <w:t>5</w:t>
            </w:r>
            <w:r>
              <w:rPr>
                <w:rFonts w:hint="eastAsia" w:asciiTheme="minorEastAsia" w:hAnsiTheme="minorEastAsia" w:eastAsiaTheme="minorEastAsia" w:cstheme="minorEastAsia"/>
                <w:b/>
                <w:bCs/>
                <w:color w:val="auto"/>
                <w:sz w:val="24"/>
                <w:szCs w:val="24"/>
                <w:highlight w:val="none"/>
                <w:lang w:val="en-US" w:bidi="ar-SA"/>
              </w:rPr>
              <w:t>万元或损失金额的</w:t>
            </w:r>
            <w:r>
              <w:rPr>
                <w:rFonts w:hint="eastAsia" w:asciiTheme="minorEastAsia" w:hAnsiTheme="minorEastAsia" w:eastAsiaTheme="minorEastAsia" w:cstheme="minorEastAsia"/>
                <w:b/>
                <w:bCs/>
                <w:color w:val="auto"/>
                <w:sz w:val="24"/>
                <w:szCs w:val="24"/>
                <w:highlight w:val="none"/>
                <w:lang w:val="en-US" w:eastAsia="zh-CN" w:bidi="ar-SA"/>
              </w:rPr>
              <w:t>3</w:t>
            </w:r>
            <w:r>
              <w:rPr>
                <w:rFonts w:hint="eastAsia" w:asciiTheme="minorEastAsia" w:hAnsiTheme="minorEastAsia" w:eastAsiaTheme="minorEastAsia" w:cstheme="minorEastAsia"/>
                <w:b/>
                <w:bCs/>
                <w:color w:val="auto"/>
                <w:sz w:val="24"/>
                <w:szCs w:val="24"/>
                <w:highlight w:val="none"/>
                <w:lang w:val="en-US" w:bidi="ar-SA"/>
              </w:rPr>
              <w:t>%，以高者为准</w:t>
            </w:r>
            <w:r>
              <w:rPr>
                <w:rFonts w:hint="eastAsia" w:asciiTheme="minorEastAsia" w:hAnsiTheme="minorEastAsia" w:eastAsiaTheme="minorEastAsia" w:cstheme="minorEastAsia"/>
                <w:b/>
                <w:bCs/>
                <w:color w:val="auto"/>
                <w:sz w:val="24"/>
                <w:szCs w:val="24"/>
                <w:highlight w:val="none"/>
                <w:lang w:val="en-US" w:eastAsia="zh-CN" w:bidi="ar-SA"/>
              </w:rPr>
              <w:t>。</w:t>
            </w:r>
          </w:p>
          <w:p w14:paraId="6CFF6E08">
            <w:pPr>
              <w:widowControl/>
              <w:autoSpaceDE/>
              <w:autoSpaceDN/>
              <w:spacing w:after="0" w:line="288" w:lineRule="auto"/>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3</w:t>
            </w:r>
            <w:r>
              <w:rPr>
                <w:rFonts w:hint="eastAsia" w:asciiTheme="minorEastAsia" w:hAnsiTheme="minorEastAsia" w:eastAsiaTheme="minorEastAsia" w:cstheme="minorEastAsia"/>
                <w:b/>
                <w:bCs/>
                <w:color w:val="auto"/>
                <w:sz w:val="24"/>
                <w:szCs w:val="24"/>
                <w:highlight w:val="none"/>
                <w:lang w:val="en-US" w:bidi="ar-SA"/>
              </w:rPr>
              <w:t>.其他事故：每次事故免赔额人民币</w:t>
            </w:r>
            <w:r>
              <w:rPr>
                <w:rFonts w:hint="eastAsia" w:asciiTheme="minorEastAsia" w:hAnsiTheme="minorEastAsia" w:eastAsiaTheme="minorEastAsia" w:cstheme="minorEastAsia"/>
                <w:b/>
                <w:bCs/>
                <w:color w:val="auto"/>
                <w:sz w:val="24"/>
                <w:szCs w:val="24"/>
                <w:highlight w:val="none"/>
                <w:lang w:val="en-US" w:eastAsia="zh-CN" w:bidi="ar-SA"/>
              </w:rPr>
              <w:t>1万</w:t>
            </w:r>
            <w:r>
              <w:rPr>
                <w:rFonts w:hint="eastAsia" w:asciiTheme="minorEastAsia" w:hAnsiTheme="minorEastAsia" w:eastAsiaTheme="minorEastAsia" w:cstheme="minorEastAsia"/>
                <w:b/>
                <w:bCs/>
                <w:color w:val="auto"/>
                <w:sz w:val="24"/>
                <w:szCs w:val="24"/>
                <w:highlight w:val="none"/>
                <w:lang w:val="en-US" w:bidi="ar-SA"/>
              </w:rPr>
              <w:t>元或损失金额的</w:t>
            </w:r>
            <w:r>
              <w:rPr>
                <w:rFonts w:hint="eastAsia" w:asciiTheme="minorEastAsia" w:hAnsiTheme="minorEastAsia" w:eastAsiaTheme="minorEastAsia" w:cstheme="minorEastAsia"/>
                <w:b/>
                <w:bCs/>
                <w:color w:val="auto"/>
                <w:sz w:val="24"/>
                <w:szCs w:val="24"/>
                <w:highlight w:val="none"/>
                <w:lang w:val="en-US" w:eastAsia="zh-CN" w:bidi="ar-SA"/>
              </w:rPr>
              <w:t>3</w:t>
            </w:r>
            <w:r>
              <w:rPr>
                <w:rFonts w:hint="eastAsia" w:asciiTheme="minorEastAsia" w:hAnsiTheme="minorEastAsia" w:eastAsiaTheme="minorEastAsia" w:cstheme="minorEastAsia"/>
                <w:b/>
                <w:bCs/>
                <w:color w:val="auto"/>
                <w:sz w:val="24"/>
                <w:szCs w:val="24"/>
                <w:highlight w:val="none"/>
                <w:lang w:val="en-US" w:bidi="ar-SA"/>
              </w:rPr>
              <w:t>%，以高者为准。</w:t>
            </w:r>
          </w:p>
          <w:p w14:paraId="0345B001">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注：“每次事故”是指每一次事故或由同一原因/同一事件引起的一系列事故。</w:t>
            </w:r>
          </w:p>
        </w:tc>
      </w:tr>
      <w:tr w14:paraId="03DB8C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0FDCE018">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付费方式</w:t>
            </w:r>
          </w:p>
        </w:tc>
        <w:tc>
          <w:tcPr>
            <w:tcW w:w="4039" w:type="pct"/>
            <w:noWrap w:val="0"/>
            <w:vAlign w:val="center"/>
          </w:tcPr>
          <w:p w14:paraId="0FD6BB30">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保单生效</w:t>
            </w:r>
            <w:r>
              <w:rPr>
                <w:rFonts w:hint="eastAsia" w:asciiTheme="minorEastAsia" w:hAnsiTheme="minorEastAsia" w:eastAsiaTheme="minorEastAsia" w:cstheme="minorEastAsia"/>
                <w:b/>
                <w:bCs/>
                <w:color w:val="auto"/>
                <w:sz w:val="24"/>
                <w:szCs w:val="24"/>
                <w:highlight w:val="none"/>
                <w:lang w:val="en-US" w:bidi="ar-SA"/>
              </w:rPr>
              <w:t>后 30个工作日内投保人向保险人支付保险费。</w:t>
            </w:r>
          </w:p>
        </w:tc>
      </w:tr>
      <w:tr w14:paraId="3A676F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32B4108F">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基本条款</w:t>
            </w:r>
          </w:p>
        </w:tc>
        <w:tc>
          <w:tcPr>
            <w:tcW w:w="4039" w:type="pct"/>
            <w:noWrap w:val="0"/>
            <w:vAlign w:val="center"/>
          </w:tcPr>
          <w:p w14:paraId="761E2F61">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以保险人备案的《财产</w:t>
            </w:r>
            <w:r>
              <w:rPr>
                <w:rFonts w:hint="eastAsia" w:asciiTheme="minorEastAsia" w:hAnsiTheme="minorEastAsia" w:eastAsiaTheme="minorEastAsia" w:cstheme="minorEastAsia"/>
                <w:b/>
                <w:bCs/>
                <w:color w:val="auto"/>
                <w:sz w:val="24"/>
                <w:szCs w:val="24"/>
                <w:highlight w:val="none"/>
                <w:lang w:val="en-US" w:eastAsia="zh-CN" w:bidi="ar-SA"/>
              </w:rPr>
              <w:t>基本</w:t>
            </w:r>
            <w:r>
              <w:rPr>
                <w:rFonts w:hint="eastAsia" w:asciiTheme="minorEastAsia" w:hAnsiTheme="minorEastAsia" w:eastAsiaTheme="minorEastAsia" w:cstheme="minorEastAsia"/>
                <w:b/>
                <w:bCs/>
                <w:color w:val="auto"/>
                <w:sz w:val="24"/>
                <w:szCs w:val="24"/>
                <w:highlight w:val="none"/>
                <w:lang w:val="en-US" w:bidi="ar-SA"/>
              </w:rPr>
              <w:t>险》条款为准。</w:t>
            </w:r>
          </w:p>
        </w:tc>
      </w:tr>
      <w:tr w14:paraId="26A70B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6C6C6A63">
            <w:pPr>
              <w:widowControl w:val="0"/>
              <w:numPr>
                <w:ilvl w:val="0"/>
                <w:numId w:val="5"/>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扩展条款</w:t>
            </w:r>
          </w:p>
        </w:tc>
        <w:tc>
          <w:tcPr>
            <w:tcW w:w="4039" w:type="pct"/>
            <w:noWrap w:val="0"/>
            <w:vAlign w:val="center"/>
          </w:tcPr>
          <w:p w14:paraId="60E969A6">
            <w:pPr>
              <w:widowControl/>
              <w:numPr>
                <w:ilvl w:val="0"/>
                <w:numId w:val="7"/>
              </w:numPr>
              <w:autoSpaceDE w:val="0"/>
              <w:autoSpaceDN w:val="0"/>
              <w:spacing w:after="0" w:line="288" w:lineRule="auto"/>
              <w:ind w:left="420" w:hanging="420"/>
              <w:jc w:val="both"/>
              <w:rPr>
                <w:rFonts w:hint="eastAsia"/>
                <w:lang w:val="en-US"/>
              </w:rPr>
            </w:pPr>
            <w:r>
              <w:rPr>
                <w:rFonts w:hint="eastAsia"/>
                <w:lang w:val="en-US"/>
              </w:rPr>
              <w:t>重置价值条款</w:t>
            </w:r>
          </w:p>
          <w:p w14:paraId="49D5013E">
            <w:pPr>
              <w:widowControl/>
              <w:numPr>
                <w:ilvl w:val="0"/>
                <w:numId w:val="7"/>
              </w:numPr>
              <w:autoSpaceDE w:val="0"/>
              <w:autoSpaceDN w:val="0"/>
              <w:spacing w:after="0" w:line="288" w:lineRule="auto"/>
              <w:ind w:left="420" w:hanging="420"/>
              <w:jc w:val="both"/>
              <w:rPr>
                <w:rFonts w:hint="eastAsia"/>
                <w:lang w:val="en-US"/>
              </w:rPr>
            </w:pPr>
            <w:r>
              <w:rPr>
                <w:rFonts w:hint="eastAsia"/>
                <w:lang w:val="en-US"/>
              </w:rPr>
              <w:t>错误和遗漏条款</w:t>
            </w:r>
          </w:p>
          <w:p w14:paraId="031DE8A4">
            <w:pPr>
              <w:widowControl/>
              <w:numPr>
                <w:ilvl w:val="0"/>
                <w:numId w:val="7"/>
              </w:numPr>
              <w:autoSpaceDE w:val="0"/>
              <w:autoSpaceDN w:val="0"/>
              <w:spacing w:after="0" w:line="288" w:lineRule="auto"/>
              <w:ind w:left="420" w:hanging="420"/>
              <w:jc w:val="both"/>
              <w:rPr>
                <w:rFonts w:hint="eastAsia"/>
                <w:lang w:val="en-US"/>
              </w:rPr>
            </w:pPr>
            <w:r>
              <w:rPr>
                <w:rFonts w:hint="eastAsia"/>
                <w:lang w:val="en-US"/>
              </w:rPr>
              <w:t>报案时间延迟条款</w:t>
            </w:r>
          </w:p>
          <w:p w14:paraId="4300AB3F">
            <w:pPr>
              <w:widowControl/>
              <w:numPr>
                <w:ilvl w:val="0"/>
                <w:numId w:val="7"/>
              </w:numPr>
              <w:autoSpaceDE w:val="0"/>
              <w:autoSpaceDN w:val="0"/>
              <w:spacing w:after="0" w:line="288" w:lineRule="auto"/>
              <w:ind w:left="420" w:hanging="420"/>
              <w:jc w:val="both"/>
              <w:rPr>
                <w:rFonts w:hint="eastAsia"/>
                <w:lang w:val="en-US"/>
              </w:rPr>
            </w:pPr>
            <w:r>
              <w:rPr>
                <w:rFonts w:hint="eastAsia"/>
                <w:lang w:val="en-US"/>
              </w:rPr>
              <w:t>地震损失条款</w:t>
            </w:r>
          </w:p>
          <w:p w14:paraId="75D9132C">
            <w:pPr>
              <w:widowControl/>
              <w:numPr>
                <w:ilvl w:val="0"/>
                <w:numId w:val="7"/>
              </w:numPr>
              <w:autoSpaceDE w:val="0"/>
              <w:autoSpaceDN w:val="0"/>
              <w:spacing w:after="0" w:line="288" w:lineRule="auto"/>
              <w:ind w:left="420" w:hanging="420"/>
              <w:jc w:val="both"/>
              <w:rPr>
                <w:rFonts w:hint="eastAsia"/>
                <w:lang w:val="en-US"/>
              </w:rPr>
            </w:pPr>
            <w:r>
              <w:rPr>
                <w:rFonts w:hint="eastAsia"/>
                <w:lang w:val="en-US"/>
              </w:rPr>
              <w:t>弃权与禁止反言条款</w:t>
            </w:r>
          </w:p>
          <w:p w14:paraId="17716230">
            <w:pPr>
              <w:widowControl/>
              <w:numPr>
                <w:ilvl w:val="0"/>
                <w:numId w:val="7"/>
              </w:numPr>
              <w:autoSpaceDE w:val="0"/>
              <w:autoSpaceDN w:val="0"/>
              <w:spacing w:after="0" w:line="288" w:lineRule="auto"/>
              <w:ind w:left="420" w:hanging="420"/>
              <w:jc w:val="both"/>
              <w:rPr>
                <w:rFonts w:hint="eastAsia"/>
                <w:lang w:val="en-US"/>
              </w:rPr>
            </w:pPr>
            <w:r>
              <w:rPr>
                <w:rFonts w:hint="eastAsia"/>
                <w:lang w:val="en-US" w:eastAsia="zh-CN"/>
              </w:rPr>
              <w:t>电气损害条款</w:t>
            </w:r>
          </w:p>
          <w:p w14:paraId="463EC822">
            <w:pPr>
              <w:widowControl/>
              <w:numPr>
                <w:ilvl w:val="0"/>
                <w:numId w:val="7"/>
              </w:numPr>
              <w:autoSpaceDE w:val="0"/>
              <w:autoSpaceDN w:val="0"/>
              <w:spacing w:after="0" w:line="288" w:lineRule="auto"/>
              <w:ind w:left="420" w:hanging="420"/>
              <w:jc w:val="both"/>
              <w:rPr>
                <w:rFonts w:hint="eastAsia"/>
                <w:lang w:val="en-US"/>
              </w:rPr>
            </w:pPr>
            <w:r>
              <w:rPr>
                <w:rFonts w:hint="eastAsia"/>
                <w:lang w:val="en-US"/>
              </w:rPr>
              <w:t>水暖管爆裂保险条款</w:t>
            </w:r>
          </w:p>
          <w:p w14:paraId="5570E4CB">
            <w:pPr>
              <w:widowControl/>
              <w:numPr>
                <w:ilvl w:val="0"/>
                <w:numId w:val="7"/>
              </w:numPr>
              <w:autoSpaceDE w:val="0"/>
              <w:autoSpaceDN w:val="0"/>
              <w:spacing w:after="0" w:line="288" w:lineRule="auto"/>
              <w:ind w:left="420" w:hanging="420"/>
              <w:jc w:val="both"/>
              <w:rPr>
                <w:rFonts w:hint="eastAsia"/>
                <w:lang w:val="en-US"/>
              </w:rPr>
            </w:pPr>
            <w:r>
              <w:rPr>
                <w:rFonts w:hint="eastAsia"/>
                <w:lang w:val="en-US"/>
              </w:rPr>
              <w:t>消防队灭火费用扩展条款</w:t>
            </w:r>
            <w:r>
              <w:rPr>
                <w:rFonts w:hint="eastAsia"/>
                <w:lang w:val="en-US" w:eastAsia="zh-CN"/>
              </w:rPr>
              <w:t>（每次限额200万）</w:t>
            </w:r>
          </w:p>
          <w:p w14:paraId="4EF46640">
            <w:pPr>
              <w:widowControl/>
              <w:numPr>
                <w:ilvl w:val="0"/>
                <w:numId w:val="7"/>
              </w:numPr>
              <w:autoSpaceDE w:val="0"/>
              <w:autoSpaceDN w:val="0"/>
              <w:spacing w:after="0" w:line="288" w:lineRule="auto"/>
              <w:ind w:left="420" w:hanging="420"/>
              <w:jc w:val="both"/>
              <w:rPr>
                <w:rFonts w:hint="eastAsia"/>
                <w:lang w:val="en-US"/>
              </w:rPr>
            </w:pPr>
            <w:r>
              <w:rPr>
                <w:rFonts w:hint="eastAsia"/>
                <w:lang w:val="en-US"/>
              </w:rPr>
              <w:t>建筑物外部附属设施扩展条款</w:t>
            </w:r>
          </w:p>
          <w:p w14:paraId="6B16700D">
            <w:pPr>
              <w:widowControl/>
              <w:numPr>
                <w:ilvl w:val="0"/>
                <w:numId w:val="7"/>
              </w:numPr>
              <w:autoSpaceDE w:val="0"/>
              <w:autoSpaceDN w:val="0"/>
              <w:spacing w:after="0" w:line="288" w:lineRule="auto"/>
              <w:ind w:left="420" w:hanging="420"/>
              <w:jc w:val="both"/>
              <w:rPr>
                <w:rFonts w:hint="eastAsia"/>
                <w:lang w:val="en-US"/>
              </w:rPr>
            </w:pPr>
            <w:r>
              <w:rPr>
                <w:rFonts w:hint="eastAsia"/>
                <w:lang w:val="en-US"/>
              </w:rPr>
              <w:t>锅炉、压力容器扩展条款</w:t>
            </w:r>
          </w:p>
          <w:p w14:paraId="22527B40">
            <w:pPr>
              <w:widowControl/>
              <w:numPr>
                <w:ilvl w:val="0"/>
                <w:numId w:val="7"/>
              </w:numPr>
              <w:autoSpaceDE w:val="0"/>
              <w:autoSpaceDN w:val="0"/>
              <w:spacing w:after="0" w:line="288" w:lineRule="auto"/>
              <w:ind w:left="420" w:leftChars="0" w:hanging="420" w:firstLineChars="0"/>
              <w:jc w:val="both"/>
              <w:rPr>
                <w:rFonts w:hint="eastAsia"/>
                <w:lang w:val="en-US"/>
              </w:rPr>
            </w:pPr>
            <w:r>
              <w:rPr>
                <w:rFonts w:hint="eastAsia"/>
                <w:lang w:val="en-US" w:eastAsia="zh-CN"/>
              </w:rPr>
              <w:t>自燃扩展条款</w:t>
            </w:r>
          </w:p>
          <w:p w14:paraId="41E79844">
            <w:pPr>
              <w:widowControl/>
              <w:numPr>
                <w:ilvl w:val="0"/>
                <w:numId w:val="7"/>
              </w:numPr>
              <w:autoSpaceDE w:val="0"/>
              <w:autoSpaceDN w:val="0"/>
              <w:spacing w:after="0" w:line="288" w:lineRule="auto"/>
              <w:ind w:left="420" w:leftChars="0" w:hanging="420" w:firstLineChars="0"/>
              <w:jc w:val="both"/>
              <w:rPr>
                <w:rFonts w:hint="eastAsia"/>
                <w:lang w:val="en-US"/>
              </w:rPr>
            </w:pPr>
            <w:r>
              <w:rPr>
                <w:rFonts w:hint="eastAsia"/>
                <w:lang w:val="en-US" w:eastAsia="zh-CN"/>
              </w:rPr>
              <w:t>虫蛀鼠咬损失扩展条款</w:t>
            </w:r>
          </w:p>
          <w:p w14:paraId="67C73A22">
            <w:pPr>
              <w:widowControl/>
              <w:numPr>
                <w:ilvl w:val="0"/>
                <w:numId w:val="7"/>
              </w:numPr>
              <w:autoSpaceDE w:val="0"/>
              <w:autoSpaceDN w:val="0"/>
              <w:spacing w:after="0" w:line="288" w:lineRule="auto"/>
              <w:ind w:left="420" w:leftChars="0" w:hanging="420" w:firstLineChars="0"/>
              <w:jc w:val="both"/>
              <w:rPr>
                <w:rFonts w:hint="eastAsia"/>
                <w:lang w:val="en-US"/>
              </w:rPr>
            </w:pPr>
            <w:r>
              <w:rPr>
                <w:rFonts w:hint="eastAsia"/>
                <w:lang w:val="en-US" w:eastAsia="zh-CN"/>
              </w:rPr>
              <w:t>园林、绿化保险条款（每次限额50万）</w:t>
            </w:r>
          </w:p>
          <w:p w14:paraId="67610340">
            <w:pPr>
              <w:widowControl/>
              <w:numPr>
                <w:ilvl w:val="0"/>
                <w:numId w:val="7"/>
              </w:numPr>
              <w:autoSpaceDE w:val="0"/>
              <w:autoSpaceDN w:val="0"/>
              <w:spacing w:after="0" w:line="288" w:lineRule="auto"/>
              <w:ind w:left="420" w:leftChars="0" w:hanging="420" w:firstLineChars="0"/>
              <w:jc w:val="both"/>
              <w:rPr>
                <w:rFonts w:hint="eastAsia"/>
                <w:lang w:val="en-US"/>
              </w:rPr>
            </w:pPr>
            <w:r>
              <w:rPr>
                <w:rFonts w:hint="eastAsia"/>
                <w:lang w:val="en-US" w:eastAsia="zh-CN"/>
              </w:rPr>
              <w:t>玻璃破碎扩展条款（每次限额50万）</w:t>
            </w:r>
          </w:p>
          <w:p w14:paraId="4FC084C5">
            <w:pPr>
              <w:widowControl/>
              <w:numPr>
                <w:ilvl w:val="0"/>
                <w:numId w:val="0"/>
              </w:numPr>
              <w:autoSpaceDE w:val="0"/>
              <w:autoSpaceDN w:val="0"/>
              <w:spacing w:after="0" w:line="288" w:lineRule="auto"/>
              <w:ind w:leftChars="0"/>
              <w:jc w:val="both"/>
              <w:rPr>
                <w:rFonts w:hint="eastAsia"/>
                <w:lang w:val="en-US" w:eastAsia="zh-CN"/>
              </w:rPr>
            </w:pPr>
            <w:r>
              <w:rPr>
                <w:rFonts w:hint="eastAsia"/>
                <w:lang w:val="en-US" w:eastAsia="zh-CN"/>
              </w:rPr>
              <w:t>15.不受控制条款</w:t>
            </w:r>
          </w:p>
          <w:p w14:paraId="42B338C4">
            <w:pPr>
              <w:widowControl/>
              <w:numPr>
                <w:ilvl w:val="0"/>
                <w:numId w:val="0"/>
              </w:numPr>
              <w:autoSpaceDE w:val="0"/>
              <w:autoSpaceDN w:val="0"/>
              <w:spacing w:after="0" w:line="288" w:lineRule="auto"/>
              <w:ind w:leftChars="0"/>
              <w:jc w:val="both"/>
              <w:rPr>
                <w:rFonts w:hint="eastAsia"/>
                <w:lang w:val="en-US" w:eastAsia="zh-CN"/>
              </w:rPr>
            </w:pPr>
            <w:r>
              <w:rPr>
                <w:rFonts w:hint="eastAsia"/>
                <w:lang w:val="en-US" w:eastAsia="zh-CN"/>
              </w:rPr>
              <w:t>16.</w:t>
            </w:r>
            <w:r>
              <w:rPr>
                <w:rFonts w:hint="eastAsia"/>
                <w:lang w:val="en-US"/>
              </w:rPr>
              <w:t>清理费用条款</w:t>
            </w:r>
            <w:r>
              <w:rPr>
                <w:rFonts w:hint="eastAsia"/>
                <w:lang w:val="en-US" w:eastAsia="zh-CN"/>
              </w:rPr>
              <w:t>（每次限额100万）</w:t>
            </w:r>
          </w:p>
          <w:p w14:paraId="69F05026">
            <w:pPr>
              <w:widowControl/>
              <w:numPr>
                <w:ilvl w:val="0"/>
                <w:numId w:val="0"/>
              </w:numPr>
              <w:autoSpaceDE w:val="0"/>
              <w:autoSpaceDN w:val="0"/>
              <w:spacing w:after="0" w:line="288" w:lineRule="auto"/>
              <w:ind w:leftChars="0"/>
              <w:jc w:val="both"/>
              <w:rPr>
                <w:rFonts w:hint="default" w:ascii="Times New Roman" w:hAnsi="Times New Roman" w:eastAsia="宋体" w:cs="Times New Roman"/>
                <w:snapToGrid/>
                <w:color w:val="auto"/>
                <w:kern w:val="2"/>
                <w:sz w:val="21"/>
                <w:szCs w:val="24"/>
                <w:lang w:val="en-US" w:eastAsia="zh-CN" w:bidi="ar-SA"/>
              </w:rPr>
            </w:pPr>
            <w:r>
              <w:rPr>
                <w:rFonts w:hint="eastAsia" w:ascii="Times New Roman" w:hAnsi="Times New Roman" w:eastAsia="宋体" w:cs="Times New Roman"/>
                <w:snapToGrid/>
                <w:color w:val="auto"/>
                <w:kern w:val="2"/>
                <w:sz w:val="21"/>
                <w:szCs w:val="24"/>
                <w:lang w:val="en-US" w:eastAsia="zh-CN" w:bidi="ar-SA"/>
              </w:rPr>
              <w:t>17.预付赔款A</w:t>
            </w:r>
          </w:p>
          <w:p w14:paraId="47FF8071">
            <w:pPr>
              <w:pStyle w:val="2"/>
              <w:ind w:left="0" w:leftChars="0" w:firstLine="0" w:firstLineChars="0"/>
              <w:rPr>
                <w:rFonts w:hint="default" w:eastAsiaTheme="minorEastAsia"/>
                <w:lang w:val="en-US" w:eastAsia="zh-CN"/>
              </w:rPr>
            </w:pPr>
            <w:r>
              <w:rPr>
                <w:rFonts w:hint="eastAsia" w:asciiTheme="minorEastAsia" w:hAnsiTheme="minorEastAsia" w:eastAsiaTheme="minorEastAsia" w:cstheme="minorEastAsia"/>
                <w:color w:val="auto"/>
                <w:sz w:val="24"/>
                <w:szCs w:val="24"/>
                <w:lang w:val="en-US" w:eastAsia="zh-CN"/>
              </w:rPr>
              <w:t>注：以中标单位报备的保险条款为准</w:t>
            </w:r>
          </w:p>
        </w:tc>
      </w:tr>
    </w:tbl>
    <w:p w14:paraId="41B16941">
      <w:pPr>
        <w:rPr>
          <w:rFonts w:hint="eastAsia" w:asciiTheme="minorEastAsia" w:hAnsiTheme="minorEastAsia" w:eastAsiaTheme="minorEastAsia" w:cstheme="minorEastAsia"/>
          <w:color w:val="auto"/>
          <w:lang w:val="en-US" w:eastAsia="zh-CN"/>
        </w:rPr>
      </w:pPr>
    </w:p>
    <w:p w14:paraId="119064E9">
      <w:pPr>
        <w:pStyle w:val="5"/>
        <w:keepNext/>
        <w:keepLines/>
        <w:widowControl w:val="0"/>
        <w:numPr>
          <w:ilvl w:val="0"/>
          <w:numId w:val="4"/>
        </w:numPr>
        <w:adjustRightInd w:val="0"/>
        <w:spacing w:before="260" w:after="260" w:line="416" w:lineRule="auto"/>
        <w:jc w:val="both"/>
        <w:outlineLvl w:val="2"/>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财产一切险</w:t>
      </w:r>
    </w:p>
    <w:tbl>
      <w:tblPr>
        <w:tblStyle w:val="62"/>
        <w:tblW w:w="5451"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944"/>
        <w:gridCol w:w="8180"/>
      </w:tblGrid>
      <w:tr w14:paraId="4A2874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shd w:val="clear" w:color="auto" w:fill="DEEAF6"/>
            <w:noWrap w:val="0"/>
            <w:vAlign w:val="center"/>
          </w:tcPr>
          <w:p w14:paraId="5AC5605F">
            <w:pPr>
              <w:widowControl w:val="0"/>
              <w:autoSpaceDE/>
              <w:autoSpaceDN/>
              <w:spacing w:after="0"/>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明细列项</w:t>
            </w:r>
          </w:p>
        </w:tc>
        <w:tc>
          <w:tcPr>
            <w:tcW w:w="4039" w:type="pct"/>
            <w:shd w:val="clear" w:color="auto" w:fill="DEEAF6"/>
            <w:noWrap w:val="0"/>
            <w:vAlign w:val="center"/>
          </w:tcPr>
          <w:p w14:paraId="2417D6CC">
            <w:pPr>
              <w:widowControl w:val="0"/>
              <w:autoSpaceDE/>
              <w:autoSpaceDN/>
              <w:spacing w:after="0"/>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具体内容</w:t>
            </w:r>
          </w:p>
        </w:tc>
      </w:tr>
      <w:tr w14:paraId="2D900B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7897AF03">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险种</w:t>
            </w:r>
          </w:p>
        </w:tc>
        <w:tc>
          <w:tcPr>
            <w:tcW w:w="4039" w:type="pct"/>
            <w:noWrap w:val="0"/>
            <w:vAlign w:val="center"/>
          </w:tcPr>
          <w:p w14:paraId="4945C949">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财产一切险</w:t>
            </w:r>
          </w:p>
        </w:tc>
      </w:tr>
      <w:tr w14:paraId="6ACD85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57E065E6">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投保人</w:t>
            </w:r>
          </w:p>
        </w:tc>
        <w:tc>
          <w:tcPr>
            <w:tcW w:w="4039" w:type="pct"/>
            <w:noWrap w:val="0"/>
            <w:vAlign w:val="center"/>
          </w:tcPr>
          <w:p w14:paraId="2F8A08E9">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eastAsia="zh-CN"/>
              </w:rPr>
              <w:t>杭州萧山钱江世纪城开发建设有限责任公司</w:t>
            </w:r>
          </w:p>
        </w:tc>
      </w:tr>
      <w:tr w14:paraId="76B6A4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291A9230">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被保险人</w:t>
            </w:r>
          </w:p>
        </w:tc>
        <w:tc>
          <w:tcPr>
            <w:tcW w:w="4039" w:type="pct"/>
            <w:noWrap w:val="0"/>
            <w:vAlign w:val="center"/>
          </w:tcPr>
          <w:p w14:paraId="4FE3F4A8">
            <w:pPr>
              <w:widowControl w:val="0"/>
              <w:autoSpaceDE/>
              <w:autoSpaceDN/>
              <w:spacing w:after="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color w:val="auto"/>
                <w:sz w:val="24"/>
                <w:highlight w:val="none"/>
                <w:lang w:eastAsia="zh-CN"/>
              </w:rPr>
              <w:t>杭州萧山钱江世纪城开发建设有限责任公司</w:t>
            </w:r>
          </w:p>
        </w:tc>
      </w:tr>
      <w:tr w14:paraId="4E8436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249B91B3">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项目信息</w:t>
            </w:r>
          </w:p>
        </w:tc>
        <w:tc>
          <w:tcPr>
            <w:tcW w:w="4039" w:type="pct"/>
            <w:noWrap w:val="0"/>
            <w:vAlign w:val="center"/>
          </w:tcPr>
          <w:p w14:paraId="4EA28EFF">
            <w:pPr>
              <w:widowControl w:val="0"/>
              <w:autoSpaceDE/>
              <w:autoSpaceDN/>
              <w:spacing w:after="0"/>
              <w:jc w:val="both"/>
              <w:rPr>
                <w:rFonts w:hint="eastAsia" w:asciiTheme="minorEastAsia" w:hAnsiTheme="minorEastAsia" w:eastAsiaTheme="minorEastAsia" w:cstheme="minorEastAsia"/>
                <w:color w:val="auto"/>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bidi="ar-SA"/>
              </w:rPr>
              <w:t xml:space="preserve">详见“二、交易需求”投保资产  </w:t>
            </w:r>
          </w:p>
          <w:p w14:paraId="093FB9CA">
            <w:pPr>
              <w:widowControl w:val="0"/>
              <w:autoSpaceDE/>
              <w:autoSpaceDN/>
              <w:spacing w:after="0"/>
              <w:jc w:val="both"/>
              <w:rPr>
                <w:rFonts w:hint="default" w:asciiTheme="minorEastAsia" w:hAnsiTheme="minorEastAsia" w:eastAsiaTheme="minorEastAsia" w:cstheme="minorEastAsia"/>
                <w:color w:val="auto"/>
                <w:sz w:val="24"/>
                <w:szCs w:val="24"/>
                <w:highlight w:val="none"/>
                <w:lang w:val="en-US" w:eastAsia="zh-CN" w:bidi="ar-SA"/>
              </w:rPr>
            </w:pPr>
          </w:p>
        </w:tc>
      </w:tr>
      <w:tr w14:paraId="6279C2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048C2BCD">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保险责任</w:t>
            </w:r>
          </w:p>
        </w:tc>
        <w:tc>
          <w:tcPr>
            <w:tcW w:w="4039" w:type="pct"/>
            <w:noWrap w:val="0"/>
            <w:vAlign w:val="center"/>
          </w:tcPr>
          <w:p w14:paraId="52BDC0AB">
            <w:pPr>
              <w:widowControl/>
              <w:autoSpaceDE/>
              <w:autoSpaceDN/>
              <w:spacing w:after="0" w:line="288" w:lineRule="auto"/>
              <w:jc w:val="both"/>
              <w:rPr>
                <w:rFonts w:hint="eastAsia" w:asciiTheme="minorEastAsia" w:hAnsiTheme="minorEastAsia" w:eastAsiaTheme="minorEastAsia" w:cstheme="minorEastAsia"/>
                <w:color w:val="auto"/>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1.在保险期间内，由于</w:t>
            </w:r>
            <w:r>
              <w:rPr>
                <w:rFonts w:hint="eastAsia" w:asciiTheme="minorEastAsia" w:hAnsiTheme="minorEastAsia" w:eastAsiaTheme="minorEastAsia" w:cstheme="minorEastAsia"/>
                <w:b/>
                <w:bCs/>
                <w:color w:val="auto"/>
                <w:sz w:val="24"/>
                <w:szCs w:val="24"/>
                <w:highlight w:val="none"/>
                <w:lang w:val="en-US" w:bidi="ar-SA"/>
              </w:rPr>
              <w:t>自然灾害</w:t>
            </w:r>
            <w:r>
              <w:rPr>
                <w:rFonts w:hint="eastAsia" w:asciiTheme="minorEastAsia" w:hAnsiTheme="minorEastAsia" w:eastAsiaTheme="minorEastAsia" w:cstheme="minorEastAsia"/>
                <w:color w:val="auto"/>
                <w:sz w:val="24"/>
                <w:szCs w:val="24"/>
                <w:highlight w:val="none"/>
                <w:lang w:val="en-US" w:bidi="ar-SA"/>
              </w:rPr>
              <w:t>或</w:t>
            </w:r>
            <w:r>
              <w:rPr>
                <w:rFonts w:hint="eastAsia" w:asciiTheme="minorEastAsia" w:hAnsiTheme="minorEastAsia" w:eastAsiaTheme="minorEastAsia" w:cstheme="minorEastAsia"/>
                <w:b/>
                <w:bCs/>
                <w:color w:val="auto"/>
                <w:sz w:val="24"/>
                <w:szCs w:val="24"/>
                <w:highlight w:val="none"/>
                <w:lang w:val="en-US" w:bidi="ar-SA"/>
              </w:rPr>
              <w:t>意外事故</w:t>
            </w:r>
            <w:r>
              <w:rPr>
                <w:rFonts w:hint="eastAsia" w:asciiTheme="minorEastAsia" w:hAnsiTheme="minorEastAsia" w:eastAsiaTheme="minorEastAsia" w:cstheme="minorEastAsia"/>
                <w:color w:val="auto"/>
                <w:sz w:val="24"/>
                <w:szCs w:val="24"/>
                <w:highlight w:val="none"/>
                <w:lang w:val="en-US" w:bidi="ar-SA"/>
              </w:rPr>
              <w:t>造成保险标的直接物质损坏或灭失，保险人按照本保险合同的约定负责赔偿。</w:t>
            </w:r>
          </w:p>
          <w:p w14:paraId="00E596E7">
            <w:pPr>
              <w:widowControl/>
              <w:autoSpaceDE/>
              <w:autoSpaceDN/>
              <w:spacing w:after="0" w:line="288" w:lineRule="auto"/>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2.前款原因造成的保险事故发生时，</w:t>
            </w:r>
            <w:r>
              <w:rPr>
                <w:rFonts w:hint="eastAsia" w:asciiTheme="minorEastAsia" w:hAnsiTheme="minorEastAsia" w:eastAsiaTheme="minorEastAsia" w:cstheme="minorEastAsia"/>
                <w:b/>
                <w:bCs/>
                <w:color w:val="auto"/>
                <w:sz w:val="24"/>
                <w:szCs w:val="24"/>
                <w:highlight w:val="none"/>
                <w:lang w:val="en-US" w:bidi="ar-SA"/>
              </w:rPr>
              <w:t>为抢救保险标的或防止灾害蔓延，采取必要的、合理的措施而造成保险标的的损失，保险人按照本保险合同的约定也负责赔偿。</w:t>
            </w:r>
          </w:p>
          <w:p w14:paraId="601C9472">
            <w:pPr>
              <w:widowControl/>
              <w:autoSpaceDE/>
              <w:autoSpaceDN/>
              <w:spacing w:after="0" w:line="288" w:lineRule="auto"/>
              <w:jc w:val="both"/>
              <w:rPr>
                <w:rFonts w:hint="eastAsia" w:asciiTheme="minorEastAsia" w:hAnsiTheme="minorEastAsia" w:eastAsiaTheme="minorEastAsia" w:cstheme="minorEastAsia"/>
                <w:color w:val="auto"/>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3.保险事故发生后，被保险人为防止或减少保险标的的损失所支付的必要的、合理的费用，保险人按照本保险合同的约定也负责赔偿。</w:t>
            </w:r>
          </w:p>
          <w:p w14:paraId="5DDF5E9C">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4.具体详见保险条款（基本条款、扩展条款、特别约定等）约定。</w:t>
            </w:r>
          </w:p>
        </w:tc>
      </w:tr>
      <w:tr w14:paraId="2C6BFA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48083819">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保险期限</w:t>
            </w:r>
          </w:p>
        </w:tc>
        <w:tc>
          <w:tcPr>
            <w:tcW w:w="4039" w:type="pct"/>
            <w:noWrap w:val="0"/>
            <w:vAlign w:val="center"/>
          </w:tcPr>
          <w:p w14:paraId="7F385BC4">
            <w:pPr>
              <w:widowControl w:val="0"/>
              <w:autoSpaceDE/>
              <w:autoSpaceDN/>
              <w:spacing w:after="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1年，</w:t>
            </w:r>
            <w:r>
              <w:rPr>
                <w:rFonts w:hint="eastAsia" w:asciiTheme="minorEastAsia" w:hAnsiTheme="minorEastAsia" w:eastAsiaTheme="minorEastAsia" w:cstheme="minorEastAsia"/>
                <w:b/>
                <w:bCs/>
                <w:color w:val="FF0000"/>
                <w:sz w:val="24"/>
                <w:szCs w:val="24"/>
                <w:highlight w:val="none"/>
                <w:lang w:val="en-US" w:eastAsia="zh-CN" w:bidi="ar-SA"/>
              </w:rPr>
              <w:t>自2025</w:t>
            </w:r>
            <w:r>
              <w:rPr>
                <w:rFonts w:hint="eastAsia" w:asciiTheme="minorEastAsia" w:hAnsiTheme="minorEastAsia" w:eastAsiaTheme="minorEastAsia" w:cstheme="minorEastAsia"/>
                <w:b/>
                <w:bCs/>
                <w:color w:val="FF0000"/>
                <w:sz w:val="24"/>
                <w:szCs w:val="24"/>
                <w:highlight w:val="none"/>
                <w:lang w:val="en-US" w:bidi="ar-SA"/>
              </w:rPr>
              <w:t>年</w:t>
            </w:r>
            <w:r>
              <w:rPr>
                <w:rFonts w:hint="eastAsia" w:asciiTheme="minorEastAsia" w:hAnsiTheme="minorEastAsia" w:eastAsiaTheme="minorEastAsia" w:cstheme="minorEastAsia"/>
                <w:b/>
                <w:bCs/>
                <w:color w:val="FF0000"/>
                <w:sz w:val="24"/>
                <w:szCs w:val="24"/>
                <w:highlight w:val="none"/>
                <w:lang w:val="en-US" w:eastAsia="zh-CN" w:bidi="ar-SA"/>
              </w:rPr>
              <w:t xml:space="preserve">   </w:t>
            </w:r>
            <w:r>
              <w:rPr>
                <w:rFonts w:hint="eastAsia" w:asciiTheme="minorEastAsia" w:hAnsiTheme="minorEastAsia" w:eastAsiaTheme="minorEastAsia" w:cstheme="minorEastAsia"/>
                <w:b/>
                <w:bCs/>
                <w:color w:val="FF0000"/>
                <w:sz w:val="24"/>
                <w:szCs w:val="24"/>
                <w:highlight w:val="none"/>
                <w:lang w:val="en-US" w:bidi="ar-SA"/>
              </w:rPr>
              <w:t>月</w:t>
            </w:r>
            <w:r>
              <w:rPr>
                <w:rFonts w:hint="eastAsia" w:asciiTheme="minorEastAsia" w:hAnsiTheme="minorEastAsia" w:eastAsiaTheme="minorEastAsia" w:cstheme="minorEastAsia"/>
                <w:b/>
                <w:bCs/>
                <w:color w:val="FF0000"/>
                <w:sz w:val="24"/>
                <w:szCs w:val="24"/>
                <w:highlight w:val="none"/>
                <w:lang w:val="en-US" w:eastAsia="zh-CN" w:bidi="ar-SA"/>
              </w:rPr>
              <w:t xml:space="preserve">   </w:t>
            </w:r>
            <w:r>
              <w:rPr>
                <w:rFonts w:hint="eastAsia" w:asciiTheme="minorEastAsia" w:hAnsiTheme="minorEastAsia" w:eastAsiaTheme="minorEastAsia" w:cstheme="minorEastAsia"/>
                <w:b/>
                <w:bCs/>
                <w:color w:val="FF0000"/>
                <w:sz w:val="24"/>
                <w:szCs w:val="24"/>
                <w:highlight w:val="none"/>
                <w:lang w:val="en-US" w:bidi="ar-SA"/>
              </w:rPr>
              <w:t>日</w:t>
            </w:r>
            <w:r>
              <w:rPr>
                <w:rFonts w:hint="eastAsia" w:asciiTheme="minorEastAsia" w:hAnsiTheme="minorEastAsia" w:eastAsiaTheme="minorEastAsia" w:cstheme="minorEastAsia"/>
                <w:b/>
                <w:bCs/>
                <w:color w:val="FF0000"/>
                <w:sz w:val="24"/>
                <w:szCs w:val="24"/>
                <w:highlight w:val="none"/>
                <w:lang w:val="en-US" w:eastAsia="zh-CN" w:bidi="ar-SA"/>
              </w:rPr>
              <w:t>0时起</w:t>
            </w:r>
            <w:r>
              <w:rPr>
                <w:rFonts w:hint="eastAsia" w:asciiTheme="minorEastAsia" w:hAnsiTheme="minorEastAsia" w:eastAsiaTheme="minorEastAsia" w:cstheme="minorEastAsia"/>
                <w:b/>
                <w:bCs/>
                <w:color w:val="FF0000"/>
                <w:sz w:val="24"/>
                <w:szCs w:val="24"/>
                <w:highlight w:val="none"/>
                <w:lang w:val="en-US" w:bidi="ar-SA"/>
              </w:rPr>
              <w:t>至202</w:t>
            </w:r>
            <w:r>
              <w:rPr>
                <w:rFonts w:hint="eastAsia" w:asciiTheme="minorEastAsia" w:hAnsiTheme="minorEastAsia" w:eastAsiaTheme="minorEastAsia" w:cstheme="minorEastAsia"/>
                <w:b/>
                <w:bCs/>
                <w:color w:val="FF0000"/>
                <w:sz w:val="24"/>
                <w:szCs w:val="24"/>
                <w:highlight w:val="none"/>
                <w:lang w:val="en-US" w:eastAsia="zh-CN" w:bidi="ar-SA"/>
              </w:rPr>
              <w:t>6</w:t>
            </w:r>
            <w:r>
              <w:rPr>
                <w:rFonts w:hint="eastAsia" w:asciiTheme="minorEastAsia" w:hAnsiTheme="minorEastAsia" w:eastAsiaTheme="minorEastAsia" w:cstheme="minorEastAsia"/>
                <w:b/>
                <w:bCs/>
                <w:color w:val="FF0000"/>
                <w:sz w:val="24"/>
                <w:szCs w:val="24"/>
                <w:highlight w:val="none"/>
                <w:lang w:val="en-US" w:bidi="ar-SA"/>
              </w:rPr>
              <w:t>年</w:t>
            </w:r>
            <w:r>
              <w:rPr>
                <w:rFonts w:hint="eastAsia" w:asciiTheme="minorEastAsia" w:hAnsiTheme="minorEastAsia" w:eastAsiaTheme="minorEastAsia" w:cstheme="minorEastAsia"/>
                <w:b/>
                <w:bCs/>
                <w:color w:val="FF0000"/>
                <w:sz w:val="24"/>
                <w:szCs w:val="24"/>
                <w:highlight w:val="none"/>
                <w:lang w:val="en-US" w:eastAsia="zh-CN" w:bidi="ar-SA"/>
              </w:rPr>
              <w:t xml:space="preserve">   </w:t>
            </w:r>
            <w:r>
              <w:rPr>
                <w:rFonts w:hint="eastAsia" w:asciiTheme="minorEastAsia" w:hAnsiTheme="minorEastAsia" w:eastAsiaTheme="minorEastAsia" w:cstheme="minorEastAsia"/>
                <w:b/>
                <w:bCs/>
                <w:color w:val="FF0000"/>
                <w:sz w:val="24"/>
                <w:szCs w:val="24"/>
                <w:highlight w:val="none"/>
                <w:lang w:val="en-US" w:bidi="ar-SA"/>
              </w:rPr>
              <w:t>月</w:t>
            </w:r>
            <w:r>
              <w:rPr>
                <w:rFonts w:hint="eastAsia" w:asciiTheme="minorEastAsia" w:hAnsiTheme="minorEastAsia" w:eastAsiaTheme="minorEastAsia" w:cstheme="minorEastAsia"/>
                <w:b/>
                <w:bCs/>
                <w:color w:val="FF0000"/>
                <w:sz w:val="24"/>
                <w:szCs w:val="24"/>
                <w:highlight w:val="none"/>
                <w:lang w:val="en-US" w:eastAsia="zh-CN" w:bidi="ar-SA"/>
              </w:rPr>
              <w:t xml:space="preserve">   </w:t>
            </w:r>
            <w:r>
              <w:rPr>
                <w:rFonts w:hint="eastAsia" w:asciiTheme="minorEastAsia" w:hAnsiTheme="minorEastAsia" w:eastAsiaTheme="minorEastAsia" w:cstheme="minorEastAsia"/>
                <w:b/>
                <w:bCs/>
                <w:color w:val="FF0000"/>
                <w:sz w:val="24"/>
                <w:szCs w:val="24"/>
                <w:highlight w:val="none"/>
                <w:lang w:val="en-US" w:bidi="ar-SA"/>
              </w:rPr>
              <w:t>日</w:t>
            </w:r>
            <w:r>
              <w:rPr>
                <w:rFonts w:hint="eastAsia" w:asciiTheme="minorEastAsia" w:hAnsiTheme="minorEastAsia" w:eastAsiaTheme="minorEastAsia" w:cstheme="minorEastAsia"/>
                <w:b/>
                <w:bCs/>
                <w:color w:val="FF0000"/>
                <w:sz w:val="24"/>
                <w:szCs w:val="24"/>
                <w:highlight w:val="none"/>
                <w:lang w:val="en-US" w:eastAsia="zh-CN" w:bidi="ar-SA"/>
              </w:rPr>
              <w:t>24时止</w:t>
            </w:r>
            <w:r>
              <w:rPr>
                <w:rFonts w:hint="eastAsia" w:asciiTheme="minorEastAsia" w:hAnsiTheme="minorEastAsia" w:eastAsiaTheme="minorEastAsia" w:cstheme="minorEastAsia"/>
                <w:b/>
                <w:bCs/>
                <w:color w:val="FF0000"/>
                <w:sz w:val="24"/>
                <w:szCs w:val="24"/>
                <w:highlight w:val="none"/>
                <w:lang w:val="en-US" w:bidi="ar-SA"/>
              </w:rPr>
              <w:t>。</w:t>
            </w:r>
          </w:p>
        </w:tc>
      </w:tr>
      <w:tr w14:paraId="14336B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154D29D0">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保险金额</w:t>
            </w:r>
          </w:p>
        </w:tc>
        <w:tc>
          <w:tcPr>
            <w:tcW w:w="4039" w:type="pct"/>
            <w:noWrap w:val="0"/>
            <w:vAlign w:val="center"/>
          </w:tcPr>
          <w:p w14:paraId="5A852F15">
            <w:pPr>
              <w:widowControl w:val="0"/>
              <w:autoSpaceDE/>
              <w:autoSpaceDN/>
              <w:spacing w:after="0"/>
              <w:jc w:val="both"/>
              <w:rPr>
                <w:rFonts w:hint="default"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zh-CN"/>
              </w:rPr>
              <w:t>财产一切险：人民币249838万元 （投保资产序号1-46）</w:t>
            </w:r>
          </w:p>
        </w:tc>
      </w:tr>
      <w:tr w14:paraId="7AFA7E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0624F839">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保险费率</w:t>
            </w:r>
          </w:p>
        </w:tc>
        <w:tc>
          <w:tcPr>
            <w:tcW w:w="4039" w:type="pct"/>
            <w:noWrap w:val="0"/>
            <w:vAlign w:val="center"/>
          </w:tcPr>
          <w:p w14:paraId="114E7D55">
            <w:pPr>
              <w:widowControl w:val="0"/>
              <w:autoSpaceDE/>
              <w:autoSpaceDN/>
              <w:spacing w:after="0"/>
              <w:jc w:val="both"/>
              <w:rPr>
                <w:rFonts w:hint="eastAsia" w:asciiTheme="minorEastAsia" w:hAnsiTheme="minorEastAsia" w:eastAsiaTheme="minorEastAsia" w:cstheme="minorEastAsia"/>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待报价</w:t>
            </w:r>
          </w:p>
        </w:tc>
      </w:tr>
      <w:tr w14:paraId="4D3684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5B4836CD">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kern w:val="2"/>
                <w:sz w:val="24"/>
                <w:szCs w:val="24"/>
                <w:highlight w:val="none"/>
                <w:lang w:val="en-US" w:eastAsia="zh-CN" w:bidi="ar-SA"/>
              </w:rPr>
              <w:t>保险费</w:t>
            </w:r>
          </w:p>
        </w:tc>
        <w:tc>
          <w:tcPr>
            <w:tcW w:w="4039" w:type="pct"/>
            <w:noWrap w:val="0"/>
            <w:vAlign w:val="center"/>
          </w:tcPr>
          <w:p w14:paraId="074A92C1">
            <w:pPr>
              <w:widowControl w:val="0"/>
              <w:autoSpaceDE/>
              <w:autoSpaceDN/>
              <w:spacing w:after="0"/>
              <w:jc w:val="both"/>
              <w:rPr>
                <w:rFonts w:hint="eastAsia" w:asciiTheme="minorEastAsia" w:hAnsiTheme="minorEastAsia" w:eastAsiaTheme="minorEastAsia" w:cstheme="minorEastAsia"/>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待报价</w:t>
            </w:r>
          </w:p>
        </w:tc>
      </w:tr>
      <w:tr w14:paraId="0D2C1C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2DCF297C">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保险价值</w:t>
            </w:r>
          </w:p>
        </w:tc>
        <w:tc>
          <w:tcPr>
            <w:tcW w:w="4039" w:type="pct"/>
            <w:noWrap w:val="0"/>
            <w:vAlign w:val="center"/>
          </w:tcPr>
          <w:p w14:paraId="3093945F">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出险时的重置价值</w:t>
            </w:r>
          </w:p>
        </w:tc>
      </w:tr>
      <w:tr w14:paraId="25561E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72069D34">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免赔额</w:t>
            </w:r>
          </w:p>
        </w:tc>
        <w:tc>
          <w:tcPr>
            <w:tcW w:w="4039" w:type="pct"/>
            <w:noWrap w:val="0"/>
            <w:vAlign w:val="center"/>
          </w:tcPr>
          <w:p w14:paraId="2C53EA1B">
            <w:pPr>
              <w:widowControl/>
              <w:numPr>
                <w:ilvl w:val="0"/>
                <w:numId w:val="0"/>
              </w:numPr>
              <w:tabs>
                <w:tab w:val="left" w:pos="312"/>
              </w:tabs>
              <w:autoSpaceDE/>
              <w:autoSpaceDN/>
              <w:spacing w:after="0" w:line="288" w:lineRule="auto"/>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1.</w:t>
            </w:r>
            <w:r>
              <w:rPr>
                <w:rFonts w:hint="eastAsia" w:asciiTheme="minorEastAsia" w:hAnsiTheme="minorEastAsia" w:eastAsiaTheme="minorEastAsia" w:cstheme="minorEastAsia"/>
                <w:b/>
                <w:bCs/>
                <w:color w:val="auto"/>
                <w:sz w:val="24"/>
                <w:szCs w:val="24"/>
                <w:highlight w:val="none"/>
                <w:lang w:val="en-US" w:bidi="ar-SA"/>
              </w:rPr>
              <w:t>地震：每次事故免赔额人民币</w:t>
            </w:r>
            <w:r>
              <w:rPr>
                <w:rFonts w:hint="eastAsia" w:asciiTheme="minorEastAsia" w:hAnsiTheme="minorEastAsia" w:eastAsiaTheme="minorEastAsia" w:cstheme="minorEastAsia"/>
                <w:b/>
                <w:bCs/>
                <w:color w:val="auto"/>
                <w:sz w:val="24"/>
                <w:szCs w:val="24"/>
                <w:highlight w:val="none"/>
                <w:lang w:val="en-US" w:eastAsia="zh-CN" w:bidi="ar-SA"/>
              </w:rPr>
              <w:t>10</w:t>
            </w:r>
            <w:r>
              <w:rPr>
                <w:rFonts w:hint="eastAsia" w:asciiTheme="minorEastAsia" w:hAnsiTheme="minorEastAsia" w:eastAsiaTheme="minorEastAsia" w:cstheme="minorEastAsia"/>
                <w:b/>
                <w:bCs/>
                <w:color w:val="auto"/>
                <w:sz w:val="24"/>
                <w:szCs w:val="24"/>
                <w:highlight w:val="none"/>
                <w:lang w:val="en-US" w:bidi="ar-SA"/>
              </w:rPr>
              <w:t>万元或损失金额的</w:t>
            </w:r>
            <w:r>
              <w:rPr>
                <w:rFonts w:hint="eastAsia" w:asciiTheme="minorEastAsia" w:hAnsiTheme="minorEastAsia" w:eastAsiaTheme="minorEastAsia" w:cstheme="minorEastAsia"/>
                <w:b/>
                <w:bCs/>
                <w:color w:val="auto"/>
                <w:sz w:val="24"/>
                <w:szCs w:val="24"/>
                <w:highlight w:val="none"/>
                <w:lang w:val="en-US" w:eastAsia="zh-CN" w:bidi="ar-SA"/>
              </w:rPr>
              <w:t>5</w:t>
            </w:r>
            <w:r>
              <w:rPr>
                <w:rFonts w:hint="eastAsia" w:asciiTheme="minorEastAsia" w:hAnsiTheme="minorEastAsia" w:eastAsiaTheme="minorEastAsia" w:cstheme="minorEastAsia"/>
                <w:b/>
                <w:bCs/>
                <w:color w:val="auto"/>
                <w:sz w:val="24"/>
                <w:szCs w:val="24"/>
                <w:highlight w:val="none"/>
                <w:lang w:val="en-US" w:bidi="ar-SA"/>
              </w:rPr>
              <w:t>%，以高者为准。</w:t>
            </w:r>
          </w:p>
          <w:p w14:paraId="643D3A5C">
            <w:pPr>
              <w:widowControl/>
              <w:autoSpaceDE/>
              <w:autoSpaceDN/>
              <w:spacing w:after="0" w:line="288" w:lineRule="auto"/>
              <w:jc w:val="both"/>
              <w:rPr>
                <w:rFonts w:hint="eastAsia" w:asciiTheme="minorEastAsia" w:hAnsiTheme="minorEastAsia" w:eastAsiaTheme="minorEastAsia" w:cstheme="minorEastAsia"/>
                <w:b/>
                <w:bCs/>
                <w:color w:val="auto"/>
                <w:sz w:val="24"/>
                <w:szCs w:val="24"/>
                <w:highlight w:val="none"/>
                <w:lang w:val="en-US" w:eastAsia="zh-CN" w:bidi="ar-SA"/>
              </w:rPr>
            </w:pPr>
            <w:r>
              <w:rPr>
                <w:rFonts w:hint="eastAsia" w:asciiTheme="minorEastAsia" w:hAnsiTheme="minorEastAsia" w:eastAsiaTheme="minorEastAsia" w:cstheme="minorEastAsia"/>
                <w:b/>
                <w:bCs/>
                <w:color w:val="auto"/>
                <w:sz w:val="24"/>
                <w:szCs w:val="24"/>
                <w:highlight w:val="none"/>
                <w:lang w:val="en-US" w:eastAsia="zh-CN" w:bidi="ar-SA"/>
              </w:rPr>
              <w:t>2</w:t>
            </w:r>
            <w:r>
              <w:rPr>
                <w:rFonts w:hint="eastAsia" w:asciiTheme="minorEastAsia" w:hAnsiTheme="minorEastAsia" w:eastAsiaTheme="minorEastAsia" w:cstheme="minorEastAsia"/>
                <w:b/>
                <w:bCs/>
                <w:color w:val="auto"/>
                <w:sz w:val="24"/>
                <w:szCs w:val="24"/>
                <w:highlight w:val="none"/>
                <w:lang w:val="en-US" w:bidi="ar-SA"/>
              </w:rPr>
              <w:t>.</w:t>
            </w:r>
            <w:r>
              <w:rPr>
                <w:rFonts w:hint="eastAsia" w:asciiTheme="minorEastAsia" w:hAnsiTheme="minorEastAsia" w:eastAsiaTheme="minorEastAsia" w:cstheme="minorEastAsia"/>
                <w:b/>
                <w:bCs/>
                <w:color w:val="auto"/>
                <w:sz w:val="24"/>
                <w:szCs w:val="24"/>
                <w:highlight w:val="none"/>
                <w:lang w:val="en-US" w:eastAsia="zh-CN" w:bidi="ar-SA"/>
              </w:rPr>
              <w:t>火灾事故</w:t>
            </w:r>
            <w:r>
              <w:rPr>
                <w:rFonts w:hint="eastAsia" w:asciiTheme="minorEastAsia" w:hAnsiTheme="minorEastAsia" w:eastAsiaTheme="minorEastAsia" w:cstheme="minorEastAsia"/>
                <w:b/>
                <w:bCs/>
                <w:color w:val="auto"/>
                <w:sz w:val="24"/>
                <w:szCs w:val="24"/>
                <w:highlight w:val="none"/>
                <w:lang w:val="en-US" w:bidi="ar-SA"/>
              </w:rPr>
              <w:t>：每次事故免赔额人民币</w:t>
            </w:r>
            <w:r>
              <w:rPr>
                <w:rFonts w:hint="eastAsia" w:asciiTheme="minorEastAsia" w:hAnsiTheme="minorEastAsia" w:eastAsiaTheme="minorEastAsia" w:cstheme="minorEastAsia"/>
                <w:b/>
                <w:bCs/>
                <w:color w:val="auto"/>
                <w:sz w:val="24"/>
                <w:szCs w:val="24"/>
                <w:highlight w:val="none"/>
                <w:lang w:val="en-US" w:eastAsia="zh-CN" w:bidi="ar-SA"/>
              </w:rPr>
              <w:t>5</w:t>
            </w:r>
            <w:r>
              <w:rPr>
                <w:rFonts w:hint="eastAsia" w:asciiTheme="minorEastAsia" w:hAnsiTheme="minorEastAsia" w:eastAsiaTheme="minorEastAsia" w:cstheme="minorEastAsia"/>
                <w:b/>
                <w:bCs/>
                <w:color w:val="auto"/>
                <w:sz w:val="24"/>
                <w:szCs w:val="24"/>
                <w:highlight w:val="none"/>
                <w:lang w:val="en-US" w:bidi="ar-SA"/>
              </w:rPr>
              <w:t>万元或损失金额的</w:t>
            </w:r>
            <w:r>
              <w:rPr>
                <w:rFonts w:hint="eastAsia" w:asciiTheme="minorEastAsia" w:hAnsiTheme="minorEastAsia" w:eastAsiaTheme="minorEastAsia" w:cstheme="minorEastAsia"/>
                <w:b/>
                <w:bCs/>
                <w:color w:val="auto"/>
                <w:sz w:val="24"/>
                <w:szCs w:val="24"/>
                <w:highlight w:val="none"/>
                <w:lang w:val="en-US" w:eastAsia="zh-CN" w:bidi="ar-SA"/>
              </w:rPr>
              <w:t>3</w:t>
            </w:r>
            <w:r>
              <w:rPr>
                <w:rFonts w:hint="eastAsia" w:asciiTheme="minorEastAsia" w:hAnsiTheme="minorEastAsia" w:eastAsiaTheme="minorEastAsia" w:cstheme="minorEastAsia"/>
                <w:b/>
                <w:bCs/>
                <w:color w:val="auto"/>
                <w:sz w:val="24"/>
                <w:szCs w:val="24"/>
                <w:highlight w:val="none"/>
                <w:lang w:val="en-US" w:bidi="ar-SA"/>
              </w:rPr>
              <w:t>%，以高者为准</w:t>
            </w:r>
            <w:r>
              <w:rPr>
                <w:rFonts w:hint="eastAsia" w:asciiTheme="minorEastAsia" w:hAnsiTheme="minorEastAsia" w:eastAsiaTheme="minorEastAsia" w:cstheme="minorEastAsia"/>
                <w:b/>
                <w:bCs/>
                <w:color w:val="auto"/>
                <w:sz w:val="24"/>
                <w:szCs w:val="24"/>
                <w:highlight w:val="none"/>
                <w:lang w:val="en-US" w:eastAsia="zh-CN" w:bidi="ar-SA"/>
              </w:rPr>
              <w:t>。</w:t>
            </w:r>
          </w:p>
          <w:p w14:paraId="330EF5AA">
            <w:pPr>
              <w:widowControl/>
              <w:autoSpaceDE/>
              <w:autoSpaceDN/>
              <w:spacing w:after="0" w:line="288" w:lineRule="auto"/>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3</w:t>
            </w:r>
            <w:r>
              <w:rPr>
                <w:rFonts w:hint="eastAsia" w:asciiTheme="minorEastAsia" w:hAnsiTheme="minorEastAsia" w:eastAsiaTheme="minorEastAsia" w:cstheme="minorEastAsia"/>
                <w:b/>
                <w:bCs/>
                <w:color w:val="auto"/>
                <w:sz w:val="24"/>
                <w:szCs w:val="24"/>
                <w:highlight w:val="none"/>
                <w:lang w:val="en-US" w:bidi="ar-SA"/>
              </w:rPr>
              <w:t>.其他事故：每次事故免赔额人民币</w:t>
            </w:r>
            <w:r>
              <w:rPr>
                <w:rFonts w:hint="eastAsia" w:asciiTheme="minorEastAsia" w:hAnsiTheme="minorEastAsia" w:eastAsiaTheme="minorEastAsia" w:cstheme="minorEastAsia"/>
                <w:b/>
                <w:bCs/>
                <w:color w:val="auto"/>
                <w:sz w:val="24"/>
                <w:szCs w:val="24"/>
                <w:highlight w:val="none"/>
                <w:lang w:val="en-US" w:eastAsia="zh-CN" w:bidi="ar-SA"/>
              </w:rPr>
              <w:t>1万</w:t>
            </w:r>
            <w:r>
              <w:rPr>
                <w:rFonts w:hint="eastAsia" w:asciiTheme="minorEastAsia" w:hAnsiTheme="minorEastAsia" w:eastAsiaTheme="minorEastAsia" w:cstheme="minorEastAsia"/>
                <w:b/>
                <w:bCs/>
                <w:color w:val="auto"/>
                <w:sz w:val="24"/>
                <w:szCs w:val="24"/>
                <w:highlight w:val="none"/>
                <w:lang w:val="en-US" w:bidi="ar-SA"/>
              </w:rPr>
              <w:t>元或损失金额的</w:t>
            </w:r>
            <w:r>
              <w:rPr>
                <w:rFonts w:hint="eastAsia" w:asciiTheme="minorEastAsia" w:hAnsiTheme="minorEastAsia" w:eastAsiaTheme="minorEastAsia" w:cstheme="minorEastAsia"/>
                <w:b/>
                <w:bCs/>
                <w:color w:val="auto"/>
                <w:sz w:val="24"/>
                <w:szCs w:val="24"/>
                <w:highlight w:val="none"/>
                <w:lang w:val="en-US" w:eastAsia="zh-CN" w:bidi="ar-SA"/>
              </w:rPr>
              <w:t>3</w:t>
            </w:r>
            <w:r>
              <w:rPr>
                <w:rFonts w:hint="eastAsia" w:asciiTheme="minorEastAsia" w:hAnsiTheme="minorEastAsia" w:eastAsiaTheme="minorEastAsia" w:cstheme="minorEastAsia"/>
                <w:b/>
                <w:bCs/>
                <w:color w:val="auto"/>
                <w:sz w:val="24"/>
                <w:szCs w:val="24"/>
                <w:highlight w:val="none"/>
                <w:lang w:val="en-US" w:bidi="ar-SA"/>
              </w:rPr>
              <w:t>%，以高者为准。</w:t>
            </w:r>
          </w:p>
          <w:p w14:paraId="76AFA014">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注：“每次事故”是指每一次事故或由同一原因/同一事件引起的一系列事故。</w:t>
            </w:r>
          </w:p>
        </w:tc>
      </w:tr>
      <w:tr w14:paraId="37286C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1E8ABCF3">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付费方式</w:t>
            </w:r>
          </w:p>
        </w:tc>
        <w:tc>
          <w:tcPr>
            <w:tcW w:w="4039" w:type="pct"/>
            <w:noWrap w:val="0"/>
            <w:vAlign w:val="center"/>
          </w:tcPr>
          <w:p w14:paraId="124A6CDB">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保单生效</w:t>
            </w:r>
            <w:r>
              <w:rPr>
                <w:rFonts w:hint="eastAsia" w:asciiTheme="minorEastAsia" w:hAnsiTheme="minorEastAsia" w:eastAsiaTheme="minorEastAsia" w:cstheme="minorEastAsia"/>
                <w:b/>
                <w:bCs/>
                <w:color w:val="auto"/>
                <w:sz w:val="24"/>
                <w:szCs w:val="24"/>
                <w:highlight w:val="none"/>
                <w:lang w:val="en-US" w:bidi="ar-SA"/>
              </w:rPr>
              <w:t>后 30个工作日内投保人向保险人支付保险费。</w:t>
            </w:r>
          </w:p>
        </w:tc>
      </w:tr>
      <w:tr w14:paraId="569380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3A7197F6">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基本条款</w:t>
            </w:r>
          </w:p>
        </w:tc>
        <w:tc>
          <w:tcPr>
            <w:tcW w:w="4039" w:type="pct"/>
            <w:noWrap w:val="0"/>
            <w:vAlign w:val="center"/>
          </w:tcPr>
          <w:p w14:paraId="63E0F61D">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以保险人备案的《财产一切险》条款为准。</w:t>
            </w:r>
          </w:p>
        </w:tc>
      </w:tr>
      <w:tr w14:paraId="508C2B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244300CA">
            <w:pPr>
              <w:widowControl w:val="0"/>
              <w:numPr>
                <w:ilvl w:val="0"/>
                <w:numId w:val="8"/>
              </w:numPr>
              <w:autoSpaceDE w:val="0"/>
              <w:autoSpaceDN w:val="0"/>
              <w:spacing w:after="0"/>
              <w:ind w:left="420" w:hanging="42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扩展条款</w:t>
            </w:r>
          </w:p>
        </w:tc>
        <w:tc>
          <w:tcPr>
            <w:tcW w:w="4039" w:type="pct"/>
            <w:noWrap w:val="0"/>
            <w:vAlign w:val="center"/>
          </w:tcPr>
          <w:p w14:paraId="4F49A4FA">
            <w:pPr>
              <w:widowControl/>
              <w:numPr>
                <w:ilvl w:val="0"/>
                <w:numId w:val="9"/>
              </w:numPr>
              <w:autoSpaceDE w:val="0"/>
              <w:autoSpaceDN w:val="0"/>
              <w:spacing w:after="0" w:line="288" w:lineRule="auto"/>
              <w:ind w:left="420" w:hanging="420"/>
              <w:jc w:val="both"/>
              <w:rPr>
                <w:rFonts w:hint="eastAsia"/>
                <w:lang w:val="en-US"/>
              </w:rPr>
            </w:pPr>
            <w:r>
              <w:rPr>
                <w:rFonts w:hint="eastAsia"/>
                <w:lang w:val="en-US"/>
              </w:rPr>
              <w:t>重置价值条款</w:t>
            </w:r>
          </w:p>
          <w:p w14:paraId="1ABC2645">
            <w:pPr>
              <w:widowControl/>
              <w:numPr>
                <w:ilvl w:val="0"/>
                <w:numId w:val="9"/>
              </w:numPr>
              <w:autoSpaceDE w:val="0"/>
              <w:autoSpaceDN w:val="0"/>
              <w:spacing w:after="0" w:line="288" w:lineRule="auto"/>
              <w:ind w:left="420" w:hanging="420"/>
              <w:jc w:val="both"/>
              <w:rPr>
                <w:rFonts w:hint="eastAsia"/>
                <w:lang w:val="en-US"/>
              </w:rPr>
            </w:pPr>
            <w:r>
              <w:rPr>
                <w:rFonts w:hint="eastAsia"/>
                <w:lang w:val="en-US"/>
              </w:rPr>
              <w:t>错误和遗漏条款</w:t>
            </w:r>
          </w:p>
          <w:p w14:paraId="1AC88450">
            <w:pPr>
              <w:widowControl/>
              <w:numPr>
                <w:ilvl w:val="0"/>
                <w:numId w:val="9"/>
              </w:numPr>
              <w:autoSpaceDE w:val="0"/>
              <w:autoSpaceDN w:val="0"/>
              <w:spacing w:after="0" w:line="288" w:lineRule="auto"/>
              <w:ind w:left="420" w:hanging="420"/>
              <w:jc w:val="both"/>
              <w:rPr>
                <w:rFonts w:hint="eastAsia"/>
                <w:lang w:val="en-US"/>
              </w:rPr>
            </w:pPr>
            <w:r>
              <w:rPr>
                <w:rFonts w:hint="eastAsia"/>
                <w:lang w:val="en-US"/>
              </w:rPr>
              <w:t>报案时间延迟条款</w:t>
            </w:r>
          </w:p>
          <w:p w14:paraId="4C6F0363">
            <w:pPr>
              <w:widowControl/>
              <w:numPr>
                <w:ilvl w:val="0"/>
                <w:numId w:val="9"/>
              </w:numPr>
              <w:autoSpaceDE w:val="0"/>
              <w:autoSpaceDN w:val="0"/>
              <w:spacing w:after="0" w:line="288" w:lineRule="auto"/>
              <w:ind w:left="420" w:hanging="420"/>
              <w:jc w:val="both"/>
              <w:rPr>
                <w:rFonts w:hint="eastAsia"/>
                <w:lang w:val="en-US"/>
              </w:rPr>
            </w:pPr>
            <w:r>
              <w:rPr>
                <w:rFonts w:hint="eastAsia"/>
                <w:lang w:val="en-US"/>
              </w:rPr>
              <w:t>地震损失条款</w:t>
            </w:r>
          </w:p>
          <w:p w14:paraId="3DF8EAC1">
            <w:pPr>
              <w:widowControl/>
              <w:numPr>
                <w:ilvl w:val="0"/>
                <w:numId w:val="9"/>
              </w:numPr>
              <w:autoSpaceDE w:val="0"/>
              <w:autoSpaceDN w:val="0"/>
              <w:spacing w:after="0" w:line="288" w:lineRule="auto"/>
              <w:ind w:left="420" w:hanging="420"/>
              <w:jc w:val="both"/>
              <w:rPr>
                <w:rFonts w:hint="eastAsia"/>
                <w:lang w:val="en-US"/>
              </w:rPr>
            </w:pPr>
            <w:r>
              <w:rPr>
                <w:rFonts w:hint="eastAsia"/>
                <w:lang w:val="en-US"/>
              </w:rPr>
              <w:t>弃权与禁止反言条款</w:t>
            </w:r>
          </w:p>
          <w:p w14:paraId="31F9EBD4">
            <w:pPr>
              <w:widowControl/>
              <w:numPr>
                <w:ilvl w:val="0"/>
                <w:numId w:val="9"/>
              </w:numPr>
              <w:autoSpaceDE w:val="0"/>
              <w:autoSpaceDN w:val="0"/>
              <w:spacing w:after="0" w:line="288" w:lineRule="auto"/>
              <w:ind w:left="420" w:hanging="420"/>
              <w:jc w:val="both"/>
              <w:rPr>
                <w:rFonts w:hint="eastAsia"/>
                <w:lang w:val="en-US"/>
              </w:rPr>
            </w:pPr>
            <w:r>
              <w:rPr>
                <w:rFonts w:hint="eastAsia"/>
                <w:lang w:val="en-US" w:eastAsia="zh-CN"/>
              </w:rPr>
              <w:t>电气损害条款</w:t>
            </w:r>
          </w:p>
          <w:p w14:paraId="513CF23E">
            <w:pPr>
              <w:widowControl/>
              <w:numPr>
                <w:ilvl w:val="0"/>
                <w:numId w:val="9"/>
              </w:numPr>
              <w:autoSpaceDE w:val="0"/>
              <w:autoSpaceDN w:val="0"/>
              <w:spacing w:after="0" w:line="288" w:lineRule="auto"/>
              <w:ind w:left="420" w:hanging="420"/>
              <w:jc w:val="both"/>
              <w:rPr>
                <w:rFonts w:hint="eastAsia"/>
                <w:lang w:val="en-US"/>
              </w:rPr>
            </w:pPr>
            <w:r>
              <w:rPr>
                <w:rFonts w:hint="eastAsia"/>
                <w:lang w:val="en-US"/>
              </w:rPr>
              <w:t>水暖管爆裂保险条款</w:t>
            </w:r>
          </w:p>
          <w:p w14:paraId="2DEB86D3">
            <w:pPr>
              <w:widowControl/>
              <w:numPr>
                <w:ilvl w:val="0"/>
                <w:numId w:val="9"/>
              </w:numPr>
              <w:autoSpaceDE w:val="0"/>
              <w:autoSpaceDN w:val="0"/>
              <w:spacing w:after="0" w:line="288" w:lineRule="auto"/>
              <w:ind w:left="420" w:hanging="420"/>
              <w:jc w:val="both"/>
              <w:rPr>
                <w:rFonts w:hint="eastAsia"/>
                <w:lang w:val="en-US"/>
              </w:rPr>
            </w:pPr>
            <w:r>
              <w:rPr>
                <w:rFonts w:hint="eastAsia"/>
                <w:lang w:val="en-US"/>
              </w:rPr>
              <w:t>消防队灭火费用扩展条款</w:t>
            </w:r>
            <w:r>
              <w:rPr>
                <w:rFonts w:hint="eastAsia"/>
                <w:lang w:val="en-US" w:eastAsia="zh-CN"/>
              </w:rPr>
              <w:t>（每次限额200万）</w:t>
            </w:r>
          </w:p>
          <w:p w14:paraId="43153792">
            <w:pPr>
              <w:widowControl/>
              <w:numPr>
                <w:ilvl w:val="0"/>
                <w:numId w:val="9"/>
              </w:numPr>
              <w:autoSpaceDE w:val="0"/>
              <w:autoSpaceDN w:val="0"/>
              <w:spacing w:after="0" w:line="288" w:lineRule="auto"/>
              <w:ind w:left="420" w:hanging="420"/>
              <w:jc w:val="both"/>
              <w:rPr>
                <w:rFonts w:hint="eastAsia"/>
                <w:lang w:val="en-US"/>
              </w:rPr>
            </w:pPr>
            <w:r>
              <w:rPr>
                <w:rFonts w:hint="eastAsia"/>
                <w:lang w:val="en-US"/>
              </w:rPr>
              <w:t>建筑物外部附属设施扩展条款</w:t>
            </w:r>
          </w:p>
          <w:p w14:paraId="31302F27">
            <w:pPr>
              <w:widowControl/>
              <w:numPr>
                <w:ilvl w:val="0"/>
                <w:numId w:val="9"/>
              </w:numPr>
              <w:autoSpaceDE w:val="0"/>
              <w:autoSpaceDN w:val="0"/>
              <w:spacing w:after="0" w:line="288" w:lineRule="auto"/>
              <w:ind w:left="420" w:hanging="420"/>
              <w:jc w:val="both"/>
              <w:rPr>
                <w:rFonts w:hint="eastAsia"/>
                <w:lang w:val="en-US"/>
              </w:rPr>
            </w:pPr>
            <w:r>
              <w:rPr>
                <w:rFonts w:hint="eastAsia"/>
                <w:lang w:val="en-US"/>
              </w:rPr>
              <w:t>锅炉、压力容器扩展条款</w:t>
            </w:r>
          </w:p>
          <w:p w14:paraId="6526C773">
            <w:pPr>
              <w:widowControl/>
              <w:numPr>
                <w:ilvl w:val="0"/>
                <w:numId w:val="9"/>
              </w:numPr>
              <w:autoSpaceDE w:val="0"/>
              <w:autoSpaceDN w:val="0"/>
              <w:spacing w:after="0" w:line="288" w:lineRule="auto"/>
              <w:ind w:left="420" w:leftChars="0" w:hanging="420" w:firstLineChars="0"/>
              <w:jc w:val="both"/>
              <w:rPr>
                <w:rFonts w:hint="eastAsia"/>
                <w:lang w:val="en-US"/>
              </w:rPr>
            </w:pPr>
            <w:r>
              <w:rPr>
                <w:rFonts w:hint="eastAsia"/>
                <w:lang w:val="en-US" w:eastAsia="zh-CN"/>
              </w:rPr>
              <w:t>自燃扩展条款</w:t>
            </w:r>
          </w:p>
          <w:p w14:paraId="40F9AD1C">
            <w:pPr>
              <w:widowControl/>
              <w:numPr>
                <w:ilvl w:val="0"/>
                <w:numId w:val="9"/>
              </w:numPr>
              <w:autoSpaceDE w:val="0"/>
              <w:autoSpaceDN w:val="0"/>
              <w:spacing w:after="0" w:line="288" w:lineRule="auto"/>
              <w:ind w:left="420" w:leftChars="0" w:hanging="420" w:firstLineChars="0"/>
              <w:jc w:val="both"/>
              <w:rPr>
                <w:rFonts w:hint="eastAsia"/>
                <w:lang w:val="en-US"/>
              </w:rPr>
            </w:pPr>
            <w:r>
              <w:rPr>
                <w:rFonts w:hint="eastAsia"/>
                <w:lang w:val="en-US" w:eastAsia="zh-CN"/>
              </w:rPr>
              <w:t>虫蛀鼠咬损失扩展条款</w:t>
            </w:r>
          </w:p>
          <w:p w14:paraId="65E4DDEF">
            <w:pPr>
              <w:widowControl/>
              <w:numPr>
                <w:ilvl w:val="0"/>
                <w:numId w:val="9"/>
              </w:numPr>
              <w:autoSpaceDE w:val="0"/>
              <w:autoSpaceDN w:val="0"/>
              <w:spacing w:after="0" w:line="288" w:lineRule="auto"/>
              <w:ind w:left="420" w:leftChars="0" w:hanging="420" w:firstLineChars="0"/>
              <w:jc w:val="both"/>
              <w:rPr>
                <w:rFonts w:hint="eastAsia"/>
                <w:lang w:val="en-US"/>
              </w:rPr>
            </w:pPr>
            <w:r>
              <w:rPr>
                <w:rFonts w:hint="eastAsia"/>
                <w:lang w:val="en-US" w:eastAsia="zh-CN"/>
              </w:rPr>
              <w:t>园林、绿化保险条款（每次限额50万）</w:t>
            </w:r>
          </w:p>
          <w:p w14:paraId="23B8DA90">
            <w:pPr>
              <w:widowControl/>
              <w:numPr>
                <w:ilvl w:val="0"/>
                <w:numId w:val="9"/>
              </w:numPr>
              <w:autoSpaceDE w:val="0"/>
              <w:autoSpaceDN w:val="0"/>
              <w:spacing w:after="0" w:line="288" w:lineRule="auto"/>
              <w:ind w:left="420" w:leftChars="0" w:hanging="420" w:firstLineChars="0"/>
              <w:jc w:val="both"/>
              <w:rPr>
                <w:rFonts w:hint="eastAsia"/>
                <w:lang w:val="en-US"/>
              </w:rPr>
            </w:pPr>
            <w:r>
              <w:rPr>
                <w:rFonts w:hint="eastAsia"/>
                <w:lang w:val="en-US" w:eastAsia="zh-CN"/>
              </w:rPr>
              <w:t>玻璃破碎扩展条款（每次限额50万）</w:t>
            </w:r>
          </w:p>
          <w:p w14:paraId="24C7F2F9">
            <w:pPr>
              <w:widowControl/>
              <w:numPr>
                <w:ilvl w:val="0"/>
                <w:numId w:val="0"/>
              </w:numPr>
              <w:autoSpaceDE w:val="0"/>
              <w:autoSpaceDN w:val="0"/>
              <w:spacing w:after="0" w:line="288" w:lineRule="auto"/>
              <w:ind w:leftChars="0"/>
              <w:jc w:val="both"/>
              <w:rPr>
                <w:rFonts w:hint="eastAsia"/>
                <w:lang w:val="en-US" w:eastAsia="zh-CN"/>
              </w:rPr>
            </w:pPr>
            <w:r>
              <w:rPr>
                <w:rFonts w:hint="eastAsia"/>
                <w:lang w:val="en-US" w:eastAsia="zh-CN"/>
              </w:rPr>
              <w:t>15.不受控制条款</w:t>
            </w:r>
          </w:p>
          <w:p w14:paraId="478D0D02">
            <w:pPr>
              <w:widowControl/>
              <w:numPr>
                <w:ilvl w:val="0"/>
                <w:numId w:val="0"/>
              </w:numPr>
              <w:autoSpaceDE w:val="0"/>
              <w:autoSpaceDN w:val="0"/>
              <w:spacing w:after="0" w:line="288" w:lineRule="auto"/>
              <w:ind w:leftChars="0"/>
              <w:jc w:val="both"/>
              <w:rPr>
                <w:rFonts w:hint="eastAsia"/>
                <w:lang w:val="en-US" w:eastAsia="zh-CN"/>
              </w:rPr>
            </w:pPr>
            <w:r>
              <w:rPr>
                <w:rFonts w:hint="eastAsia"/>
                <w:lang w:val="en-US" w:eastAsia="zh-CN"/>
              </w:rPr>
              <w:t>16.</w:t>
            </w:r>
            <w:r>
              <w:rPr>
                <w:rFonts w:hint="eastAsia"/>
                <w:lang w:val="en-US"/>
              </w:rPr>
              <w:t>清理费用条款</w:t>
            </w:r>
            <w:r>
              <w:rPr>
                <w:rFonts w:hint="eastAsia"/>
                <w:lang w:val="en-US" w:eastAsia="zh-CN"/>
              </w:rPr>
              <w:t>（每次限额100万）</w:t>
            </w:r>
          </w:p>
          <w:p w14:paraId="5B2BA4EE">
            <w:pPr>
              <w:widowControl/>
              <w:numPr>
                <w:ilvl w:val="0"/>
                <w:numId w:val="0"/>
              </w:numPr>
              <w:autoSpaceDE w:val="0"/>
              <w:autoSpaceDN w:val="0"/>
              <w:spacing w:after="0" w:line="288" w:lineRule="auto"/>
              <w:ind w:leftChars="0"/>
              <w:jc w:val="both"/>
              <w:rPr>
                <w:rFonts w:hint="eastAsia"/>
                <w:lang w:val="en-US"/>
              </w:rPr>
            </w:pPr>
            <w:r>
              <w:rPr>
                <w:rFonts w:hint="eastAsia" w:ascii="Times New Roman" w:hAnsi="Times New Roman" w:eastAsia="宋体" w:cs="Times New Roman"/>
                <w:snapToGrid/>
                <w:color w:val="auto"/>
                <w:kern w:val="2"/>
                <w:sz w:val="21"/>
                <w:szCs w:val="24"/>
                <w:lang w:val="en-US" w:eastAsia="zh-CN" w:bidi="ar-SA"/>
              </w:rPr>
              <w:t>17.预付赔款A</w:t>
            </w:r>
          </w:p>
          <w:p w14:paraId="194F8751">
            <w:pPr>
              <w:pStyle w:val="2"/>
              <w:ind w:left="0" w:leftChars="0" w:firstLine="0" w:firstLineChars="0"/>
              <w:rPr>
                <w:rFonts w:hint="eastAsia"/>
                <w:lang w:val="en-US"/>
              </w:rPr>
            </w:pPr>
            <w:r>
              <w:rPr>
                <w:rFonts w:hint="eastAsia" w:asciiTheme="minorEastAsia" w:hAnsiTheme="minorEastAsia" w:eastAsiaTheme="minorEastAsia" w:cstheme="minorEastAsia"/>
                <w:color w:val="auto"/>
                <w:sz w:val="24"/>
                <w:szCs w:val="24"/>
                <w:lang w:val="en-US" w:eastAsia="zh-CN"/>
              </w:rPr>
              <w:t>注：以中标单位报备的保险条款为准</w:t>
            </w:r>
          </w:p>
        </w:tc>
      </w:tr>
    </w:tbl>
    <w:p w14:paraId="466DF876"/>
    <w:p w14:paraId="5C52AC9F">
      <w:pPr>
        <w:rPr>
          <w:rFonts w:hint="eastAsia" w:asciiTheme="minorEastAsia" w:hAnsiTheme="minorEastAsia" w:eastAsiaTheme="minorEastAsia" w:cstheme="minorEastAsia"/>
          <w:b/>
          <w:bCs/>
          <w:color w:val="auto"/>
          <w:sz w:val="24"/>
          <w:szCs w:val="24"/>
          <w:lang w:val="en-US" w:eastAsia="zh-CN"/>
        </w:rPr>
      </w:pPr>
    </w:p>
    <w:p w14:paraId="228DDBF5">
      <w:pPr>
        <w:numPr>
          <w:ilvl w:val="0"/>
          <w:numId w:val="0"/>
        </w:numPr>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kern w:val="2"/>
          <w:sz w:val="24"/>
          <w:szCs w:val="24"/>
          <w:lang w:val="en-US" w:eastAsia="zh-CN" w:bidi="ar-SA"/>
        </w:rPr>
        <w:t>（三）</w:t>
      </w:r>
      <w:r>
        <w:rPr>
          <w:rFonts w:hint="eastAsia" w:asciiTheme="minorEastAsia" w:hAnsiTheme="minorEastAsia" w:eastAsiaTheme="minorEastAsia" w:cstheme="minorEastAsia"/>
          <w:b/>
          <w:bCs/>
          <w:color w:val="auto"/>
          <w:sz w:val="24"/>
          <w:szCs w:val="24"/>
          <w:lang w:val="en-US" w:eastAsia="zh-CN"/>
        </w:rPr>
        <w:t>公众责任险</w:t>
      </w:r>
    </w:p>
    <w:p w14:paraId="2D0C179E">
      <w:pPr>
        <w:pStyle w:val="23"/>
        <w:rPr>
          <w:rFonts w:hint="eastAsia"/>
          <w:lang w:val="en-US" w:eastAsia="zh-CN"/>
        </w:rPr>
      </w:pPr>
    </w:p>
    <w:tbl>
      <w:tblPr>
        <w:tblStyle w:val="62"/>
        <w:tblW w:w="5451"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944"/>
        <w:gridCol w:w="8180"/>
      </w:tblGrid>
      <w:tr w14:paraId="7BA42C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shd w:val="clear" w:color="auto" w:fill="DEEAF6"/>
            <w:noWrap w:val="0"/>
            <w:vAlign w:val="center"/>
          </w:tcPr>
          <w:p w14:paraId="76A3F9F5">
            <w:pPr>
              <w:widowControl w:val="0"/>
              <w:autoSpaceDE/>
              <w:autoSpaceDN/>
              <w:spacing w:after="0"/>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明细列项</w:t>
            </w:r>
          </w:p>
        </w:tc>
        <w:tc>
          <w:tcPr>
            <w:tcW w:w="4039" w:type="pct"/>
            <w:shd w:val="clear" w:color="auto" w:fill="DEEAF6"/>
            <w:noWrap w:val="0"/>
            <w:vAlign w:val="center"/>
          </w:tcPr>
          <w:p w14:paraId="01F627F0">
            <w:pPr>
              <w:widowControl w:val="0"/>
              <w:autoSpaceDE/>
              <w:autoSpaceDN/>
              <w:spacing w:after="0"/>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具体内容</w:t>
            </w:r>
          </w:p>
        </w:tc>
      </w:tr>
      <w:tr w14:paraId="72C111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2F4CEE38">
            <w:pPr>
              <w:widowControl w:val="0"/>
              <w:numPr>
                <w:ilvl w:val="0"/>
                <w:numId w:val="0"/>
              </w:numPr>
              <w:autoSpaceDE w:val="0"/>
              <w:autoSpaceDN w:val="0"/>
              <w:spacing w:after="0"/>
              <w:ind w:left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一、</w:t>
            </w:r>
            <w:r>
              <w:rPr>
                <w:rFonts w:hint="eastAsia" w:asciiTheme="minorEastAsia" w:hAnsiTheme="minorEastAsia" w:eastAsiaTheme="minorEastAsia" w:cstheme="minorEastAsia"/>
                <w:b/>
                <w:bCs/>
                <w:color w:val="auto"/>
                <w:sz w:val="24"/>
                <w:szCs w:val="24"/>
                <w:highlight w:val="none"/>
                <w:lang w:val="en-US" w:bidi="ar-SA"/>
              </w:rPr>
              <w:t>险种</w:t>
            </w:r>
          </w:p>
        </w:tc>
        <w:tc>
          <w:tcPr>
            <w:tcW w:w="4039" w:type="pct"/>
            <w:noWrap w:val="0"/>
            <w:vAlign w:val="center"/>
          </w:tcPr>
          <w:p w14:paraId="52F5FA0D">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bidi="ar-SA"/>
              </w:rPr>
              <w:t>公众责任险</w:t>
            </w:r>
          </w:p>
        </w:tc>
      </w:tr>
      <w:tr w14:paraId="36699E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69B90AED">
            <w:pPr>
              <w:widowControl w:val="0"/>
              <w:numPr>
                <w:ilvl w:val="0"/>
                <w:numId w:val="0"/>
              </w:numPr>
              <w:autoSpaceDE w:val="0"/>
              <w:autoSpaceDN w:val="0"/>
              <w:spacing w:after="0"/>
              <w:ind w:left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二、</w:t>
            </w:r>
            <w:r>
              <w:rPr>
                <w:rFonts w:hint="eastAsia" w:asciiTheme="minorEastAsia" w:hAnsiTheme="minorEastAsia" w:eastAsiaTheme="minorEastAsia" w:cstheme="minorEastAsia"/>
                <w:b/>
                <w:bCs/>
                <w:color w:val="auto"/>
                <w:sz w:val="24"/>
                <w:szCs w:val="24"/>
                <w:highlight w:val="none"/>
                <w:lang w:val="en-US" w:bidi="ar-SA"/>
              </w:rPr>
              <w:t>投保人</w:t>
            </w:r>
          </w:p>
        </w:tc>
        <w:tc>
          <w:tcPr>
            <w:tcW w:w="4039" w:type="pct"/>
            <w:noWrap w:val="0"/>
            <w:vAlign w:val="center"/>
          </w:tcPr>
          <w:p w14:paraId="67803732">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eastAsia="zh-CN"/>
              </w:rPr>
              <w:t>杭州萧山钱江世纪城开发建设有限责任公司</w:t>
            </w:r>
          </w:p>
        </w:tc>
      </w:tr>
      <w:tr w14:paraId="22539B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568BA1E4">
            <w:pPr>
              <w:widowControl w:val="0"/>
              <w:numPr>
                <w:ilvl w:val="0"/>
                <w:numId w:val="0"/>
              </w:numPr>
              <w:autoSpaceDE w:val="0"/>
              <w:autoSpaceDN w:val="0"/>
              <w:spacing w:after="0"/>
              <w:ind w:left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三、</w:t>
            </w:r>
            <w:r>
              <w:rPr>
                <w:rFonts w:hint="eastAsia" w:asciiTheme="minorEastAsia" w:hAnsiTheme="minorEastAsia" w:eastAsiaTheme="minorEastAsia" w:cstheme="minorEastAsia"/>
                <w:b/>
                <w:bCs/>
                <w:color w:val="auto"/>
                <w:sz w:val="24"/>
                <w:szCs w:val="24"/>
                <w:highlight w:val="none"/>
                <w:lang w:val="en-US" w:bidi="ar-SA"/>
              </w:rPr>
              <w:t>项目信息</w:t>
            </w:r>
          </w:p>
        </w:tc>
        <w:tc>
          <w:tcPr>
            <w:tcW w:w="4039" w:type="pct"/>
            <w:noWrap w:val="0"/>
            <w:vAlign w:val="center"/>
          </w:tcPr>
          <w:p w14:paraId="64A6D7FF">
            <w:pPr>
              <w:widowControl w:val="0"/>
              <w:autoSpaceDE/>
              <w:autoSpaceDN/>
              <w:spacing w:after="0"/>
              <w:jc w:val="both"/>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bidi="ar-SA"/>
              </w:rPr>
              <w:t xml:space="preserve">详见“二、招标需求”投保资产   </w:t>
            </w:r>
          </w:p>
        </w:tc>
      </w:tr>
      <w:tr w14:paraId="3E4945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48132046">
            <w:pPr>
              <w:widowControl w:val="0"/>
              <w:numPr>
                <w:ilvl w:val="0"/>
                <w:numId w:val="0"/>
              </w:numPr>
              <w:autoSpaceDE w:val="0"/>
              <w:autoSpaceDN w:val="0"/>
              <w:spacing w:after="0"/>
              <w:ind w:left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四、</w:t>
            </w:r>
            <w:r>
              <w:rPr>
                <w:rFonts w:hint="eastAsia" w:asciiTheme="minorEastAsia" w:hAnsiTheme="minorEastAsia" w:eastAsiaTheme="minorEastAsia" w:cstheme="minorEastAsia"/>
                <w:b/>
                <w:bCs/>
                <w:color w:val="auto"/>
                <w:sz w:val="24"/>
                <w:szCs w:val="24"/>
                <w:highlight w:val="none"/>
                <w:lang w:val="en-US" w:bidi="ar-SA"/>
              </w:rPr>
              <w:t>保险责任</w:t>
            </w:r>
          </w:p>
        </w:tc>
        <w:tc>
          <w:tcPr>
            <w:tcW w:w="4039" w:type="pct"/>
            <w:noWrap w:val="0"/>
            <w:vAlign w:val="center"/>
          </w:tcPr>
          <w:p w14:paraId="69B414D6">
            <w:pPr>
              <w:widowControl w:val="0"/>
              <w:autoSpaceDE/>
              <w:autoSpaceDN/>
              <w:spacing w:after="0" w:line="288"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主要责任为</w:t>
            </w:r>
            <w:r>
              <w:rPr>
                <w:rFonts w:hint="eastAsia" w:asciiTheme="minorEastAsia" w:hAnsiTheme="minorEastAsia" w:eastAsiaTheme="minorEastAsia" w:cstheme="minorEastAsia"/>
                <w:color w:val="auto"/>
                <w:kern w:val="2"/>
                <w:sz w:val="24"/>
                <w:szCs w:val="24"/>
                <w:highlight w:val="none"/>
                <w:lang w:val="en-US" w:bidi="ar-SA"/>
              </w:rPr>
              <w:t>在保险期间内，被保险人在列明的场所范围内，在从事经营活动或自身业务过程中因过失导致意外事故发生，造成第三者人身伤害或财产损失</w:t>
            </w:r>
            <w:r>
              <w:rPr>
                <w:rFonts w:hint="eastAsia" w:asciiTheme="minorEastAsia" w:hAnsiTheme="minorEastAsia" w:eastAsiaTheme="minorEastAsia" w:cstheme="minorEastAsia"/>
                <w:color w:val="auto"/>
                <w:kern w:val="2"/>
                <w:sz w:val="24"/>
                <w:szCs w:val="24"/>
                <w:highlight w:val="none"/>
                <w:lang w:val="en-US" w:eastAsia="zh-CN" w:bidi="ar-SA"/>
              </w:rPr>
              <w:t>。</w:t>
            </w:r>
            <w:r>
              <w:rPr>
                <w:rFonts w:hint="eastAsia" w:asciiTheme="minorEastAsia" w:hAnsiTheme="minorEastAsia" w:eastAsiaTheme="minorEastAsia" w:cstheme="minorEastAsia"/>
                <w:color w:val="auto"/>
                <w:sz w:val="24"/>
                <w:szCs w:val="24"/>
                <w:highlight w:val="none"/>
                <w:lang w:val="en-US" w:bidi="ar-SA"/>
              </w:rPr>
              <w:t>具体详见保险条款（基本条款、扩展条款、特别约定等）约定。</w:t>
            </w:r>
          </w:p>
        </w:tc>
      </w:tr>
      <w:tr w14:paraId="2E0AD9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527B7622">
            <w:pPr>
              <w:widowControl w:val="0"/>
              <w:numPr>
                <w:ilvl w:val="0"/>
                <w:numId w:val="0"/>
              </w:numPr>
              <w:autoSpaceDE w:val="0"/>
              <w:autoSpaceDN w:val="0"/>
              <w:spacing w:after="0"/>
              <w:ind w:left="420" w:leftChars="0" w:hanging="420" w:firstLine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kern w:val="2"/>
                <w:sz w:val="24"/>
                <w:szCs w:val="24"/>
                <w:lang w:val="en-US" w:eastAsia="zh-CN" w:bidi="ar-SA"/>
              </w:rPr>
              <w:t>五、</w:t>
            </w:r>
            <w:r>
              <w:rPr>
                <w:rFonts w:hint="eastAsia" w:asciiTheme="minorEastAsia" w:hAnsiTheme="minorEastAsia" w:eastAsiaTheme="minorEastAsia" w:cstheme="minorEastAsia"/>
                <w:b/>
                <w:bCs/>
                <w:color w:val="auto"/>
                <w:sz w:val="24"/>
                <w:szCs w:val="24"/>
                <w:highlight w:val="none"/>
                <w:lang w:val="en-US" w:bidi="ar-SA"/>
              </w:rPr>
              <w:t>保险期限</w:t>
            </w:r>
          </w:p>
        </w:tc>
        <w:tc>
          <w:tcPr>
            <w:tcW w:w="4039" w:type="pct"/>
            <w:noWrap w:val="0"/>
            <w:vAlign w:val="center"/>
          </w:tcPr>
          <w:p w14:paraId="51E04B2B">
            <w:pPr>
              <w:widowControl w:val="0"/>
              <w:autoSpaceDE/>
              <w:autoSpaceDN/>
              <w:spacing w:after="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1年，自2025</w:t>
            </w:r>
            <w:r>
              <w:rPr>
                <w:rFonts w:hint="eastAsia" w:asciiTheme="minorEastAsia" w:hAnsiTheme="minorEastAsia" w:eastAsiaTheme="minorEastAsia" w:cstheme="minorEastAsia"/>
                <w:b/>
                <w:bCs/>
                <w:color w:val="auto"/>
                <w:sz w:val="24"/>
                <w:szCs w:val="24"/>
                <w:highlight w:val="none"/>
                <w:lang w:val="en-US" w:bidi="ar-SA"/>
              </w:rPr>
              <w:t>年</w:t>
            </w:r>
            <w:r>
              <w:rPr>
                <w:rFonts w:hint="eastAsia" w:asciiTheme="minorEastAsia" w:hAnsiTheme="minorEastAsia" w:eastAsiaTheme="minorEastAsia" w:cstheme="minorEastAsia"/>
                <w:b/>
                <w:bCs/>
                <w:color w:val="auto"/>
                <w:sz w:val="24"/>
                <w:szCs w:val="24"/>
                <w:highlight w:val="none"/>
                <w:lang w:val="en-US" w:eastAsia="zh-CN" w:bidi="ar-SA"/>
              </w:rPr>
              <w:t xml:space="preserve">    </w:t>
            </w:r>
            <w:r>
              <w:rPr>
                <w:rFonts w:hint="eastAsia" w:asciiTheme="minorEastAsia" w:hAnsiTheme="minorEastAsia" w:eastAsiaTheme="minorEastAsia" w:cstheme="minorEastAsia"/>
                <w:b/>
                <w:bCs/>
                <w:color w:val="auto"/>
                <w:sz w:val="24"/>
                <w:szCs w:val="24"/>
                <w:highlight w:val="none"/>
                <w:lang w:val="en-US" w:bidi="ar-SA"/>
              </w:rPr>
              <w:t>月</w:t>
            </w:r>
            <w:r>
              <w:rPr>
                <w:rFonts w:hint="eastAsia" w:asciiTheme="minorEastAsia" w:hAnsiTheme="minorEastAsia" w:eastAsiaTheme="minorEastAsia" w:cstheme="minorEastAsia"/>
                <w:b/>
                <w:bCs/>
                <w:color w:val="auto"/>
                <w:sz w:val="24"/>
                <w:szCs w:val="24"/>
                <w:highlight w:val="none"/>
                <w:lang w:val="en-US" w:eastAsia="zh-CN" w:bidi="ar-SA"/>
              </w:rPr>
              <w:t xml:space="preserve">    </w:t>
            </w:r>
            <w:r>
              <w:rPr>
                <w:rFonts w:hint="eastAsia" w:asciiTheme="minorEastAsia" w:hAnsiTheme="minorEastAsia" w:eastAsiaTheme="minorEastAsia" w:cstheme="minorEastAsia"/>
                <w:b/>
                <w:bCs/>
                <w:color w:val="auto"/>
                <w:sz w:val="24"/>
                <w:szCs w:val="24"/>
                <w:highlight w:val="none"/>
                <w:lang w:val="en-US" w:bidi="ar-SA"/>
              </w:rPr>
              <w:t>日</w:t>
            </w:r>
            <w:r>
              <w:rPr>
                <w:rFonts w:hint="eastAsia" w:asciiTheme="minorEastAsia" w:hAnsiTheme="minorEastAsia" w:eastAsiaTheme="minorEastAsia" w:cstheme="minorEastAsia"/>
                <w:b/>
                <w:bCs/>
                <w:color w:val="auto"/>
                <w:sz w:val="24"/>
                <w:szCs w:val="24"/>
                <w:highlight w:val="none"/>
                <w:lang w:val="en-US" w:eastAsia="zh-CN" w:bidi="ar-SA"/>
              </w:rPr>
              <w:t>0时起</w:t>
            </w:r>
            <w:r>
              <w:rPr>
                <w:rFonts w:hint="eastAsia" w:asciiTheme="minorEastAsia" w:hAnsiTheme="minorEastAsia" w:eastAsiaTheme="minorEastAsia" w:cstheme="minorEastAsia"/>
                <w:b/>
                <w:bCs/>
                <w:color w:val="auto"/>
                <w:sz w:val="24"/>
                <w:szCs w:val="24"/>
                <w:highlight w:val="none"/>
                <w:lang w:val="en-US" w:bidi="ar-SA"/>
              </w:rPr>
              <w:t>至</w:t>
            </w:r>
            <w:r>
              <w:rPr>
                <w:rFonts w:hint="eastAsia" w:asciiTheme="minorEastAsia" w:hAnsiTheme="minorEastAsia" w:eastAsiaTheme="minorEastAsia" w:cstheme="minorEastAsia"/>
                <w:b/>
                <w:bCs/>
                <w:color w:val="auto"/>
                <w:sz w:val="24"/>
                <w:szCs w:val="24"/>
                <w:highlight w:val="none"/>
                <w:lang w:val="en-US" w:eastAsia="zh-CN" w:bidi="ar-SA"/>
              </w:rPr>
              <w:t>2025</w:t>
            </w:r>
            <w:r>
              <w:rPr>
                <w:rFonts w:hint="eastAsia" w:asciiTheme="minorEastAsia" w:hAnsiTheme="minorEastAsia" w:eastAsiaTheme="minorEastAsia" w:cstheme="minorEastAsia"/>
                <w:b/>
                <w:bCs/>
                <w:color w:val="auto"/>
                <w:sz w:val="24"/>
                <w:szCs w:val="24"/>
                <w:highlight w:val="none"/>
                <w:lang w:val="en-US" w:bidi="ar-SA"/>
              </w:rPr>
              <w:t>年</w:t>
            </w:r>
            <w:r>
              <w:rPr>
                <w:rFonts w:hint="eastAsia" w:asciiTheme="minorEastAsia" w:hAnsiTheme="minorEastAsia" w:eastAsiaTheme="minorEastAsia" w:cstheme="minorEastAsia"/>
                <w:b/>
                <w:bCs/>
                <w:color w:val="auto"/>
                <w:sz w:val="24"/>
                <w:szCs w:val="24"/>
                <w:highlight w:val="none"/>
                <w:lang w:val="en-US" w:eastAsia="zh-CN" w:bidi="ar-SA"/>
              </w:rPr>
              <w:t xml:space="preserve">    </w:t>
            </w:r>
            <w:r>
              <w:rPr>
                <w:rFonts w:hint="eastAsia" w:asciiTheme="minorEastAsia" w:hAnsiTheme="minorEastAsia" w:eastAsiaTheme="minorEastAsia" w:cstheme="minorEastAsia"/>
                <w:b/>
                <w:bCs/>
                <w:color w:val="auto"/>
                <w:sz w:val="24"/>
                <w:szCs w:val="24"/>
                <w:highlight w:val="none"/>
                <w:lang w:val="en-US" w:bidi="ar-SA"/>
              </w:rPr>
              <w:t>月</w:t>
            </w:r>
            <w:r>
              <w:rPr>
                <w:rFonts w:hint="eastAsia" w:asciiTheme="minorEastAsia" w:hAnsiTheme="minorEastAsia" w:eastAsiaTheme="minorEastAsia" w:cstheme="minorEastAsia"/>
                <w:b/>
                <w:bCs/>
                <w:color w:val="auto"/>
                <w:sz w:val="24"/>
                <w:szCs w:val="24"/>
                <w:highlight w:val="none"/>
                <w:lang w:val="en-US" w:eastAsia="zh-CN" w:bidi="ar-SA"/>
              </w:rPr>
              <w:t xml:space="preserve">    </w:t>
            </w:r>
            <w:r>
              <w:rPr>
                <w:rFonts w:hint="eastAsia" w:asciiTheme="minorEastAsia" w:hAnsiTheme="minorEastAsia" w:eastAsiaTheme="minorEastAsia" w:cstheme="minorEastAsia"/>
                <w:b/>
                <w:bCs/>
                <w:color w:val="auto"/>
                <w:sz w:val="24"/>
                <w:szCs w:val="24"/>
                <w:highlight w:val="none"/>
                <w:lang w:val="en-US" w:bidi="ar-SA"/>
              </w:rPr>
              <w:t>日</w:t>
            </w:r>
            <w:r>
              <w:rPr>
                <w:rFonts w:hint="eastAsia" w:asciiTheme="minorEastAsia" w:hAnsiTheme="minorEastAsia" w:eastAsiaTheme="minorEastAsia" w:cstheme="minorEastAsia"/>
                <w:b/>
                <w:bCs/>
                <w:color w:val="auto"/>
                <w:sz w:val="24"/>
                <w:szCs w:val="24"/>
                <w:highlight w:val="none"/>
                <w:lang w:val="en-US" w:eastAsia="zh-CN" w:bidi="ar-SA"/>
              </w:rPr>
              <w:t>24时止</w:t>
            </w:r>
            <w:r>
              <w:rPr>
                <w:rFonts w:hint="eastAsia" w:asciiTheme="minorEastAsia" w:hAnsiTheme="minorEastAsia" w:eastAsiaTheme="minorEastAsia" w:cstheme="minorEastAsia"/>
                <w:b/>
                <w:bCs/>
                <w:color w:val="auto"/>
                <w:sz w:val="24"/>
                <w:szCs w:val="24"/>
                <w:highlight w:val="none"/>
                <w:lang w:val="en-US" w:bidi="ar-SA"/>
              </w:rPr>
              <w:t>。</w:t>
            </w:r>
          </w:p>
        </w:tc>
      </w:tr>
      <w:tr w14:paraId="22F150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7CFC14B2">
            <w:pPr>
              <w:widowControl w:val="0"/>
              <w:numPr>
                <w:ilvl w:val="0"/>
                <w:numId w:val="0"/>
              </w:numPr>
              <w:autoSpaceDE w:val="0"/>
              <w:autoSpaceDN w:val="0"/>
              <w:spacing w:after="0"/>
              <w:ind w:left="420" w:leftChars="0" w:hanging="420" w:firstLine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kern w:val="2"/>
                <w:sz w:val="24"/>
                <w:szCs w:val="24"/>
                <w:lang w:val="en-US" w:eastAsia="zh-CN" w:bidi="ar-SA"/>
              </w:rPr>
              <w:t>六、</w:t>
            </w:r>
            <w:r>
              <w:rPr>
                <w:rFonts w:hint="eastAsia" w:asciiTheme="minorEastAsia" w:hAnsiTheme="minorEastAsia" w:eastAsiaTheme="minorEastAsia" w:cstheme="minorEastAsia"/>
                <w:b/>
                <w:bCs/>
                <w:color w:val="auto"/>
                <w:sz w:val="24"/>
                <w:szCs w:val="24"/>
                <w:highlight w:val="none"/>
                <w:lang w:val="en-US" w:bidi="ar-SA"/>
              </w:rPr>
              <w:t>保险金额</w:t>
            </w:r>
          </w:p>
        </w:tc>
        <w:tc>
          <w:tcPr>
            <w:tcW w:w="4039" w:type="pct"/>
            <w:noWrap w:val="0"/>
            <w:vAlign w:val="center"/>
          </w:tcPr>
          <w:p w14:paraId="682203B3">
            <w:pPr>
              <w:widowControl w:val="0"/>
              <w:autoSpaceDE/>
              <w:autoSpaceDN/>
              <w:spacing w:after="0" w:line="288" w:lineRule="auto"/>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累计赔偿限额：人民币</w:t>
            </w:r>
            <w:r>
              <w:rPr>
                <w:rFonts w:hint="eastAsia" w:asciiTheme="minorEastAsia" w:hAnsiTheme="minorEastAsia" w:eastAsiaTheme="minorEastAsia" w:cstheme="minorEastAsia"/>
                <w:b/>
                <w:bCs/>
                <w:color w:val="auto"/>
                <w:sz w:val="24"/>
                <w:szCs w:val="24"/>
                <w:highlight w:val="none"/>
                <w:lang w:val="en-US" w:eastAsia="zh-CN" w:bidi="ar-SA"/>
              </w:rPr>
              <w:t>5000万</w:t>
            </w:r>
            <w:r>
              <w:rPr>
                <w:rFonts w:hint="eastAsia" w:asciiTheme="minorEastAsia" w:hAnsiTheme="minorEastAsia" w:eastAsiaTheme="minorEastAsia" w:cstheme="minorEastAsia"/>
                <w:b/>
                <w:bCs/>
                <w:color w:val="auto"/>
                <w:sz w:val="24"/>
                <w:szCs w:val="24"/>
                <w:highlight w:val="none"/>
                <w:lang w:val="en-US" w:bidi="ar-SA"/>
              </w:rPr>
              <w:t>元</w:t>
            </w:r>
          </w:p>
          <w:p w14:paraId="20DD5C55">
            <w:pPr>
              <w:widowControl w:val="0"/>
              <w:autoSpaceDE/>
              <w:autoSpaceDN/>
              <w:spacing w:after="0" w:line="288" w:lineRule="auto"/>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每次事故赔偿限额：人民币</w:t>
            </w:r>
            <w:r>
              <w:rPr>
                <w:rFonts w:hint="eastAsia" w:asciiTheme="minorEastAsia" w:hAnsiTheme="minorEastAsia" w:eastAsiaTheme="minorEastAsia" w:cstheme="minorEastAsia"/>
                <w:b/>
                <w:bCs/>
                <w:color w:val="auto"/>
                <w:sz w:val="24"/>
                <w:szCs w:val="24"/>
                <w:highlight w:val="none"/>
                <w:lang w:val="en-US" w:eastAsia="zh-CN" w:bidi="ar-SA"/>
              </w:rPr>
              <w:t>3000万</w:t>
            </w:r>
            <w:r>
              <w:rPr>
                <w:rFonts w:hint="eastAsia" w:asciiTheme="minorEastAsia" w:hAnsiTheme="minorEastAsia" w:eastAsiaTheme="minorEastAsia" w:cstheme="minorEastAsia"/>
                <w:b/>
                <w:bCs/>
                <w:color w:val="auto"/>
                <w:sz w:val="24"/>
                <w:szCs w:val="24"/>
                <w:highlight w:val="none"/>
                <w:lang w:val="en-US" w:bidi="ar-SA"/>
              </w:rPr>
              <w:t>元</w:t>
            </w:r>
          </w:p>
          <w:p w14:paraId="410C4965">
            <w:pPr>
              <w:widowControl w:val="0"/>
              <w:autoSpaceDE/>
              <w:autoSpaceDN/>
              <w:spacing w:after="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每次事故每人赔偿限额：人民币150万元</w:t>
            </w:r>
          </w:p>
        </w:tc>
      </w:tr>
      <w:tr w14:paraId="744A50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465AB6B9">
            <w:pPr>
              <w:widowControl w:val="0"/>
              <w:numPr>
                <w:ilvl w:val="0"/>
                <w:numId w:val="0"/>
              </w:numPr>
              <w:autoSpaceDE w:val="0"/>
              <w:autoSpaceDN w:val="0"/>
              <w:spacing w:after="0"/>
              <w:ind w:left="420" w:leftChars="0" w:hanging="420" w:firstLineChars="0"/>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kern w:val="2"/>
                <w:sz w:val="24"/>
                <w:szCs w:val="24"/>
                <w:lang w:val="en-US" w:eastAsia="zh-CN" w:bidi="ar-SA"/>
              </w:rPr>
              <w:t>七、</w:t>
            </w:r>
            <w:r>
              <w:rPr>
                <w:rFonts w:hint="eastAsia" w:asciiTheme="minorEastAsia" w:hAnsiTheme="minorEastAsia" w:eastAsiaTheme="minorEastAsia" w:cstheme="minorEastAsia"/>
                <w:b/>
                <w:bCs/>
                <w:color w:val="auto"/>
                <w:sz w:val="24"/>
                <w:szCs w:val="24"/>
                <w:highlight w:val="none"/>
                <w:lang w:val="en-US" w:bidi="ar-SA"/>
              </w:rPr>
              <w:t>保险费率</w:t>
            </w:r>
          </w:p>
        </w:tc>
        <w:tc>
          <w:tcPr>
            <w:tcW w:w="4039" w:type="pct"/>
            <w:noWrap w:val="0"/>
            <w:vAlign w:val="center"/>
          </w:tcPr>
          <w:p w14:paraId="3D26D973">
            <w:pPr>
              <w:widowControl w:val="0"/>
              <w:autoSpaceDE/>
              <w:autoSpaceDN/>
              <w:spacing w:after="0"/>
              <w:jc w:val="both"/>
              <w:rPr>
                <w:rFonts w:hint="eastAsia" w:asciiTheme="minorEastAsia" w:hAnsiTheme="minorEastAsia" w:eastAsiaTheme="minorEastAsia" w:cstheme="minorEastAsia"/>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待报价</w:t>
            </w:r>
          </w:p>
        </w:tc>
      </w:tr>
      <w:tr w14:paraId="133CDB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0EBC1F78">
            <w:pPr>
              <w:widowControl w:val="0"/>
              <w:numPr>
                <w:ilvl w:val="0"/>
                <w:numId w:val="0"/>
              </w:numPr>
              <w:autoSpaceDE w:val="0"/>
              <w:autoSpaceDN w:val="0"/>
              <w:spacing w:after="0"/>
              <w:ind w:left="420" w:leftChars="0" w:hanging="420" w:firstLineChars="0"/>
              <w:jc w:val="both"/>
              <w:rPr>
                <w:rFonts w:hint="eastAsia" w:asciiTheme="minorEastAsia" w:hAnsiTheme="minorEastAsia" w:eastAsiaTheme="minorEastAsia" w:cstheme="minorEastAsia"/>
                <w:b/>
                <w:bCs/>
                <w:color w:val="auto"/>
                <w:sz w:val="24"/>
                <w:szCs w:val="24"/>
                <w:highlight w:val="none"/>
                <w:lang w:val="en-US" w:bidi="ar-SA"/>
              </w:rPr>
            </w:pPr>
            <w:r>
              <w:rPr>
                <w:rFonts w:hint="eastAsia" w:asciiTheme="minorEastAsia" w:hAnsiTheme="minorEastAsia" w:eastAsiaTheme="minorEastAsia" w:cstheme="minorEastAsia"/>
                <w:b/>
                <w:bCs/>
                <w:color w:val="auto"/>
                <w:kern w:val="2"/>
                <w:sz w:val="24"/>
                <w:szCs w:val="24"/>
                <w:lang w:val="en-US" w:eastAsia="zh-CN" w:bidi="ar-SA"/>
              </w:rPr>
              <w:t>八、</w:t>
            </w:r>
            <w:r>
              <w:rPr>
                <w:rFonts w:hint="eastAsia" w:asciiTheme="minorEastAsia" w:hAnsiTheme="minorEastAsia" w:eastAsiaTheme="minorEastAsia" w:cstheme="minorEastAsia"/>
                <w:b/>
                <w:bCs/>
                <w:color w:val="auto"/>
                <w:kern w:val="2"/>
                <w:sz w:val="24"/>
                <w:szCs w:val="24"/>
                <w:highlight w:val="none"/>
                <w:lang w:val="en-US" w:eastAsia="zh-CN" w:bidi="ar-SA"/>
              </w:rPr>
              <w:t>保险费</w:t>
            </w:r>
          </w:p>
        </w:tc>
        <w:tc>
          <w:tcPr>
            <w:tcW w:w="4039" w:type="pct"/>
            <w:noWrap w:val="0"/>
            <w:vAlign w:val="center"/>
          </w:tcPr>
          <w:p w14:paraId="785AE148">
            <w:pPr>
              <w:widowControl w:val="0"/>
              <w:autoSpaceDE/>
              <w:autoSpaceDN/>
              <w:spacing w:after="0"/>
              <w:jc w:val="both"/>
              <w:rPr>
                <w:rFonts w:hint="eastAsia" w:asciiTheme="minorEastAsia" w:hAnsiTheme="minorEastAsia" w:eastAsiaTheme="minorEastAsia" w:cstheme="minorEastAsia"/>
                <w:color w:val="auto"/>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待报价</w:t>
            </w:r>
          </w:p>
        </w:tc>
      </w:tr>
      <w:tr w14:paraId="10E2E8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2AE195DD">
            <w:pPr>
              <w:widowControl w:val="0"/>
              <w:numPr>
                <w:ilvl w:val="0"/>
                <w:numId w:val="0"/>
              </w:numPr>
              <w:autoSpaceDE w:val="0"/>
              <w:autoSpaceDN w:val="0"/>
              <w:spacing w:after="0"/>
              <w:ind w:left="420" w:leftChars="0" w:hanging="420" w:firstLine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kern w:val="2"/>
                <w:sz w:val="24"/>
                <w:szCs w:val="24"/>
                <w:lang w:val="en-US" w:eastAsia="zh-CN" w:bidi="ar-SA"/>
              </w:rPr>
              <w:t>九、</w:t>
            </w:r>
            <w:r>
              <w:rPr>
                <w:rFonts w:hint="eastAsia" w:asciiTheme="minorEastAsia" w:hAnsiTheme="minorEastAsia" w:eastAsiaTheme="minorEastAsia" w:cstheme="minorEastAsia"/>
                <w:b/>
                <w:bCs/>
                <w:color w:val="auto"/>
                <w:sz w:val="24"/>
                <w:szCs w:val="24"/>
                <w:highlight w:val="none"/>
                <w:lang w:val="en-US" w:bidi="ar-SA"/>
              </w:rPr>
              <w:t>保险价值</w:t>
            </w:r>
          </w:p>
        </w:tc>
        <w:tc>
          <w:tcPr>
            <w:tcW w:w="4039" w:type="pct"/>
            <w:noWrap w:val="0"/>
            <w:vAlign w:val="center"/>
          </w:tcPr>
          <w:p w14:paraId="66F8AF02">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sz w:val="24"/>
                <w:szCs w:val="24"/>
                <w:highlight w:val="none"/>
                <w:lang w:val="en-US" w:bidi="ar-SA"/>
              </w:rPr>
              <w:t>出险时的重置价值</w:t>
            </w:r>
          </w:p>
        </w:tc>
      </w:tr>
      <w:tr w14:paraId="4E492F3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084ED6C1">
            <w:pPr>
              <w:widowControl w:val="0"/>
              <w:numPr>
                <w:ilvl w:val="0"/>
                <w:numId w:val="0"/>
              </w:numPr>
              <w:autoSpaceDE w:val="0"/>
              <w:autoSpaceDN w:val="0"/>
              <w:spacing w:after="0"/>
              <w:ind w:left="420" w:leftChars="0" w:hanging="420" w:firstLine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kern w:val="2"/>
                <w:sz w:val="24"/>
                <w:szCs w:val="24"/>
                <w:lang w:val="en-US" w:eastAsia="zh-CN" w:bidi="ar-SA"/>
              </w:rPr>
              <w:t>十、</w:t>
            </w:r>
            <w:r>
              <w:rPr>
                <w:rFonts w:hint="eastAsia" w:asciiTheme="minorEastAsia" w:hAnsiTheme="minorEastAsia" w:eastAsiaTheme="minorEastAsia" w:cstheme="minorEastAsia"/>
                <w:b/>
                <w:bCs/>
                <w:color w:val="auto"/>
                <w:sz w:val="24"/>
                <w:szCs w:val="24"/>
                <w:highlight w:val="none"/>
                <w:lang w:val="en-US" w:bidi="ar-SA"/>
              </w:rPr>
              <w:t>免赔额</w:t>
            </w:r>
          </w:p>
        </w:tc>
        <w:tc>
          <w:tcPr>
            <w:tcW w:w="4039" w:type="pct"/>
            <w:noWrap w:val="0"/>
            <w:vAlign w:val="center"/>
          </w:tcPr>
          <w:p w14:paraId="140CDA52">
            <w:pPr>
              <w:widowControl w:val="0"/>
              <w:autoSpaceDE/>
              <w:autoSpaceDN/>
              <w:spacing w:after="0" w:line="288"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每次事故财产损失免赔额人民币</w:t>
            </w:r>
            <w:r>
              <w:rPr>
                <w:rFonts w:hint="eastAsia" w:asciiTheme="minorEastAsia" w:hAnsiTheme="minorEastAsia" w:eastAsiaTheme="minorEastAsia" w:cstheme="minorEastAsia"/>
                <w:b/>
                <w:bCs/>
                <w:color w:val="auto"/>
                <w:sz w:val="24"/>
                <w:szCs w:val="24"/>
                <w:highlight w:val="none"/>
                <w:lang w:val="en-US" w:eastAsia="zh-CN" w:bidi="ar-SA"/>
              </w:rPr>
              <w:t>5</w:t>
            </w:r>
            <w:r>
              <w:rPr>
                <w:rFonts w:hint="eastAsia" w:asciiTheme="minorEastAsia" w:hAnsiTheme="minorEastAsia" w:eastAsiaTheme="minorEastAsia" w:cstheme="minorEastAsia"/>
                <w:b/>
                <w:bCs/>
                <w:color w:val="auto"/>
                <w:sz w:val="24"/>
                <w:szCs w:val="24"/>
                <w:highlight w:val="none"/>
                <w:lang w:val="en-US" w:bidi="ar-SA"/>
              </w:rPr>
              <w:t>00元，人身伤亡无免赔。</w:t>
            </w:r>
          </w:p>
        </w:tc>
      </w:tr>
      <w:tr w14:paraId="003345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4FA9B8DE">
            <w:pPr>
              <w:widowControl w:val="0"/>
              <w:numPr>
                <w:ilvl w:val="0"/>
                <w:numId w:val="0"/>
              </w:numPr>
              <w:autoSpaceDE w:val="0"/>
              <w:autoSpaceDN w:val="0"/>
              <w:spacing w:after="0"/>
              <w:ind w:left="420" w:leftChars="0" w:hanging="420" w:firstLine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kern w:val="2"/>
                <w:sz w:val="24"/>
                <w:szCs w:val="24"/>
                <w:lang w:val="en-US" w:eastAsia="zh-CN" w:bidi="ar-SA"/>
              </w:rPr>
              <w:t>十一、</w:t>
            </w:r>
            <w:r>
              <w:rPr>
                <w:rFonts w:hint="eastAsia" w:asciiTheme="minorEastAsia" w:hAnsiTheme="minorEastAsia" w:eastAsiaTheme="minorEastAsia" w:cstheme="minorEastAsia"/>
                <w:b/>
                <w:bCs/>
                <w:color w:val="auto"/>
                <w:sz w:val="24"/>
                <w:szCs w:val="24"/>
                <w:highlight w:val="none"/>
                <w:lang w:val="en-US" w:bidi="ar-SA"/>
              </w:rPr>
              <w:t>付费方式</w:t>
            </w:r>
          </w:p>
        </w:tc>
        <w:tc>
          <w:tcPr>
            <w:tcW w:w="4039" w:type="pct"/>
            <w:noWrap w:val="0"/>
            <w:vAlign w:val="center"/>
          </w:tcPr>
          <w:p w14:paraId="201538D9">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eastAsia="zh-CN" w:bidi="ar-SA"/>
              </w:rPr>
              <w:t>保单生效</w:t>
            </w:r>
            <w:r>
              <w:rPr>
                <w:rFonts w:hint="eastAsia" w:asciiTheme="minorEastAsia" w:hAnsiTheme="minorEastAsia" w:eastAsiaTheme="minorEastAsia" w:cstheme="minorEastAsia"/>
                <w:b/>
                <w:bCs/>
                <w:color w:val="auto"/>
                <w:sz w:val="24"/>
                <w:szCs w:val="24"/>
                <w:highlight w:val="none"/>
                <w:lang w:val="en-US" w:bidi="ar-SA"/>
              </w:rPr>
              <w:t>后 30个工作日内投保人向保险人支付保险费。</w:t>
            </w:r>
          </w:p>
        </w:tc>
      </w:tr>
      <w:tr w14:paraId="3CCEB3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2DA6FB35">
            <w:pPr>
              <w:widowControl w:val="0"/>
              <w:numPr>
                <w:ilvl w:val="0"/>
                <w:numId w:val="0"/>
              </w:numPr>
              <w:autoSpaceDE w:val="0"/>
              <w:autoSpaceDN w:val="0"/>
              <w:spacing w:after="0"/>
              <w:ind w:left="420" w:leftChars="0" w:hanging="420" w:firstLine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kern w:val="2"/>
                <w:sz w:val="24"/>
                <w:szCs w:val="24"/>
                <w:lang w:val="en-US" w:eastAsia="zh-CN" w:bidi="ar-SA"/>
              </w:rPr>
              <w:t>十二、</w:t>
            </w:r>
            <w:r>
              <w:rPr>
                <w:rFonts w:hint="eastAsia" w:asciiTheme="minorEastAsia" w:hAnsiTheme="minorEastAsia" w:eastAsiaTheme="minorEastAsia" w:cstheme="minorEastAsia"/>
                <w:b/>
                <w:bCs/>
                <w:color w:val="auto"/>
                <w:sz w:val="24"/>
                <w:szCs w:val="24"/>
                <w:highlight w:val="none"/>
                <w:lang w:val="en-US" w:bidi="ar-SA"/>
              </w:rPr>
              <w:t>基本条款</w:t>
            </w:r>
          </w:p>
        </w:tc>
        <w:tc>
          <w:tcPr>
            <w:tcW w:w="4039" w:type="pct"/>
            <w:noWrap w:val="0"/>
            <w:vAlign w:val="center"/>
          </w:tcPr>
          <w:p w14:paraId="6D2701B7">
            <w:pPr>
              <w:widowControl w:val="0"/>
              <w:autoSpaceDE/>
              <w:autoSpaceDN/>
              <w:spacing w:after="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bCs/>
                <w:color w:val="auto"/>
                <w:sz w:val="24"/>
                <w:szCs w:val="24"/>
                <w:highlight w:val="none"/>
                <w:lang w:val="en-US" w:bidi="ar-SA"/>
              </w:rPr>
              <w:t>以保险人备案的《</w:t>
            </w:r>
            <w:r>
              <w:rPr>
                <w:rFonts w:hint="eastAsia" w:asciiTheme="minorEastAsia" w:hAnsiTheme="minorEastAsia" w:eastAsiaTheme="minorEastAsia" w:cstheme="minorEastAsia"/>
                <w:b/>
                <w:bCs/>
                <w:color w:val="auto"/>
                <w:sz w:val="24"/>
                <w:szCs w:val="24"/>
                <w:highlight w:val="none"/>
                <w:lang w:val="en-US" w:eastAsia="zh-CN" w:bidi="ar-SA"/>
              </w:rPr>
              <w:t>公众责任险</w:t>
            </w:r>
            <w:r>
              <w:rPr>
                <w:rFonts w:hint="eastAsia" w:asciiTheme="minorEastAsia" w:hAnsiTheme="minorEastAsia" w:eastAsiaTheme="minorEastAsia" w:cstheme="minorEastAsia"/>
                <w:b/>
                <w:bCs/>
                <w:color w:val="auto"/>
                <w:sz w:val="24"/>
                <w:szCs w:val="24"/>
                <w:highlight w:val="none"/>
                <w:lang w:val="en-US" w:bidi="ar-SA"/>
              </w:rPr>
              <w:t>》条款为准。</w:t>
            </w:r>
          </w:p>
        </w:tc>
      </w:tr>
      <w:tr w14:paraId="2DE115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60" w:type="pct"/>
            <w:noWrap w:val="0"/>
            <w:vAlign w:val="center"/>
          </w:tcPr>
          <w:p w14:paraId="72E4C743">
            <w:pPr>
              <w:widowControl w:val="0"/>
              <w:numPr>
                <w:ilvl w:val="0"/>
                <w:numId w:val="0"/>
              </w:numPr>
              <w:autoSpaceDE w:val="0"/>
              <w:autoSpaceDN w:val="0"/>
              <w:spacing w:after="0"/>
              <w:ind w:left="420" w:leftChars="0" w:hanging="420" w:firstLineChars="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
                <w:bCs/>
                <w:color w:val="auto"/>
                <w:kern w:val="2"/>
                <w:sz w:val="24"/>
                <w:szCs w:val="24"/>
                <w:lang w:val="en-US" w:eastAsia="zh-CN" w:bidi="ar-SA"/>
              </w:rPr>
              <w:t>十三、</w:t>
            </w:r>
            <w:r>
              <w:rPr>
                <w:rFonts w:hint="eastAsia" w:asciiTheme="minorEastAsia" w:hAnsiTheme="minorEastAsia" w:eastAsiaTheme="minorEastAsia" w:cstheme="minorEastAsia"/>
                <w:b/>
                <w:bCs/>
                <w:color w:val="auto"/>
                <w:sz w:val="24"/>
                <w:szCs w:val="24"/>
                <w:highlight w:val="none"/>
                <w:lang w:val="en-US" w:bidi="ar-SA"/>
              </w:rPr>
              <w:t>扩展条款</w:t>
            </w:r>
          </w:p>
        </w:tc>
        <w:tc>
          <w:tcPr>
            <w:tcW w:w="4039" w:type="pct"/>
            <w:noWrap w:val="0"/>
            <w:vAlign w:val="center"/>
          </w:tcPr>
          <w:p w14:paraId="04BD2E37">
            <w:pPr>
              <w:widowControl/>
              <w:numPr>
                <w:ilvl w:val="0"/>
                <w:numId w:val="10"/>
              </w:numPr>
              <w:autoSpaceDE w:val="0"/>
              <w:autoSpaceDN w:val="0"/>
              <w:spacing w:after="0" w:line="288" w:lineRule="auto"/>
              <w:ind w:left="420" w:hanging="420"/>
              <w:jc w:val="both"/>
              <w:rPr>
                <w:rFonts w:hint="eastAsia" w:asciiTheme="minorEastAsia" w:hAnsiTheme="minorEastAsia" w:eastAsiaTheme="minorEastAsia" w:cstheme="minorEastAsia"/>
                <w:color w:val="auto"/>
                <w:sz w:val="22"/>
                <w:szCs w:val="22"/>
                <w:lang w:val="en-US"/>
              </w:rPr>
            </w:pPr>
            <w:r>
              <w:rPr>
                <w:rFonts w:hint="eastAsia" w:asciiTheme="minorEastAsia" w:hAnsiTheme="minorEastAsia" w:eastAsiaTheme="minorEastAsia" w:cstheme="minorEastAsia"/>
                <w:color w:val="auto"/>
                <w:sz w:val="24"/>
                <w:szCs w:val="24"/>
                <w:lang w:val="en-US"/>
              </w:rPr>
              <w:t>停车场责任保险条款</w:t>
            </w:r>
            <w:r>
              <w:rPr>
                <w:rFonts w:hint="eastAsia" w:asciiTheme="minorEastAsia" w:hAnsiTheme="minorEastAsia" w:eastAsiaTheme="minorEastAsia" w:cstheme="minorEastAsia"/>
                <w:color w:val="auto"/>
                <w:sz w:val="22"/>
                <w:szCs w:val="22"/>
                <w:lang w:val="en-US" w:eastAsia="zh-CN"/>
              </w:rPr>
              <w:t>（累计限额500万，每次事故限额100万，每车限额25万）</w:t>
            </w:r>
          </w:p>
          <w:p w14:paraId="2B26579D">
            <w:pPr>
              <w:widowControl/>
              <w:numPr>
                <w:ilvl w:val="0"/>
                <w:numId w:val="10"/>
              </w:numPr>
              <w:autoSpaceDE w:val="0"/>
              <w:autoSpaceDN w:val="0"/>
              <w:spacing w:after="0" w:line="288" w:lineRule="auto"/>
              <w:ind w:left="420" w:hanging="420"/>
              <w:jc w:val="both"/>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z w:val="24"/>
                <w:szCs w:val="24"/>
                <w:lang w:val="en-US"/>
              </w:rPr>
              <w:t>广告及装饰装置责任条款</w:t>
            </w:r>
          </w:p>
          <w:p w14:paraId="5248D501">
            <w:pPr>
              <w:widowControl/>
              <w:numPr>
                <w:ilvl w:val="0"/>
                <w:numId w:val="10"/>
              </w:numPr>
              <w:autoSpaceDE w:val="0"/>
              <w:autoSpaceDN w:val="0"/>
              <w:spacing w:after="0" w:line="288" w:lineRule="auto"/>
              <w:ind w:left="420" w:hanging="420"/>
              <w:jc w:val="both"/>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z w:val="24"/>
                <w:szCs w:val="24"/>
                <w:lang w:val="en-US"/>
              </w:rPr>
              <w:t>电梯、机器及大厦自动装置责任条款</w:t>
            </w:r>
            <w:r>
              <w:rPr>
                <w:rFonts w:hint="eastAsia" w:asciiTheme="minorEastAsia" w:hAnsiTheme="minorEastAsia" w:eastAsiaTheme="minorEastAsia" w:cstheme="minorEastAsia"/>
                <w:color w:val="auto"/>
                <w:sz w:val="22"/>
                <w:szCs w:val="22"/>
                <w:lang w:val="en-US" w:eastAsia="zh-CN"/>
              </w:rPr>
              <w:t>（累计限额500万，每次事故限额200万，每次每人限额150万）</w:t>
            </w:r>
          </w:p>
          <w:p w14:paraId="4DB34343">
            <w:pPr>
              <w:widowControl/>
              <w:numPr>
                <w:ilvl w:val="0"/>
                <w:numId w:val="10"/>
              </w:numPr>
              <w:autoSpaceDE w:val="0"/>
              <w:autoSpaceDN w:val="0"/>
              <w:spacing w:after="0" w:line="288" w:lineRule="auto"/>
              <w:ind w:left="420" w:leftChars="0" w:hanging="420" w:firstLineChars="0"/>
              <w:jc w:val="both"/>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z w:val="24"/>
                <w:szCs w:val="24"/>
                <w:lang w:val="en-US"/>
              </w:rPr>
              <w:t>社交娱乐</w:t>
            </w:r>
            <w:r>
              <w:rPr>
                <w:rFonts w:hint="eastAsia" w:asciiTheme="minorEastAsia" w:hAnsiTheme="minorEastAsia" w:eastAsiaTheme="minorEastAsia" w:cstheme="minorEastAsia"/>
                <w:color w:val="auto"/>
                <w:sz w:val="24"/>
                <w:szCs w:val="24"/>
                <w:lang w:val="en-US" w:eastAsia="zh-CN"/>
              </w:rPr>
              <w:t>活动</w:t>
            </w:r>
            <w:r>
              <w:rPr>
                <w:rFonts w:hint="eastAsia" w:asciiTheme="minorEastAsia" w:hAnsiTheme="minorEastAsia" w:eastAsiaTheme="minorEastAsia" w:cstheme="minorEastAsia"/>
                <w:color w:val="auto"/>
                <w:sz w:val="24"/>
                <w:szCs w:val="24"/>
                <w:lang w:val="en-US"/>
              </w:rPr>
              <w:t>责任条款</w:t>
            </w:r>
          </w:p>
          <w:p w14:paraId="18E4F568">
            <w:pPr>
              <w:widowControl/>
              <w:numPr>
                <w:ilvl w:val="0"/>
                <w:numId w:val="10"/>
              </w:numPr>
              <w:autoSpaceDE w:val="0"/>
              <w:autoSpaceDN w:val="0"/>
              <w:spacing w:after="0" w:line="288" w:lineRule="auto"/>
              <w:ind w:left="420" w:leftChars="0" w:hanging="420" w:firstLineChars="0"/>
              <w:jc w:val="both"/>
              <w:rPr>
                <w:rFonts w:hint="default" w:eastAsiaTheme="minorEastAsia"/>
                <w:lang w:val="en-US" w:eastAsia="zh-CN"/>
              </w:rPr>
            </w:pPr>
            <w:r>
              <w:rPr>
                <w:rFonts w:hint="eastAsia" w:asciiTheme="minorEastAsia" w:hAnsiTheme="minorEastAsia" w:eastAsiaTheme="minorEastAsia" w:cstheme="minorEastAsia"/>
                <w:color w:val="auto"/>
                <w:sz w:val="24"/>
                <w:szCs w:val="24"/>
                <w:lang w:val="en-US"/>
              </w:rPr>
              <w:t>弃权与禁止反言条款</w:t>
            </w:r>
          </w:p>
          <w:p w14:paraId="6CA3EF70">
            <w:pPr>
              <w:widowControl/>
              <w:numPr>
                <w:ilvl w:val="0"/>
                <w:numId w:val="10"/>
              </w:numPr>
              <w:autoSpaceDE w:val="0"/>
              <w:autoSpaceDN w:val="0"/>
              <w:spacing w:after="0" w:line="288" w:lineRule="auto"/>
              <w:ind w:left="420" w:leftChars="0" w:hanging="420" w:firstLineChars="0"/>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出租人责任条款</w:t>
            </w:r>
          </w:p>
          <w:p w14:paraId="4A2D2E5D">
            <w:pPr>
              <w:widowControl/>
              <w:numPr>
                <w:ilvl w:val="0"/>
                <w:numId w:val="10"/>
              </w:numPr>
              <w:autoSpaceDE w:val="0"/>
              <w:autoSpaceDN w:val="0"/>
              <w:spacing w:after="0" w:line="288" w:lineRule="auto"/>
              <w:ind w:left="420" w:leftChars="0" w:hanging="420" w:firstLineChars="0"/>
              <w:jc w:val="both"/>
              <w:rPr>
                <w:rFonts w:hint="default"/>
                <w:lang w:val="en-US" w:eastAsia="zh-CN"/>
              </w:rPr>
            </w:pPr>
            <w:r>
              <w:rPr>
                <w:rFonts w:hint="eastAsia" w:asciiTheme="minorEastAsia" w:hAnsiTheme="minorEastAsia" w:eastAsiaTheme="minorEastAsia" w:cstheme="minorEastAsia"/>
                <w:color w:val="auto"/>
                <w:sz w:val="24"/>
                <w:szCs w:val="24"/>
                <w:lang w:val="en-US" w:eastAsia="zh-CN"/>
              </w:rPr>
              <w:t>建筑物改变条款</w:t>
            </w:r>
          </w:p>
          <w:p w14:paraId="45D44046">
            <w:pPr>
              <w:widowControl/>
              <w:numPr>
                <w:ilvl w:val="0"/>
                <w:numId w:val="10"/>
              </w:numPr>
              <w:autoSpaceDE w:val="0"/>
              <w:autoSpaceDN w:val="0"/>
              <w:spacing w:after="0" w:line="288" w:lineRule="auto"/>
              <w:ind w:left="420" w:leftChars="0" w:hanging="420" w:firstLineChars="0"/>
              <w:jc w:val="both"/>
              <w:rPr>
                <w:rFonts w:hint="default"/>
                <w:lang w:val="en-US" w:eastAsia="zh-CN"/>
              </w:rPr>
            </w:pPr>
            <w:r>
              <w:rPr>
                <w:rFonts w:hint="eastAsia" w:asciiTheme="minorEastAsia" w:hAnsiTheme="minorEastAsia" w:eastAsiaTheme="minorEastAsia" w:cstheme="minorEastAsia"/>
                <w:color w:val="auto"/>
                <w:sz w:val="24"/>
                <w:szCs w:val="24"/>
                <w:lang w:val="en-US" w:eastAsia="zh-CN"/>
              </w:rPr>
              <w:t>工人条款</w:t>
            </w:r>
          </w:p>
          <w:p w14:paraId="0051F5AC">
            <w:pPr>
              <w:widowControl/>
              <w:numPr>
                <w:ilvl w:val="0"/>
                <w:numId w:val="10"/>
              </w:numPr>
              <w:autoSpaceDE w:val="0"/>
              <w:autoSpaceDN w:val="0"/>
              <w:spacing w:after="0" w:line="288" w:lineRule="auto"/>
              <w:ind w:left="420" w:hanging="420"/>
              <w:jc w:val="both"/>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z w:val="24"/>
                <w:szCs w:val="24"/>
                <w:lang w:val="en-US"/>
              </w:rPr>
              <w:t>展览和促销活动责任条款</w:t>
            </w:r>
          </w:p>
          <w:p w14:paraId="5FE52E28">
            <w:pPr>
              <w:widowControl/>
              <w:numPr>
                <w:ilvl w:val="0"/>
                <w:numId w:val="10"/>
              </w:numPr>
              <w:autoSpaceDE w:val="0"/>
              <w:autoSpaceDN w:val="0"/>
              <w:spacing w:after="0" w:line="288" w:lineRule="auto"/>
              <w:ind w:left="420" w:hanging="420"/>
              <w:jc w:val="both"/>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z w:val="24"/>
                <w:szCs w:val="24"/>
                <w:lang w:val="en-US"/>
              </w:rPr>
              <w:t>错误与遗漏条款</w:t>
            </w:r>
          </w:p>
          <w:p w14:paraId="0409897F">
            <w:pPr>
              <w:widowControl/>
              <w:numPr>
                <w:ilvl w:val="0"/>
                <w:numId w:val="10"/>
              </w:numPr>
              <w:autoSpaceDE w:val="0"/>
              <w:autoSpaceDN w:val="0"/>
              <w:spacing w:after="0" w:line="288" w:lineRule="auto"/>
              <w:ind w:left="420" w:hanging="420"/>
              <w:jc w:val="both"/>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z w:val="24"/>
                <w:szCs w:val="24"/>
                <w:lang w:val="en-US"/>
              </w:rPr>
              <w:t>火灾、爆炸</w:t>
            </w:r>
            <w:r>
              <w:rPr>
                <w:rFonts w:hint="eastAsia" w:asciiTheme="minorEastAsia" w:hAnsiTheme="minorEastAsia" w:eastAsiaTheme="minorEastAsia" w:cstheme="minorEastAsia"/>
                <w:color w:val="auto"/>
                <w:sz w:val="24"/>
                <w:szCs w:val="24"/>
                <w:lang w:val="en-US" w:eastAsia="zh-CN"/>
              </w:rPr>
              <w:t>烟熏</w:t>
            </w:r>
            <w:r>
              <w:rPr>
                <w:rFonts w:hint="eastAsia" w:asciiTheme="minorEastAsia" w:hAnsiTheme="minorEastAsia" w:eastAsiaTheme="minorEastAsia" w:cstheme="minorEastAsia"/>
                <w:color w:val="auto"/>
                <w:sz w:val="24"/>
                <w:szCs w:val="24"/>
                <w:lang w:val="en-US"/>
              </w:rPr>
              <w:t>及水损责任条款</w:t>
            </w:r>
          </w:p>
          <w:p w14:paraId="1EA1A423">
            <w:pPr>
              <w:widowControl/>
              <w:numPr>
                <w:ilvl w:val="0"/>
                <w:numId w:val="10"/>
              </w:numPr>
              <w:autoSpaceDE w:val="0"/>
              <w:autoSpaceDN w:val="0"/>
              <w:spacing w:after="0" w:line="288" w:lineRule="auto"/>
              <w:ind w:left="420" w:leftChars="0" w:hanging="420" w:firstLineChars="0"/>
              <w:jc w:val="both"/>
              <w:rPr>
                <w:rFonts w:hint="eastAsia"/>
                <w:lang w:val="en-US"/>
              </w:rPr>
            </w:pPr>
            <w:r>
              <w:rPr>
                <w:rFonts w:hint="eastAsia" w:asciiTheme="minorEastAsia" w:hAnsiTheme="minorEastAsia" w:eastAsiaTheme="minorEastAsia" w:cstheme="minorEastAsia"/>
                <w:color w:val="auto"/>
                <w:sz w:val="24"/>
                <w:szCs w:val="24"/>
                <w:lang w:val="en-US"/>
              </w:rPr>
              <w:t>暴力行为、抢劫责任条款</w:t>
            </w:r>
          </w:p>
          <w:p w14:paraId="17AB459D">
            <w:pPr>
              <w:widowControl/>
              <w:numPr>
                <w:ilvl w:val="0"/>
                <w:numId w:val="10"/>
              </w:numPr>
              <w:autoSpaceDE w:val="0"/>
              <w:autoSpaceDN w:val="0"/>
              <w:spacing w:after="0" w:line="288" w:lineRule="auto"/>
              <w:ind w:left="420" w:leftChars="0" w:hanging="420" w:firstLineChars="0"/>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车辆装卸责任条款</w:t>
            </w:r>
          </w:p>
          <w:p w14:paraId="368CBF45">
            <w:pPr>
              <w:widowControl w:val="0"/>
              <w:numPr>
                <w:ilvl w:val="0"/>
                <w:numId w:val="10"/>
              </w:numPr>
              <w:autoSpaceDE w:val="0"/>
              <w:autoSpaceDN w:val="0"/>
              <w:spacing w:after="0" w:line="288" w:lineRule="auto"/>
              <w:ind w:left="420" w:leftChars="0" w:hanging="420" w:firstLineChars="0"/>
              <w:jc w:val="both"/>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z w:val="24"/>
                <w:szCs w:val="24"/>
                <w:lang w:val="en-US"/>
              </w:rPr>
              <w:t>急救费用条款</w:t>
            </w:r>
            <w:r>
              <w:rPr>
                <w:rFonts w:hint="eastAsia" w:asciiTheme="minorEastAsia" w:hAnsiTheme="minorEastAsia" w:eastAsiaTheme="minorEastAsia" w:cstheme="minorEastAsia"/>
                <w:color w:val="auto"/>
                <w:sz w:val="24"/>
                <w:szCs w:val="24"/>
                <w:lang w:val="en-US" w:eastAsia="zh-CN"/>
              </w:rPr>
              <w:t>（累计限额100万）</w:t>
            </w:r>
          </w:p>
          <w:p w14:paraId="07A5628A">
            <w:pPr>
              <w:widowControl w:val="0"/>
              <w:numPr>
                <w:ilvl w:val="0"/>
                <w:numId w:val="10"/>
              </w:numPr>
              <w:autoSpaceDE w:val="0"/>
              <w:autoSpaceDN w:val="0"/>
              <w:spacing w:after="0" w:line="288" w:lineRule="auto"/>
              <w:ind w:left="420" w:hanging="420"/>
              <w:jc w:val="both"/>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z w:val="24"/>
                <w:szCs w:val="24"/>
                <w:lang w:val="en-US"/>
              </w:rPr>
              <w:t>董事及高级管理人员个人第三者责任条款</w:t>
            </w:r>
          </w:p>
          <w:p w14:paraId="3C6F213F">
            <w:pPr>
              <w:widowControl/>
              <w:numPr>
                <w:ilvl w:val="0"/>
                <w:numId w:val="0"/>
              </w:numPr>
              <w:autoSpaceDE w:val="0"/>
              <w:autoSpaceDN w:val="0"/>
              <w:spacing w:after="0" w:line="288" w:lineRule="auto"/>
              <w:ind w:leftChars="0"/>
              <w:jc w:val="both"/>
              <w:rPr>
                <w:rFonts w:hint="default" w:eastAsiaTheme="minorEastAsia"/>
                <w:lang w:val="en-US" w:eastAsia="zh-CN"/>
              </w:rPr>
            </w:pPr>
            <w:r>
              <w:rPr>
                <w:rFonts w:hint="eastAsia" w:asciiTheme="minorEastAsia" w:hAnsiTheme="minorEastAsia" w:eastAsiaTheme="minorEastAsia" w:cstheme="minorEastAsia"/>
                <w:color w:val="auto"/>
                <w:sz w:val="24"/>
                <w:szCs w:val="24"/>
                <w:lang w:val="en-US" w:eastAsia="zh-CN"/>
              </w:rPr>
              <w:t>16.</w:t>
            </w:r>
            <w:r>
              <w:rPr>
                <w:rFonts w:hint="eastAsia" w:ascii="Times New Roman" w:hAnsi="Times New Roman" w:eastAsia="宋体" w:cs="Times New Roman"/>
                <w:snapToGrid/>
                <w:color w:val="auto"/>
                <w:kern w:val="2"/>
                <w:sz w:val="21"/>
                <w:szCs w:val="24"/>
                <w:lang w:val="en-US" w:eastAsia="zh-CN" w:bidi="ar-SA"/>
              </w:rPr>
              <w:t>预付赔款</w:t>
            </w:r>
            <w:r>
              <w:rPr>
                <w:rFonts w:hint="eastAsia" w:cs="Times New Roman"/>
                <w:snapToGrid/>
                <w:color w:val="auto"/>
                <w:kern w:val="2"/>
                <w:sz w:val="21"/>
                <w:szCs w:val="24"/>
                <w:lang w:val="en-US" w:eastAsia="zh-CN" w:bidi="ar-SA"/>
              </w:rPr>
              <w:t>条款</w:t>
            </w:r>
          </w:p>
          <w:p w14:paraId="0EB65D84">
            <w:pPr>
              <w:widowControl/>
              <w:numPr>
                <w:ilvl w:val="0"/>
                <w:numId w:val="0"/>
              </w:numPr>
              <w:autoSpaceDE w:val="0"/>
              <w:autoSpaceDN w:val="0"/>
              <w:spacing w:after="0" w:line="288" w:lineRule="auto"/>
              <w:ind w:leftChars="0"/>
              <w:jc w:val="both"/>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highlight w:val="none"/>
                <w:lang w:val="en-US" w:eastAsia="zh-CN"/>
              </w:rPr>
              <w:t>注：以中标单位报备的保险条款为准</w:t>
            </w:r>
          </w:p>
        </w:tc>
      </w:tr>
    </w:tbl>
    <w:p w14:paraId="1E61C66E">
      <w:pPr>
        <w:pStyle w:val="5"/>
        <w:keepNext/>
        <w:keepLines/>
        <w:widowControl w:val="0"/>
        <w:numPr>
          <w:ilvl w:val="0"/>
          <w:numId w:val="0"/>
        </w:numPr>
        <w:adjustRightInd w:val="0"/>
        <w:spacing w:before="260" w:after="260" w:line="416" w:lineRule="auto"/>
        <w:ind w:left="900" w:leftChars="0" w:hanging="720" w:firstLineChars="0"/>
        <w:jc w:val="both"/>
        <w:outlineLvl w:val="2"/>
        <w:rPr>
          <w:rFonts w:hint="eastAsia" w:asciiTheme="minorEastAsia" w:hAnsiTheme="minorEastAsia" w:eastAsiaTheme="minorEastAsia" w:cstheme="minorEastAsia"/>
          <w:b/>
          <w:bCs/>
          <w:color w:val="auto"/>
          <w:kern w:val="2"/>
          <w:sz w:val="24"/>
          <w:szCs w:val="24"/>
          <w:lang w:val="en-US" w:eastAsia="zh-CN" w:bidi="ar-SA"/>
        </w:rPr>
      </w:pPr>
    </w:p>
    <w:p w14:paraId="5EFBD9F0">
      <w:pPr>
        <w:keepNext w:val="0"/>
        <w:keepLines w:val="0"/>
        <w:pageBreakBefore w:val="0"/>
        <w:widowControl w:val="0"/>
        <w:kinsoku/>
        <w:wordWrap/>
        <w:overflowPunct/>
        <w:topLinePunct w:val="0"/>
        <w:autoSpaceDE/>
        <w:autoSpaceDN/>
        <w:bidi w:val="0"/>
        <w:adjustRightInd w:val="0"/>
        <w:snapToGrid/>
        <w:spacing w:line="500" w:lineRule="exact"/>
        <w:textAlignment w:val="auto"/>
        <w:rPr>
          <w:rFonts w:hint="eastAsia" w:ascii="宋体" w:hAnsi="宋体" w:eastAsia="宋体" w:cs="宋体"/>
          <w:b/>
          <w:bCs/>
          <w:color w:val="000000" w:themeColor="text1"/>
          <w:sz w:val="24"/>
          <w:szCs w:val="24"/>
          <w:highlight w:val="yellow"/>
          <w:lang w:eastAsia="zh-CN"/>
          <w14:textFill>
            <w14:solidFill>
              <w14:schemeClr w14:val="tx1"/>
            </w14:solidFill>
          </w14:textFill>
        </w:rPr>
      </w:pPr>
    </w:p>
    <w:p w14:paraId="53BADDDB">
      <w:pPr>
        <w:numPr>
          <w:ilvl w:val="0"/>
          <w:numId w:val="0"/>
        </w:numPr>
        <w:spacing w:line="360" w:lineRule="auto"/>
        <w:rPr>
          <w:rFonts w:hint="eastAsia" w:ascii="宋体" w:hAnsi="宋体" w:eastAsia="宋体" w:cs="宋体"/>
          <w:color w:val="auto"/>
          <w:sz w:val="24"/>
          <w:highlight w:val="none"/>
        </w:rPr>
      </w:pPr>
    </w:p>
    <w:p w14:paraId="30BDA8F9">
      <w:pPr>
        <w:numPr>
          <w:ilvl w:val="0"/>
          <w:numId w:val="0"/>
        </w:num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7C9057F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文件中打▲内容为实质性要求，不允许有负偏离，否则将以涉及无效</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条款作无效</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w:t>
      </w:r>
    </w:p>
    <w:p w14:paraId="3C0B49F3">
      <w:pPr>
        <w:keepNext w:val="0"/>
        <w:keepLines w:val="0"/>
        <w:pageBreakBefore w:val="0"/>
        <w:widowControl w:val="0"/>
        <w:kinsoku/>
        <w:wordWrap/>
        <w:overflowPunct/>
        <w:topLinePunct w:val="0"/>
        <w:bidi w:val="0"/>
        <w:adjustRightInd w:val="0"/>
        <w:spacing w:line="480" w:lineRule="exact"/>
        <w:ind w:firstLine="352" w:firstLineChars="147"/>
        <w:textAlignment w:val="auto"/>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lang w:val="en-US" w:eastAsia="zh-CN"/>
        </w:rPr>
        <w:br w:type="page"/>
      </w:r>
    </w:p>
    <w:p w14:paraId="5BDBC6DA">
      <w:pPr>
        <w:jc w:val="center"/>
        <w:rPr>
          <w:rFonts w:hint="eastAsia" w:ascii="宋体" w:hAnsi="宋体" w:eastAsia="宋体" w:cs="宋体"/>
          <w:b/>
          <w:color w:val="auto"/>
          <w:sz w:val="36"/>
          <w:szCs w:val="36"/>
          <w:highlight w:val="none"/>
          <w:lang w:eastAsia="zh-CN"/>
        </w:rPr>
      </w:pPr>
      <w:r>
        <w:rPr>
          <w:rFonts w:hint="eastAsia" w:ascii="宋体" w:hAnsi="宋体" w:eastAsia="宋体" w:cs="宋体"/>
          <w:b/>
          <w:color w:val="auto"/>
          <w:sz w:val="36"/>
          <w:szCs w:val="36"/>
          <w:highlight w:val="none"/>
        </w:rPr>
        <w:t xml:space="preserve">第四部分   </w:t>
      </w:r>
      <w:bookmarkStart w:id="20" w:name="_Toc184308097"/>
      <w:bookmarkEnd w:id="20"/>
      <w:bookmarkStart w:id="21" w:name="_Toc184312116"/>
      <w:bookmarkEnd w:id="21"/>
      <w:bookmarkStart w:id="22" w:name="_Toc184312122"/>
      <w:bookmarkEnd w:id="22"/>
      <w:bookmarkStart w:id="23" w:name="_Toc184314453"/>
      <w:bookmarkEnd w:id="23"/>
      <w:bookmarkStart w:id="24" w:name="_Toc184313269"/>
      <w:bookmarkEnd w:id="24"/>
      <w:bookmarkStart w:id="25" w:name="_Toc184312090"/>
      <w:bookmarkEnd w:id="25"/>
      <w:bookmarkStart w:id="26" w:name="_Toc184314481"/>
      <w:bookmarkEnd w:id="26"/>
      <w:bookmarkStart w:id="27" w:name="_Toc184310336"/>
      <w:bookmarkEnd w:id="27"/>
      <w:bookmarkStart w:id="28" w:name="_Toc184313251"/>
      <w:bookmarkEnd w:id="28"/>
      <w:bookmarkStart w:id="29" w:name="_Toc184313239"/>
      <w:bookmarkEnd w:id="29"/>
      <w:bookmarkStart w:id="30" w:name="_Toc184312068"/>
      <w:bookmarkEnd w:id="30"/>
      <w:bookmarkStart w:id="31" w:name="_Toc184310317"/>
      <w:bookmarkEnd w:id="31"/>
      <w:bookmarkStart w:id="32" w:name="_Toc184312075"/>
      <w:bookmarkEnd w:id="32"/>
      <w:bookmarkStart w:id="33" w:name="_Toc184312100"/>
      <w:bookmarkEnd w:id="33"/>
      <w:bookmarkStart w:id="34" w:name="_Toc184310294"/>
      <w:bookmarkEnd w:id="34"/>
      <w:bookmarkStart w:id="35" w:name="_Toc184314457"/>
      <w:bookmarkEnd w:id="35"/>
      <w:bookmarkStart w:id="36" w:name="_Toc184312073"/>
      <w:bookmarkEnd w:id="36"/>
      <w:bookmarkStart w:id="37" w:name="_Toc184313302"/>
      <w:bookmarkEnd w:id="37"/>
      <w:bookmarkStart w:id="38" w:name="_Toc184308102"/>
      <w:bookmarkEnd w:id="38"/>
      <w:bookmarkStart w:id="39" w:name="_Toc184308108"/>
      <w:bookmarkEnd w:id="39"/>
      <w:bookmarkStart w:id="40" w:name="_Toc184308043"/>
      <w:bookmarkEnd w:id="40"/>
      <w:bookmarkStart w:id="41" w:name="_Toc184312134"/>
      <w:bookmarkEnd w:id="41"/>
      <w:bookmarkStart w:id="42" w:name="_Toc184313238"/>
      <w:bookmarkEnd w:id="42"/>
      <w:bookmarkStart w:id="43" w:name="_Toc184312099"/>
      <w:bookmarkEnd w:id="43"/>
      <w:bookmarkStart w:id="44" w:name="_Toc184310286"/>
      <w:bookmarkEnd w:id="44"/>
      <w:bookmarkStart w:id="45" w:name="_Toc184310331"/>
      <w:bookmarkEnd w:id="45"/>
      <w:bookmarkStart w:id="46" w:name="_Toc184308045"/>
      <w:bookmarkEnd w:id="46"/>
      <w:bookmarkStart w:id="47" w:name="_Toc184313285"/>
      <w:bookmarkEnd w:id="47"/>
      <w:bookmarkStart w:id="48" w:name="_Toc184313272"/>
      <w:bookmarkEnd w:id="48"/>
      <w:bookmarkStart w:id="49" w:name="_Toc184314437"/>
      <w:bookmarkEnd w:id="49"/>
      <w:bookmarkStart w:id="50" w:name="_Toc184313243"/>
      <w:bookmarkEnd w:id="50"/>
      <w:bookmarkStart w:id="51" w:name="_Toc184313289"/>
      <w:bookmarkEnd w:id="51"/>
      <w:bookmarkStart w:id="52" w:name="_Toc184308085"/>
      <w:bookmarkEnd w:id="52"/>
      <w:bookmarkStart w:id="53" w:name="_Toc184310338"/>
      <w:bookmarkEnd w:id="53"/>
      <w:bookmarkStart w:id="54" w:name="_Toc184310333"/>
      <w:bookmarkEnd w:id="54"/>
      <w:bookmarkStart w:id="55" w:name="_Toc184308074"/>
      <w:bookmarkEnd w:id="55"/>
      <w:bookmarkStart w:id="56" w:name="_Toc184313291"/>
      <w:bookmarkEnd w:id="56"/>
      <w:bookmarkStart w:id="57" w:name="_Toc184314478"/>
      <w:bookmarkEnd w:id="57"/>
      <w:bookmarkStart w:id="58" w:name="_Toc184314482"/>
      <w:bookmarkEnd w:id="58"/>
      <w:bookmarkStart w:id="59" w:name="_Toc184312102"/>
      <w:bookmarkEnd w:id="59"/>
      <w:bookmarkStart w:id="60" w:name="_Toc184310299"/>
      <w:bookmarkEnd w:id="60"/>
      <w:bookmarkStart w:id="61" w:name="_Toc184308078"/>
      <w:bookmarkEnd w:id="61"/>
      <w:bookmarkStart w:id="62" w:name="_Toc184312131"/>
      <w:bookmarkEnd w:id="62"/>
      <w:bookmarkStart w:id="63" w:name="_Toc184313290"/>
      <w:bookmarkEnd w:id="63"/>
      <w:bookmarkStart w:id="64" w:name="_Toc184313306"/>
      <w:bookmarkEnd w:id="64"/>
      <w:bookmarkStart w:id="65" w:name="_Toc184308080"/>
      <w:bookmarkEnd w:id="65"/>
      <w:bookmarkStart w:id="66" w:name="_Toc184313245"/>
      <w:bookmarkEnd w:id="66"/>
      <w:bookmarkStart w:id="67" w:name="_Toc184312119"/>
      <w:bookmarkEnd w:id="67"/>
      <w:bookmarkStart w:id="68" w:name="_Toc184312083"/>
      <w:bookmarkEnd w:id="68"/>
      <w:bookmarkStart w:id="69" w:name="_Toc184314440"/>
      <w:bookmarkEnd w:id="69"/>
      <w:bookmarkStart w:id="70" w:name="_Toc184308086"/>
      <w:bookmarkEnd w:id="70"/>
      <w:bookmarkStart w:id="71" w:name="_Toc184313310"/>
      <w:bookmarkEnd w:id="71"/>
      <w:bookmarkStart w:id="72" w:name="_Toc184312139"/>
      <w:bookmarkEnd w:id="72"/>
      <w:bookmarkStart w:id="73" w:name="_Toc184313281"/>
      <w:bookmarkEnd w:id="73"/>
      <w:bookmarkStart w:id="74" w:name="_Toc184308066"/>
      <w:bookmarkEnd w:id="74"/>
      <w:bookmarkStart w:id="75" w:name="_Toc184310329"/>
      <w:bookmarkEnd w:id="75"/>
      <w:bookmarkStart w:id="76" w:name="_Toc184308073"/>
      <w:bookmarkEnd w:id="76"/>
      <w:bookmarkStart w:id="77" w:name="_Toc184314458"/>
      <w:bookmarkEnd w:id="77"/>
      <w:bookmarkStart w:id="78" w:name="_Toc184314430"/>
      <w:bookmarkEnd w:id="78"/>
      <w:bookmarkStart w:id="79" w:name="_Toc184312085"/>
      <w:bookmarkEnd w:id="79"/>
      <w:bookmarkStart w:id="80" w:name="_Toc184310303"/>
      <w:bookmarkEnd w:id="80"/>
      <w:bookmarkStart w:id="81" w:name="_Toc184308101"/>
      <w:bookmarkEnd w:id="81"/>
      <w:bookmarkStart w:id="82" w:name="_Toc184308048"/>
      <w:bookmarkEnd w:id="82"/>
      <w:bookmarkStart w:id="83" w:name="_Toc184308058"/>
      <w:bookmarkEnd w:id="83"/>
      <w:bookmarkStart w:id="84" w:name="_Toc184313255"/>
      <w:bookmarkEnd w:id="84"/>
      <w:bookmarkStart w:id="85" w:name="_Toc184310289"/>
      <w:bookmarkEnd w:id="85"/>
      <w:bookmarkStart w:id="86" w:name="_Toc184308065"/>
      <w:bookmarkEnd w:id="86"/>
      <w:bookmarkStart w:id="87" w:name="_Toc184314450"/>
      <w:bookmarkEnd w:id="87"/>
      <w:bookmarkStart w:id="88" w:name="_Toc184314444"/>
      <w:bookmarkEnd w:id="88"/>
      <w:bookmarkStart w:id="89" w:name="_Toc184312128"/>
      <w:bookmarkEnd w:id="89"/>
      <w:bookmarkStart w:id="90" w:name="_Toc184312092"/>
      <w:bookmarkEnd w:id="90"/>
      <w:bookmarkStart w:id="91" w:name="_Toc184310328"/>
      <w:bookmarkEnd w:id="91"/>
      <w:bookmarkStart w:id="92" w:name="_Toc184308072"/>
      <w:bookmarkEnd w:id="92"/>
      <w:bookmarkStart w:id="93" w:name="_Toc184310291"/>
      <w:bookmarkEnd w:id="93"/>
      <w:bookmarkStart w:id="94" w:name="_Toc184308053"/>
      <w:bookmarkEnd w:id="94"/>
      <w:bookmarkStart w:id="95" w:name="_Toc184314455"/>
      <w:bookmarkEnd w:id="95"/>
      <w:bookmarkStart w:id="96" w:name="_Toc184308059"/>
      <w:bookmarkEnd w:id="96"/>
      <w:bookmarkStart w:id="97" w:name="_Toc184310304"/>
      <w:bookmarkEnd w:id="97"/>
      <w:bookmarkStart w:id="98" w:name="_Toc184310332"/>
      <w:bookmarkEnd w:id="98"/>
      <w:bookmarkStart w:id="99" w:name="_Toc184310277"/>
      <w:bookmarkEnd w:id="99"/>
      <w:bookmarkStart w:id="100" w:name="_Toc184313301"/>
      <w:bookmarkEnd w:id="100"/>
      <w:bookmarkStart w:id="101" w:name="_Toc184310308"/>
      <w:bookmarkEnd w:id="101"/>
      <w:bookmarkStart w:id="102" w:name="_Toc184312095"/>
      <w:bookmarkEnd w:id="102"/>
      <w:bookmarkStart w:id="103" w:name="_Toc184308071"/>
      <w:bookmarkEnd w:id="103"/>
      <w:bookmarkStart w:id="104" w:name="_Toc184310313"/>
      <w:bookmarkEnd w:id="104"/>
      <w:bookmarkStart w:id="105" w:name="_Toc184310342"/>
      <w:bookmarkEnd w:id="105"/>
      <w:bookmarkStart w:id="106" w:name="_Toc184310305"/>
      <w:bookmarkEnd w:id="106"/>
      <w:bookmarkStart w:id="107" w:name="_Toc184313280"/>
      <w:bookmarkEnd w:id="107"/>
      <w:bookmarkStart w:id="108" w:name="_Toc184314459"/>
      <w:bookmarkEnd w:id="108"/>
      <w:bookmarkStart w:id="109" w:name="_Toc184308038"/>
      <w:bookmarkEnd w:id="109"/>
      <w:bookmarkStart w:id="110" w:name="_Toc184314424"/>
      <w:bookmarkEnd w:id="110"/>
      <w:bookmarkStart w:id="111" w:name="_Toc184314432"/>
      <w:bookmarkEnd w:id="111"/>
      <w:bookmarkStart w:id="112" w:name="_Toc184310272"/>
      <w:bookmarkEnd w:id="112"/>
      <w:bookmarkStart w:id="113" w:name="_Toc184308090"/>
      <w:bookmarkEnd w:id="113"/>
      <w:bookmarkStart w:id="114" w:name="_Toc184308036"/>
      <w:bookmarkEnd w:id="114"/>
      <w:bookmarkStart w:id="115" w:name="_Toc184308093"/>
      <w:bookmarkEnd w:id="115"/>
      <w:bookmarkStart w:id="116" w:name="_Toc184314431"/>
      <w:bookmarkEnd w:id="116"/>
      <w:bookmarkStart w:id="117" w:name="_Toc184308081"/>
      <w:bookmarkEnd w:id="117"/>
      <w:bookmarkStart w:id="118" w:name="_Toc184310322"/>
      <w:bookmarkEnd w:id="118"/>
      <w:bookmarkStart w:id="119" w:name="_Toc184310340"/>
      <w:bookmarkEnd w:id="119"/>
      <w:bookmarkStart w:id="120" w:name="_Toc184308050"/>
      <w:bookmarkEnd w:id="120"/>
      <w:bookmarkStart w:id="121" w:name="_Toc184312127"/>
      <w:bookmarkEnd w:id="121"/>
      <w:bookmarkStart w:id="122" w:name="_Toc184314441"/>
      <w:bookmarkEnd w:id="122"/>
      <w:bookmarkStart w:id="123" w:name="_Toc184314412"/>
      <w:bookmarkEnd w:id="123"/>
      <w:bookmarkStart w:id="124" w:name="_Toc184314477"/>
      <w:bookmarkEnd w:id="124"/>
      <w:bookmarkStart w:id="125" w:name="_Toc184312096"/>
      <w:bookmarkEnd w:id="125"/>
      <w:bookmarkStart w:id="126" w:name="_Toc184313254"/>
      <w:bookmarkEnd w:id="126"/>
      <w:bookmarkStart w:id="127" w:name="_Toc184314416"/>
      <w:bookmarkEnd w:id="127"/>
      <w:bookmarkStart w:id="128" w:name="_Toc184313257"/>
      <w:bookmarkEnd w:id="128"/>
      <w:bookmarkStart w:id="129" w:name="_Toc184308070"/>
      <w:bookmarkEnd w:id="129"/>
      <w:bookmarkStart w:id="130" w:name="_Toc184314461"/>
      <w:bookmarkEnd w:id="130"/>
      <w:bookmarkStart w:id="131" w:name="_Toc184313273"/>
      <w:bookmarkEnd w:id="131"/>
      <w:bookmarkStart w:id="132" w:name="_Toc184313309"/>
      <w:bookmarkEnd w:id="132"/>
      <w:bookmarkStart w:id="133" w:name="_Toc184314454"/>
      <w:bookmarkEnd w:id="133"/>
      <w:bookmarkStart w:id="134" w:name="_Toc184308044"/>
      <w:bookmarkEnd w:id="134"/>
      <w:bookmarkStart w:id="135" w:name="_Toc184312088"/>
      <w:bookmarkEnd w:id="135"/>
      <w:bookmarkStart w:id="136" w:name="_Toc184308068"/>
      <w:bookmarkEnd w:id="136"/>
      <w:bookmarkStart w:id="137" w:name="_Toc184308089"/>
      <w:bookmarkEnd w:id="137"/>
      <w:bookmarkStart w:id="138" w:name="_Toc184314460"/>
      <w:bookmarkEnd w:id="138"/>
      <w:bookmarkStart w:id="139" w:name="_Toc184314475"/>
      <w:bookmarkEnd w:id="139"/>
      <w:bookmarkStart w:id="140" w:name="_Toc184312076"/>
      <w:bookmarkEnd w:id="140"/>
      <w:bookmarkStart w:id="141" w:name="_Toc184312074"/>
      <w:bookmarkEnd w:id="141"/>
      <w:bookmarkStart w:id="142" w:name="_Toc184313277"/>
      <w:bookmarkEnd w:id="142"/>
      <w:bookmarkStart w:id="143" w:name="_Toc184314467"/>
      <w:bookmarkEnd w:id="143"/>
      <w:bookmarkStart w:id="144" w:name="_Toc184313262"/>
      <w:bookmarkEnd w:id="144"/>
      <w:bookmarkStart w:id="145" w:name="_Toc184313300"/>
      <w:bookmarkEnd w:id="145"/>
      <w:bookmarkStart w:id="146" w:name="_Toc184310309"/>
      <w:bookmarkEnd w:id="146"/>
      <w:bookmarkStart w:id="147" w:name="_Toc184310280"/>
      <w:bookmarkEnd w:id="147"/>
      <w:bookmarkStart w:id="148" w:name="_Toc184308075"/>
      <w:bookmarkEnd w:id="148"/>
      <w:bookmarkStart w:id="149" w:name="_Toc184312071"/>
      <w:bookmarkEnd w:id="149"/>
      <w:bookmarkStart w:id="150" w:name="_Toc184313295"/>
      <w:bookmarkEnd w:id="150"/>
      <w:bookmarkStart w:id="151" w:name="_Toc184308057"/>
      <w:bookmarkEnd w:id="151"/>
      <w:bookmarkStart w:id="152" w:name="_Toc184310337"/>
      <w:bookmarkEnd w:id="152"/>
      <w:bookmarkStart w:id="153" w:name="_Toc184310310"/>
      <w:bookmarkEnd w:id="153"/>
      <w:bookmarkStart w:id="154" w:name="_Toc184312094"/>
      <w:bookmarkEnd w:id="154"/>
      <w:bookmarkStart w:id="155" w:name="_Toc184310301"/>
      <w:bookmarkEnd w:id="155"/>
      <w:bookmarkStart w:id="156" w:name="_Toc184310278"/>
      <w:bookmarkEnd w:id="156"/>
      <w:bookmarkStart w:id="157" w:name="_Toc184308084"/>
      <w:bookmarkEnd w:id="157"/>
      <w:bookmarkStart w:id="158" w:name="_Toc184314466"/>
      <w:bookmarkEnd w:id="158"/>
      <w:bookmarkStart w:id="159" w:name="_Toc184312082"/>
      <w:bookmarkEnd w:id="159"/>
      <w:bookmarkStart w:id="160" w:name="_Toc184313305"/>
      <w:bookmarkEnd w:id="160"/>
      <w:bookmarkStart w:id="161" w:name="_Toc184314438"/>
      <w:bookmarkEnd w:id="161"/>
      <w:bookmarkStart w:id="162" w:name="_Toc184314427"/>
      <w:bookmarkEnd w:id="162"/>
      <w:bookmarkStart w:id="163" w:name="_Toc184313252"/>
      <w:bookmarkEnd w:id="163"/>
      <w:bookmarkStart w:id="164" w:name="_Toc184313258"/>
      <w:bookmarkEnd w:id="164"/>
      <w:bookmarkStart w:id="165" w:name="_Toc184312137"/>
      <w:bookmarkEnd w:id="165"/>
      <w:bookmarkStart w:id="166" w:name="_Toc184314439"/>
      <w:bookmarkEnd w:id="166"/>
      <w:bookmarkStart w:id="167" w:name="_Toc184313304"/>
      <w:bookmarkEnd w:id="167"/>
      <w:bookmarkStart w:id="168" w:name="_Toc184310276"/>
      <w:bookmarkEnd w:id="168"/>
      <w:bookmarkStart w:id="169" w:name="_Toc184313261"/>
      <w:bookmarkEnd w:id="169"/>
      <w:bookmarkStart w:id="170" w:name="_Toc184308064"/>
      <w:bookmarkEnd w:id="170"/>
      <w:bookmarkStart w:id="171" w:name="_Toc184308076"/>
      <w:bookmarkEnd w:id="171"/>
      <w:bookmarkStart w:id="172" w:name="_Toc184312114"/>
      <w:bookmarkEnd w:id="172"/>
      <w:bookmarkStart w:id="173" w:name="_Toc184310298"/>
      <w:bookmarkEnd w:id="173"/>
      <w:bookmarkStart w:id="174" w:name="_Toc184310316"/>
      <w:bookmarkEnd w:id="174"/>
      <w:bookmarkStart w:id="175" w:name="_Toc184310324"/>
      <w:bookmarkEnd w:id="175"/>
      <w:bookmarkStart w:id="176" w:name="_Toc184313287"/>
      <w:bookmarkEnd w:id="176"/>
      <w:bookmarkStart w:id="177" w:name="_Toc184313256"/>
      <w:bookmarkEnd w:id="177"/>
      <w:bookmarkStart w:id="178" w:name="_Toc184314418"/>
      <w:bookmarkEnd w:id="178"/>
      <w:bookmarkStart w:id="179" w:name="_Toc184313294"/>
      <w:bookmarkEnd w:id="179"/>
      <w:bookmarkStart w:id="180" w:name="_Toc184314436"/>
      <w:bookmarkEnd w:id="180"/>
      <w:bookmarkStart w:id="181" w:name="_Toc184310297"/>
      <w:bookmarkEnd w:id="181"/>
      <w:bookmarkStart w:id="182" w:name="_Toc184314473"/>
      <w:bookmarkEnd w:id="182"/>
      <w:bookmarkStart w:id="183" w:name="_Toc184308055"/>
      <w:bookmarkEnd w:id="183"/>
      <w:bookmarkStart w:id="184" w:name="_Toc184308091"/>
      <w:bookmarkEnd w:id="184"/>
      <w:bookmarkStart w:id="185" w:name="_Toc184310314"/>
      <w:bookmarkEnd w:id="185"/>
      <w:bookmarkStart w:id="186" w:name="_Toc184312081"/>
      <w:bookmarkEnd w:id="186"/>
      <w:bookmarkStart w:id="187" w:name="_Toc184313259"/>
      <w:bookmarkEnd w:id="187"/>
      <w:bookmarkStart w:id="188" w:name="_Toc184313250"/>
      <w:bookmarkEnd w:id="188"/>
      <w:bookmarkStart w:id="189" w:name="_Toc184308046"/>
      <w:bookmarkEnd w:id="189"/>
      <w:bookmarkStart w:id="190" w:name="_Toc184312067"/>
      <w:bookmarkEnd w:id="190"/>
      <w:bookmarkStart w:id="191" w:name="_Toc184310339"/>
      <w:bookmarkEnd w:id="191"/>
      <w:bookmarkStart w:id="192" w:name="_Toc184312123"/>
      <w:bookmarkEnd w:id="192"/>
      <w:bookmarkStart w:id="193" w:name="_Toc184310334"/>
      <w:bookmarkEnd w:id="193"/>
      <w:bookmarkStart w:id="194" w:name="_Toc184313274"/>
      <w:bookmarkEnd w:id="194"/>
      <w:bookmarkStart w:id="195" w:name="_Toc184308092"/>
      <w:bookmarkEnd w:id="195"/>
      <w:bookmarkStart w:id="196" w:name="_Toc184312111"/>
      <w:bookmarkEnd w:id="196"/>
      <w:bookmarkStart w:id="197" w:name="_Toc184313265"/>
      <w:bookmarkEnd w:id="197"/>
      <w:bookmarkStart w:id="198" w:name="_Toc184313276"/>
      <w:bookmarkEnd w:id="198"/>
      <w:bookmarkStart w:id="199" w:name="_Toc184314422"/>
      <w:bookmarkEnd w:id="199"/>
      <w:bookmarkStart w:id="200" w:name="_Toc184313296"/>
      <w:bookmarkEnd w:id="200"/>
      <w:bookmarkStart w:id="201" w:name="_Toc184314448"/>
      <w:bookmarkEnd w:id="201"/>
      <w:bookmarkStart w:id="202" w:name="_Toc184312117"/>
      <w:bookmarkEnd w:id="202"/>
      <w:bookmarkStart w:id="203" w:name="_Toc184314415"/>
      <w:bookmarkEnd w:id="203"/>
      <w:bookmarkStart w:id="204" w:name="_Toc184313247"/>
      <w:bookmarkEnd w:id="204"/>
      <w:bookmarkStart w:id="205" w:name="_Toc184308060"/>
      <w:bookmarkEnd w:id="205"/>
      <w:bookmarkStart w:id="206" w:name="_Toc184308052"/>
      <w:bookmarkEnd w:id="206"/>
      <w:bookmarkStart w:id="207" w:name="_Toc184313268"/>
      <w:bookmarkEnd w:id="207"/>
      <w:bookmarkStart w:id="208" w:name="_Toc184308088"/>
      <w:bookmarkEnd w:id="208"/>
      <w:bookmarkStart w:id="209" w:name="_Toc184313292"/>
      <w:bookmarkEnd w:id="209"/>
      <w:bookmarkStart w:id="210" w:name="_Toc184310287"/>
      <w:bookmarkEnd w:id="210"/>
      <w:bookmarkStart w:id="211" w:name="_Toc184314414"/>
      <w:bookmarkEnd w:id="211"/>
      <w:bookmarkStart w:id="212" w:name="_Toc184310335"/>
      <w:bookmarkEnd w:id="212"/>
      <w:bookmarkStart w:id="213" w:name="_Toc184308082"/>
      <w:bookmarkEnd w:id="213"/>
      <w:bookmarkStart w:id="214" w:name="_Toc184310283"/>
      <w:bookmarkEnd w:id="214"/>
      <w:bookmarkStart w:id="215" w:name="_Toc184314423"/>
      <w:bookmarkEnd w:id="215"/>
      <w:bookmarkStart w:id="216" w:name="_Toc184310312"/>
      <w:bookmarkEnd w:id="216"/>
      <w:bookmarkStart w:id="217" w:name="_Toc184313253"/>
      <w:bookmarkEnd w:id="217"/>
      <w:bookmarkStart w:id="218" w:name="_Toc184314445"/>
      <w:bookmarkEnd w:id="218"/>
      <w:bookmarkStart w:id="219" w:name="_Toc184314426"/>
      <w:bookmarkEnd w:id="219"/>
      <w:bookmarkStart w:id="220" w:name="_Toc184314468"/>
      <w:bookmarkEnd w:id="220"/>
      <w:bookmarkStart w:id="221" w:name="_Toc184312124"/>
      <w:bookmarkEnd w:id="221"/>
      <w:bookmarkStart w:id="222" w:name="_Toc184313279"/>
      <w:bookmarkEnd w:id="222"/>
      <w:bookmarkStart w:id="223" w:name="_Toc184313283"/>
      <w:bookmarkEnd w:id="223"/>
      <w:bookmarkStart w:id="224" w:name="_Toc184312130"/>
      <w:bookmarkEnd w:id="224"/>
      <w:bookmarkStart w:id="225" w:name="_Toc184310321"/>
      <w:bookmarkEnd w:id="225"/>
      <w:bookmarkStart w:id="226" w:name="_Toc184314469"/>
      <w:bookmarkEnd w:id="226"/>
      <w:bookmarkStart w:id="227" w:name="_Toc184310320"/>
      <w:bookmarkEnd w:id="227"/>
      <w:bookmarkStart w:id="228" w:name="_Toc184312091"/>
      <w:bookmarkEnd w:id="228"/>
      <w:bookmarkStart w:id="229" w:name="_Toc184313308"/>
      <w:bookmarkEnd w:id="229"/>
      <w:bookmarkStart w:id="230" w:name="_Toc184312138"/>
      <w:bookmarkEnd w:id="230"/>
      <w:bookmarkStart w:id="231" w:name="_Toc184313303"/>
      <w:bookmarkEnd w:id="231"/>
      <w:bookmarkStart w:id="232" w:name="_Toc184313242"/>
      <w:bookmarkEnd w:id="232"/>
      <w:bookmarkStart w:id="233" w:name="_Toc184312104"/>
      <w:bookmarkEnd w:id="233"/>
      <w:bookmarkStart w:id="234" w:name="_Toc184314471"/>
      <w:bookmarkEnd w:id="234"/>
      <w:bookmarkStart w:id="235" w:name="_Toc184314429"/>
      <w:bookmarkEnd w:id="235"/>
      <w:bookmarkStart w:id="236" w:name="_Toc184312106"/>
      <w:bookmarkEnd w:id="236"/>
      <w:bookmarkStart w:id="237" w:name="_Toc184312077"/>
      <w:bookmarkEnd w:id="237"/>
      <w:bookmarkStart w:id="238" w:name="_Toc184313275"/>
      <w:bookmarkEnd w:id="238"/>
      <w:bookmarkStart w:id="239" w:name="_Toc184310292"/>
      <w:bookmarkEnd w:id="239"/>
      <w:bookmarkStart w:id="240" w:name="_Toc184310279"/>
      <w:bookmarkEnd w:id="240"/>
      <w:bookmarkStart w:id="241" w:name="_Toc184308096"/>
      <w:bookmarkEnd w:id="241"/>
      <w:bookmarkStart w:id="242" w:name="_Toc184312129"/>
      <w:bookmarkEnd w:id="242"/>
      <w:bookmarkStart w:id="243" w:name="_Toc184310273"/>
      <w:bookmarkEnd w:id="243"/>
      <w:bookmarkStart w:id="244" w:name="_Toc184310296"/>
      <w:bookmarkEnd w:id="244"/>
      <w:bookmarkStart w:id="245" w:name="_Toc184314449"/>
      <w:bookmarkEnd w:id="245"/>
      <w:bookmarkStart w:id="246" w:name="_Toc184313264"/>
      <w:bookmarkEnd w:id="246"/>
      <w:bookmarkStart w:id="247" w:name="_Toc184312110"/>
      <w:bookmarkEnd w:id="247"/>
      <w:bookmarkStart w:id="248" w:name="_Toc184308037"/>
      <w:bookmarkEnd w:id="248"/>
      <w:bookmarkStart w:id="249" w:name="_Toc184312089"/>
      <w:bookmarkEnd w:id="249"/>
      <w:bookmarkStart w:id="250" w:name="_Toc184312133"/>
      <w:bookmarkEnd w:id="250"/>
      <w:bookmarkStart w:id="251" w:name="_Toc184310300"/>
      <w:bookmarkEnd w:id="251"/>
      <w:bookmarkStart w:id="252" w:name="_Toc184308079"/>
      <w:bookmarkEnd w:id="252"/>
      <w:bookmarkStart w:id="253" w:name="_Toc184313278"/>
      <w:bookmarkEnd w:id="253"/>
      <w:bookmarkStart w:id="254" w:name="_Toc184310288"/>
      <w:bookmarkEnd w:id="254"/>
      <w:bookmarkStart w:id="255" w:name="_Toc184312080"/>
      <w:bookmarkEnd w:id="255"/>
      <w:bookmarkStart w:id="256" w:name="_Toc184314446"/>
      <w:bookmarkEnd w:id="256"/>
      <w:bookmarkStart w:id="257" w:name="_Toc184310318"/>
      <w:bookmarkEnd w:id="257"/>
      <w:bookmarkStart w:id="258" w:name="_Toc184308040"/>
      <w:bookmarkEnd w:id="258"/>
      <w:bookmarkStart w:id="259" w:name="_Toc184312079"/>
      <w:bookmarkEnd w:id="259"/>
      <w:bookmarkStart w:id="260" w:name="_Toc184314470"/>
      <w:bookmarkEnd w:id="260"/>
      <w:bookmarkStart w:id="261" w:name="_Toc184312112"/>
      <w:bookmarkEnd w:id="261"/>
      <w:bookmarkStart w:id="262" w:name="_Toc184314421"/>
      <w:bookmarkEnd w:id="262"/>
      <w:bookmarkStart w:id="263" w:name="_Toc184312101"/>
      <w:bookmarkEnd w:id="263"/>
      <w:bookmarkStart w:id="264" w:name="_Toc184308104"/>
      <w:bookmarkEnd w:id="264"/>
      <w:bookmarkStart w:id="265" w:name="_Toc184312107"/>
      <w:bookmarkEnd w:id="265"/>
      <w:bookmarkStart w:id="266" w:name="_Toc184314456"/>
      <w:bookmarkEnd w:id="266"/>
      <w:bookmarkStart w:id="267" w:name="_Toc184310284"/>
      <w:bookmarkEnd w:id="267"/>
      <w:bookmarkStart w:id="268" w:name="_Toc184308049"/>
      <w:bookmarkEnd w:id="268"/>
      <w:bookmarkStart w:id="269" w:name="_Toc184314480"/>
      <w:bookmarkEnd w:id="269"/>
      <w:bookmarkStart w:id="270" w:name="_Toc184312120"/>
      <w:bookmarkEnd w:id="270"/>
      <w:bookmarkStart w:id="271" w:name="_Toc184308095"/>
      <w:bookmarkEnd w:id="271"/>
      <w:bookmarkStart w:id="272" w:name="_Toc184308042"/>
      <w:bookmarkEnd w:id="272"/>
      <w:bookmarkStart w:id="273" w:name="_Toc184313246"/>
      <w:bookmarkEnd w:id="273"/>
      <w:bookmarkStart w:id="274" w:name="_Toc184312098"/>
      <w:bookmarkEnd w:id="274"/>
      <w:bookmarkStart w:id="275" w:name="_Toc184312108"/>
      <w:bookmarkEnd w:id="275"/>
      <w:bookmarkStart w:id="276" w:name="_Toc184314474"/>
      <w:bookmarkEnd w:id="276"/>
      <w:bookmarkStart w:id="277" w:name="_Toc184312084"/>
      <w:bookmarkEnd w:id="277"/>
      <w:bookmarkStart w:id="278" w:name="_Toc184312132"/>
      <w:bookmarkEnd w:id="278"/>
      <w:bookmarkStart w:id="279" w:name="_Toc184308077"/>
      <w:bookmarkEnd w:id="279"/>
      <w:bookmarkStart w:id="280" w:name="_Toc184312118"/>
      <w:bookmarkEnd w:id="280"/>
      <w:bookmarkStart w:id="281" w:name="_Toc184313286"/>
      <w:bookmarkEnd w:id="281"/>
      <w:bookmarkStart w:id="282" w:name="_Toc184312097"/>
      <w:bookmarkEnd w:id="282"/>
      <w:bookmarkStart w:id="283" w:name="_Toc184314425"/>
      <w:bookmarkEnd w:id="283"/>
      <w:bookmarkStart w:id="284" w:name="_Toc184310344"/>
      <w:bookmarkEnd w:id="284"/>
      <w:bookmarkStart w:id="285" w:name="_Toc184312126"/>
      <w:bookmarkEnd w:id="285"/>
      <w:bookmarkStart w:id="286" w:name="_Toc184312086"/>
      <w:bookmarkEnd w:id="286"/>
      <w:bookmarkStart w:id="287" w:name="_Toc184310281"/>
      <w:bookmarkEnd w:id="287"/>
      <w:bookmarkStart w:id="288" w:name="_Toc184313293"/>
      <w:bookmarkEnd w:id="288"/>
      <w:bookmarkStart w:id="289" w:name="_Toc184314428"/>
      <w:bookmarkEnd w:id="289"/>
      <w:bookmarkStart w:id="290" w:name="_Toc184312105"/>
      <w:bookmarkEnd w:id="290"/>
      <w:bookmarkStart w:id="291" w:name="_Toc184308041"/>
      <w:bookmarkEnd w:id="291"/>
      <w:bookmarkStart w:id="292" w:name="_Toc184314451"/>
      <w:bookmarkEnd w:id="292"/>
      <w:bookmarkStart w:id="293" w:name="_Toc184314417"/>
      <w:bookmarkEnd w:id="293"/>
      <w:bookmarkStart w:id="294" w:name="_Toc184310293"/>
      <w:bookmarkEnd w:id="294"/>
      <w:bookmarkStart w:id="295" w:name="_Toc184308103"/>
      <w:bookmarkEnd w:id="295"/>
      <w:bookmarkStart w:id="296" w:name="_Toc184312135"/>
      <w:bookmarkEnd w:id="296"/>
      <w:bookmarkStart w:id="297" w:name="_Toc184314479"/>
      <w:bookmarkEnd w:id="297"/>
      <w:bookmarkStart w:id="298" w:name="_Toc184308069"/>
      <w:bookmarkEnd w:id="298"/>
      <w:bookmarkStart w:id="299" w:name="_Toc184314462"/>
      <w:bookmarkEnd w:id="299"/>
      <w:bookmarkStart w:id="300" w:name="_Toc184314411"/>
      <w:bookmarkEnd w:id="300"/>
      <w:bookmarkStart w:id="301" w:name="_Toc184313267"/>
      <w:bookmarkEnd w:id="301"/>
      <w:bookmarkStart w:id="302" w:name="_Toc184312115"/>
      <w:bookmarkEnd w:id="302"/>
      <w:bookmarkStart w:id="303" w:name="_Toc184310323"/>
      <w:bookmarkEnd w:id="303"/>
      <w:bookmarkStart w:id="304" w:name="_Toc184313260"/>
      <w:bookmarkEnd w:id="304"/>
      <w:bookmarkStart w:id="305" w:name="_Toc184312121"/>
      <w:bookmarkEnd w:id="305"/>
      <w:bookmarkStart w:id="306" w:name="_Toc184308100"/>
      <w:bookmarkEnd w:id="306"/>
      <w:bookmarkStart w:id="307" w:name="_Toc184308083"/>
      <w:bookmarkEnd w:id="307"/>
      <w:bookmarkStart w:id="308" w:name="_Toc184314465"/>
      <w:bookmarkEnd w:id="308"/>
      <w:bookmarkStart w:id="309" w:name="_Toc184312103"/>
      <w:bookmarkEnd w:id="309"/>
      <w:bookmarkStart w:id="310" w:name="_Toc184314420"/>
      <w:bookmarkEnd w:id="310"/>
      <w:bookmarkStart w:id="311" w:name="_Toc184310302"/>
      <w:bookmarkEnd w:id="311"/>
      <w:bookmarkStart w:id="312" w:name="_Toc184310330"/>
      <w:bookmarkEnd w:id="312"/>
      <w:bookmarkStart w:id="313" w:name="_Toc184310343"/>
      <w:bookmarkEnd w:id="313"/>
      <w:bookmarkStart w:id="314" w:name="_Toc184308105"/>
      <w:bookmarkEnd w:id="314"/>
      <w:bookmarkStart w:id="315" w:name="_Toc184314435"/>
      <w:bookmarkEnd w:id="315"/>
      <w:bookmarkStart w:id="316" w:name="_Toc184314463"/>
      <w:bookmarkEnd w:id="316"/>
      <w:bookmarkStart w:id="317" w:name="_Toc184310326"/>
      <w:bookmarkEnd w:id="317"/>
      <w:bookmarkStart w:id="318" w:name="_Toc184313288"/>
      <w:bookmarkEnd w:id="318"/>
      <w:bookmarkStart w:id="319" w:name="_Toc184308047"/>
      <w:bookmarkEnd w:id="319"/>
      <w:bookmarkStart w:id="320" w:name="_Toc184313271"/>
      <w:bookmarkEnd w:id="320"/>
      <w:bookmarkStart w:id="321" w:name="_Toc184312109"/>
      <w:bookmarkEnd w:id="321"/>
      <w:bookmarkStart w:id="322" w:name="_Toc184313298"/>
      <w:bookmarkEnd w:id="322"/>
      <w:bookmarkStart w:id="323" w:name="_Toc184312070"/>
      <w:bookmarkEnd w:id="323"/>
      <w:bookmarkStart w:id="324" w:name="_Toc184308106"/>
      <w:bookmarkEnd w:id="324"/>
      <w:bookmarkStart w:id="325" w:name="_Toc184313297"/>
      <w:bookmarkEnd w:id="325"/>
      <w:bookmarkStart w:id="326" w:name="_Toc184314472"/>
      <w:bookmarkEnd w:id="326"/>
      <w:bookmarkStart w:id="327" w:name="_Toc184308051"/>
      <w:bookmarkEnd w:id="327"/>
      <w:bookmarkStart w:id="328" w:name="_Toc184310307"/>
      <w:bookmarkEnd w:id="328"/>
      <w:bookmarkStart w:id="329" w:name="_Toc184314419"/>
      <w:bookmarkEnd w:id="329"/>
      <w:bookmarkStart w:id="330" w:name="_Toc184314464"/>
      <w:bookmarkEnd w:id="330"/>
      <w:bookmarkStart w:id="331" w:name="_Toc184313263"/>
      <w:bookmarkEnd w:id="331"/>
      <w:bookmarkStart w:id="332" w:name="_Toc184310325"/>
      <w:bookmarkEnd w:id="332"/>
      <w:bookmarkStart w:id="333" w:name="_Toc184310319"/>
      <w:bookmarkEnd w:id="333"/>
      <w:bookmarkStart w:id="334" w:name="_Toc184312072"/>
      <w:bookmarkEnd w:id="334"/>
      <w:bookmarkStart w:id="335" w:name="_Toc184313307"/>
      <w:bookmarkEnd w:id="335"/>
      <w:bookmarkStart w:id="336" w:name="_Toc184308056"/>
      <w:bookmarkEnd w:id="336"/>
      <w:bookmarkStart w:id="337" w:name="_Toc184313241"/>
      <w:bookmarkEnd w:id="337"/>
      <w:bookmarkStart w:id="338" w:name="_Toc184313248"/>
      <w:bookmarkEnd w:id="338"/>
      <w:bookmarkStart w:id="339" w:name="_Toc184310341"/>
      <w:bookmarkEnd w:id="339"/>
      <w:bookmarkStart w:id="340" w:name="_Toc184312113"/>
      <w:bookmarkEnd w:id="340"/>
      <w:bookmarkStart w:id="341" w:name="_Toc184308107"/>
      <w:bookmarkEnd w:id="341"/>
      <w:bookmarkStart w:id="342" w:name="_Toc184308062"/>
      <w:bookmarkEnd w:id="342"/>
      <w:bookmarkStart w:id="343" w:name="_Toc184313240"/>
      <w:bookmarkEnd w:id="343"/>
      <w:bookmarkStart w:id="344" w:name="_Toc184308098"/>
      <w:bookmarkEnd w:id="344"/>
      <w:bookmarkStart w:id="345" w:name="_Toc184310315"/>
      <w:bookmarkEnd w:id="345"/>
      <w:bookmarkStart w:id="346" w:name="_Toc184308063"/>
      <w:bookmarkEnd w:id="346"/>
      <w:bookmarkStart w:id="347" w:name="_Toc184308067"/>
      <w:bookmarkEnd w:id="347"/>
      <w:bookmarkStart w:id="348" w:name="_Toc184310311"/>
      <w:bookmarkEnd w:id="348"/>
      <w:bookmarkStart w:id="349" w:name="_Toc184314447"/>
      <w:bookmarkEnd w:id="349"/>
      <w:bookmarkStart w:id="350" w:name="_Toc184314476"/>
      <w:bookmarkEnd w:id="350"/>
      <w:bookmarkStart w:id="351" w:name="_Toc184308094"/>
      <w:bookmarkEnd w:id="351"/>
      <w:bookmarkStart w:id="352" w:name="_Toc184308099"/>
      <w:bookmarkEnd w:id="352"/>
      <w:bookmarkStart w:id="353" w:name="_Toc184308087"/>
      <w:bookmarkEnd w:id="353"/>
      <w:bookmarkStart w:id="354" w:name="_Toc184313270"/>
      <w:bookmarkEnd w:id="354"/>
      <w:bookmarkStart w:id="355" w:name="_Toc184312093"/>
      <w:bookmarkEnd w:id="355"/>
      <w:bookmarkStart w:id="356" w:name="_Toc184312087"/>
      <w:bookmarkEnd w:id="356"/>
      <w:bookmarkStart w:id="357" w:name="_Toc184313266"/>
      <w:bookmarkEnd w:id="357"/>
      <w:bookmarkStart w:id="358" w:name="_Toc184312136"/>
      <w:bookmarkEnd w:id="358"/>
      <w:bookmarkStart w:id="359" w:name="_Toc184310274"/>
      <w:bookmarkEnd w:id="359"/>
      <w:bookmarkStart w:id="360" w:name="_Toc184312069"/>
      <w:bookmarkEnd w:id="360"/>
      <w:bookmarkStart w:id="361" w:name="_Toc184313244"/>
      <w:bookmarkEnd w:id="361"/>
      <w:bookmarkStart w:id="362" w:name="_Toc184314433"/>
      <w:bookmarkEnd w:id="362"/>
      <w:bookmarkStart w:id="363" w:name="_Toc184314434"/>
      <w:bookmarkEnd w:id="363"/>
      <w:bookmarkStart w:id="364" w:name="_Toc184313299"/>
      <w:bookmarkEnd w:id="364"/>
      <w:bookmarkStart w:id="365" w:name="_Toc184310290"/>
      <w:bookmarkEnd w:id="365"/>
      <w:bookmarkStart w:id="366" w:name="_Toc184308061"/>
      <w:bookmarkEnd w:id="366"/>
      <w:bookmarkStart w:id="367" w:name="_Toc184313282"/>
      <w:bookmarkEnd w:id="367"/>
      <w:bookmarkStart w:id="368" w:name="_Toc184314442"/>
      <w:bookmarkEnd w:id="368"/>
      <w:bookmarkStart w:id="369" w:name="_Toc184313284"/>
      <w:bookmarkEnd w:id="369"/>
      <w:bookmarkStart w:id="370" w:name="_Toc184312125"/>
      <w:bookmarkEnd w:id="370"/>
      <w:bookmarkStart w:id="371" w:name="_Toc184312078"/>
      <w:bookmarkEnd w:id="371"/>
      <w:bookmarkStart w:id="372" w:name="_Toc184314413"/>
      <w:bookmarkEnd w:id="372"/>
      <w:bookmarkStart w:id="373" w:name="_Toc184310282"/>
      <w:bookmarkEnd w:id="373"/>
      <w:bookmarkStart w:id="374" w:name="_Toc184310327"/>
      <w:bookmarkEnd w:id="374"/>
      <w:bookmarkStart w:id="375" w:name="_Toc184308054"/>
      <w:bookmarkEnd w:id="375"/>
      <w:bookmarkStart w:id="376" w:name="_Toc184310295"/>
      <w:bookmarkEnd w:id="376"/>
      <w:bookmarkStart w:id="377" w:name="_Toc184314452"/>
      <w:bookmarkEnd w:id="377"/>
      <w:bookmarkStart w:id="378" w:name="_Toc184314410"/>
      <w:bookmarkEnd w:id="378"/>
      <w:bookmarkStart w:id="379" w:name="_Toc184314443"/>
      <w:bookmarkEnd w:id="379"/>
      <w:bookmarkStart w:id="380" w:name="_Toc184308039"/>
      <w:bookmarkEnd w:id="380"/>
      <w:bookmarkStart w:id="381" w:name="_Toc184310275"/>
      <w:bookmarkEnd w:id="381"/>
      <w:bookmarkStart w:id="382" w:name="_Toc184310285"/>
      <w:bookmarkEnd w:id="382"/>
      <w:bookmarkStart w:id="383" w:name="_Toc184310306"/>
      <w:bookmarkEnd w:id="383"/>
      <w:bookmarkStart w:id="384" w:name="_Toc184313249"/>
      <w:bookmarkEnd w:id="384"/>
      <w:r>
        <w:rPr>
          <w:rFonts w:hint="eastAsia" w:ascii="宋体" w:hAnsi="宋体" w:eastAsia="宋体" w:cs="宋体"/>
          <w:b/>
          <w:color w:val="auto"/>
          <w:sz w:val="36"/>
          <w:szCs w:val="36"/>
          <w:highlight w:val="none"/>
          <w:lang w:eastAsia="zh-CN"/>
        </w:rPr>
        <w:t>交易办法</w:t>
      </w:r>
    </w:p>
    <w:p w14:paraId="0C250393">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lang w:eastAsia="zh-CN"/>
        </w:rPr>
        <w:t>交易办法</w:t>
      </w:r>
      <w:r>
        <w:rPr>
          <w:rFonts w:hint="eastAsia" w:ascii="宋体" w:hAnsi="宋体" w:eastAsia="宋体" w:cs="宋体"/>
          <w:b/>
          <w:color w:val="auto"/>
          <w:sz w:val="32"/>
          <w:szCs w:val="20"/>
          <w:highlight w:val="none"/>
        </w:rPr>
        <w:t>前附表</w:t>
      </w:r>
    </w:p>
    <w:p w14:paraId="047077FF">
      <w:pPr>
        <w:widowControl/>
        <w:spacing w:line="360" w:lineRule="auto"/>
        <w:ind w:firstLine="482" w:firstLineChars="200"/>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val="en-US" w:eastAsia="zh-CN"/>
          <w14:textFill>
            <w14:solidFill>
              <w14:schemeClr w14:val="tx1"/>
            </w14:solidFill>
          </w14:textFill>
        </w:rPr>
        <w:t>1、</w:t>
      </w:r>
      <w:r>
        <w:rPr>
          <w:rFonts w:hint="eastAsia" w:ascii="仿宋" w:hAnsi="仿宋" w:eastAsia="仿宋" w:cs="仿宋"/>
          <w:b/>
          <w:bCs/>
          <w:color w:val="000000" w:themeColor="text1"/>
          <w:sz w:val="24"/>
          <w:highlight w:val="none"/>
          <w14:textFill>
            <w14:solidFill>
              <w14:schemeClr w14:val="tx1"/>
            </w14:solidFill>
          </w14:textFill>
        </w:rPr>
        <w:t>商务技术部分（</w:t>
      </w:r>
      <w:r>
        <w:rPr>
          <w:rFonts w:hint="eastAsia" w:ascii="仿宋" w:hAnsi="仿宋" w:eastAsia="仿宋" w:cs="仿宋"/>
          <w:b/>
          <w:bCs/>
          <w:color w:val="000000" w:themeColor="text1"/>
          <w:sz w:val="24"/>
          <w:highlight w:val="none"/>
          <w:lang w:val="en-US" w:eastAsia="zh-CN"/>
          <w14:textFill>
            <w14:solidFill>
              <w14:schemeClr w14:val="tx1"/>
            </w14:solidFill>
          </w14:textFill>
        </w:rPr>
        <w:t>85</w:t>
      </w:r>
      <w:r>
        <w:rPr>
          <w:rFonts w:hint="eastAsia" w:ascii="仿宋" w:hAnsi="仿宋" w:eastAsia="仿宋" w:cs="仿宋"/>
          <w:b/>
          <w:bCs/>
          <w:color w:val="000000" w:themeColor="text1"/>
          <w:sz w:val="24"/>
          <w:highlight w:val="none"/>
          <w14:textFill>
            <w14:solidFill>
              <w14:schemeClr w14:val="tx1"/>
            </w14:solidFill>
          </w14:textFill>
        </w:rPr>
        <w:t>分）</w:t>
      </w:r>
    </w:p>
    <w:p w14:paraId="16683A73">
      <w:pPr>
        <w:widowControl/>
        <w:numPr>
          <w:ilvl w:val="0"/>
          <w:numId w:val="0"/>
        </w:numPr>
        <w:ind w:firstLine="482" w:firstLineChars="200"/>
        <w:jc w:val="left"/>
        <w:rPr>
          <w:rFonts w:hint="eastAsia"/>
        </w:rPr>
      </w:pPr>
      <w:r>
        <w:rPr>
          <w:rFonts w:hint="eastAsia" w:ascii="仿宋" w:hAnsi="仿宋" w:eastAsia="仿宋" w:cs="仿宋"/>
          <w:b/>
          <w:bCs/>
          <w:color w:val="000000" w:themeColor="text1"/>
          <w:sz w:val="24"/>
          <w:highlight w:val="none"/>
          <w:lang w:val="en-US" w:eastAsia="zh-CN"/>
          <w14:textFill>
            <w14:solidFill>
              <w14:schemeClr w14:val="tx1"/>
            </w14:solidFill>
          </w14:textFill>
        </w:rPr>
        <w:t>1.1</w:t>
      </w:r>
      <w:r>
        <w:rPr>
          <w:rFonts w:hint="eastAsia" w:ascii="仿宋" w:hAnsi="仿宋" w:eastAsia="仿宋" w:cs="仿宋"/>
          <w:b/>
          <w:bCs/>
          <w:color w:val="000000" w:themeColor="text1"/>
          <w:sz w:val="24"/>
          <w:highlight w:val="none"/>
          <w14:textFill>
            <w14:solidFill>
              <w14:schemeClr w14:val="tx1"/>
            </w14:solidFill>
          </w14:textFill>
        </w:rPr>
        <w:t>商务资信（</w:t>
      </w:r>
      <w:r>
        <w:rPr>
          <w:rFonts w:hint="eastAsia" w:ascii="仿宋" w:hAnsi="仿宋" w:eastAsia="仿宋" w:cs="仿宋"/>
          <w:b/>
          <w:bCs/>
          <w:color w:val="000000" w:themeColor="text1"/>
          <w:sz w:val="24"/>
          <w:highlight w:val="none"/>
          <w:lang w:val="en-US" w:eastAsia="zh-CN"/>
          <w14:textFill>
            <w14:solidFill>
              <w14:schemeClr w14:val="tx1"/>
            </w14:solidFill>
          </w14:textFill>
        </w:rPr>
        <w:t>30</w:t>
      </w:r>
      <w:r>
        <w:rPr>
          <w:rFonts w:hint="eastAsia" w:ascii="仿宋" w:hAnsi="仿宋" w:eastAsia="仿宋" w:cs="仿宋"/>
          <w:b/>
          <w:bCs/>
          <w:color w:val="000000" w:themeColor="text1"/>
          <w:sz w:val="24"/>
          <w:highlight w:val="none"/>
          <w14:textFill>
            <w14:solidFill>
              <w14:schemeClr w14:val="tx1"/>
            </w14:solidFill>
          </w14:textFill>
        </w:rPr>
        <w:t>分）</w:t>
      </w:r>
    </w:p>
    <w:tbl>
      <w:tblPr>
        <w:tblStyle w:val="62"/>
        <w:tblW w:w="83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5566"/>
        <w:gridCol w:w="1193"/>
      </w:tblGrid>
      <w:tr w14:paraId="43D44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621" w:type="dxa"/>
            <w:vAlign w:val="center"/>
          </w:tcPr>
          <w:p w14:paraId="4E2E0A2C">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评审因素</w:t>
            </w:r>
          </w:p>
        </w:tc>
        <w:tc>
          <w:tcPr>
            <w:tcW w:w="5566" w:type="dxa"/>
            <w:vAlign w:val="center"/>
          </w:tcPr>
          <w:p w14:paraId="6D8FD794">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评审内容</w:t>
            </w:r>
          </w:p>
        </w:tc>
        <w:tc>
          <w:tcPr>
            <w:tcW w:w="1193" w:type="dxa"/>
            <w:vAlign w:val="center"/>
          </w:tcPr>
          <w:p w14:paraId="315828B0">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分值范围</w:t>
            </w:r>
          </w:p>
        </w:tc>
      </w:tr>
      <w:tr w14:paraId="60AB3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1" w:type="dxa"/>
            <w:vAlign w:val="center"/>
          </w:tcPr>
          <w:p w14:paraId="5489A165">
            <w:pPr>
              <w:spacing w:line="312" w:lineRule="auto"/>
              <w:jc w:val="center"/>
              <w:rPr>
                <w:rFonts w:ascii="宋体" w:hAnsi="宋体" w:eastAsia="宋体" w:cs="宋体"/>
                <w:b/>
                <w:bCs/>
                <w:sz w:val="24"/>
                <w:szCs w:val="24"/>
                <w:highlight w:val="none"/>
              </w:rPr>
            </w:pPr>
            <w:r>
              <w:rPr>
                <w:rFonts w:hint="eastAsia" w:ascii="宋体" w:hAnsi="宋体" w:eastAsia="宋体" w:cs="宋体"/>
                <w:b/>
                <w:bCs/>
                <w:sz w:val="24"/>
                <w:szCs w:val="24"/>
                <w:highlight w:val="none"/>
              </w:rPr>
              <w:t>规模</w:t>
            </w:r>
          </w:p>
        </w:tc>
        <w:tc>
          <w:tcPr>
            <w:tcW w:w="5566" w:type="dxa"/>
            <w:vAlign w:val="center"/>
          </w:tcPr>
          <w:p w14:paraId="256EB202">
            <w:pPr>
              <w:spacing w:line="312" w:lineRule="auto"/>
              <w:jc w:val="left"/>
              <w:rPr>
                <w:rFonts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响应人(分支机构报名的以授权其响应的总公司信息为准)以中国保险行业协会最新公布2023年所属财产保险公司原保险保费收入规模为依据，保费收入在</w:t>
            </w:r>
            <w:r>
              <w:rPr>
                <w:rFonts w:hint="eastAsia" w:ascii="宋体" w:hAnsi="宋体" w:cs="宋体"/>
                <w:b w:val="0"/>
                <w:bCs w:val="0"/>
                <w:color w:val="auto"/>
                <w:sz w:val="24"/>
                <w:szCs w:val="24"/>
                <w:highlight w:val="none"/>
                <w:lang w:val="en-US" w:eastAsia="zh-CN"/>
              </w:rPr>
              <w:t>10</w:t>
            </w:r>
            <w:r>
              <w:rPr>
                <w:rFonts w:hint="eastAsia" w:ascii="宋体" w:hAnsi="宋体" w:eastAsia="宋体" w:cs="宋体"/>
                <w:b w:val="0"/>
                <w:bCs w:val="0"/>
                <w:color w:val="auto"/>
                <w:sz w:val="24"/>
                <w:szCs w:val="24"/>
                <w:highlight w:val="none"/>
              </w:rPr>
              <w:t>00亿及以上的得4分，</w:t>
            </w:r>
            <w:r>
              <w:rPr>
                <w:rFonts w:hint="eastAsia" w:ascii="宋体" w:hAnsi="宋体" w:cs="宋体"/>
                <w:b w:val="0"/>
                <w:bCs w:val="0"/>
                <w:color w:val="auto"/>
                <w:sz w:val="24"/>
                <w:szCs w:val="24"/>
                <w:highlight w:val="none"/>
                <w:lang w:val="en-US" w:eastAsia="zh-CN"/>
              </w:rPr>
              <w:t>10</w:t>
            </w:r>
            <w:r>
              <w:rPr>
                <w:rFonts w:hint="eastAsia" w:ascii="宋体" w:hAnsi="宋体" w:eastAsia="宋体" w:cs="宋体"/>
                <w:b w:val="0"/>
                <w:bCs w:val="0"/>
                <w:color w:val="auto"/>
                <w:sz w:val="24"/>
                <w:szCs w:val="24"/>
                <w:highlight w:val="none"/>
              </w:rPr>
              <w:t>00亿</w:t>
            </w:r>
            <w:r>
              <w:rPr>
                <w:rFonts w:hint="eastAsia" w:ascii="宋体" w:hAnsi="宋体" w:cs="宋体"/>
                <w:b w:val="0"/>
                <w:bCs w:val="0"/>
                <w:color w:val="auto"/>
                <w:sz w:val="24"/>
                <w:szCs w:val="24"/>
                <w:highlight w:val="none"/>
                <w:lang w:val="en-US" w:eastAsia="zh-CN"/>
              </w:rPr>
              <w:t>至500亿</w:t>
            </w:r>
            <w:r>
              <w:rPr>
                <w:rFonts w:hint="eastAsia" w:ascii="宋体" w:hAnsi="宋体" w:eastAsia="宋体" w:cs="宋体"/>
                <w:b w:val="0"/>
                <w:bCs w:val="0"/>
                <w:color w:val="auto"/>
                <w:sz w:val="24"/>
                <w:szCs w:val="24"/>
                <w:highlight w:val="none"/>
              </w:rPr>
              <w:t>的得2分，</w:t>
            </w:r>
            <w:r>
              <w:rPr>
                <w:rFonts w:hint="eastAsia" w:ascii="宋体" w:hAnsi="宋体" w:cs="宋体"/>
                <w:b w:val="0"/>
                <w:bCs w:val="0"/>
                <w:color w:val="auto"/>
                <w:sz w:val="24"/>
                <w:szCs w:val="24"/>
                <w:highlight w:val="none"/>
                <w:lang w:val="en-US" w:eastAsia="zh-CN"/>
              </w:rPr>
              <w:t>500亿以下不得分，</w:t>
            </w:r>
            <w:r>
              <w:rPr>
                <w:rFonts w:hint="eastAsia" w:ascii="宋体" w:hAnsi="宋体" w:eastAsia="宋体" w:cs="宋体"/>
                <w:b w:val="0"/>
                <w:bCs w:val="0"/>
                <w:color w:val="auto"/>
                <w:sz w:val="24"/>
                <w:szCs w:val="24"/>
                <w:highlight w:val="none"/>
              </w:rPr>
              <w:t>本项最高得4分。(提供相关证明材料)</w:t>
            </w:r>
          </w:p>
        </w:tc>
        <w:tc>
          <w:tcPr>
            <w:tcW w:w="1193" w:type="dxa"/>
            <w:vAlign w:val="center"/>
          </w:tcPr>
          <w:p w14:paraId="0FB5D466">
            <w:pPr>
              <w:spacing w:line="312" w:lineRule="auto"/>
              <w:jc w:val="center"/>
              <w:rPr>
                <w:rFonts w:hint="eastAsia" w:ascii="宋体" w:hAnsi="宋体" w:eastAsia="宋体" w:cs="宋体"/>
                <w:b/>
                <w:bCs/>
                <w:sz w:val="24"/>
                <w:szCs w:val="24"/>
                <w:lang w:eastAsia="zh-CN"/>
              </w:rPr>
            </w:pPr>
            <w:r>
              <w:rPr>
                <w:rFonts w:ascii="宋体" w:hAnsi="宋体" w:eastAsia="宋体" w:cs="宋体"/>
                <w:b/>
                <w:bCs/>
                <w:sz w:val="24"/>
                <w:szCs w:val="24"/>
              </w:rPr>
              <w:t>0-</w:t>
            </w:r>
            <w:r>
              <w:rPr>
                <w:rFonts w:hint="eastAsia" w:ascii="宋体" w:hAnsi="宋体" w:cs="宋体"/>
                <w:b/>
                <w:bCs/>
                <w:sz w:val="24"/>
                <w:szCs w:val="24"/>
                <w:lang w:val="en-US" w:eastAsia="zh-CN"/>
              </w:rPr>
              <w:t>4</w:t>
            </w:r>
          </w:p>
        </w:tc>
      </w:tr>
      <w:tr w14:paraId="1AA85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1" w:type="dxa"/>
            <w:vAlign w:val="center"/>
          </w:tcPr>
          <w:p w14:paraId="63D097CF">
            <w:pPr>
              <w:spacing w:line="312" w:lineRule="auto"/>
              <w:jc w:val="center"/>
              <w:rPr>
                <w:rFonts w:ascii="宋体" w:hAnsi="宋体" w:eastAsia="宋体" w:cs="宋体"/>
                <w:b/>
                <w:bCs/>
                <w:sz w:val="24"/>
                <w:szCs w:val="24"/>
                <w:highlight w:val="none"/>
              </w:rPr>
            </w:pPr>
            <w:r>
              <w:rPr>
                <w:rFonts w:hint="eastAsia" w:ascii="宋体" w:hAnsi="宋体" w:eastAsia="宋体" w:cs="宋体"/>
                <w:b/>
                <w:bCs/>
                <w:spacing w:val="5"/>
                <w:sz w:val="24"/>
                <w:szCs w:val="24"/>
                <w:highlight w:val="none"/>
              </w:rPr>
              <w:t>信</w:t>
            </w:r>
            <w:r>
              <w:rPr>
                <w:rFonts w:hint="eastAsia" w:ascii="宋体" w:hAnsi="宋体" w:eastAsia="宋体" w:cs="宋体"/>
                <w:b/>
                <w:bCs/>
                <w:spacing w:val="4"/>
                <w:sz w:val="24"/>
                <w:szCs w:val="24"/>
                <w:highlight w:val="none"/>
              </w:rPr>
              <w:t>用</w:t>
            </w:r>
          </w:p>
        </w:tc>
        <w:tc>
          <w:tcPr>
            <w:tcW w:w="5566" w:type="dxa"/>
            <w:vAlign w:val="center"/>
          </w:tcPr>
          <w:p w14:paraId="59712168">
            <w:pPr>
              <w:spacing w:line="312" w:lineRule="auto"/>
              <w:jc w:val="left"/>
              <w:rPr>
                <w:rFonts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响应人(分支机构报名的以授权其响应的总公司信息为准)具有</w:t>
            </w:r>
            <w:r>
              <w:rPr>
                <w:rFonts w:hint="eastAsia" w:ascii="宋体" w:hAnsi="宋体" w:cs="宋体"/>
                <w:b w:val="0"/>
                <w:bCs w:val="0"/>
                <w:color w:val="auto"/>
                <w:sz w:val="24"/>
                <w:szCs w:val="24"/>
                <w:highlight w:val="none"/>
                <w:lang w:val="en-US" w:eastAsia="zh-CN"/>
              </w:rPr>
              <w:t>2023年度</w:t>
            </w:r>
            <w:r>
              <w:rPr>
                <w:rFonts w:hint="eastAsia" w:ascii="宋体" w:hAnsi="宋体" w:eastAsia="宋体" w:cs="宋体"/>
                <w:b w:val="0"/>
                <w:bCs w:val="0"/>
                <w:color w:val="auto"/>
                <w:sz w:val="24"/>
                <w:szCs w:val="24"/>
                <w:highlight w:val="none"/>
              </w:rPr>
              <w:t>穆迪或标普或惠誉其中任意一个评级A级及以上的得</w:t>
            </w:r>
            <w:r>
              <w:rPr>
                <w:rFonts w:hint="eastAsia" w:ascii="宋体" w:hAnsi="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rPr>
              <w:t>分，具有</w:t>
            </w:r>
            <w:r>
              <w:rPr>
                <w:rFonts w:hint="eastAsia" w:ascii="宋体" w:hAnsi="宋体" w:cs="宋体"/>
                <w:b w:val="0"/>
                <w:bCs w:val="0"/>
                <w:color w:val="auto"/>
                <w:sz w:val="24"/>
                <w:szCs w:val="24"/>
                <w:highlight w:val="none"/>
                <w:lang w:val="en-US" w:eastAsia="zh-CN"/>
              </w:rPr>
              <w:t>2023年度</w:t>
            </w:r>
            <w:r>
              <w:rPr>
                <w:rFonts w:hint="eastAsia" w:ascii="宋体" w:hAnsi="宋体" w:eastAsia="宋体" w:cs="宋体"/>
                <w:b w:val="0"/>
                <w:bCs w:val="0"/>
                <w:color w:val="auto"/>
                <w:sz w:val="24"/>
                <w:szCs w:val="24"/>
                <w:highlight w:val="none"/>
              </w:rPr>
              <w:t>穆迪或标普或惠誉其中任意一个评级A级以下(不含A级)的得</w:t>
            </w: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分，</w:t>
            </w:r>
            <w:r>
              <w:rPr>
                <w:rFonts w:hint="eastAsia" w:ascii="宋体" w:hAnsi="宋体" w:cs="宋体"/>
                <w:b w:val="0"/>
                <w:bCs w:val="0"/>
                <w:color w:val="auto"/>
                <w:sz w:val="24"/>
                <w:szCs w:val="24"/>
                <w:highlight w:val="none"/>
                <w:lang w:val="en-US" w:eastAsia="zh-CN"/>
              </w:rPr>
              <w:t>未提供的不得分，</w:t>
            </w:r>
            <w:r>
              <w:rPr>
                <w:rFonts w:hint="eastAsia" w:ascii="宋体" w:hAnsi="宋体" w:eastAsia="宋体" w:cs="宋体"/>
                <w:b w:val="0"/>
                <w:bCs w:val="0"/>
                <w:color w:val="auto"/>
                <w:sz w:val="24"/>
                <w:szCs w:val="24"/>
                <w:highlight w:val="none"/>
              </w:rPr>
              <w:t>本项最高得</w:t>
            </w:r>
            <w:r>
              <w:rPr>
                <w:rFonts w:hint="eastAsia" w:ascii="宋体" w:hAnsi="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rPr>
              <w:t>分。(提供上述任意一家评级机构出具的证书)</w:t>
            </w:r>
          </w:p>
        </w:tc>
        <w:tc>
          <w:tcPr>
            <w:tcW w:w="1193" w:type="dxa"/>
            <w:vAlign w:val="center"/>
          </w:tcPr>
          <w:p w14:paraId="3E573A90">
            <w:pPr>
              <w:spacing w:line="312" w:lineRule="auto"/>
              <w:jc w:val="center"/>
              <w:rPr>
                <w:rFonts w:hint="eastAsia" w:ascii="宋体" w:hAnsi="宋体" w:eastAsia="宋体" w:cs="宋体"/>
                <w:b/>
                <w:bCs/>
                <w:sz w:val="24"/>
                <w:szCs w:val="24"/>
                <w:lang w:eastAsia="zh-CN"/>
              </w:rPr>
            </w:pPr>
            <w:r>
              <w:rPr>
                <w:rFonts w:ascii="宋体" w:hAnsi="宋体" w:eastAsia="宋体" w:cs="宋体"/>
                <w:b/>
                <w:bCs/>
                <w:sz w:val="24"/>
                <w:szCs w:val="24"/>
              </w:rPr>
              <w:t>0-</w:t>
            </w:r>
            <w:r>
              <w:rPr>
                <w:rFonts w:hint="eastAsia" w:ascii="宋体" w:hAnsi="宋体" w:cs="宋体"/>
                <w:b/>
                <w:bCs/>
                <w:sz w:val="24"/>
                <w:szCs w:val="24"/>
                <w:lang w:val="en-US" w:eastAsia="zh-CN"/>
              </w:rPr>
              <w:t>7</w:t>
            </w:r>
          </w:p>
        </w:tc>
      </w:tr>
      <w:tr w14:paraId="733A1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621" w:type="dxa"/>
            <w:vAlign w:val="center"/>
          </w:tcPr>
          <w:p w14:paraId="79872D53">
            <w:pPr>
              <w:spacing w:line="312" w:lineRule="auto"/>
              <w:jc w:val="center"/>
              <w:rPr>
                <w:rFonts w:ascii="宋体" w:hAnsi="宋体" w:eastAsia="宋体" w:cs="宋体"/>
                <w:b/>
                <w:bCs/>
                <w:spacing w:val="5"/>
                <w:sz w:val="24"/>
                <w:szCs w:val="24"/>
              </w:rPr>
            </w:pPr>
            <w:r>
              <w:rPr>
                <w:rFonts w:hint="eastAsia" w:ascii="宋体" w:hAnsi="宋体" w:eastAsia="宋体" w:cs="宋体"/>
                <w:b/>
                <w:bCs/>
                <w:spacing w:val="5"/>
                <w:sz w:val="24"/>
                <w:szCs w:val="24"/>
              </w:rPr>
              <w:t>综合偿付能力</w:t>
            </w:r>
          </w:p>
        </w:tc>
        <w:tc>
          <w:tcPr>
            <w:tcW w:w="5566" w:type="dxa"/>
            <w:vAlign w:val="center"/>
          </w:tcPr>
          <w:p w14:paraId="785F4697">
            <w:pPr>
              <w:spacing w:line="312" w:lineRule="auto"/>
              <w:jc w:val="left"/>
              <w:rPr>
                <w:rFonts w:ascii="宋体" w:hAnsi="宋体" w:eastAsia="宋体" w:cs="宋体"/>
                <w:b w:val="0"/>
                <w:bCs w:val="0"/>
                <w:color w:val="auto"/>
                <w:sz w:val="24"/>
                <w:szCs w:val="24"/>
              </w:rPr>
            </w:pPr>
            <w:r>
              <w:rPr>
                <w:rFonts w:hint="eastAsia" w:ascii="宋体" w:hAnsi="宋体" w:eastAsia="宋体" w:cs="宋体"/>
                <w:b w:val="0"/>
                <w:bCs w:val="0"/>
                <w:color w:val="auto"/>
                <w:sz w:val="24"/>
                <w:szCs w:val="24"/>
              </w:rPr>
              <w:t>偿付能力充足率</w:t>
            </w:r>
          </w:p>
          <w:p w14:paraId="7CFFECB7">
            <w:pPr>
              <w:spacing w:line="312" w:lineRule="auto"/>
              <w:jc w:val="left"/>
              <w:rPr>
                <w:rFonts w:ascii="宋体" w:hAnsi="宋体" w:eastAsia="宋体" w:cs="宋体"/>
                <w:b w:val="0"/>
                <w:bCs w:val="0"/>
                <w:color w:val="auto"/>
                <w:sz w:val="24"/>
                <w:szCs w:val="24"/>
              </w:rPr>
            </w:pPr>
            <w:r>
              <w:rPr>
                <w:rFonts w:hint="eastAsia" w:ascii="宋体" w:hAnsi="宋体" w:eastAsia="宋体" w:cs="宋体"/>
                <w:b w:val="0"/>
                <w:bCs w:val="0"/>
                <w:color w:val="auto"/>
                <w:sz w:val="24"/>
                <w:szCs w:val="24"/>
              </w:rPr>
              <w:t>响应人(分支机构报名的以授权其响应的总公司信息为准)</w:t>
            </w:r>
            <w:r>
              <w:rPr>
                <w:rFonts w:ascii="宋体" w:hAnsi="宋体" w:eastAsia="宋体" w:cs="宋体"/>
                <w:b w:val="0"/>
                <w:bCs w:val="0"/>
                <w:color w:val="auto"/>
                <w:sz w:val="24"/>
                <w:szCs w:val="24"/>
              </w:rPr>
              <w:t>202</w:t>
            </w:r>
            <w:r>
              <w:rPr>
                <w:rFonts w:hint="eastAsia" w:ascii="宋体" w:hAnsi="宋体" w:eastAsia="宋体" w:cs="宋体"/>
                <w:b w:val="0"/>
                <w:bCs w:val="0"/>
                <w:color w:val="auto"/>
                <w:sz w:val="24"/>
                <w:szCs w:val="24"/>
              </w:rPr>
              <w:t>3年综合偿付能力充足率</w:t>
            </w:r>
            <w:r>
              <w:rPr>
                <w:rFonts w:ascii="宋体" w:hAnsi="宋体" w:eastAsia="宋体" w:cs="宋体"/>
                <w:b w:val="0"/>
                <w:bCs w:val="0"/>
                <w:color w:val="auto"/>
                <w:sz w:val="24"/>
                <w:szCs w:val="24"/>
              </w:rPr>
              <w:t>200%以上得</w:t>
            </w:r>
            <w:r>
              <w:rPr>
                <w:rFonts w:hint="eastAsia" w:ascii="宋体" w:hAnsi="宋体" w:cs="宋体"/>
                <w:b w:val="0"/>
                <w:bCs w:val="0"/>
                <w:color w:val="auto"/>
                <w:sz w:val="24"/>
                <w:szCs w:val="24"/>
                <w:lang w:val="en-US" w:eastAsia="zh-CN"/>
              </w:rPr>
              <w:t>7</w:t>
            </w:r>
            <w:r>
              <w:rPr>
                <w:rFonts w:hint="eastAsia" w:ascii="宋体" w:hAnsi="宋体" w:eastAsia="宋体" w:cs="宋体"/>
                <w:b w:val="0"/>
                <w:bCs w:val="0"/>
                <w:color w:val="auto"/>
                <w:sz w:val="24"/>
                <w:szCs w:val="24"/>
              </w:rPr>
              <w:t>分，综合偿付能力充足率</w:t>
            </w:r>
            <w:r>
              <w:rPr>
                <w:rFonts w:ascii="宋体" w:hAnsi="宋体" w:eastAsia="宋体" w:cs="宋体"/>
                <w:b w:val="0"/>
                <w:bCs w:val="0"/>
                <w:color w:val="auto"/>
                <w:sz w:val="24"/>
                <w:szCs w:val="24"/>
              </w:rPr>
              <w:t>150%以上得</w:t>
            </w:r>
            <w:r>
              <w:rPr>
                <w:rFonts w:hint="eastAsia" w:ascii="宋体" w:hAnsi="宋体" w:cs="宋体"/>
                <w:b w:val="0"/>
                <w:bCs w:val="0"/>
                <w:color w:val="auto"/>
                <w:sz w:val="24"/>
                <w:szCs w:val="24"/>
                <w:lang w:val="en-US" w:eastAsia="zh-CN"/>
              </w:rPr>
              <w:t>5</w:t>
            </w:r>
            <w:r>
              <w:rPr>
                <w:rFonts w:hint="eastAsia" w:ascii="宋体" w:hAnsi="宋体" w:eastAsia="宋体" w:cs="宋体"/>
                <w:b w:val="0"/>
                <w:bCs w:val="0"/>
                <w:color w:val="auto"/>
                <w:sz w:val="24"/>
                <w:szCs w:val="24"/>
              </w:rPr>
              <w:t>分，综合偿付能力充足率</w:t>
            </w:r>
            <w:r>
              <w:rPr>
                <w:rFonts w:ascii="宋体" w:hAnsi="宋体" w:eastAsia="宋体" w:cs="宋体"/>
                <w:b w:val="0"/>
                <w:bCs w:val="0"/>
                <w:color w:val="auto"/>
                <w:sz w:val="24"/>
                <w:szCs w:val="24"/>
              </w:rPr>
              <w:t>120%以上得</w:t>
            </w:r>
            <w:r>
              <w:rPr>
                <w:rFonts w:hint="eastAsia" w:ascii="宋体" w:hAnsi="宋体" w:cs="宋体"/>
                <w:b w:val="0"/>
                <w:bCs w:val="0"/>
                <w:color w:val="auto"/>
                <w:sz w:val="24"/>
                <w:szCs w:val="24"/>
                <w:lang w:val="en-US" w:eastAsia="zh-CN"/>
              </w:rPr>
              <w:t>3</w:t>
            </w:r>
            <w:r>
              <w:rPr>
                <w:rFonts w:hint="eastAsia" w:ascii="宋体" w:hAnsi="宋体" w:eastAsia="宋体" w:cs="宋体"/>
                <w:b w:val="0"/>
                <w:bCs w:val="0"/>
                <w:color w:val="auto"/>
                <w:sz w:val="24"/>
                <w:szCs w:val="24"/>
              </w:rPr>
              <w:t>分</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其余不得分。</w:t>
            </w:r>
          </w:p>
          <w:p w14:paraId="60122BCE">
            <w:pPr>
              <w:rPr>
                <w:rFonts w:ascii="宋体" w:hAnsi="宋体" w:eastAsia="宋体" w:cs="宋体"/>
                <w:b w:val="0"/>
                <w:bCs w:val="0"/>
                <w:color w:val="auto"/>
                <w:sz w:val="24"/>
                <w:szCs w:val="24"/>
              </w:rPr>
            </w:pPr>
            <w:r>
              <w:rPr>
                <w:rFonts w:hint="eastAsia" w:ascii="宋体" w:hAnsi="宋体" w:eastAsia="宋体" w:cs="宋体"/>
                <w:b w:val="0"/>
                <w:bCs w:val="0"/>
                <w:color w:val="auto"/>
                <w:sz w:val="24"/>
                <w:szCs w:val="24"/>
              </w:rPr>
              <w:t>（须提供相关证明文件复印件并加盖公章）</w:t>
            </w:r>
          </w:p>
        </w:tc>
        <w:tc>
          <w:tcPr>
            <w:tcW w:w="1193" w:type="dxa"/>
            <w:vAlign w:val="center"/>
          </w:tcPr>
          <w:p w14:paraId="4078D802">
            <w:pPr>
              <w:spacing w:line="312" w:lineRule="auto"/>
              <w:jc w:val="center"/>
              <w:rPr>
                <w:rFonts w:hint="eastAsia" w:ascii="宋体" w:hAnsi="宋体" w:eastAsia="宋体" w:cs="宋体"/>
                <w:b/>
                <w:bCs/>
                <w:sz w:val="24"/>
                <w:szCs w:val="24"/>
                <w:lang w:val="en-US" w:eastAsia="zh-CN"/>
              </w:rPr>
            </w:pPr>
            <w:r>
              <w:rPr>
                <w:rFonts w:ascii="宋体" w:hAnsi="宋体" w:eastAsia="宋体" w:cs="宋体"/>
                <w:b/>
                <w:bCs/>
                <w:sz w:val="24"/>
                <w:szCs w:val="24"/>
              </w:rPr>
              <w:t>0-</w:t>
            </w:r>
            <w:r>
              <w:rPr>
                <w:rFonts w:hint="eastAsia" w:ascii="宋体" w:hAnsi="宋体" w:cs="宋体"/>
                <w:b/>
                <w:bCs/>
                <w:sz w:val="24"/>
                <w:szCs w:val="24"/>
                <w:lang w:val="en-US" w:eastAsia="zh-CN"/>
              </w:rPr>
              <w:t>7</w:t>
            </w:r>
          </w:p>
        </w:tc>
      </w:tr>
      <w:tr w14:paraId="42E3A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1621" w:type="dxa"/>
            <w:vAlign w:val="center"/>
          </w:tcPr>
          <w:p w14:paraId="0C798DE6">
            <w:pPr>
              <w:spacing w:line="312" w:lineRule="auto"/>
              <w:jc w:val="center"/>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亿元保费投诉</w:t>
            </w:r>
          </w:p>
        </w:tc>
        <w:tc>
          <w:tcPr>
            <w:tcW w:w="5566" w:type="dxa"/>
            <w:vAlign w:val="center"/>
          </w:tcPr>
          <w:p w14:paraId="60489DAE">
            <w:pPr>
              <w:spacing w:line="312" w:lineRule="auto"/>
              <w:jc w:val="left"/>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响应供应商浙江省级分公司2023年度亿元保费投诉量情况证明材料，亿元保费投诉案件</w:t>
            </w:r>
            <w:r>
              <w:rPr>
                <w:rFonts w:hint="eastAsia" w:ascii="宋体" w:hAnsi="宋体" w:cs="宋体"/>
                <w:b w:val="0"/>
                <w:bCs w:val="0"/>
                <w:color w:val="auto"/>
                <w:sz w:val="24"/>
                <w:szCs w:val="24"/>
                <w:highlight w:val="none"/>
                <w:lang w:val="en-US" w:eastAsia="zh-CN"/>
              </w:rPr>
              <w:t>0.51</w:t>
            </w:r>
            <w:r>
              <w:rPr>
                <w:rFonts w:hint="eastAsia" w:ascii="宋体" w:hAnsi="宋体" w:eastAsia="宋体" w:cs="宋体"/>
                <w:b w:val="0"/>
                <w:bCs w:val="0"/>
                <w:color w:val="auto"/>
                <w:sz w:val="24"/>
                <w:szCs w:val="24"/>
                <w:highlight w:val="none"/>
              </w:rPr>
              <w:t>件/亿元</w:t>
            </w:r>
            <w:r>
              <w:rPr>
                <w:rFonts w:hint="eastAsia" w:ascii="宋体" w:hAnsi="宋体" w:cs="宋体"/>
                <w:b w:val="0"/>
                <w:bCs w:val="0"/>
                <w:color w:val="auto"/>
                <w:sz w:val="24"/>
                <w:szCs w:val="24"/>
                <w:highlight w:val="none"/>
                <w:lang w:val="en-US" w:eastAsia="zh-CN"/>
              </w:rPr>
              <w:t>及</w:t>
            </w:r>
            <w:r>
              <w:rPr>
                <w:rFonts w:hint="eastAsia" w:ascii="宋体" w:hAnsi="宋体" w:eastAsia="宋体" w:cs="宋体"/>
                <w:b w:val="0"/>
                <w:bCs w:val="0"/>
                <w:color w:val="auto"/>
                <w:sz w:val="24"/>
                <w:szCs w:val="24"/>
                <w:highlight w:val="none"/>
              </w:rPr>
              <w:t>以下的得</w:t>
            </w:r>
            <w:r>
              <w:rPr>
                <w:rFonts w:hint="eastAsia" w:ascii="宋体" w:hAnsi="宋体"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rPr>
              <w:t>分，每增加0.</w:t>
            </w:r>
            <w:r>
              <w:rPr>
                <w:rFonts w:hint="eastAsia" w:ascii="宋体" w:hAnsi="宋体" w:cs="宋体"/>
                <w:b w:val="0"/>
                <w:bCs w:val="0"/>
                <w:color w:val="auto"/>
                <w:sz w:val="24"/>
                <w:szCs w:val="24"/>
                <w:highlight w:val="none"/>
                <w:lang w:val="en-US" w:eastAsia="zh-CN"/>
              </w:rPr>
              <w:t>01</w:t>
            </w:r>
            <w:r>
              <w:rPr>
                <w:rFonts w:hint="eastAsia" w:ascii="宋体" w:hAnsi="宋体" w:eastAsia="宋体" w:cs="宋体"/>
                <w:b w:val="0"/>
                <w:bCs w:val="0"/>
                <w:color w:val="auto"/>
                <w:sz w:val="24"/>
                <w:szCs w:val="24"/>
                <w:highlight w:val="none"/>
              </w:rPr>
              <w:t>件/亿元</w:t>
            </w:r>
            <w:r>
              <w:rPr>
                <w:rFonts w:hint="eastAsia" w:ascii="宋体" w:hAnsi="宋体" w:cs="宋体"/>
                <w:b w:val="0"/>
                <w:bCs w:val="0"/>
                <w:color w:val="auto"/>
                <w:sz w:val="24"/>
                <w:szCs w:val="24"/>
                <w:highlight w:val="none"/>
                <w:lang w:val="en-US" w:eastAsia="zh-CN"/>
              </w:rPr>
              <w:t>减</w:t>
            </w:r>
            <w:r>
              <w:rPr>
                <w:rFonts w:hint="eastAsia" w:ascii="宋体" w:hAnsi="宋体" w:eastAsia="宋体" w:cs="宋体"/>
                <w:b w:val="0"/>
                <w:bCs w:val="0"/>
                <w:color w:val="auto"/>
                <w:sz w:val="24"/>
                <w:szCs w:val="24"/>
                <w:highlight w:val="none"/>
              </w:rPr>
              <w:t>0.</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分，扣完为止。(提供浙江省监管局出具的 2023 银行业保险业消费投诉情况的通报文件及统计表并加盖公章，不提供不得分)。</w:t>
            </w:r>
          </w:p>
        </w:tc>
        <w:tc>
          <w:tcPr>
            <w:tcW w:w="1193" w:type="dxa"/>
            <w:vAlign w:val="center"/>
          </w:tcPr>
          <w:p w14:paraId="4302C907">
            <w:pPr>
              <w:spacing w:line="312" w:lineRule="auto"/>
              <w:jc w:val="center"/>
              <w:rPr>
                <w:rFonts w:hint="default" w:ascii="宋体" w:hAnsi="宋体" w:eastAsia="宋体" w:cs="宋体"/>
                <w:b/>
                <w:bCs/>
                <w:sz w:val="24"/>
                <w:szCs w:val="24"/>
                <w:highlight w:val="yellow"/>
                <w:lang w:val="en-US" w:eastAsia="zh-CN"/>
              </w:rPr>
            </w:pPr>
            <w:r>
              <w:rPr>
                <w:rFonts w:hint="eastAsia" w:ascii="宋体" w:hAnsi="宋体" w:cs="宋体"/>
                <w:b/>
                <w:bCs/>
                <w:sz w:val="24"/>
                <w:szCs w:val="24"/>
                <w:highlight w:val="none"/>
                <w:lang w:val="en-US" w:eastAsia="zh-CN"/>
              </w:rPr>
              <w:t>0</w:t>
            </w:r>
            <w:r>
              <w:rPr>
                <w:rFonts w:hint="eastAsia" w:ascii="宋体" w:hAnsi="宋体" w:eastAsia="宋体" w:cs="宋体"/>
                <w:b/>
                <w:bCs/>
                <w:sz w:val="24"/>
                <w:szCs w:val="24"/>
                <w:highlight w:val="none"/>
              </w:rPr>
              <w:t>-</w:t>
            </w:r>
            <w:r>
              <w:rPr>
                <w:rFonts w:hint="eastAsia" w:ascii="宋体" w:hAnsi="宋体" w:cs="宋体"/>
                <w:b/>
                <w:bCs/>
                <w:sz w:val="24"/>
                <w:szCs w:val="24"/>
                <w:highlight w:val="none"/>
                <w:lang w:val="en-US" w:eastAsia="zh-CN"/>
              </w:rPr>
              <w:t>8</w:t>
            </w:r>
          </w:p>
        </w:tc>
      </w:tr>
      <w:tr w14:paraId="1585D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1" w:type="dxa"/>
            <w:vAlign w:val="center"/>
          </w:tcPr>
          <w:p w14:paraId="31F417C0">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类似项目业绩</w:t>
            </w:r>
          </w:p>
        </w:tc>
        <w:tc>
          <w:tcPr>
            <w:tcW w:w="5566" w:type="dxa"/>
            <w:vAlign w:val="center"/>
          </w:tcPr>
          <w:p w14:paraId="76B692C2">
            <w:pPr>
              <w:spacing w:line="312" w:lineRule="auto"/>
              <w:jc w:val="left"/>
              <w:rPr>
                <w:rFonts w:ascii="宋体" w:hAnsi="宋体" w:eastAsia="宋体" w:cs="宋体"/>
                <w:b w:val="0"/>
                <w:bCs w:val="0"/>
                <w:color w:val="auto"/>
                <w:sz w:val="24"/>
                <w:szCs w:val="24"/>
              </w:rPr>
            </w:pPr>
            <w:r>
              <w:rPr>
                <w:rFonts w:hint="eastAsia" w:ascii="宋体" w:hAnsi="宋体" w:eastAsia="宋体" w:cs="宋体"/>
                <w:b w:val="0"/>
                <w:bCs w:val="0"/>
                <w:color w:val="auto"/>
                <w:sz w:val="24"/>
                <w:szCs w:val="24"/>
              </w:rPr>
              <w:t>响应人</w:t>
            </w:r>
            <w:r>
              <w:rPr>
                <w:rFonts w:ascii="宋体" w:hAnsi="宋体" w:eastAsia="宋体" w:cs="宋体"/>
                <w:b w:val="0"/>
                <w:bCs w:val="0"/>
                <w:color w:val="auto"/>
                <w:sz w:val="24"/>
                <w:szCs w:val="24"/>
              </w:rPr>
              <w:t>202</w:t>
            </w:r>
            <w:r>
              <w:rPr>
                <w:rFonts w:hint="eastAsia" w:ascii="宋体" w:hAnsi="宋体" w:eastAsia="宋体" w:cs="宋体"/>
                <w:b w:val="0"/>
                <w:bCs w:val="0"/>
                <w:color w:val="auto"/>
                <w:sz w:val="24"/>
                <w:szCs w:val="24"/>
              </w:rPr>
              <w:t>2年至今具有类似项目承保经验的，单独承保或主承保，每有一个得</w:t>
            </w:r>
            <w:r>
              <w:rPr>
                <w:rFonts w:ascii="宋体" w:hAnsi="宋体" w:eastAsia="宋体" w:cs="宋体"/>
                <w:b w:val="0"/>
                <w:bCs w:val="0"/>
                <w:color w:val="auto"/>
                <w:sz w:val="24"/>
                <w:szCs w:val="24"/>
              </w:rPr>
              <w:t>1</w:t>
            </w:r>
            <w:r>
              <w:rPr>
                <w:rFonts w:hint="eastAsia" w:ascii="宋体" w:hAnsi="宋体" w:eastAsia="宋体" w:cs="宋体"/>
                <w:b w:val="0"/>
                <w:bCs w:val="0"/>
                <w:color w:val="auto"/>
                <w:sz w:val="24"/>
                <w:szCs w:val="24"/>
              </w:rPr>
              <w:t>分，共同承保每有一个得</w:t>
            </w:r>
            <w:r>
              <w:rPr>
                <w:rFonts w:ascii="宋体" w:hAnsi="宋体" w:eastAsia="宋体" w:cs="宋体"/>
                <w:b w:val="0"/>
                <w:bCs w:val="0"/>
                <w:color w:val="auto"/>
                <w:sz w:val="24"/>
                <w:szCs w:val="24"/>
              </w:rPr>
              <w:t>0.5</w:t>
            </w:r>
            <w:r>
              <w:rPr>
                <w:rFonts w:hint="eastAsia" w:ascii="宋体" w:hAnsi="宋体" w:eastAsia="宋体" w:cs="宋体"/>
                <w:b w:val="0"/>
                <w:bCs w:val="0"/>
                <w:color w:val="auto"/>
                <w:sz w:val="24"/>
                <w:szCs w:val="24"/>
              </w:rPr>
              <w:t>分，最多得</w:t>
            </w: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分，没有承保经验得</w:t>
            </w:r>
            <w:r>
              <w:rPr>
                <w:rFonts w:ascii="宋体" w:hAnsi="宋体" w:eastAsia="宋体" w:cs="宋体"/>
                <w:b w:val="0"/>
                <w:bCs w:val="0"/>
                <w:color w:val="auto"/>
                <w:sz w:val="24"/>
                <w:szCs w:val="24"/>
              </w:rPr>
              <w:t>0分。</w:t>
            </w:r>
          </w:p>
          <w:p w14:paraId="77FBB4FF">
            <w:pPr>
              <w:rPr>
                <w:b w:val="0"/>
                <w:bCs w:val="0"/>
                <w:color w:val="auto"/>
              </w:rPr>
            </w:pPr>
            <w:r>
              <w:rPr>
                <w:rFonts w:ascii="宋体" w:hAnsi="宋体" w:eastAsia="宋体" w:cs="宋体"/>
                <w:b w:val="0"/>
                <w:bCs w:val="0"/>
                <w:color w:val="auto"/>
                <w:sz w:val="24"/>
                <w:szCs w:val="24"/>
              </w:rPr>
              <w:t>(以合同</w:t>
            </w:r>
            <w:r>
              <w:rPr>
                <w:rFonts w:hint="eastAsia" w:ascii="宋体" w:hAnsi="宋体" w:cs="宋体"/>
                <w:b w:val="0"/>
                <w:bCs w:val="0"/>
                <w:color w:val="auto"/>
                <w:sz w:val="24"/>
                <w:szCs w:val="24"/>
                <w:lang w:val="en-US" w:eastAsia="zh-CN"/>
              </w:rPr>
              <w:t>或保单</w:t>
            </w:r>
            <w:r>
              <w:rPr>
                <w:rFonts w:ascii="宋体" w:hAnsi="宋体" w:eastAsia="宋体" w:cs="宋体"/>
                <w:b w:val="0"/>
                <w:bCs w:val="0"/>
                <w:color w:val="auto"/>
                <w:sz w:val="24"/>
                <w:szCs w:val="24"/>
              </w:rPr>
              <w:t>签订时间为准。证明材料：合同</w:t>
            </w:r>
            <w:r>
              <w:rPr>
                <w:rFonts w:hint="eastAsia" w:ascii="宋体" w:hAnsi="宋体" w:cs="宋体"/>
                <w:b w:val="0"/>
                <w:bCs w:val="0"/>
                <w:color w:val="auto"/>
                <w:sz w:val="24"/>
                <w:szCs w:val="24"/>
                <w:lang w:val="en-US" w:eastAsia="zh-CN"/>
              </w:rPr>
              <w:t>或保单</w:t>
            </w:r>
            <w:r>
              <w:rPr>
                <w:rFonts w:ascii="宋体" w:hAnsi="宋体" w:eastAsia="宋体" w:cs="宋体"/>
                <w:b w:val="0"/>
                <w:bCs w:val="0"/>
                <w:color w:val="auto"/>
                <w:sz w:val="24"/>
                <w:szCs w:val="24"/>
              </w:rPr>
              <w:t>复印件并加盖公章)</w:t>
            </w:r>
          </w:p>
          <w:p w14:paraId="2E97E12F">
            <w:pPr>
              <w:spacing w:line="312" w:lineRule="auto"/>
              <w:jc w:val="left"/>
              <w:rPr>
                <w:rFonts w:ascii="宋体" w:hAnsi="宋体" w:eastAsia="宋体" w:cs="宋体"/>
                <w:b w:val="0"/>
                <w:bCs w:val="0"/>
                <w:color w:val="auto"/>
                <w:sz w:val="24"/>
                <w:szCs w:val="24"/>
              </w:rPr>
            </w:pPr>
          </w:p>
        </w:tc>
        <w:tc>
          <w:tcPr>
            <w:tcW w:w="1193" w:type="dxa"/>
            <w:vAlign w:val="center"/>
          </w:tcPr>
          <w:p w14:paraId="30452DFA">
            <w:pPr>
              <w:spacing w:line="312" w:lineRule="auto"/>
              <w:jc w:val="center"/>
              <w:rPr>
                <w:rFonts w:hint="eastAsia" w:ascii="宋体" w:hAnsi="宋体" w:eastAsia="宋体" w:cs="宋体"/>
                <w:b/>
                <w:bCs/>
                <w:sz w:val="24"/>
                <w:szCs w:val="24"/>
                <w:lang w:val="en-US" w:eastAsia="zh-CN"/>
              </w:rPr>
            </w:pPr>
            <w:r>
              <w:rPr>
                <w:rFonts w:ascii="宋体" w:hAnsi="宋体" w:eastAsia="宋体" w:cs="宋体"/>
                <w:b/>
                <w:bCs/>
                <w:sz w:val="24"/>
                <w:szCs w:val="24"/>
              </w:rPr>
              <w:t>0-</w:t>
            </w:r>
            <w:r>
              <w:rPr>
                <w:rFonts w:hint="eastAsia" w:ascii="宋体" w:hAnsi="宋体" w:eastAsia="宋体" w:cs="宋体"/>
                <w:b/>
                <w:bCs/>
                <w:sz w:val="24"/>
                <w:szCs w:val="24"/>
                <w:lang w:val="en-US" w:eastAsia="zh-CN"/>
              </w:rPr>
              <w:t>4</w:t>
            </w:r>
          </w:p>
        </w:tc>
      </w:tr>
    </w:tbl>
    <w:p w14:paraId="5819CA8A">
      <w:pPr>
        <w:autoSpaceDE w:val="0"/>
        <w:autoSpaceDN w:val="0"/>
        <w:adjustRightInd w:val="0"/>
        <w:spacing w:line="360" w:lineRule="auto"/>
        <w:ind w:firstLine="482" w:firstLineChars="200"/>
        <w:jc w:val="left"/>
        <w:rPr>
          <w:rFonts w:hint="eastAsia" w:ascii="仿宋" w:hAnsi="仿宋" w:eastAsia="仿宋" w:cs="仿宋"/>
          <w:b/>
          <w:bCs/>
          <w:color w:val="000000" w:themeColor="text1"/>
          <w:sz w:val="24"/>
          <w:szCs w:val="24"/>
          <w:highlight w:val="none"/>
          <w14:textFill>
            <w14:solidFill>
              <w14:schemeClr w14:val="tx1"/>
            </w14:solidFill>
          </w14:textFill>
        </w:rPr>
      </w:pPr>
    </w:p>
    <w:p w14:paraId="55DEA4BF">
      <w:pPr>
        <w:autoSpaceDE w:val="0"/>
        <w:autoSpaceDN w:val="0"/>
        <w:adjustRightInd w:val="0"/>
        <w:spacing w:line="360" w:lineRule="auto"/>
        <w:ind w:firstLine="482" w:firstLineChars="200"/>
        <w:jc w:val="lef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highlight w:val="none"/>
          <w:lang w:val="en-US" w:eastAsia="zh-CN"/>
          <w14:textFill>
            <w14:solidFill>
              <w14:schemeClr w14:val="tx1"/>
            </w14:solidFill>
          </w14:textFill>
        </w:rPr>
        <w:t>1.2</w:t>
      </w:r>
      <w:r>
        <w:rPr>
          <w:rFonts w:hint="eastAsia" w:ascii="仿宋" w:hAnsi="仿宋" w:eastAsia="仿宋" w:cs="仿宋"/>
          <w:b/>
          <w:bCs/>
          <w:color w:val="000000" w:themeColor="text1"/>
          <w:sz w:val="24"/>
          <w:highlight w:val="none"/>
          <w14:textFill>
            <w14:solidFill>
              <w14:schemeClr w14:val="tx1"/>
            </w14:solidFill>
          </w14:textFill>
        </w:rPr>
        <w:t>技术分</w:t>
      </w:r>
      <w:r>
        <w:rPr>
          <w:rFonts w:hint="eastAsia" w:ascii="仿宋" w:hAnsi="仿宋" w:eastAsia="仿宋" w:cs="仿宋"/>
          <w:b/>
          <w:bCs/>
          <w:color w:val="000000" w:themeColor="text1"/>
          <w:kern w:val="0"/>
          <w:sz w:val="24"/>
          <w:szCs w:val="24"/>
          <w:highlight w:val="none"/>
          <w:lang w:bidi="ar"/>
          <w14:textFill>
            <w14:solidFill>
              <w14:schemeClr w14:val="tx1"/>
            </w14:solidFill>
          </w14:textFill>
        </w:rPr>
        <w:t>（</w:t>
      </w:r>
      <w:r>
        <w:rPr>
          <w:rFonts w:hint="eastAsia" w:ascii="仿宋" w:hAnsi="仿宋" w:eastAsia="仿宋" w:cs="仿宋"/>
          <w:b/>
          <w:bCs/>
          <w:color w:val="000000" w:themeColor="text1"/>
          <w:kern w:val="0"/>
          <w:sz w:val="24"/>
          <w:szCs w:val="24"/>
          <w:highlight w:val="none"/>
          <w:lang w:val="en-US" w:eastAsia="zh-CN" w:bidi="ar"/>
          <w14:textFill>
            <w14:solidFill>
              <w14:schemeClr w14:val="tx1"/>
            </w14:solidFill>
          </w14:textFill>
        </w:rPr>
        <w:t>55</w:t>
      </w:r>
      <w:r>
        <w:rPr>
          <w:rFonts w:hint="eastAsia" w:ascii="仿宋" w:hAnsi="仿宋" w:eastAsia="仿宋" w:cs="仿宋"/>
          <w:b/>
          <w:bCs/>
          <w:color w:val="000000" w:themeColor="text1"/>
          <w:kern w:val="0"/>
          <w:sz w:val="24"/>
          <w:szCs w:val="24"/>
          <w:highlight w:val="none"/>
          <w:lang w:bidi="ar"/>
          <w14:textFill>
            <w14:solidFill>
              <w14:schemeClr w14:val="tx1"/>
            </w14:solidFill>
          </w14:textFill>
        </w:rPr>
        <w:t>分）</w:t>
      </w:r>
    </w:p>
    <w:tbl>
      <w:tblPr>
        <w:tblStyle w:val="62"/>
        <w:tblW w:w="83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974"/>
        <w:gridCol w:w="5213"/>
        <w:gridCol w:w="1193"/>
      </w:tblGrid>
      <w:tr w14:paraId="0E61BF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74" w:type="dxa"/>
            <w:vAlign w:val="center"/>
          </w:tcPr>
          <w:p w14:paraId="2A804039">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评审因素</w:t>
            </w:r>
          </w:p>
        </w:tc>
        <w:tc>
          <w:tcPr>
            <w:tcW w:w="5213" w:type="dxa"/>
            <w:vAlign w:val="center"/>
          </w:tcPr>
          <w:p w14:paraId="016026D4">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评审内容</w:t>
            </w:r>
          </w:p>
        </w:tc>
        <w:tc>
          <w:tcPr>
            <w:tcW w:w="1193" w:type="dxa"/>
            <w:vAlign w:val="center"/>
          </w:tcPr>
          <w:p w14:paraId="52344EA7">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分值范围</w:t>
            </w:r>
          </w:p>
        </w:tc>
      </w:tr>
      <w:tr w14:paraId="573988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74" w:type="dxa"/>
            <w:vAlign w:val="center"/>
          </w:tcPr>
          <w:p w14:paraId="454F00E0">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服务方案</w:t>
            </w:r>
          </w:p>
        </w:tc>
        <w:tc>
          <w:tcPr>
            <w:tcW w:w="5213" w:type="dxa"/>
            <w:vAlign w:val="center"/>
          </w:tcPr>
          <w:p w14:paraId="31CA3F4F">
            <w:pPr>
              <w:rPr>
                <w:rFonts w:ascii="宋体" w:hAnsi="宋体" w:eastAsia="宋体" w:cs="宋体"/>
                <w:b/>
                <w:bCs/>
                <w:sz w:val="24"/>
                <w:szCs w:val="24"/>
              </w:rPr>
            </w:pPr>
            <w:r>
              <w:rPr>
                <w:rFonts w:hint="eastAsia" w:ascii="宋体" w:hAnsi="宋体" w:eastAsia="宋体" w:cs="宋体"/>
                <w:b w:val="0"/>
                <w:bCs w:val="0"/>
                <w:sz w:val="24"/>
                <w:szCs w:val="24"/>
              </w:rPr>
              <w:t>保险方案的合理性、科学性、全面性</w:t>
            </w:r>
            <w:r>
              <w:rPr>
                <w:rFonts w:ascii="宋体" w:hAnsi="宋体" w:eastAsia="宋体" w:cs="宋体"/>
                <w:b w:val="0"/>
                <w:bCs w:val="0"/>
                <w:sz w:val="24"/>
                <w:szCs w:val="24"/>
              </w:rPr>
              <w:t xml:space="preserve"> (根据对本项目的</w:t>
            </w:r>
            <w:r>
              <w:rPr>
                <w:rFonts w:hint="eastAsia" w:ascii="宋体" w:hAnsi="宋体" w:eastAsia="宋体" w:cs="宋体"/>
                <w:b w:val="0"/>
                <w:bCs w:val="0"/>
                <w:sz w:val="24"/>
                <w:szCs w:val="24"/>
              </w:rPr>
              <w:t>理解程度、组织实施、独到优势等情况综合评定打分</w:t>
            </w:r>
            <w:r>
              <w:rPr>
                <w:rFonts w:ascii="宋体" w:hAnsi="宋体" w:eastAsia="宋体" w:cs="宋体"/>
                <w:b w:val="0"/>
                <w:bCs w:val="0"/>
                <w:sz w:val="24"/>
                <w:szCs w:val="24"/>
              </w:rPr>
              <w:t>)</w:t>
            </w:r>
            <w:r>
              <w:rPr>
                <w:rFonts w:hint="eastAsia" w:ascii="宋体" w:hAnsi="宋体" w:cs="宋体"/>
                <w:b w:val="0"/>
                <w:bCs w:val="0"/>
                <w:sz w:val="24"/>
                <w:szCs w:val="24"/>
                <w:lang w:eastAsia="zh-CN"/>
              </w:rPr>
              <w:t>；</w:t>
            </w:r>
            <w:r>
              <w:rPr>
                <w:rFonts w:ascii="宋体" w:hAnsi="宋体" w:eastAsia="宋体" w:cs="宋体"/>
                <w:b w:val="0"/>
                <w:bCs w:val="0"/>
                <w:sz w:val="24"/>
                <w:szCs w:val="24"/>
              </w:rPr>
              <w:t xml:space="preserve"> </w:t>
            </w:r>
            <w:r>
              <w:rPr>
                <w:rFonts w:hint="eastAsia" w:ascii="宋体" w:hAnsi="宋体" w:eastAsia="宋体" w:cs="宋体"/>
                <w:b w:val="0"/>
                <w:bCs w:val="0"/>
                <w:sz w:val="24"/>
                <w:szCs w:val="24"/>
              </w:rPr>
              <w:t>方案内容完整且与项目匹配度好的得</w:t>
            </w:r>
            <w:r>
              <w:rPr>
                <w:rFonts w:hint="eastAsia" w:ascii="宋体" w:hAnsi="宋体" w:cs="宋体"/>
                <w:b w:val="0"/>
                <w:bCs w:val="0"/>
                <w:sz w:val="24"/>
                <w:szCs w:val="24"/>
                <w:lang w:val="en-US" w:eastAsia="zh-CN"/>
              </w:rPr>
              <w:t>6-5</w:t>
            </w:r>
            <w:r>
              <w:rPr>
                <w:rFonts w:hint="eastAsia" w:ascii="宋体" w:hAnsi="宋体" w:eastAsia="宋体" w:cs="宋体"/>
                <w:b w:val="0"/>
                <w:bCs w:val="0"/>
                <w:sz w:val="24"/>
                <w:szCs w:val="24"/>
              </w:rPr>
              <w:t>分；方案内容基本完整且与项目匹配度较好的得</w:t>
            </w:r>
            <w:r>
              <w:rPr>
                <w:rFonts w:hint="eastAsia" w:ascii="宋体" w:hAnsi="宋体" w:cs="宋体"/>
                <w:b w:val="0"/>
                <w:bCs w:val="0"/>
                <w:sz w:val="24"/>
                <w:szCs w:val="24"/>
                <w:lang w:val="en-US" w:eastAsia="zh-CN"/>
              </w:rPr>
              <w:t>4-3</w:t>
            </w:r>
            <w:r>
              <w:rPr>
                <w:rFonts w:hint="eastAsia" w:ascii="宋体" w:hAnsi="宋体" w:eastAsia="宋体" w:cs="宋体"/>
                <w:b w:val="0"/>
                <w:bCs w:val="0"/>
                <w:sz w:val="24"/>
                <w:szCs w:val="24"/>
              </w:rPr>
              <w:t>分；方案内容存在欠缺或与项目匹配度一般的得</w:t>
            </w:r>
            <w:r>
              <w:rPr>
                <w:rFonts w:hint="eastAsia" w:ascii="宋体" w:hAnsi="宋体" w:cs="宋体"/>
                <w:b w:val="0"/>
                <w:bCs w:val="0"/>
                <w:sz w:val="24"/>
                <w:szCs w:val="24"/>
                <w:lang w:val="en-US" w:eastAsia="zh-CN"/>
              </w:rPr>
              <w:t>2-1</w:t>
            </w:r>
            <w:r>
              <w:rPr>
                <w:rFonts w:hint="eastAsia" w:ascii="宋体" w:hAnsi="宋体" w:eastAsia="宋体" w:cs="宋体"/>
                <w:b w:val="0"/>
                <w:bCs w:val="0"/>
                <w:sz w:val="24"/>
                <w:szCs w:val="24"/>
              </w:rPr>
              <w:t>分；方案内容缺失严重或与项目不匹配的不得分。</w:t>
            </w:r>
          </w:p>
        </w:tc>
        <w:tc>
          <w:tcPr>
            <w:tcW w:w="1193" w:type="dxa"/>
            <w:vAlign w:val="center"/>
          </w:tcPr>
          <w:p w14:paraId="70744AD8">
            <w:pPr>
              <w:spacing w:line="312" w:lineRule="auto"/>
              <w:jc w:val="center"/>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0</w:t>
            </w:r>
            <w:r>
              <w:rPr>
                <w:rFonts w:ascii="宋体" w:hAnsi="宋体" w:eastAsia="宋体" w:cs="宋体"/>
                <w:b/>
                <w:bCs/>
                <w:sz w:val="24"/>
                <w:szCs w:val="24"/>
              </w:rPr>
              <w:t>-</w:t>
            </w:r>
            <w:r>
              <w:rPr>
                <w:rFonts w:hint="eastAsia" w:ascii="宋体" w:hAnsi="宋体" w:cs="宋体"/>
                <w:b/>
                <w:bCs/>
                <w:sz w:val="24"/>
                <w:szCs w:val="24"/>
                <w:lang w:val="en-US" w:eastAsia="zh-CN"/>
              </w:rPr>
              <w:t>6</w:t>
            </w:r>
          </w:p>
        </w:tc>
      </w:tr>
      <w:tr w14:paraId="3F40FD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6" w:hRule="atLeast"/>
          <w:jc w:val="center"/>
        </w:trPr>
        <w:tc>
          <w:tcPr>
            <w:tcW w:w="1974" w:type="dxa"/>
            <w:vMerge w:val="restart"/>
            <w:vAlign w:val="center"/>
          </w:tcPr>
          <w:p w14:paraId="5C2A728A">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服务进度计划和保障措施</w:t>
            </w:r>
          </w:p>
        </w:tc>
        <w:tc>
          <w:tcPr>
            <w:tcW w:w="5213" w:type="dxa"/>
            <w:vAlign w:val="center"/>
          </w:tcPr>
          <w:p w14:paraId="356F9AAA">
            <w:pPr>
              <w:spacing w:line="312" w:lineRule="auto"/>
              <w:jc w:val="left"/>
              <w:rPr>
                <w:rFonts w:ascii="宋体" w:hAnsi="宋体" w:eastAsia="宋体" w:cs="宋体"/>
                <w:b/>
                <w:bCs/>
                <w:sz w:val="24"/>
                <w:szCs w:val="24"/>
              </w:rPr>
            </w:pPr>
            <w:r>
              <w:rPr>
                <w:rFonts w:hint="eastAsia" w:ascii="宋体" w:hAnsi="宋体" w:eastAsia="宋体" w:cs="宋体"/>
                <w:b w:val="0"/>
                <w:bCs w:val="0"/>
                <w:sz w:val="24"/>
                <w:szCs w:val="24"/>
              </w:rPr>
              <w:t>服务质量保证情况</w:t>
            </w:r>
            <w:r>
              <w:rPr>
                <w:rFonts w:ascii="宋体" w:hAnsi="宋体" w:eastAsia="宋体" w:cs="宋体"/>
                <w:b w:val="0"/>
                <w:bCs w:val="0"/>
                <w:sz w:val="24"/>
                <w:szCs w:val="24"/>
              </w:rPr>
              <w:t xml:space="preserve"> (根据可实现程度、提供优惠条款、 </w:t>
            </w:r>
            <w:r>
              <w:rPr>
                <w:rFonts w:hint="eastAsia" w:ascii="宋体" w:hAnsi="宋体" w:eastAsia="宋体" w:cs="宋体"/>
                <w:b w:val="0"/>
                <w:bCs w:val="0"/>
                <w:sz w:val="24"/>
                <w:szCs w:val="24"/>
              </w:rPr>
              <w:t>特色服务及增值服务等情况综合评定</w:t>
            </w:r>
            <w:r>
              <w:rPr>
                <w:rFonts w:hint="eastAsia" w:ascii="宋体" w:hAnsi="宋体" w:cs="宋体"/>
                <w:b w:val="0"/>
                <w:bCs w:val="0"/>
                <w:sz w:val="24"/>
                <w:szCs w:val="24"/>
                <w:lang w:val="en-US" w:eastAsia="zh-CN"/>
              </w:rPr>
              <w:t>打</w:t>
            </w:r>
            <w:r>
              <w:rPr>
                <w:rFonts w:hint="eastAsia" w:ascii="宋体" w:hAnsi="宋体" w:eastAsia="宋体" w:cs="宋体"/>
                <w:b w:val="0"/>
                <w:bCs w:val="0"/>
                <w:sz w:val="24"/>
                <w:szCs w:val="24"/>
              </w:rPr>
              <w:t>分</w:t>
            </w:r>
            <w:r>
              <w:rPr>
                <w:rFonts w:ascii="宋体" w:hAnsi="宋体" w:eastAsia="宋体" w:cs="宋体"/>
                <w:b w:val="0"/>
                <w:bCs w:val="0"/>
                <w:sz w:val="24"/>
                <w:szCs w:val="24"/>
              </w:rPr>
              <w:t>)</w:t>
            </w:r>
            <w:r>
              <w:rPr>
                <w:rFonts w:ascii="宋体" w:hAnsi="宋体" w:eastAsia="宋体" w:cs="宋体"/>
                <w:b/>
                <w:bCs/>
                <w:sz w:val="24"/>
                <w:szCs w:val="24"/>
              </w:rPr>
              <w:t xml:space="preserve"> </w:t>
            </w:r>
            <w:r>
              <w:rPr>
                <w:rFonts w:hint="eastAsia" w:ascii="宋体" w:hAnsi="宋体" w:cs="宋体"/>
                <w:b/>
                <w:bCs/>
                <w:sz w:val="24"/>
                <w:szCs w:val="24"/>
                <w:lang w:eastAsia="zh-CN"/>
              </w:rPr>
              <w:t>；</w:t>
            </w:r>
            <w:r>
              <w:rPr>
                <w:rFonts w:hint="eastAsia" w:ascii="宋体" w:hAnsi="宋体" w:eastAsia="宋体" w:cs="宋体"/>
                <w:b w:val="0"/>
                <w:bCs w:val="0"/>
                <w:sz w:val="24"/>
                <w:szCs w:val="24"/>
              </w:rPr>
              <w:t>方案内容完整且与项目匹配度好的得</w:t>
            </w:r>
            <w:r>
              <w:rPr>
                <w:rFonts w:hint="eastAsia" w:ascii="宋体" w:hAnsi="宋体" w:cs="宋体"/>
                <w:b w:val="0"/>
                <w:bCs w:val="0"/>
                <w:sz w:val="24"/>
                <w:szCs w:val="24"/>
                <w:lang w:val="en-US" w:eastAsia="zh-CN"/>
              </w:rPr>
              <w:t>6-5</w:t>
            </w:r>
            <w:r>
              <w:rPr>
                <w:rFonts w:hint="eastAsia" w:ascii="宋体" w:hAnsi="宋体" w:eastAsia="宋体" w:cs="宋体"/>
                <w:b w:val="0"/>
                <w:bCs w:val="0"/>
                <w:sz w:val="24"/>
                <w:szCs w:val="24"/>
              </w:rPr>
              <w:t>分；方案内容基本完整且与项目匹配度较好的得</w:t>
            </w:r>
            <w:r>
              <w:rPr>
                <w:rFonts w:hint="eastAsia" w:ascii="宋体" w:hAnsi="宋体" w:cs="宋体"/>
                <w:b w:val="0"/>
                <w:bCs w:val="0"/>
                <w:sz w:val="24"/>
                <w:szCs w:val="24"/>
                <w:lang w:val="en-US" w:eastAsia="zh-CN"/>
              </w:rPr>
              <w:t>4-3</w:t>
            </w:r>
            <w:r>
              <w:rPr>
                <w:rFonts w:hint="eastAsia" w:ascii="宋体" w:hAnsi="宋体" w:eastAsia="宋体" w:cs="宋体"/>
                <w:b w:val="0"/>
                <w:bCs w:val="0"/>
                <w:sz w:val="24"/>
                <w:szCs w:val="24"/>
              </w:rPr>
              <w:t>分；方案内容存在欠缺或与项目匹配度一般的得</w:t>
            </w:r>
            <w:r>
              <w:rPr>
                <w:rFonts w:hint="eastAsia" w:ascii="宋体" w:hAnsi="宋体" w:cs="宋体"/>
                <w:b w:val="0"/>
                <w:bCs w:val="0"/>
                <w:sz w:val="24"/>
                <w:szCs w:val="24"/>
                <w:lang w:val="en-US" w:eastAsia="zh-CN"/>
              </w:rPr>
              <w:t>2-1</w:t>
            </w:r>
            <w:r>
              <w:rPr>
                <w:rFonts w:hint="eastAsia" w:ascii="宋体" w:hAnsi="宋体" w:eastAsia="宋体" w:cs="宋体"/>
                <w:b w:val="0"/>
                <w:bCs w:val="0"/>
                <w:sz w:val="24"/>
                <w:szCs w:val="24"/>
              </w:rPr>
              <w:t>分；方案内容缺失严重或与项目不匹配的不得分。</w:t>
            </w:r>
          </w:p>
        </w:tc>
        <w:tc>
          <w:tcPr>
            <w:tcW w:w="1193" w:type="dxa"/>
            <w:vAlign w:val="center"/>
          </w:tcPr>
          <w:p w14:paraId="23981E23">
            <w:pPr>
              <w:spacing w:line="312" w:lineRule="auto"/>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0</w:t>
            </w:r>
            <w:r>
              <w:rPr>
                <w:rFonts w:ascii="宋体" w:hAnsi="宋体" w:eastAsia="宋体" w:cs="宋体"/>
                <w:b/>
                <w:bCs/>
                <w:sz w:val="24"/>
                <w:szCs w:val="24"/>
              </w:rPr>
              <w:t>-</w:t>
            </w:r>
            <w:r>
              <w:rPr>
                <w:rFonts w:hint="eastAsia" w:ascii="宋体" w:hAnsi="宋体" w:cs="宋体"/>
                <w:b/>
                <w:bCs/>
                <w:sz w:val="24"/>
                <w:szCs w:val="24"/>
                <w:lang w:val="en-US" w:eastAsia="zh-CN"/>
              </w:rPr>
              <w:t>6</w:t>
            </w:r>
          </w:p>
        </w:tc>
      </w:tr>
      <w:tr w14:paraId="2733B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6" w:hRule="atLeast"/>
          <w:jc w:val="center"/>
        </w:trPr>
        <w:tc>
          <w:tcPr>
            <w:tcW w:w="1974" w:type="dxa"/>
            <w:vMerge w:val="continue"/>
            <w:vAlign w:val="center"/>
          </w:tcPr>
          <w:p w14:paraId="380D4152">
            <w:pPr>
              <w:spacing w:line="312" w:lineRule="auto"/>
              <w:jc w:val="center"/>
              <w:rPr>
                <w:rFonts w:ascii="宋体" w:hAnsi="宋体" w:eastAsia="宋体" w:cs="宋体"/>
                <w:b/>
                <w:bCs/>
                <w:sz w:val="24"/>
                <w:szCs w:val="24"/>
              </w:rPr>
            </w:pPr>
          </w:p>
        </w:tc>
        <w:tc>
          <w:tcPr>
            <w:tcW w:w="5213" w:type="dxa"/>
            <w:vAlign w:val="center"/>
          </w:tcPr>
          <w:p w14:paraId="0178C3F1">
            <w:pPr>
              <w:spacing w:line="312" w:lineRule="auto"/>
              <w:jc w:val="left"/>
              <w:rPr>
                <w:rFonts w:hint="eastAsia" w:ascii="宋体" w:hAnsi="宋体" w:eastAsia="宋体" w:cs="宋体"/>
                <w:b/>
                <w:bCs/>
                <w:sz w:val="24"/>
                <w:szCs w:val="24"/>
                <w:lang w:eastAsia="zh-CN"/>
              </w:rPr>
            </w:pPr>
            <w:r>
              <w:rPr>
                <w:rFonts w:hint="eastAsia" w:ascii="宋体" w:hAnsi="宋体" w:eastAsia="宋体" w:cs="宋体"/>
                <w:b w:val="0"/>
                <w:bCs w:val="0"/>
                <w:sz w:val="24"/>
                <w:szCs w:val="24"/>
              </w:rPr>
              <w:t>服务承诺</w:t>
            </w:r>
            <w:r>
              <w:rPr>
                <w:rFonts w:ascii="宋体" w:hAnsi="宋体" w:eastAsia="宋体" w:cs="宋体"/>
                <w:b w:val="0"/>
                <w:bCs w:val="0"/>
                <w:sz w:val="24"/>
                <w:szCs w:val="24"/>
              </w:rPr>
              <w:t xml:space="preserve"> (相据售后服务方案、措施等情况综合评定打</w:t>
            </w:r>
            <w:r>
              <w:rPr>
                <w:rFonts w:hint="eastAsia" w:ascii="宋体" w:hAnsi="宋体" w:eastAsia="宋体" w:cs="宋体"/>
                <w:b w:val="0"/>
                <w:bCs w:val="0"/>
                <w:sz w:val="24"/>
                <w:szCs w:val="24"/>
              </w:rPr>
              <w:t>分</w:t>
            </w:r>
            <w:r>
              <w:rPr>
                <w:rFonts w:ascii="宋体" w:hAnsi="宋体" w:eastAsia="宋体" w:cs="宋体"/>
                <w:b w:val="0"/>
                <w:bCs w:val="0"/>
                <w:sz w:val="24"/>
                <w:szCs w:val="24"/>
              </w:rPr>
              <w:t>)</w:t>
            </w:r>
            <w:r>
              <w:rPr>
                <w:rFonts w:ascii="宋体" w:hAnsi="宋体" w:eastAsia="宋体" w:cs="宋体"/>
                <w:b/>
                <w:bCs/>
                <w:sz w:val="24"/>
                <w:szCs w:val="24"/>
              </w:rPr>
              <w:t xml:space="preserve"> </w:t>
            </w:r>
            <w:r>
              <w:rPr>
                <w:rFonts w:hint="eastAsia" w:ascii="宋体" w:hAnsi="宋体" w:cs="宋体"/>
                <w:b/>
                <w:bCs/>
                <w:sz w:val="24"/>
                <w:szCs w:val="24"/>
                <w:lang w:eastAsia="zh-CN"/>
              </w:rPr>
              <w:t>；</w:t>
            </w:r>
            <w:r>
              <w:rPr>
                <w:rFonts w:hint="eastAsia" w:ascii="宋体" w:hAnsi="宋体" w:eastAsia="宋体" w:cs="宋体"/>
                <w:b w:val="0"/>
                <w:bCs w:val="0"/>
                <w:sz w:val="24"/>
                <w:szCs w:val="24"/>
              </w:rPr>
              <w:t>方案内容完整且与项目匹配度好的得</w:t>
            </w:r>
            <w:r>
              <w:rPr>
                <w:rFonts w:hint="eastAsia" w:ascii="宋体" w:hAnsi="宋体" w:cs="宋体"/>
                <w:b w:val="0"/>
                <w:bCs w:val="0"/>
                <w:sz w:val="24"/>
                <w:szCs w:val="24"/>
                <w:lang w:val="en-US" w:eastAsia="zh-CN"/>
              </w:rPr>
              <w:t>6-5</w:t>
            </w:r>
            <w:r>
              <w:rPr>
                <w:rFonts w:hint="eastAsia" w:ascii="宋体" w:hAnsi="宋体" w:eastAsia="宋体" w:cs="宋体"/>
                <w:b w:val="0"/>
                <w:bCs w:val="0"/>
                <w:sz w:val="24"/>
                <w:szCs w:val="24"/>
              </w:rPr>
              <w:t>分；方案内容基本完整且与项目匹配度较好的得</w:t>
            </w:r>
            <w:r>
              <w:rPr>
                <w:rFonts w:hint="eastAsia" w:ascii="宋体" w:hAnsi="宋体" w:cs="宋体"/>
                <w:b w:val="0"/>
                <w:bCs w:val="0"/>
                <w:sz w:val="24"/>
                <w:szCs w:val="24"/>
                <w:lang w:val="en-US" w:eastAsia="zh-CN"/>
              </w:rPr>
              <w:t>4-3</w:t>
            </w:r>
            <w:r>
              <w:rPr>
                <w:rFonts w:hint="eastAsia" w:ascii="宋体" w:hAnsi="宋体" w:eastAsia="宋体" w:cs="宋体"/>
                <w:b w:val="0"/>
                <w:bCs w:val="0"/>
                <w:sz w:val="24"/>
                <w:szCs w:val="24"/>
              </w:rPr>
              <w:t>分；方案内容存在欠缺或与项目匹配度一般的得</w:t>
            </w:r>
            <w:r>
              <w:rPr>
                <w:rFonts w:hint="eastAsia" w:ascii="宋体" w:hAnsi="宋体" w:cs="宋体"/>
                <w:b w:val="0"/>
                <w:bCs w:val="0"/>
                <w:sz w:val="24"/>
                <w:szCs w:val="24"/>
                <w:lang w:val="en-US" w:eastAsia="zh-CN"/>
              </w:rPr>
              <w:t>2-1</w:t>
            </w:r>
            <w:r>
              <w:rPr>
                <w:rFonts w:hint="eastAsia" w:ascii="宋体" w:hAnsi="宋体" w:eastAsia="宋体" w:cs="宋体"/>
                <w:b w:val="0"/>
                <w:bCs w:val="0"/>
                <w:sz w:val="24"/>
                <w:szCs w:val="24"/>
              </w:rPr>
              <w:t>分；方案内容缺失严重或与项目不匹配的不得分。</w:t>
            </w:r>
          </w:p>
        </w:tc>
        <w:tc>
          <w:tcPr>
            <w:tcW w:w="1193" w:type="dxa"/>
            <w:vAlign w:val="center"/>
          </w:tcPr>
          <w:p w14:paraId="7FB4655A">
            <w:pPr>
              <w:spacing w:line="312" w:lineRule="auto"/>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0</w:t>
            </w:r>
            <w:r>
              <w:rPr>
                <w:rFonts w:ascii="宋体" w:hAnsi="宋体" w:eastAsia="宋体" w:cs="宋体"/>
                <w:b/>
                <w:bCs/>
                <w:sz w:val="24"/>
                <w:szCs w:val="24"/>
              </w:rPr>
              <w:t>-</w:t>
            </w:r>
            <w:r>
              <w:rPr>
                <w:rFonts w:hint="eastAsia" w:ascii="宋体" w:hAnsi="宋体" w:cs="宋体"/>
                <w:b/>
                <w:bCs/>
                <w:sz w:val="24"/>
                <w:szCs w:val="24"/>
                <w:lang w:val="en-US" w:eastAsia="zh-CN"/>
              </w:rPr>
              <w:t>6</w:t>
            </w:r>
          </w:p>
        </w:tc>
      </w:tr>
      <w:tr w14:paraId="2B2EC6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6" w:hRule="atLeast"/>
          <w:jc w:val="center"/>
        </w:trPr>
        <w:tc>
          <w:tcPr>
            <w:tcW w:w="1974" w:type="dxa"/>
            <w:vMerge w:val="continue"/>
            <w:vAlign w:val="center"/>
          </w:tcPr>
          <w:p w14:paraId="46013D8F">
            <w:pPr>
              <w:spacing w:line="312" w:lineRule="auto"/>
              <w:jc w:val="center"/>
              <w:rPr>
                <w:rFonts w:ascii="宋体" w:hAnsi="宋体" w:eastAsia="宋体" w:cs="宋体"/>
                <w:b/>
                <w:bCs/>
                <w:sz w:val="24"/>
                <w:szCs w:val="24"/>
              </w:rPr>
            </w:pPr>
          </w:p>
        </w:tc>
        <w:tc>
          <w:tcPr>
            <w:tcW w:w="5213" w:type="dxa"/>
            <w:vAlign w:val="center"/>
          </w:tcPr>
          <w:p w14:paraId="62014A33">
            <w:pPr>
              <w:spacing w:line="312" w:lineRule="auto"/>
              <w:rPr>
                <w:rFonts w:ascii="宋体" w:hAnsi="宋体" w:eastAsia="宋体" w:cs="宋体"/>
                <w:b/>
                <w:bCs/>
                <w:sz w:val="24"/>
                <w:szCs w:val="24"/>
              </w:rPr>
            </w:pPr>
            <w:r>
              <w:rPr>
                <w:rFonts w:hint="eastAsia" w:ascii="宋体" w:hAnsi="宋体" w:eastAsia="宋体" w:cs="宋体"/>
                <w:b w:val="0"/>
                <w:bCs w:val="0"/>
                <w:sz w:val="24"/>
                <w:szCs w:val="24"/>
              </w:rPr>
              <w:t>保证进度和项目完成的方案和措施等根据接报案及现场查勘方案的制定情况计分；方案内容完整且与项目匹配度好的得</w:t>
            </w:r>
            <w:r>
              <w:rPr>
                <w:rFonts w:hint="eastAsia" w:ascii="宋体" w:hAnsi="宋体" w:cs="宋体"/>
                <w:b w:val="0"/>
                <w:bCs w:val="0"/>
                <w:sz w:val="24"/>
                <w:szCs w:val="24"/>
                <w:lang w:val="en-US" w:eastAsia="zh-CN"/>
              </w:rPr>
              <w:t>6-5</w:t>
            </w:r>
            <w:r>
              <w:rPr>
                <w:rFonts w:hint="eastAsia" w:ascii="宋体" w:hAnsi="宋体" w:eastAsia="宋体" w:cs="宋体"/>
                <w:b w:val="0"/>
                <w:bCs w:val="0"/>
                <w:sz w:val="24"/>
                <w:szCs w:val="24"/>
              </w:rPr>
              <w:t>分；方案内容基本完整且与项目匹配度较好的得</w:t>
            </w:r>
            <w:r>
              <w:rPr>
                <w:rFonts w:hint="eastAsia" w:ascii="宋体" w:hAnsi="宋体" w:cs="宋体"/>
                <w:b w:val="0"/>
                <w:bCs w:val="0"/>
                <w:sz w:val="24"/>
                <w:szCs w:val="24"/>
                <w:lang w:val="en-US" w:eastAsia="zh-CN"/>
              </w:rPr>
              <w:t>4-3</w:t>
            </w:r>
            <w:r>
              <w:rPr>
                <w:rFonts w:hint="eastAsia" w:ascii="宋体" w:hAnsi="宋体" w:eastAsia="宋体" w:cs="宋体"/>
                <w:b w:val="0"/>
                <w:bCs w:val="0"/>
                <w:sz w:val="24"/>
                <w:szCs w:val="24"/>
              </w:rPr>
              <w:t>分；方案内容存在欠缺或与项目匹配度一般的得</w:t>
            </w:r>
            <w:r>
              <w:rPr>
                <w:rFonts w:hint="eastAsia" w:ascii="宋体" w:hAnsi="宋体" w:cs="宋体"/>
                <w:b w:val="0"/>
                <w:bCs w:val="0"/>
                <w:sz w:val="24"/>
                <w:szCs w:val="24"/>
                <w:lang w:val="en-US" w:eastAsia="zh-CN"/>
              </w:rPr>
              <w:t>2-1</w:t>
            </w:r>
            <w:r>
              <w:rPr>
                <w:rFonts w:hint="eastAsia" w:ascii="宋体" w:hAnsi="宋体" w:eastAsia="宋体" w:cs="宋体"/>
                <w:b w:val="0"/>
                <w:bCs w:val="0"/>
                <w:sz w:val="24"/>
                <w:szCs w:val="24"/>
              </w:rPr>
              <w:t>分；方案内容缺失严重或与项目不匹配的不得分。</w:t>
            </w:r>
          </w:p>
        </w:tc>
        <w:tc>
          <w:tcPr>
            <w:tcW w:w="1193" w:type="dxa"/>
            <w:vAlign w:val="center"/>
          </w:tcPr>
          <w:p w14:paraId="299580B9">
            <w:pPr>
              <w:spacing w:line="312" w:lineRule="auto"/>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0</w:t>
            </w:r>
            <w:r>
              <w:rPr>
                <w:rFonts w:ascii="宋体" w:hAnsi="宋体" w:eastAsia="宋体" w:cs="宋体"/>
                <w:b/>
                <w:bCs/>
                <w:sz w:val="24"/>
                <w:szCs w:val="24"/>
              </w:rPr>
              <w:t>-</w:t>
            </w:r>
            <w:r>
              <w:rPr>
                <w:rFonts w:hint="eastAsia" w:ascii="宋体" w:hAnsi="宋体" w:cs="宋体"/>
                <w:b/>
                <w:bCs/>
                <w:sz w:val="24"/>
                <w:szCs w:val="24"/>
                <w:lang w:val="en-US" w:eastAsia="zh-CN"/>
              </w:rPr>
              <w:t>6</w:t>
            </w:r>
          </w:p>
        </w:tc>
      </w:tr>
      <w:tr w14:paraId="51B786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74" w:type="dxa"/>
            <w:vAlign w:val="center"/>
          </w:tcPr>
          <w:p w14:paraId="63E2D47B"/>
        </w:tc>
        <w:tc>
          <w:tcPr>
            <w:tcW w:w="5213" w:type="dxa"/>
            <w:vAlign w:val="center"/>
          </w:tcPr>
          <w:p w14:paraId="2F0F97BA"/>
        </w:tc>
        <w:tc>
          <w:tcPr>
            <w:tcW w:w="1193" w:type="dxa"/>
            <w:vAlign w:val="center"/>
          </w:tcPr>
          <w:p w14:paraId="2D998F54"/>
        </w:tc>
      </w:tr>
      <w:tr w14:paraId="7B6A5B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74" w:type="dxa"/>
          </w:tcPr>
          <w:p w14:paraId="765EE813">
            <w:r>
              <w:rPr>
                <w:rFonts w:hint="eastAsia" w:ascii="宋体" w:hAnsi="宋体" w:eastAsia="宋体" w:cs="宋体"/>
                <w:b/>
                <w:bCs/>
                <w:sz w:val="24"/>
                <w:szCs w:val="24"/>
              </w:rPr>
              <w:t>项目风险认识与分析</w:t>
            </w:r>
          </w:p>
          <w:p w14:paraId="2B8553CC">
            <w:pPr>
              <w:spacing w:line="312" w:lineRule="auto"/>
              <w:jc w:val="left"/>
              <w:rPr>
                <w:rFonts w:ascii="宋体" w:hAnsi="宋体" w:eastAsia="宋体" w:cs="宋体"/>
                <w:b/>
                <w:bCs/>
                <w:sz w:val="24"/>
                <w:szCs w:val="24"/>
              </w:rPr>
            </w:pPr>
          </w:p>
        </w:tc>
        <w:tc>
          <w:tcPr>
            <w:tcW w:w="5213" w:type="dxa"/>
          </w:tcPr>
          <w:p w14:paraId="4691EB48">
            <w:pPr>
              <w:spacing w:line="312" w:lineRule="auto"/>
              <w:ind w:left="112" w:right="271" w:firstLine="0"/>
              <w:rPr>
                <w:rFonts w:hint="eastAsia" w:ascii="宋体" w:hAnsi="宋体" w:eastAsia="宋体" w:cs="宋体"/>
                <w:b/>
                <w:bCs/>
                <w:sz w:val="24"/>
                <w:szCs w:val="24"/>
                <w:highlight w:val="none"/>
                <w:lang w:eastAsia="zh-CN"/>
              </w:rPr>
            </w:pPr>
            <w:r>
              <w:rPr>
                <w:rFonts w:hint="eastAsia" w:ascii="宋体" w:hAnsi="宋体" w:eastAsia="宋体" w:cs="宋体"/>
                <w:b w:val="0"/>
                <w:bCs w:val="0"/>
                <w:sz w:val="24"/>
                <w:szCs w:val="24"/>
                <w:highlight w:val="none"/>
              </w:rPr>
              <w:t>根据响应人提供的项目风险认识能力和分析程度和情况进行评定</w:t>
            </w:r>
            <w:r>
              <w:rPr>
                <w:rFonts w:hint="eastAsia" w:ascii="宋体" w:hAnsi="宋体" w:cs="宋体"/>
                <w:b/>
                <w:bCs/>
                <w:sz w:val="24"/>
                <w:szCs w:val="24"/>
                <w:highlight w:val="none"/>
                <w:lang w:eastAsia="zh-CN"/>
              </w:rPr>
              <w:t>；</w:t>
            </w:r>
            <w:r>
              <w:rPr>
                <w:rFonts w:hint="eastAsia" w:ascii="宋体" w:hAnsi="宋体" w:eastAsia="宋体" w:cs="宋体"/>
                <w:b w:val="0"/>
                <w:bCs w:val="0"/>
                <w:sz w:val="24"/>
                <w:szCs w:val="24"/>
                <w:highlight w:val="none"/>
              </w:rPr>
              <w:t>方案内容完整且与项目匹配度好的得</w:t>
            </w:r>
            <w:r>
              <w:rPr>
                <w:rFonts w:hint="eastAsia" w:ascii="宋体" w:hAnsi="宋体" w:cs="宋体"/>
                <w:b w:val="0"/>
                <w:bCs w:val="0"/>
                <w:sz w:val="24"/>
                <w:szCs w:val="24"/>
                <w:highlight w:val="none"/>
                <w:lang w:val="en-US" w:eastAsia="zh-CN"/>
              </w:rPr>
              <w:t>5</w:t>
            </w:r>
            <w:r>
              <w:rPr>
                <w:rFonts w:hint="eastAsia" w:ascii="宋体" w:hAnsi="宋体" w:eastAsia="宋体" w:cs="宋体"/>
                <w:b w:val="0"/>
                <w:bCs w:val="0"/>
                <w:sz w:val="24"/>
                <w:szCs w:val="24"/>
                <w:highlight w:val="none"/>
              </w:rPr>
              <w:t>分；方案内容基本完整且与项目匹配度较好的得</w:t>
            </w:r>
            <w:r>
              <w:rPr>
                <w:rFonts w:hint="eastAsia" w:ascii="宋体" w:hAnsi="宋体" w:cs="宋体"/>
                <w:b w:val="0"/>
                <w:bCs w:val="0"/>
                <w:sz w:val="24"/>
                <w:szCs w:val="24"/>
                <w:highlight w:val="none"/>
                <w:lang w:val="en-US" w:eastAsia="zh-CN"/>
              </w:rPr>
              <w:t>4-3</w:t>
            </w:r>
            <w:r>
              <w:rPr>
                <w:rFonts w:hint="eastAsia" w:ascii="宋体" w:hAnsi="宋体" w:eastAsia="宋体" w:cs="宋体"/>
                <w:b w:val="0"/>
                <w:bCs w:val="0"/>
                <w:sz w:val="24"/>
                <w:szCs w:val="24"/>
                <w:highlight w:val="none"/>
              </w:rPr>
              <w:t>分；方案内容存在欠缺或与项目匹配度一般的得</w:t>
            </w:r>
            <w:r>
              <w:rPr>
                <w:rFonts w:hint="eastAsia" w:ascii="宋体" w:hAnsi="宋体" w:cs="宋体"/>
                <w:b w:val="0"/>
                <w:bCs w:val="0"/>
                <w:sz w:val="24"/>
                <w:szCs w:val="24"/>
                <w:highlight w:val="none"/>
                <w:lang w:val="en-US" w:eastAsia="zh-CN"/>
              </w:rPr>
              <w:t>2-1</w:t>
            </w:r>
            <w:r>
              <w:rPr>
                <w:rFonts w:hint="eastAsia" w:ascii="宋体" w:hAnsi="宋体" w:eastAsia="宋体" w:cs="宋体"/>
                <w:b w:val="0"/>
                <w:bCs w:val="0"/>
                <w:sz w:val="24"/>
                <w:szCs w:val="24"/>
                <w:highlight w:val="none"/>
              </w:rPr>
              <w:t>分；方案内容缺失严重或与项目不匹配的不得分。</w:t>
            </w:r>
          </w:p>
        </w:tc>
        <w:tc>
          <w:tcPr>
            <w:tcW w:w="1193" w:type="dxa"/>
          </w:tcPr>
          <w:p w14:paraId="18C9A7B1">
            <w:pPr>
              <w:spacing w:line="312" w:lineRule="auto"/>
              <w:ind w:left="316"/>
              <w:rPr>
                <w:rFonts w:hint="eastAsia" w:ascii="宋体" w:hAnsi="宋体" w:eastAsia="宋体" w:cs="宋体"/>
                <w:b/>
                <w:bCs/>
                <w:sz w:val="24"/>
                <w:szCs w:val="24"/>
                <w:highlight w:val="none"/>
                <w:lang w:eastAsia="zh-CN"/>
              </w:rPr>
            </w:pPr>
            <w:r>
              <w:rPr>
                <w:rFonts w:ascii="宋体" w:hAnsi="宋体" w:eastAsia="宋体" w:cs="宋体"/>
                <w:b/>
                <w:bCs/>
                <w:sz w:val="24"/>
                <w:szCs w:val="24"/>
                <w:highlight w:val="none"/>
              </w:rPr>
              <w:t>0-</w:t>
            </w:r>
            <w:r>
              <w:rPr>
                <w:rFonts w:hint="eastAsia" w:ascii="宋体" w:hAnsi="宋体" w:cs="宋体"/>
                <w:b/>
                <w:bCs/>
                <w:sz w:val="24"/>
                <w:szCs w:val="24"/>
                <w:highlight w:val="none"/>
                <w:lang w:val="en-US" w:eastAsia="zh-CN"/>
              </w:rPr>
              <w:t>5</w:t>
            </w:r>
          </w:p>
        </w:tc>
      </w:tr>
      <w:tr w14:paraId="2C5B81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74" w:type="dxa"/>
            <w:vAlign w:val="center"/>
          </w:tcPr>
          <w:p w14:paraId="5972D135">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项目服务团队</w:t>
            </w:r>
          </w:p>
        </w:tc>
        <w:tc>
          <w:tcPr>
            <w:tcW w:w="5213" w:type="dxa"/>
            <w:vAlign w:val="center"/>
          </w:tcPr>
          <w:p w14:paraId="7B80804B">
            <w:pPr>
              <w:spacing w:line="312" w:lineRule="auto"/>
              <w:jc w:val="left"/>
              <w:rPr>
                <w:rFonts w:hint="default" w:ascii="宋体" w:hAnsi="宋体" w:eastAsia="宋体" w:cs="宋体"/>
                <w:b/>
                <w:bCs/>
                <w:sz w:val="24"/>
                <w:szCs w:val="24"/>
                <w:highlight w:val="none"/>
                <w:lang w:val="en-US" w:eastAsia="zh-CN"/>
              </w:rPr>
            </w:pPr>
            <w:r>
              <w:rPr>
                <w:rFonts w:hint="eastAsia" w:ascii="宋体" w:hAnsi="宋体" w:eastAsia="宋体" w:cs="宋体"/>
                <w:b w:val="0"/>
                <w:bCs w:val="0"/>
                <w:sz w:val="24"/>
                <w:szCs w:val="24"/>
                <w:highlight w:val="none"/>
              </w:rPr>
              <w:t>保证项目实施的技术力量和人力资源安排，拟派任本项目服务团队的专业人员配备情况的合理性，对服务团队相关专业知识的培训、学习等情况进行综合评定。</w:t>
            </w:r>
            <w:r>
              <w:rPr>
                <w:rFonts w:ascii="宋体" w:hAnsi="宋体" w:eastAsia="宋体" w:cs="宋体"/>
                <w:b w:val="0"/>
                <w:bCs w:val="0"/>
                <w:sz w:val="24"/>
                <w:szCs w:val="24"/>
                <w:highlight w:val="none"/>
              </w:rPr>
              <w:t xml:space="preserve"> </w:t>
            </w:r>
            <w:r>
              <w:rPr>
                <w:rFonts w:hint="eastAsia" w:ascii="宋体" w:hAnsi="宋体" w:cs="宋体"/>
                <w:b w:val="0"/>
                <w:bCs w:val="0"/>
                <w:sz w:val="24"/>
                <w:szCs w:val="24"/>
                <w:highlight w:val="none"/>
                <w:lang w:val="en-US" w:eastAsia="zh-CN"/>
              </w:rPr>
              <w:t>配备服务团队人数在8人及以上的得5分，配备服务团队人数在5至8人的得3分，不配备或配备团队人数在5人以下的不得分。</w:t>
            </w:r>
          </w:p>
        </w:tc>
        <w:tc>
          <w:tcPr>
            <w:tcW w:w="1193" w:type="dxa"/>
            <w:vAlign w:val="center"/>
          </w:tcPr>
          <w:p w14:paraId="5318C73C">
            <w:pPr>
              <w:spacing w:line="312" w:lineRule="auto"/>
              <w:jc w:val="center"/>
              <w:rPr>
                <w:rFonts w:ascii="宋体" w:hAnsi="宋体" w:eastAsia="宋体" w:cs="宋体"/>
                <w:b/>
                <w:bCs/>
                <w:sz w:val="24"/>
                <w:szCs w:val="24"/>
              </w:rPr>
            </w:pPr>
            <w:r>
              <w:rPr>
                <w:rFonts w:ascii="宋体" w:hAnsi="宋体" w:eastAsia="宋体" w:cs="宋体"/>
                <w:b/>
                <w:bCs/>
                <w:sz w:val="24"/>
                <w:szCs w:val="24"/>
              </w:rPr>
              <w:t>0-5</w:t>
            </w:r>
          </w:p>
        </w:tc>
      </w:tr>
      <w:tr w14:paraId="607E22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74" w:type="dxa"/>
            <w:vAlign w:val="center"/>
          </w:tcPr>
          <w:p w14:paraId="4FA99275">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赔付时效承诺</w:t>
            </w:r>
          </w:p>
        </w:tc>
        <w:tc>
          <w:tcPr>
            <w:tcW w:w="5213" w:type="dxa"/>
            <w:vAlign w:val="center"/>
          </w:tcPr>
          <w:p w14:paraId="2BE0BB46">
            <w:pPr>
              <w:rPr>
                <w:b w:val="0"/>
                <w:bCs w:val="0"/>
                <w:highlight w:val="none"/>
              </w:rPr>
            </w:pPr>
          </w:p>
          <w:p w14:paraId="74C0B2F4">
            <w:pPr>
              <w:spacing w:line="312" w:lineRule="auto"/>
              <w:jc w:val="left"/>
              <w:rPr>
                <w:rFonts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赔付时效承诺</w:t>
            </w:r>
          </w:p>
          <w:p w14:paraId="77E6B87D">
            <w:pPr>
              <w:spacing w:line="312" w:lineRule="auto"/>
              <w:jc w:val="left"/>
              <w:rPr>
                <w:rFonts w:ascii="宋体" w:hAnsi="宋体" w:eastAsia="宋体" w:cs="宋体"/>
                <w:b w:val="0"/>
                <w:bCs w:val="0"/>
                <w:color w:val="auto"/>
                <w:sz w:val="24"/>
                <w:szCs w:val="24"/>
                <w:highlight w:val="none"/>
              </w:rPr>
            </w:pPr>
            <w:r>
              <w:rPr>
                <w:rFonts w:ascii="宋体" w:hAnsi="宋体" w:eastAsia="宋体" w:cs="宋体"/>
                <w:b w:val="0"/>
                <w:bCs w:val="0"/>
                <w:color w:val="auto"/>
                <w:sz w:val="24"/>
                <w:szCs w:val="24"/>
                <w:highlight w:val="none"/>
              </w:rPr>
              <w:t xml:space="preserve">1) </w:t>
            </w:r>
            <w:r>
              <w:rPr>
                <w:rFonts w:hint="eastAsia" w:ascii="宋体" w:hAnsi="宋体" w:eastAsia="宋体" w:cs="宋体"/>
                <w:b w:val="0"/>
                <w:bCs w:val="0"/>
                <w:color w:val="auto"/>
                <w:sz w:val="24"/>
                <w:szCs w:val="24"/>
                <w:highlight w:val="none"/>
              </w:rPr>
              <w:t>赔付金额</w:t>
            </w:r>
            <w:r>
              <w:rPr>
                <w:rFonts w:ascii="宋体" w:hAnsi="宋体" w:eastAsia="宋体" w:cs="宋体"/>
                <w:b w:val="0"/>
                <w:bCs w:val="0"/>
                <w:color w:val="auto"/>
                <w:sz w:val="24"/>
                <w:szCs w:val="24"/>
                <w:highlight w:val="none"/>
              </w:rPr>
              <w:t>10万元以下的：赔付承诺以3个工作日结</w:t>
            </w:r>
            <w:r>
              <w:rPr>
                <w:rFonts w:hint="eastAsia" w:ascii="宋体" w:hAnsi="宋体" w:eastAsia="宋体" w:cs="宋体"/>
                <w:b w:val="0"/>
                <w:bCs w:val="0"/>
                <w:color w:val="auto"/>
                <w:sz w:val="24"/>
                <w:szCs w:val="24"/>
                <w:highlight w:val="none"/>
              </w:rPr>
              <w:t>案为基础，少一个工作日加</w:t>
            </w:r>
            <w:r>
              <w:rPr>
                <w:rFonts w:ascii="宋体" w:hAnsi="宋体" w:eastAsia="宋体" w:cs="宋体"/>
                <w:b w:val="0"/>
                <w:bCs w:val="0"/>
                <w:color w:val="auto"/>
                <w:sz w:val="24"/>
                <w:szCs w:val="24"/>
                <w:highlight w:val="none"/>
              </w:rPr>
              <w:t>0.5分，最高得分1分；</w:t>
            </w:r>
          </w:p>
          <w:p w14:paraId="02E70F02">
            <w:pPr>
              <w:spacing w:line="312" w:lineRule="auto"/>
              <w:jc w:val="left"/>
              <w:rPr>
                <w:rFonts w:ascii="宋体" w:hAnsi="宋体" w:eastAsia="宋体" w:cs="宋体"/>
                <w:b w:val="0"/>
                <w:bCs w:val="0"/>
                <w:color w:val="auto"/>
                <w:sz w:val="24"/>
                <w:szCs w:val="24"/>
                <w:highlight w:val="none"/>
              </w:rPr>
            </w:pPr>
            <w:r>
              <w:rPr>
                <w:rFonts w:ascii="宋体" w:hAnsi="宋体" w:eastAsia="宋体" w:cs="宋体"/>
                <w:b w:val="0"/>
                <w:bCs w:val="0"/>
                <w:color w:val="auto"/>
                <w:sz w:val="24"/>
                <w:szCs w:val="24"/>
                <w:highlight w:val="none"/>
              </w:rPr>
              <w:t xml:space="preserve">2) </w:t>
            </w:r>
            <w:r>
              <w:rPr>
                <w:rFonts w:hint="eastAsia" w:ascii="宋体" w:hAnsi="宋体" w:eastAsia="宋体" w:cs="宋体"/>
                <w:b w:val="0"/>
                <w:bCs w:val="0"/>
                <w:color w:val="auto"/>
                <w:sz w:val="24"/>
                <w:szCs w:val="24"/>
                <w:highlight w:val="none"/>
              </w:rPr>
              <w:t>赔付金额</w:t>
            </w:r>
            <w:r>
              <w:rPr>
                <w:rFonts w:ascii="宋体" w:hAnsi="宋体" w:eastAsia="宋体" w:cs="宋体"/>
                <w:b w:val="0"/>
                <w:bCs w:val="0"/>
                <w:color w:val="auto"/>
                <w:sz w:val="24"/>
                <w:szCs w:val="24"/>
                <w:highlight w:val="none"/>
              </w:rPr>
              <w:t>10万元(含)至50万元的：赔付承诺以</w:t>
            </w:r>
            <w:r>
              <w:rPr>
                <w:rFonts w:hint="eastAsia" w:ascii="宋体" w:hAnsi="宋体" w:cs="宋体"/>
                <w:b w:val="0"/>
                <w:bCs w:val="0"/>
                <w:color w:val="auto"/>
                <w:sz w:val="24"/>
                <w:szCs w:val="24"/>
                <w:highlight w:val="none"/>
                <w:lang w:val="en-US" w:eastAsia="zh-CN"/>
              </w:rPr>
              <w:t>7</w:t>
            </w:r>
            <w:r>
              <w:rPr>
                <w:rFonts w:ascii="宋体" w:hAnsi="宋体" w:eastAsia="宋体" w:cs="宋体"/>
                <w:b w:val="0"/>
                <w:bCs w:val="0"/>
                <w:color w:val="auto"/>
                <w:sz w:val="24"/>
                <w:szCs w:val="24"/>
                <w:highlight w:val="none"/>
              </w:rPr>
              <w:t>个工作日结案为基础，少一个工作日加0.5分，最高得分2分；</w:t>
            </w:r>
          </w:p>
          <w:p w14:paraId="1647D3CF">
            <w:pPr>
              <w:spacing w:line="312" w:lineRule="auto"/>
              <w:jc w:val="left"/>
              <w:rPr>
                <w:rFonts w:ascii="宋体" w:hAnsi="宋体" w:eastAsia="宋体" w:cs="宋体"/>
                <w:b w:val="0"/>
                <w:bCs w:val="0"/>
                <w:color w:val="auto"/>
                <w:sz w:val="24"/>
                <w:szCs w:val="24"/>
                <w:highlight w:val="none"/>
              </w:rPr>
            </w:pPr>
            <w:r>
              <w:rPr>
                <w:rFonts w:ascii="宋体" w:hAnsi="宋体" w:eastAsia="宋体" w:cs="宋体"/>
                <w:b w:val="0"/>
                <w:bCs w:val="0"/>
                <w:color w:val="auto"/>
                <w:sz w:val="24"/>
                <w:szCs w:val="24"/>
                <w:highlight w:val="none"/>
              </w:rPr>
              <w:t xml:space="preserve">3) </w:t>
            </w:r>
            <w:r>
              <w:rPr>
                <w:rFonts w:hint="eastAsia" w:ascii="宋体" w:hAnsi="宋体" w:eastAsia="宋体" w:cs="宋体"/>
                <w:b w:val="0"/>
                <w:bCs w:val="0"/>
                <w:color w:val="auto"/>
                <w:sz w:val="24"/>
                <w:szCs w:val="24"/>
                <w:highlight w:val="none"/>
              </w:rPr>
              <w:t>赔付金额</w:t>
            </w:r>
            <w:r>
              <w:rPr>
                <w:rFonts w:ascii="宋体" w:hAnsi="宋体" w:eastAsia="宋体" w:cs="宋体"/>
                <w:b w:val="0"/>
                <w:bCs w:val="0"/>
                <w:color w:val="auto"/>
                <w:sz w:val="24"/>
                <w:szCs w:val="24"/>
                <w:highlight w:val="none"/>
              </w:rPr>
              <w:t>50万元(含)至100万元的：赔付承诺以</w:t>
            </w:r>
            <w:r>
              <w:rPr>
                <w:rFonts w:hint="eastAsia" w:ascii="宋体" w:hAnsi="宋体" w:cs="宋体"/>
                <w:b w:val="0"/>
                <w:bCs w:val="0"/>
                <w:color w:val="auto"/>
                <w:sz w:val="24"/>
                <w:szCs w:val="24"/>
                <w:highlight w:val="none"/>
                <w:lang w:val="en-US" w:eastAsia="zh-CN"/>
              </w:rPr>
              <w:t>9</w:t>
            </w:r>
            <w:r>
              <w:rPr>
                <w:rFonts w:ascii="宋体" w:hAnsi="宋体" w:eastAsia="宋体" w:cs="宋体"/>
                <w:b w:val="0"/>
                <w:bCs w:val="0"/>
                <w:color w:val="auto"/>
                <w:sz w:val="24"/>
                <w:szCs w:val="24"/>
                <w:highlight w:val="none"/>
              </w:rPr>
              <w:t>个工作日结案为基础，少一个工作日加0.5分，最高得分2分；</w:t>
            </w:r>
          </w:p>
          <w:p w14:paraId="55A5024C">
            <w:pPr>
              <w:spacing w:line="312" w:lineRule="auto"/>
              <w:jc w:val="left"/>
              <w:rPr>
                <w:rFonts w:ascii="宋体" w:hAnsi="宋体" w:eastAsia="宋体" w:cs="宋体"/>
                <w:b w:val="0"/>
                <w:bCs w:val="0"/>
                <w:color w:val="auto"/>
                <w:sz w:val="24"/>
                <w:szCs w:val="24"/>
                <w:highlight w:val="none"/>
              </w:rPr>
            </w:pPr>
            <w:r>
              <w:rPr>
                <w:rFonts w:ascii="宋体" w:hAnsi="宋体" w:eastAsia="宋体" w:cs="宋体"/>
                <w:b w:val="0"/>
                <w:bCs w:val="0"/>
                <w:color w:val="auto"/>
                <w:sz w:val="24"/>
                <w:szCs w:val="24"/>
                <w:highlight w:val="none"/>
              </w:rPr>
              <w:t xml:space="preserve">4) </w:t>
            </w:r>
            <w:r>
              <w:rPr>
                <w:rFonts w:hint="eastAsia" w:ascii="宋体" w:hAnsi="宋体" w:eastAsia="宋体" w:cs="宋体"/>
                <w:b w:val="0"/>
                <w:bCs w:val="0"/>
                <w:color w:val="auto"/>
                <w:sz w:val="24"/>
                <w:szCs w:val="24"/>
                <w:highlight w:val="none"/>
              </w:rPr>
              <w:t>赔付金额</w:t>
            </w:r>
            <w:r>
              <w:rPr>
                <w:rFonts w:ascii="宋体" w:hAnsi="宋体" w:eastAsia="宋体" w:cs="宋体"/>
                <w:b w:val="0"/>
                <w:bCs w:val="0"/>
                <w:color w:val="auto"/>
                <w:sz w:val="24"/>
                <w:szCs w:val="24"/>
                <w:highlight w:val="none"/>
              </w:rPr>
              <w:t>100万元(含)至以上的：赔付承诺以</w:t>
            </w:r>
            <w:r>
              <w:rPr>
                <w:rFonts w:hint="eastAsia" w:ascii="宋体" w:hAnsi="宋体" w:cs="宋体"/>
                <w:b w:val="0"/>
                <w:bCs w:val="0"/>
                <w:color w:val="auto"/>
                <w:sz w:val="24"/>
                <w:szCs w:val="24"/>
                <w:highlight w:val="none"/>
                <w:lang w:val="en-US" w:eastAsia="zh-CN"/>
              </w:rPr>
              <w:t>11</w:t>
            </w:r>
            <w:r>
              <w:rPr>
                <w:rFonts w:ascii="宋体" w:hAnsi="宋体" w:eastAsia="宋体" w:cs="宋体"/>
                <w:b w:val="0"/>
                <w:bCs w:val="0"/>
                <w:color w:val="auto"/>
                <w:sz w:val="24"/>
                <w:szCs w:val="24"/>
                <w:highlight w:val="none"/>
              </w:rPr>
              <w:t>个工作日以内结案为基础，少一个工作日加0.5分，最高得分2分。</w:t>
            </w:r>
          </w:p>
          <w:p w14:paraId="6D7E6E60">
            <w:pPr>
              <w:spacing w:line="312" w:lineRule="auto"/>
              <w:jc w:val="left"/>
              <w:rPr>
                <w:rFonts w:ascii="宋体" w:hAnsi="宋体" w:eastAsia="宋体" w:cs="宋体"/>
                <w:b w:val="0"/>
                <w:bCs w:val="0"/>
                <w:sz w:val="24"/>
                <w:szCs w:val="24"/>
                <w:highlight w:val="none"/>
              </w:rPr>
            </w:pPr>
            <w:r>
              <w:rPr>
                <w:rFonts w:hint="eastAsia" w:ascii="宋体" w:hAnsi="宋体" w:eastAsia="宋体" w:cs="宋体"/>
                <w:b w:val="0"/>
                <w:bCs w:val="0"/>
                <w:color w:val="auto"/>
                <w:sz w:val="24"/>
                <w:szCs w:val="24"/>
                <w:highlight w:val="none"/>
              </w:rPr>
              <w:t>（提供承诺函，承诺函格式自拟</w:t>
            </w:r>
            <w:r>
              <w:rPr>
                <w:rFonts w:hint="eastAsia" w:ascii="宋体" w:hAnsi="宋体" w:eastAsia="宋体" w:cs="宋体"/>
                <w:b w:val="0"/>
                <w:bCs w:val="0"/>
                <w:sz w:val="24"/>
                <w:szCs w:val="24"/>
                <w:highlight w:val="none"/>
              </w:rPr>
              <w:t>）</w:t>
            </w:r>
          </w:p>
        </w:tc>
        <w:tc>
          <w:tcPr>
            <w:tcW w:w="1193" w:type="dxa"/>
            <w:vAlign w:val="center"/>
          </w:tcPr>
          <w:p w14:paraId="12E9BFF7">
            <w:pPr>
              <w:spacing w:line="312" w:lineRule="auto"/>
              <w:jc w:val="center"/>
              <w:rPr>
                <w:rFonts w:ascii="宋体" w:hAnsi="宋体" w:eastAsia="宋体" w:cs="宋体"/>
                <w:b/>
                <w:bCs/>
                <w:sz w:val="24"/>
                <w:szCs w:val="24"/>
              </w:rPr>
            </w:pPr>
            <w:r>
              <w:rPr>
                <w:rFonts w:ascii="宋体" w:hAnsi="宋体" w:eastAsia="宋体" w:cs="宋体"/>
                <w:b/>
                <w:bCs/>
                <w:sz w:val="24"/>
                <w:szCs w:val="24"/>
              </w:rPr>
              <w:t>0-7</w:t>
            </w:r>
          </w:p>
        </w:tc>
      </w:tr>
      <w:tr w14:paraId="2F3C3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74" w:type="dxa"/>
            <w:vAlign w:val="center"/>
          </w:tcPr>
          <w:p w14:paraId="386CDD6F">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重大事件应急响应</w:t>
            </w:r>
          </w:p>
        </w:tc>
        <w:tc>
          <w:tcPr>
            <w:tcW w:w="5213" w:type="dxa"/>
            <w:vAlign w:val="center"/>
          </w:tcPr>
          <w:p w14:paraId="1E36263C">
            <w:pPr>
              <w:rPr>
                <w:rFonts w:ascii="宋体" w:hAnsi="宋体" w:eastAsia="宋体" w:cs="宋体"/>
                <w:b w:val="0"/>
                <w:bCs w:val="0"/>
                <w:sz w:val="24"/>
                <w:szCs w:val="24"/>
              </w:rPr>
            </w:pPr>
            <w:r>
              <w:rPr>
                <w:rFonts w:hint="eastAsia" w:ascii="宋体" w:hAnsi="宋体" w:eastAsia="宋体" w:cs="宋体"/>
                <w:b w:val="0"/>
                <w:bCs w:val="0"/>
                <w:sz w:val="24"/>
                <w:szCs w:val="24"/>
              </w:rPr>
              <w:t>重大事件应急响应方案：投标人提供的方案内容详细阐述到位、科学合理、操作性强的得</w:t>
            </w:r>
            <w:r>
              <w:rPr>
                <w:rFonts w:hint="eastAsia" w:ascii="宋体" w:hAnsi="宋体" w:cs="宋体"/>
                <w:b w:val="0"/>
                <w:bCs w:val="0"/>
                <w:sz w:val="24"/>
                <w:szCs w:val="24"/>
                <w:lang w:val="en-US" w:eastAsia="zh-CN"/>
              </w:rPr>
              <w:t>4</w:t>
            </w:r>
            <w:r>
              <w:rPr>
                <w:rFonts w:ascii="宋体" w:hAnsi="宋体" w:eastAsia="宋体" w:cs="宋体"/>
                <w:b w:val="0"/>
                <w:bCs w:val="0"/>
                <w:sz w:val="24"/>
                <w:szCs w:val="24"/>
              </w:rPr>
              <w:t>分；内容阐述较合理、较科学合理、操作性</w:t>
            </w:r>
            <w:r>
              <w:rPr>
                <w:rFonts w:hint="eastAsia" w:ascii="宋体" w:hAnsi="宋体" w:cs="宋体"/>
                <w:b w:val="0"/>
                <w:bCs w:val="0"/>
                <w:sz w:val="24"/>
                <w:szCs w:val="24"/>
                <w:lang w:val="en-US" w:eastAsia="zh-CN"/>
              </w:rPr>
              <w:t>一般</w:t>
            </w:r>
            <w:r>
              <w:rPr>
                <w:rFonts w:ascii="宋体" w:hAnsi="宋体" w:eastAsia="宋体" w:cs="宋体"/>
                <w:b w:val="0"/>
                <w:bCs w:val="0"/>
                <w:sz w:val="24"/>
                <w:szCs w:val="24"/>
              </w:rPr>
              <w:t>的得</w:t>
            </w:r>
            <w:r>
              <w:rPr>
                <w:rFonts w:hint="eastAsia" w:ascii="宋体" w:hAnsi="宋体" w:cs="宋体"/>
                <w:b w:val="0"/>
                <w:bCs w:val="0"/>
                <w:sz w:val="24"/>
                <w:szCs w:val="24"/>
                <w:lang w:val="en-US" w:eastAsia="zh-CN"/>
              </w:rPr>
              <w:t>3</w:t>
            </w:r>
            <w:r>
              <w:rPr>
                <w:rFonts w:ascii="宋体" w:hAnsi="宋体" w:eastAsia="宋体" w:cs="宋体"/>
                <w:b w:val="0"/>
                <w:bCs w:val="0"/>
                <w:sz w:val="24"/>
                <w:szCs w:val="24"/>
              </w:rPr>
              <w:t>分；内容阐述不够详细、不够科学合理、操作性不强的的1分；无任何内容的得0分。</w:t>
            </w:r>
          </w:p>
        </w:tc>
        <w:tc>
          <w:tcPr>
            <w:tcW w:w="1193" w:type="dxa"/>
            <w:vAlign w:val="center"/>
          </w:tcPr>
          <w:p w14:paraId="74998CFF">
            <w:pPr>
              <w:spacing w:line="312" w:lineRule="auto"/>
              <w:jc w:val="center"/>
              <w:rPr>
                <w:rFonts w:hint="eastAsia" w:ascii="宋体" w:hAnsi="宋体" w:eastAsia="宋体" w:cs="宋体"/>
                <w:b/>
                <w:bCs/>
                <w:sz w:val="24"/>
                <w:szCs w:val="24"/>
                <w:lang w:eastAsia="zh-CN"/>
              </w:rPr>
            </w:pPr>
            <w:r>
              <w:rPr>
                <w:rFonts w:ascii="宋体" w:hAnsi="宋体" w:eastAsia="宋体" w:cs="宋体"/>
                <w:b/>
                <w:bCs/>
                <w:sz w:val="24"/>
                <w:szCs w:val="24"/>
              </w:rPr>
              <w:t>0-</w:t>
            </w:r>
            <w:r>
              <w:rPr>
                <w:rFonts w:hint="eastAsia" w:ascii="宋体" w:hAnsi="宋体" w:cs="宋体"/>
                <w:b/>
                <w:bCs/>
                <w:sz w:val="24"/>
                <w:szCs w:val="24"/>
                <w:lang w:val="en-US" w:eastAsia="zh-CN"/>
              </w:rPr>
              <w:t>4</w:t>
            </w:r>
          </w:p>
        </w:tc>
      </w:tr>
      <w:tr w14:paraId="1BD1CC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74" w:type="dxa"/>
            <w:vAlign w:val="center"/>
          </w:tcPr>
          <w:p w14:paraId="2A3761A4">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合理化建议</w:t>
            </w:r>
          </w:p>
        </w:tc>
        <w:tc>
          <w:tcPr>
            <w:tcW w:w="5213" w:type="dxa"/>
            <w:vAlign w:val="center"/>
          </w:tcPr>
          <w:p w14:paraId="314ADC68">
            <w:pPr>
              <w:spacing w:line="312" w:lineRule="auto"/>
              <w:jc w:val="left"/>
              <w:rPr>
                <w:rFonts w:ascii="宋体" w:hAnsi="宋体" w:eastAsia="宋体" w:cs="宋体"/>
                <w:b w:val="0"/>
                <w:bCs w:val="0"/>
                <w:sz w:val="24"/>
                <w:szCs w:val="24"/>
              </w:rPr>
            </w:pPr>
            <w:r>
              <w:rPr>
                <w:rFonts w:hint="eastAsia" w:ascii="宋体" w:hAnsi="宋体" w:eastAsia="宋体" w:cs="宋体"/>
                <w:b w:val="0"/>
                <w:bCs w:val="0"/>
                <w:sz w:val="24"/>
                <w:szCs w:val="24"/>
              </w:rPr>
              <w:t>对本项目的合理化建议</w:t>
            </w:r>
            <w:r>
              <w:rPr>
                <w:rFonts w:ascii="宋体" w:hAnsi="宋体" w:eastAsia="宋体" w:cs="宋体"/>
                <w:b w:val="0"/>
                <w:bCs w:val="0"/>
                <w:sz w:val="24"/>
                <w:szCs w:val="24"/>
              </w:rPr>
              <w:t>(综合评定分)</w:t>
            </w:r>
            <w:r>
              <w:rPr>
                <w:rFonts w:hint="eastAsia" w:ascii="宋体" w:hAnsi="宋体" w:cs="宋体"/>
                <w:b/>
                <w:bCs/>
                <w:sz w:val="24"/>
                <w:szCs w:val="24"/>
                <w:lang w:eastAsia="zh-CN"/>
              </w:rPr>
              <w:t>；</w:t>
            </w:r>
            <w:r>
              <w:rPr>
                <w:rFonts w:hint="eastAsia" w:ascii="宋体" w:hAnsi="宋体" w:eastAsia="宋体" w:cs="宋体"/>
                <w:b w:val="0"/>
                <w:bCs w:val="0"/>
                <w:sz w:val="24"/>
                <w:szCs w:val="24"/>
              </w:rPr>
              <w:t>方案内容完整且与项目匹配度好的得</w:t>
            </w:r>
            <w:r>
              <w:rPr>
                <w:rFonts w:hint="eastAsia" w:ascii="宋体" w:hAnsi="宋体" w:cs="宋体"/>
                <w:b w:val="0"/>
                <w:bCs w:val="0"/>
                <w:sz w:val="24"/>
                <w:szCs w:val="24"/>
                <w:lang w:val="en-US" w:eastAsia="zh-CN"/>
              </w:rPr>
              <w:t>4</w:t>
            </w:r>
            <w:r>
              <w:rPr>
                <w:rFonts w:hint="eastAsia" w:ascii="宋体" w:hAnsi="宋体" w:eastAsia="宋体" w:cs="宋体"/>
                <w:b w:val="0"/>
                <w:bCs w:val="0"/>
                <w:sz w:val="24"/>
                <w:szCs w:val="24"/>
              </w:rPr>
              <w:t>分；方案内容基本完整且与项目匹配度较好的得</w:t>
            </w:r>
            <w:r>
              <w:rPr>
                <w:rFonts w:hint="eastAsia" w:ascii="宋体" w:hAnsi="宋体" w:cs="宋体"/>
                <w:b w:val="0"/>
                <w:bCs w:val="0"/>
                <w:sz w:val="24"/>
                <w:szCs w:val="24"/>
                <w:lang w:val="en-US" w:eastAsia="zh-CN"/>
              </w:rPr>
              <w:t>3</w:t>
            </w:r>
            <w:r>
              <w:rPr>
                <w:rFonts w:hint="eastAsia" w:ascii="宋体" w:hAnsi="宋体" w:eastAsia="宋体" w:cs="宋体"/>
                <w:b w:val="0"/>
                <w:bCs w:val="0"/>
                <w:sz w:val="24"/>
                <w:szCs w:val="24"/>
              </w:rPr>
              <w:t>分；方案内容存在欠缺或与项目匹配度一般的得</w:t>
            </w:r>
            <w:r>
              <w:rPr>
                <w:rFonts w:hint="eastAsia" w:ascii="宋体" w:hAnsi="宋体" w:cs="宋体"/>
                <w:b w:val="0"/>
                <w:bCs w:val="0"/>
                <w:sz w:val="24"/>
                <w:szCs w:val="24"/>
                <w:lang w:val="en-US" w:eastAsia="zh-CN"/>
              </w:rPr>
              <w:t>1</w:t>
            </w:r>
            <w:r>
              <w:rPr>
                <w:rFonts w:hint="eastAsia" w:ascii="宋体" w:hAnsi="宋体" w:eastAsia="宋体" w:cs="宋体"/>
                <w:b w:val="0"/>
                <w:bCs w:val="0"/>
                <w:sz w:val="24"/>
                <w:szCs w:val="24"/>
              </w:rPr>
              <w:t>分；方案内容缺失严重或与项目不匹配的不得分。</w:t>
            </w:r>
          </w:p>
        </w:tc>
        <w:tc>
          <w:tcPr>
            <w:tcW w:w="1193" w:type="dxa"/>
            <w:vAlign w:val="center"/>
          </w:tcPr>
          <w:p w14:paraId="335AFB1F">
            <w:pPr>
              <w:spacing w:line="312" w:lineRule="auto"/>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0</w:t>
            </w:r>
            <w:r>
              <w:rPr>
                <w:rFonts w:ascii="宋体" w:hAnsi="宋体" w:eastAsia="宋体" w:cs="宋体"/>
                <w:b/>
                <w:bCs/>
                <w:sz w:val="24"/>
                <w:szCs w:val="24"/>
              </w:rPr>
              <w:t>-</w:t>
            </w:r>
            <w:r>
              <w:rPr>
                <w:rFonts w:hint="eastAsia" w:ascii="宋体" w:hAnsi="宋体" w:cs="宋体"/>
                <w:b/>
                <w:bCs/>
                <w:sz w:val="24"/>
                <w:szCs w:val="24"/>
                <w:lang w:val="en-US" w:eastAsia="zh-CN"/>
              </w:rPr>
              <w:t>4</w:t>
            </w:r>
          </w:p>
        </w:tc>
      </w:tr>
      <w:tr w14:paraId="7A9B94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974" w:type="dxa"/>
            <w:vAlign w:val="center"/>
          </w:tcPr>
          <w:p w14:paraId="5C484181">
            <w:pPr>
              <w:spacing w:line="312" w:lineRule="auto"/>
              <w:jc w:val="center"/>
              <w:rPr>
                <w:rFonts w:ascii="宋体" w:hAnsi="宋体" w:eastAsia="宋体" w:cs="宋体"/>
                <w:b/>
                <w:bCs/>
                <w:sz w:val="24"/>
                <w:szCs w:val="24"/>
              </w:rPr>
            </w:pPr>
            <w:r>
              <w:rPr>
                <w:rFonts w:hint="eastAsia" w:ascii="宋体" w:hAnsi="宋体" w:eastAsia="宋体" w:cs="宋体"/>
                <w:b/>
                <w:bCs/>
                <w:sz w:val="24"/>
                <w:szCs w:val="24"/>
              </w:rPr>
              <w:t>增值服务</w:t>
            </w:r>
          </w:p>
        </w:tc>
        <w:tc>
          <w:tcPr>
            <w:tcW w:w="5213" w:type="dxa"/>
            <w:vAlign w:val="center"/>
          </w:tcPr>
          <w:p w14:paraId="5DB1E0E4">
            <w:pPr>
              <w:rPr>
                <w:rFonts w:ascii="宋体" w:hAnsi="宋体" w:eastAsia="宋体" w:cs="宋体"/>
                <w:b w:val="0"/>
                <w:bCs w:val="0"/>
                <w:sz w:val="24"/>
                <w:szCs w:val="24"/>
              </w:rPr>
            </w:pPr>
            <w:r>
              <w:rPr>
                <w:rFonts w:hint="eastAsia" w:ascii="宋体" w:hAnsi="宋体" w:eastAsia="宋体" w:cs="宋体"/>
                <w:b w:val="0"/>
                <w:bCs w:val="0"/>
                <w:sz w:val="24"/>
                <w:szCs w:val="24"/>
              </w:rPr>
              <w:t>增值服务：根据投标人针对本项目</w:t>
            </w:r>
            <w:r>
              <w:rPr>
                <w:rFonts w:hint="eastAsia" w:ascii="宋体" w:hAnsi="宋体" w:cs="宋体"/>
                <w:b w:val="0"/>
                <w:bCs w:val="0"/>
                <w:sz w:val="24"/>
                <w:szCs w:val="24"/>
                <w:lang w:eastAsia="zh-CN"/>
              </w:rPr>
              <w:t>，</w:t>
            </w:r>
            <w:r>
              <w:rPr>
                <w:rFonts w:hint="eastAsia" w:ascii="宋体" w:hAnsi="宋体" w:eastAsia="宋体" w:cs="宋体"/>
                <w:b w:val="0"/>
                <w:bCs w:val="0"/>
                <w:sz w:val="24"/>
                <w:szCs w:val="24"/>
              </w:rPr>
              <w:t>能提供具有可操作性的增值服务方案，每提供一条得</w:t>
            </w:r>
            <w:r>
              <w:rPr>
                <w:rFonts w:ascii="宋体" w:hAnsi="宋体" w:eastAsia="宋体" w:cs="宋体"/>
                <w:b w:val="0"/>
                <w:bCs w:val="0"/>
                <w:sz w:val="24"/>
                <w:szCs w:val="24"/>
              </w:rPr>
              <w:t>2分，最高得6分。无增值服务方案得0分。</w:t>
            </w:r>
          </w:p>
        </w:tc>
        <w:tc>
          <w:tcPr>
            <w:tcW w:w="1193" w:type="dxa"/>
            <w:vAlign w:val="center"/>
          </w:tcPr>
          <w:p w14:paraId="1F1DE5CA">
            <w:pPr>
              <w:spacing w:line="312" w:lineRule="auto"/>
              <w:jc w:val="center"/>
              <w:rPr>
                <w:rFonts w:ascii="宋体" w:hAnsi="宋体" w:eastAsia="宋体" w:cs="宋体"/>
                <w:b/>
                <w:bCs/>
                <w:sz w:val="24"/>
                <w:szCs w:val="24"/>
              </w:rPr>
            </w:pPr>
            <w:r>
              <w:rPr>
                <w:rFonts w:ascii="宋体" w:hAnsi="宋体" w:eastAsia="宋体" w:cs="宋体"/>
                <w:b/>
                <w:bCs/>
                <w:sz w:val="24"/>
                <w:szCs w:val="24"/>
              </w:rPr>
              <w:t>0-6</w:t>
            </w:r>
          </w:p>
        </w:tc>
      </w:tr>
    </w:tbl>
    <w:p w14:paraId="259F137D">
      <w:pPr>
        <w:widowControl/>
        <w:spacing w:line="360" w:lineRule="auto"/>
        <w:ind w:firstLine="480" w:firstLineChars="200"/>
        <w:rPr>
          <w:rFonts w:hint="eastAsia" w:ascii="仿宋" w:hAnsi="仿宋" w:eastAsia="仿宋" w:cs="仿宋"/>
          <w:bCs/>
          <w:color w:val="000000" w:themeColor="text1"/>
          <w:sz w:val="24"/>
          <w:highlight w:val="none"/>
          <w14:textFill>
            <w14:solidFill>
              <w14:schemeClr w14:val="tx1"/>
            </w14:solidFill>
          </w14:textFill>
        </w:rPr>
      </w:pPr>
    </w:p>
    <w:p w14:paraId="7D71D7CC">
      <w:pPr>
        <w:widowControl/>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注：</w:t>
      </w:r>
      <w:r>
        <w:rPr>
          <w:rFonts w:hint="eastAsia" w:ascii="仿宋" w:hAnsi="仿宋" w:eastAsia="仿宋" w:cs="仿宋"/>
          <w:color w:val="000000" w:themeColor="text1"/>
          <w:sz w:val="24"/>
          <w:highlight w:val="none"/>
          <w14:textFill>
            <w14:solidFill>
              <w14:schemeClr w14:val="tx1"/>
            </w14:solidFill>
          </w14:textFill>
        </w:rPr>
        <w:t>投标文件中如附有外文资料，必须逐一对应翻译成中文并加盖投标人公章后附在相关外文资料后面，否则外文资料不予认可。翻译的中文资料与外文资料不符的，均不予认可。翻译严重错误的，将视同提供虚假资料。</w:t>
      </w:r>
    </w:p>
    <w:p w14:paraId="6E63E1F0">
      <w:pPr>
        <w:widowControl/>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、价格分（</w:t>
      </w:r>
      <w:r>
        <w:rPr>
          <w:rFonts w:hint="eastAsia" w:ascii="仿宋" w:hAnsi="仿宋" w:eastAsia="仿宋" w:cs="仿宋"/>
          <w:color w:val="000000" w:themeColor="text1"/>
          <w:sz w:val="24"/>
          <w:highlight w:val="none"/>
          <w:lang w:val="en-US" w:eastAsia="zh-CN"/>
          <w14:textFill>
            <w14:solidFill>
              <w14:schemeClr w14:val="tx1"/>
            </w14:solidFill>
          </w14:textFill>
        </w:rPr>
        <w:t>15</w:t>
      </w:r>
      <w:r>
        <w:rPr>
          <w:rFonts w:hint="eastAsia" w:ascii="仿宋" w:hAnsi="仿宋" w:eastAsia="仿宋" w:cs="仿宋"/>
          <w:color w:val="000000" w:themeColor="text1"/>
          <w:sz w:val="24"/>
          <w:highlight w:val="none"/>
          <w14:textFill>
            <w14:solidFill>
              <w14:schemeClr w14:val="tx1"/>
            </w14:solidFill>
          </w14:textFill>
        </w:rPr>
        <w:t>分）</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599"/>
      </w:tblGrid>
      <w:tr w14:paraId="7F1C7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14:paraId="44E853E8">
            <w:pPr>
              <w:widowControl/>
              <w:spacing w:line="240" w:lineRule="auto"/>
              <w:ind w:firstLine="480" w:firstLineChars="200"/>
              <w:jc w:val="both"/>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价格权值</w:t>
            </w:r>
          </w:p>
        </w:tc>
        <w:tc>
          <w:tcPr>
            <w:tcW w:w="6599" w:type="dxa"/>
            <w:tcBorders>
              <w:top w:val="single" w:color="auto" w:sz="4" w:space="0"/>
              <w:left w:val="single" w:color="auto" w:sz="4" w:space="0"/>
              <w:bottom w:val="single" w:color="auto" w:sz="4" w:space="0"/>
              <w:right w:val="single" w:color="auto" w:sz="4" w:space="0"/>
            </w:tcBorders>
            <w:noWrap/>
            <w:vAlign w:val="center"/>
          </w:tcPr>
          <w:p w14:paraId="5FD8C2BB">
            <w:pPr>
              <w:widowControl/>
              <w:spacing w:line="24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计算方法</w:t>
            </w:r>
          </w:p>
        </w:tc>
      </w:tr>
      <w:tr w14:paraId="08A8F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14:paraId="67F4F340">
            <w:pPr>
              <w:widowControl/>
              <w:spacing w:line="240" w:lineRule="auto"/>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价格权值=</w:t>
            </w:r>
            <w:r>
              <w:rPr>
                <w:rFonts w:hint="eastAsia" w:ascii="仿宋" w:hAnsi="仿宋" w:eastAsia="仿宋" w:cs="仿宋"/>
                <w:color w:val="000000" w:themeColor="text1"/>
                <w:sz w:val="24"/>
                <w:highlight w:val="none"/>
                <w:lang w:val="en-US" w:eastAsia="zh-CN"/>
                <w14:textFill>
                  <w14:solidFill>
                    <w14:schemeClr w14:val="tx1"/>
                  </w14:solidFill>
                </w14:textFill>
              </w:rPr>
              <w:t>0.15</w:t>
            </w:r>
          </w:p>
        </w:tc>
        <w:tc>
          <w:tcPr>
            <w:tcW w:w="6599" w:type="dxa"/>
            <w:tcBorders>
              <w:top w:val="single" w:color="auto" w:sz="4" w:space="0"/>
              <w:left w:val="single" w:color="auto" w:sz="4" w:space="0"/>
              <w:bottom w:val="single" w:color="auto" w:sz="4" w:space="0"/>
              <w:right w:val="single" w:color="auto" w:sz="4" w:space="0"/>
            </w:tcBorders>
            <w:noWrap/>
            <w:vAlign w:val="center"/>
          </w:tcPr>
          <w:p w14:paraId="2C0024EE">
            <w:pPr>
              <w:widowControl/>
              <w:spacing w:line="24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评审委员会对通过资格审查、技术部分评审、初步评审的响应文件进行商务部分评审。商务报价得分以有效响应报价与评审基准价的比值计算。若有效响应人＞5个的，以所有有效响应报价去除最高报价、最低报价后的平均值作为评审基准价；有效响应人≤5个的，以所有有效响应报价的平均值作为评审基准价。</w:t>
            </w:r>
          </w:p>
          <w:p w14:paraId="3A76A40A">
            <w:pPr>
              <w:widowControl/>
              <w:spacing w:line="24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当有效响应人＜3个的，评审委员会应判定本次响应是否具有竞争力，若评审委员会认为本次响应明显缺乏竞争的，可以否决全部响应；如判定仍具有竞争力，以最低有效报价为评审基准价。</w:t>
            </w:r>
          </w:p>
          <w:p w14:paraId="0342C913">
            <w:pPr>
              <w:widowControl/>
              <w:spacing w:line="24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响应报价等于评审基准价的得满分；每高于评审基准价的</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%扣0.</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分；每低于评审基准价</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%的 扣 0.</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分 (评标委员会根据项目实际情况设定偏离基准价扣分值)。响应报价每高于或低于评审基准价不足一个百分点时，使用直线插入法计算，保留两位小数。</w:t>
            </w:r>
          </w:p>
        </w:tc>
      </w:tr>
    </w:tbl>
    <w:p w14:paraId="7D579805">
      <w:pPr>
        <w:snapToGrid w:val="0"/>
        <w:spacing w:line="360" w:lineRule="auto"/>
        <w:rPr>
          <w:rFonts w:hint="default" w:ascii="仿宋" w:hAnsi="仿宋" w:eastAsia="仿宋" w:cs="仿宋"/>
          <w:b w:val="0"/>
          <w:bCs/>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lang w:val="en-US" w:eastAsia="zh-CN"/>
          <w14:textFill>
            <w14:solidFill>
              <w14:schemeClr w14:val="tx1"/>
            </w14:solidFill>
          </w14:textFill>
        </w:rPr>
        <w:t>特别说明：</w:t>
      </w:r>
      <w:r>
        <w:rPr>
          <w:rFonts w:hint="eastAsia" w:ascii="仿宋" w:hAnsi="仿宋" w:eastAsia="仿宋" w:cs="仿宋"/>
          <w:b w:val="0"/>
          <w:bCs/>
          <w:color w:val="000000" w:themeColor="text1"/>
          <w:sz w:val="24"/>
          <w:highlight w:val="none"/>
          <w:lang w:val="en-US" w:eastAsia="zh-CN"/>
          <w14:textFill>
            <w14:solidFill>
              <w14:schemeClr w14:val="tx1"/>
            </w14:solidFill>
          </w14:textFill>
        </w:rPr>
        <w:t>响应人报价低于项目预算50%的，应当在报价文件中详细阐述不影响产品质量或者诚信履约的具体原因和措施，未作阐述说明的，响应无效。</w:t>
      </w:r>
    </w:p>
    <w:p w14:paraId="3DAE5DDC">
      <w:pPr>
        <w:snapToGrid w:val="0"/>
        <w:spacing w:line="360" w:lineRule="auto"/>
        <w:rPr>
          <w:rFonts w:ascii="仿宋" w:hAnsi="仿宋" w:eastAsia="仿宋" w:cs="仿宋_GB2312"/>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w:t>
      </w:r>
      <w:r>
        <w:rPr>
          <w:rFonts w:hint="eastAsia" w:ascii="仿宋" w:hAnsi="仿宋" w:eastAsia="仿宋" w:cs="仿宋"/>
          <w:color w:val="000000" w:themeColor="text1"/>
          <w:sz w:val="24"/>
          <w:highlight w:val="none"/>
          <w14:textFill>
            <w14:solidFill>
              <w14:schemeClr w14:val="tx1"/>
            </w14:solidFill>
          </w14:textFill>
        </w:rPr>
        <w:t>投标人编制投标文件（商务技术文件部分）时，建议按此目录（序号和内容）提供评标标准相应的商务技术资料。</w:t>
      </w:r>
    </w:p>
    <w:p w14:paraId="6353A3EC">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auto"/>
          <w:sz w:val="32"/>
          <w:highlight w:val="none"/>
        </w:rPr>
      </w:pPr>
    </w:p>
    <w:p w14:paraId="448EDCED">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auto"/>
          <w:sz w:val="32"/>
          <w:highlight w:val="none"/>
        </w:rPr>
      </w:pPr>
    </w:p>
    <w:p w14:paraId="3EE1C913">
      <w:pPr>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p>
    <w:p w14:paraId="3A6777D0">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w:t>
      </w:r>
      <w:r>
        <w:rPr>
          <w:rFonts w:hint="eastAsia" w:ascii="宋体" w:hAnsi="宋体" w:eastAsia="宋体" w:cs="宋体"/>
          <w:b/>
          <w:color w:val="auto"/>
          <w:sz w:val="32"/>
          <w:highlight w:val="none"/>
          <w:lang w:eastAsia="zh-CN"/>
        </w:rPr>
        <w:t>交易</w:t>
      </w:r>
      <w:r>
        <w:rPr>
          <w:rFonts w:hint="eastAsia" w:ascii="宋体" w:hAnsi="宋体" w:eastAsia="宋体" w:cs="宋体"/>
          <w:b/>
          <w:color w:val="auto"/>
          <w:sz w:val="32"/>
          <w:highlight w:val="none"/>
        </w:rPr>
        <w:t>方法</w:t>
      </w:r>
    </w:p>
    <w:p w14:paraId="1D60E4D4">
      <w:pPr>
        <w:pageBreakBefore w:val="0"/>
        <w:kinsoku/>
        <w:wordWrap/>
        <w:overflowPunct/>
        <w:topLinePunct w:val="0"/>
        <w:autoSpaceDE/>
        <w:autoSpaceDN/>
        <w:bidi w:val="0"/>
        <w:adjustRightInd/>
        <w:spacing w:line="570" w:lineRule="exact"/>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满足</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全部实质性要求，且按照评审因素的量化指标评审得分最高的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为</w:t>
      </w:r>
      <w:r>
        <w:rPr>
          <w:rFonts w:hint="eastAsia" w:ascii="宋体" w:hAnsi="宋体" w:eastAsia="宋体" w:cs="宋体"/>
          <w:color w:val="auto"/>
          <w:kern w:val="0"/>
          <w:sz w:val="24"/>
          <w:highlight w:val="none"/>
          <w:lang w:eastAsia="zh-CN"/>
        </w:rPr>
        <w:t>成交候选人</w:t>
      </w:r>
      <w:r>
        <w:rPr>
          <w:rFonts w:hint="eastAsia" w:ascii="宋体" w:hAnsi="宋体" w:eastAsia="宋体" w:cs="宋体"/>
          <w:color w:val="auto"/>
          <w:kern w:val="0"/>
          <w:sz w:val="24"/>
          <w:highlight w:val="none"/>
        </w:rPr>
        <w:t>的评标方法。</w:t>
      </w:r>
    </w:p>
    <w:p w14:paraId="6FF8AFF4">
      <w:pPr>
        <w:pageBreakBefore w:val="0"/>
        <w:kinsoku/>
        <w:wordWrap/>
        <w:overflowPunct/>
        <w:topLinePunct w:val="0"/>
        <w:autoSpaceDE/>
        <w:autoSpaceDN/>
        <w:bidi w:val="0"/>
        <w:adjustRightInd/>
        <w:spacing w:line="570" w:lineRule="exact"/>
        <w:textAlignment w:val="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w:t>
      </w:r>
      <w:r>
        <w:rPr>
          <w:rFonts w:hint="eastAsia" w:ascii="宋体" w:hAnsi="宋体" w:eastAsia="宋体" w:cs="宋体"/>
          <w:b/>
          <w:color w:val="auto"/>
          <w:sz w:val="32"/>
          <w:highlight w:val="none"/>
          <w:lang w:eastAsia="zh-CN"/>
        </w:rPr>
        <w:t>交易</w:t>
      </w:r>
      <w:r>
        <w:rPr>
          <w:rFonts w:hint="eastAsia" w:ascii="宋体" w:hAnsi="宋体" w:eastAsia="宋体" w:cs="宋体"/>
          <w:b/>
          <w:color w:val="auto"/>
          <w:sz w:val="32"/>
          <w:highlight w:val="none"/>
        </w:rPr>
        <w:t>标准</w:t>
      </w:r>
    </w:p>
    <w:p w14:paraId="42B7D1F9">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2.评标标准：</w:t>
      </w:r>
      <w:r>
        <w:rPr>
          <w:rFonts w:hint="eastAsia" w:ascii="宋体" w:hAnsi="宋体" w:eastAsia="宋体" w:cs="宋体"/>
          <w:color w:val="auto"/>
          <w:kern w:val="0"/>
          <w:sz w:val="24"/>
          <w:highlight w:val="none"/>
        </w:rPr>
        <w:t>见</w:t>
      </w:r>
      <w:r>
        <w:rPr>
          <w:rFonts w:hint="eastAsia" w:ascii="宋体" w:hAnsi="宋体" w:eastAsia="宋体" w:cs="宋体"/>
          <w:color w:val="auto"/>
          <w:kern w:val="0"/>
          <w:sz w:val="24"/>
          <w:highlight w:val="none"/>
          <w:lang w:eastAsia="zh-CN"/>
        </w:rPr>
        <w:t>交易办法</w:t>
      </w:r>
      <w:r>
        <w:rPr>
          <w:rFonts w:hint="eastAsia" w:ascii="宋体" w:hAnsi="宋体" w:eastAsia="宋体" w:cs="宋体"/>
          <w:color w:val="auto"/>
          <w:kern w:val="0"/>
          <w:sz w:val="24"/>
          <w:highlight w:val="none"/>
        </w:rPr>
        <w:t>前附表。</w:t>
      </w:r>
    </w:p>
    <w:p w14:paraId="5BD46955">
      <w:pPr>
        <w:pageBreakBefore w:val="0"/>
        <w:kinsoku/>
        <w:wordWrap/>
        <w:overflowPunct/>
        <w:topLinePunct w:val="0"/>
        <w:autoSpaceDE/>
        <w:autoSpaceDN/>
        <w:bidi w:val="0"/>
        <w:spacing w:line="570" w:lineRule="exact"/>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w:t>
      </w:r>
      <w:r>
        <w:rPr>
          <w:rFonts w:hint="eastAsia" w:ascii="宋体" w:hAnsi="宋体" w:eastAsia="宋体" w:cs="宋体"/>
          <w:b/>
          <w:color w:val="auto"/>
          <w:sz w:val="32"/>
          <w:highlight w:val="none"/>
          <w:lang w:eastAsia="zh-CN"/>
        </w:rPr>
        <w:t>交易</w:t>
      </w:r>
      <w:r>
        <w:rPr>
          <w:rFonts w:hint="eastAsia" w:ascii="宋体" w:hAnsi="宋体" w:eastAsia="宋体" w:cs="宋体"/>
          <w:b/>
          <w:color w:val="auto"/>
          <w:sz w:val="32"/>
          <w:highlight w:val="none"/>
        </w:rPr>
        <w:t>程序</w:t>
      </w:r>
    </w:p>
    <w:bookmarkEnd w:id="19"/>
    <w:p w14:paraId="63FA9E61">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color w:val="auto"/>
          <w:kern w:val="0"/>
          <w:sz w:val="24"/>
          <w:highlight w:val="none"/>
        </w:rPr>
      </w:pPr>
      <w:bookmarkStart w:id="385" w:name="第五部分"/>
      <w:bookmarkStart w:id="386" w:name="_Toc86217003"/>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进行符合性审查，以确定其是否满足</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的实质性要求。不满足</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的实质性要求的，</w:t>
      </w:r>
      <w:r>
        <w:rPr>
          <w:rFonts w:hint="eastAsia" w:ascii="宋体" w:hAnsi="宋体" w:eastAsia="宋体" w:cs="宋体"/>
          <w:color w:val="auto"/>
          <w:kern w:val="0"/>
          <w:sz w:val="24"/>
          <w:highlight w:val="none"/>
          <w:lang w:eastAsia="zh-CN"/>
        </w:rPr>
        <w:t>交易无效</w:t>
      </w:r>
      <w:r>
        <w:rPr>
          <w:rFonts w:hint="eastAsia" w:ascii="宋体" w:hAnsi="宋体" w:eastAsia="宋体" w:cs="宋体"/>
          <w:color w:val="auto"/>
          <w:kern w:val="0"/>
          <w:sz w:val="24"/>
          <w:highlight w:val="none"/>
        </w:rPr>
        <w:t>。</w:t>
      </w:r>
    </w:p>
    <w:p w14:paraId="52F589DB">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3.2比较与评价。</w:t>
      </w:r>
      <w:r>
        <w:rPr>
          <w:rFonts w:hint="eastAsia" w:ascii="宋体" w:hAnsi="宋体" w:eastAsia="宋体" w:cs="宋体"/>
          <w:color w:val="auto"/>
          <w:kern w:val="0"/>
          <w:sz w:val="24"/>
          <w:highlight w:val="none"/>
        </w:rPr>
        <w:t>评标委员会应当按照</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中规定的评标方法和标准，对符合性审查合格的</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进行商务和技术评估，综合比较与评价。</w:t>
      </w:r>
    </w:p>
    <w:p w14:paraId="4DC5BC39">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的商务和技术文件进行评价，并汇总商务技术得分情况。</w:t>
      </w:r>
    </w:p>
    <w:p w14:paraId="1717C3E5">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3B74EF51">
      <w:pPr>
        <w:pStyle w:val="132"/>
        <w:pageBreakBefore w:val="0"/>
        <w:kinsoku/>
        <w:wordWrap/>
        <w:overflowPunct/>
        <w:topLinePunct w:val="0"/>
        <w:autoSpaceDE/>
        <w:autoSpaceDN/>
        <w:bidi w:val="0"/>
        <w:spacing w:before="0" w:line="570" w:lineRule="exact"/>
        <w:ind w:firstLine="508" w:firstLineChars="212"/>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3.4.1</w:t>
      </w:r>
      <w:r>
        <w:rPr>
          <w:rFonts w:hint="eastAsia" w:ascii="宋体" w:hAnsi="宋体" w:eastAsia="宋体" w:cs="宋体"/>
          <w:color w:val="auto"/>
          <w:kern w:val="0"/>
          <w:highlight w:val="none"/>
          <w:lang w:eastAsia="zh-CN"/>
        </w:rPr>
        <w:t>响应文件</w:t>
      </w:r>
      <w:r>
        <w:rPr>
          <w:rFonts w:hint="eastAsia" w:ascii="宋体" w:hAnsi="宋体" w:eastAsia="宋体" w:cs="宋体"/>
          <w:color w:val="auto"/>
          <w:kern w:val="0"/>
          <w:highlight w:val="none"/>
        </w:rPr>
        <w:t>报价出现前后不一致的，按照下列规定修正：</w:t>
      </w:r>
    </w:p>
    <w:p w14:paraId="3588FC7A">
      <w:pPr>
        <w:pStyle w:val="132"/>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w:t>
      </w:r>
      <w:r>
        <w:rPr>
          <w:rFonts w:hint="eastAsia" w:ascii="宋体" w:hAnsi="宋体" w:eastAsia="宋体" w:cs="宋体"/>
          <w:color w:val="auto"/>
          <w:kern w:val="0"/>
          <w:szCs w:val="24"/>
          <w:highlight w:val="none"/>
          <w:lang w:eastAsia="zh-CN"/>
        </w:rPr>
        <w:t>响应文件</w:t>
      </w:r>
      <w:r>
        <w:rPr>
          <w:rFonts w:hint="eastAsia" w:ascii="宋体" w:hAnsi="宋体" w:eastAsia="宋体" w:cs="宋体"/>
          <w:color w:val="auto"/>
          <w:kern w:val="0"/>
          <w:szCs w:val="24"/>
          <w:highlight w:val="none"/>
        </w:rPr>
        <w:t>中</w:t>
      </w:r>
      <w:r>
        <w:rPr>
          <w:rFonts w:hint="eastAsia" w:ascii="宋体" w:hAnsi="宋体" w:eastAsia="宋体" w:cs="宋体"/>
          <w:color w:val="auto"/>
          <w:kern w:val="0"/>
          <w:szCs w:val="24"/>
          <w:highlight w:val="none"/>
          <w:lang w:eastAsia="zh-CN"/>
        </w:rPr>
        <w:t>交易一览表</w:t>
      </w:r>
      <w:r>
        <w:rPr>
          <w:rFonts w:hint="eastAsia" w:ascii="宋体" w:hAnsi="宋体" w:eastAsia="宋体" w:cs="宋体"/>
          <w:color w:val="auto"/>
          <w:kern w:val="0"/>
          <w:szCs w:val="24"/>
          <w:highlight w:val="none"/>
        </w:rPr>
        <w:t>(报价表)内容与</w:t>
      </w:r>
      <w:r>
        <w:rPr>
          <w:rFonts w:hint="eastAsia" w:ascii="宋体" w:hAnsi="宋体" w:eastAsia="宋体" w:cs="宋体"/>
          <w:color w:val="auto"/>
          <w:kern w:val="0"/>
          <w:szCs w:val="24"/>
          <w:highlight w:val="none"/>
          <w:lang w:eastAsia="zh-CN"/>
        </w:rPr>
        <w:t>响应文件</w:t>
      </w:r>
      <w:r>
        <w:rPr>
          <w:rFonts w:hint="eastAsia" w:ascii="宋体" w:hAnsi="宋体" w:eastAsia="宋体" w:cs="宋体"/>
          <w:color w:val="auto"/>
          <w:kern w:val="0"/>
          <w:szCs w:val="24"/>
          <w:highlight w:val="none"/>
        </w:rPr>
        <w:t>中相应内容不一致的，以</w:t>
      </w:r>
      <w:r>
        <w:rPr>
          <w:rFonts w:hint="eastAsia" w:ascii="宋体" w:hAnsi="宋体" w:eastAsia="宋体" w:cs="宋体"/>
          <w:color w:val="auto"/>
          <w:kern w:val="0"/>
          <w:szCs w:val="24"/>
          <w:highlight w:val="none"/>
          <w:lang w:eastAsia="zh-CN"/>
        </w:rPr>
        <w:t>交易一览表</w:t>
      </w:r>
      <w:r>
        <w:rPr>
          <w:rFonts w:hint="eastAsia" w:ascii="宋体" w:hAnsi="宋体" w:eastAsia="宋体" w:cs="宋体"/>
          <w:color w:val="auto"/>
          <w:kern w:val="0"/>
          <w:szCs w:val="24"/>
          <w:highlight w:val="none"/>
        </w:rPr>
        <w:t>(报价表)为准;</w:t>
      </w:r>
    </w:p>
    <w:p w14:paraId="3EA02DF8">
      <w:pPr>
        <w:pStyle w:val="132"/>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699862F3">
      <w:pPr>
        <w:pStyle w:val="132"/>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w:t>
      </w:r>
      <w:r>
        <w:rPr>
          <w:rFonts w:hint="eastAsia" w:ascii="宋体" w:hAnsi="宋体" w:eastAsia="宋体" w:cs="宋体"/>
          <w:color w:val="auto"/>
          <w:kern w:val="0"/>
          <w:szCs w:val="24"/>
          <w:highlight w:val="none"/>
          <w:lang w:eastAsia="zh-CN"/>
        </w:rPr>
        <w:t>交易一览表</w:t>
      </w:r>
      <w:r>
        <w:rPr>
          <w:rFonts w:hint="eastAsia" w:ascii="宋体" w:hAnsi="宋体" w:eastAsia="宋体" w:cs="宋体"/>
          <w:color w:val="auto"/>
          <w:kern w:val="0"/>
          <w:szCs w:val="24"/>
          <w:highlight w:val="none"/>
        </w:rPr>
        <w:t>的总价为准，并修改单价;</w:t>
      </w:r>
    </w:p>
    <w:p w14:paraId="000F5C28">
      <w:pPr>
        <w:pStyle w:val="132"/>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3F84937E">
      <w:pPr>
        <w:pStyle w:val="132"/>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确认后产生约束力。</w:t>
      </w:r>
    </w:p>
    <w:p w14:paraId="61302013">
      <w:pPr>
        <w:pageBreakBefore w:val="0"/>
        <w:kinsoku/>
        <w:wordWrap/>
        <w:overflowPunct/>
        <w:topLinePunct w:val="0"/>
        <w:autoSpaceDE/>
        <w:autoSpaceDN/>
        <w:bidi w:val="0"/>
        <w:snapToGrid w:val="0"/>
        <w:spacing w:line="57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出现不是唯一的、有选择性</w:t>
      </w:r>
      <w:r>
        <w:rPr>
          <w:rFonts w:hint="eastAsia" w:ascii="宋体" w:hAnsi="宋体" w:eastAsia="宋体" w:cs="宋体"/>
          <w:color w:val="auto"/>
          <w:kern w:val="0"/>
          <w:sz w:val="24"/>
          <w:highlight w:val="none"/>
          <w:lang w:eastAsia="zh-CN"/>
        </w:rPr>
        <w:t>交易报价</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lang w:eastAsia="zh-CN"/>
        </w:rPr>
        <w:t>交易无效</w:t>
      </w:r>
      <w:r>
        <w:rPr>
          <w:rFonts w:hint="eastAsia" w:ascii="宋体" w:hAnsi="宋体" w:eastAsia="宋体" w:cs="宋体"/>
          <w:color w:val="auto"/>
          <w:kern w:val="0"/>
          <w:sz w:val="24"/>
          <w:highlight w:val="none"/>
        </w:rPr>
        <w:t>。</w:t>
      </w:r>
    </w:p>
    <w:p w14:paraId="0B1E6CBF">
      <w:pPr>
        <w:pageBreakBefore w:val="0"/>
        <w:kinsoku/>
        <w:wordWrap/>
        <w:overflowPunct/>
        <w:topLinePunct w:val="0"/>
        <w:autoSpaceDE/>
        <w:autoSpaceDN/>
        <w:bidi w:val="0"/>
        <w:snapToGrid w:val="0"/>
        <w:spacing w:line="57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w:t>
      </w:r>
      <w:r>
        <w:rPr>
          <w:rFonts w:hint="eastAsia" w:ascii="宋体" w:hAnsi="宋体" w:eastAsia="宋体" w:cs="宋体"/>
          <w:color w:val="auto"/>
          <w:kern w:val="0"/>
          <w:sz w:val="24"/>
          <w:highlight w:val="none"/>
          <w:lang w:eastAsia="zh-CN"/>
        </w:rPr>
        <w:t>交易报价</w:t>
      </w:r>
      <w:r>
        <w:rPr>
          <w:rFonts w:hint="eastAsia" w:ascii="宋体" w:hAnsi="宋体" w:eastAsia="宋体" w:cs="宋体"/>
          <w:color w:val="auto"/>
          <w:kern w:val="0"/>
          <w:sz w:val="24"/>
          <w:highlight w:val="none"/>
        </w:rPr>
        <w:t>超过</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中规定的预算金额或者最高限价的，</w:t>
      </w:r>
      <w:r>
        <w:rPr>
          <w:rFonts w:hint="eastAsia" w:ascii="宋体" w:hAnsi="宋体" w:eastAsia="宋体" w:cs="宋体"/>
          <w:color w:val="auto"/>
          <w:kern w:val="0"/>
          <w:sz w:val="24"/>
          <w:highlight w:val="none"/>
          <w:lang w:eastAsia="zh-CN"/>
        </w:rPr>
        <w:t>交易无效</w:t>
      </w:r>
      <w:r>
        <w:rPr>
          <w:rFonts w:hint="eastAsia" w:ascii="宋体" w:hAnsi="宋体" w:eastAsia="宋体" w:cs="宋体"/>
          <w:color w:val="auto"/>
          <w:kern w:val="0"/>
          <w:sz w:val="24"/>
          <w:highlight w:val="none"/>
        </w:rPr>
        <w:t>。</w:t>
      </w:r>
    </w:p>
    <w:p w14:paraId="0ED95C71">
      <w:pPr>
        <w:pStyle w:val="132"/>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的报价明显低于其他通过符合性审查</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的报价，有可能影响产品质量或者不能诚信履约的，应当要求其在合理的时间内提供书面说明，必要时提交相关证明材料;</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不能证明其报价合理性的，评标委员会应当将其作为无效</w:t>
      </w:r>
      <w:r>
        <w:rPr>
          <w:rFonts w:hint="eastAsia" w:ascii="宋体" w:hAnsi="宋体" w:cs="宋体"/>
          <w:color w:val="auto"/>
          <w:kern w:val="0"/>
          <w:szCs w:val="24"/>
          <w:highlight w:val="none"/>
          <w:lang w:val="en-US" w:eastAsia="zh-CN"/>
        </w:rPr>
        <w:t>响应</w:t>
      </w:r>
      <w:r>
        <w:rPr>
          <w:rFonts w:hint="eastAsia" w:ascii="宋体" w:hAnsi="宋体" w:eastAsia="宋体" w:cs="宋体"/>
          <w:color w:val="auto"/>
          <w:kern w:val="0"/>
          <w:szCs w:val="24"/>
          <w:highlight w:val="none"/>
        </w:rPr>
        <w:t>处理。</w:t>
      </w:r>
    </w:p>
    <w:p w14:paraId="4C49279F">
      <w:pPr>
        <w:pageBreakBefore w:val="0"/>
        <w:kinsoku/>
        <w:wordWrap/>
        <w:overflowPunct/>
        <w:topLinePunct w:val="0"/>
        <w:autoSpaceDE/>
        <w:autoSpaceDN/>
        <w:bidi w:val="0"/>
        <w:spacing w:line="570" w:lineRule="exact"/>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w:t>
      </w:r>
      <w:r>
        <w:rPr>
          <w:rFonts w:hint="eastAsia" w:ascii="宋体" w:hAnsi="宋体" w:eastAsia="宋体" w:cs="宋体"/>
          <w:color w:val="auto"/>
          <w:kern w:val="0"/>
          <w:sz w:val="24"/>
          <w:highlight w:val="none"/>
          <w:lang w:eastAsia="zh-CN"/>
        </w:rPr>
        <w:t>交易报价</w:t>
      </w:r>
      <w:r>
        <w:rPr>
          <w:rFonts w:hint="eastAsia" w:ascii="宋体" w:hAnsi="宋体" w:eastAsia="宋体" w:cs="宋体"/>
          <w:color w:val="auto"/>
          <w:kern w:val="0"/>
          <w:sz w:val="24"/>
          <w:highlight w:val="none"/>
        </w:rPr>
        <w:t>由低到高顺序排列。得分且</w:t>
      </w:r>
      <w:r>
        <w:rPr>
          <w:rFonts w:hint="eastAsia" w:ascii="宋体" w:hAnsi="宋体" w:eastAsia="宋体" w:cs="宋体"/>
          <w:color w:val="auto"/>
          <w:kern w:val="0"/>
          <w:sz w:val="24"/>
          <w:highlight w:val="none"/>
          <w:lang w:eastAsia="zh-CN"/>
        </w:rPr>
        <w:t>交易报价</w:t>
      </w:r>
      <w:r>
        <w:rPr>
          <w:rFonts w:hint="eastAsia" w:ascii="宋体" w:hAnsi="宋体" w:eastAsia="宋体" w:cs="宋体"/>
          <w:color w:val="auto"/>
          <w:kern w:val="0"/>
          <w:sz w:val="24"/>
          <w:highlight w:val="none"/>
        </w:rPr>
        <w:t>相同的并列。</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满足</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全部实质性要求，且按照评审因素的量化指标评审得分最高的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为排名第一的</w:t>
      </w:r>
      <w:r>
        <w:rPr>
          <w:rFonts w:hint="eastAsia" w:ascii="宋体" w:hAnsi="宋体" w:eastAsia="宋体" w:cs="宋体"/>
          <w:color w:val="auto"/>
          <w:kern w:val="0"/>
          <w:sz w:val="24"/>
          <w:highlight w:val="none"/>
          <w:lang w:eastAsia="zh-CN"/>
        </w:rPr>
        <w:t>成交候选人</w:t>
      </w:r>
      <w:r>
        <w:rPr>
          <w:rFonts w:hint="eastAsia" w:ascii="宋体" w:hAnsi="宋体" w:eastAsia="宋体" w:cs="宋体"/>
          <w:color w:val="auto"/>
          <w:kern w:val="0"/>
          <w:sz w:val="24"/>
          <w:highlight w:val="none"/>
        </w:rPr>
        <w:t>。</w:t>
      </w:r>
    </w:p>
    <w:p w14:paraId="0734B236">
      <w:pPr>
        <w:pageBreakBefore w:val="0"/>
        <w:kinsoku/>
        <w:wordWrap/>
        <w:overflowPunct/>
        <w:topLinePunct w:val="0"/>
        <w:autoSpaceDE/>
        <w:autoSpaceDN/>
        <w:bidi w:val="0"/>
        <w:spacing w:line="570" w:lineRule="exact"/>
        <w:textAlignment w:val="auto"/>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提供相同品牌产品（单一产品采购项目中的该产品或者非单一产品采购项目的核心产品）且通过资格审查、符合性审查的不同</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参加同一合同项下</w:t>
      </w:r>
      <w:r>
        <w:rPr>
          <w:rFonts w:hint="eastAsia" w:ascii="宋体" w:hAnsi="宋体" w:cs="宋体"/>
          <w:color w:val="auto"/>
          <w:kern w:val="0"/>
          <w:sz w:val="24"/>
          <w:highlight w:val="none"/>
          <w:lang w:val="en-US" w:eastAsia="zh-CN"/>
        </w:rPr>
        <w:t>响应</w:t>
      </w:r>
      <w:r>
        <w:rPr>
          <w:rFonts w:hint="eastAsia" w:ascii="宋体" w:hAnsi="宋体" w:eastAsia="宋体" w:cs="宋体"/>
          <w:color w:val="auto"/>
          <w:kern w:val="0"/>
          <w:sz w:val="24"/>
          <w:highlight w:val="none"/>
        </w:rPr>
        <w:t>的，按一家</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计算，评审后得分最高的同品牌</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获得</w:t>
      </w:r>
      <w:r>
        <w:rPr>
          <w:rFonts w:hint="eastAsia" w:ascii="宋体" w:hAnsi="宋体" w:eastAsia="宋体" w:cs="宋体"/>
          <w:color w:val="auto"/>
          <w:kern w:val="0"/>
          <w:sz w:val="24"/>
          <w:highlight w:val="none"/>
          <w:lang w:eastAsia="zh-CN"/>
        </w:rPr>
        <w:t>成交人</w:t>
      </w:r>
      <w:r>
        <w:rPr>
          <w:rFonts w:hint="eastAsia" w:ascii="宋体" w:hAnsi="宋体" w:eastAsia="宋体" w:cs="宋体"/>
          <w:color w:val="auto"/>
          <w:kern w:val="0"/>
          <w:sz w:val="24"/>
          <w:highlight w:val="none"/>
        </w:rPr>
        <w:t>推荐资格；评审得分相同的，采取随机抽取方式确定，其他同品牌</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不作为</w:t>
      </w:r>
      <w:r>
        <w:rPr>
          <w:rFonts w:hint="eastAsia" w:ascii="宋体" w:hAnsi="宋体" w:eastAsia="宋体" w:cs="宋体"/>
          <w:color w:val="auto"/>
          <w:kern w:val="0"/>
          <w:sz w:val="24"/>
          <w:highlight w:val="none"/>
          <w:lang w:eastAsia="zh-CN"/>
        </w:rPr>
        <w:t>成交候选人</w:t>
      </w:r>
      <w:r>
        <w:rPr>
          <w:rFonts w:hint="eastAsia" w:ascii="宋体" w:hAnsi="宋体" w:eastAsia="宋体" w:cs="宋体"/>
          <w:color w:val="auto"/>
          <w:kern w:val="0"/>
          <w:sz w:val="24"/>
          <w:highlight w:val="none"/>
        </w:rPr>
        <w:t>。</w:t>
      </w:r>
    </w:p>
    <w:p w14:paraId="0A4ADAD9">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C18C923">
      <w:pPr>
        <w:pageBreakBefore w:val="0"/>
        <w:widowControl/>
        <w:shd w:val="clear" w:color="auto" w:fill="FFFFFF"/>
        <w:kinsoku/>
        <w:wordWrap/>
        <w:overflowPunct/>
        <w:topLinePunct w:val="0"/>
        <w:autoSpaceDE/>
        <w:autoSpaceDN/>
        <w:bidi w:val="0"/>
        <w:adjustRightInd/>
        <w:spacing w:after="225" w:line="570" w:lineRule="exact"/>
        <w:jc w:val="left"/>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361B12E7">
      <w:pPr>
        <w:pStyle w:val="132"/>
        <w:pageBreakBefore w:val="0"/>
        <w:kinsoku/>
        <w:wordWrap/>
        <w:overflowPunct/>
        <w:topLinePunct w:val="0"/>
        <w:autoSpaceDE/>
        <w:autoSpaceDN/>
        <w:bidi w:val="0"/>
        <w:spacing w:before="0" w:line="570" w:lineRule="exact"/>
        <w:ind w:firstLine="472" w:firstLineChars="196"/>
        <w:textAlignment w:val="auto"/>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w:t>
      </w:r>
      <w:r>
        <w:rPr>
          <w:rFonts w:hint="eastAsia" w:ascii="宋体" w:hAnsi="宋体" w:eastAsia="宋体" w:cs="宋体"/>
          <w:b/>
          <w:color w:val="auto"/>
          <w:kern w:val="0"/>
          <w:szCs w:val="24"/>
          <w:highlight w:val="none"/>
          <w:lang w:eastAsia="zh-CN"/>
        </w:rPr>
        <w:t>供应商</w:t>
      </w:r>
      <w:r>
        <w:rPr>
          <w:rFonts w:hint="eastAsia" w:ascii="宋体" w:hAnsi="宋体" w:eastAsia="宋体" w:cs="宋体"/>
          <w:b/>
          <w:color w:val="auto"/>
          <w:kern w:val="0"/>
          <w:szCs w:val="24"/>
          <w:highlight w:val="none"/>
        </w:rPr>
        <w:t>澄清、说明或者补正。</w:t>
      </w:r>
      <w:r>
        <w:rPr>
          <w:rFonts w:hint="eastAsia" w:ascii="宋体" w:hAnsi="宋体" w:eastAsia="宋体" w:cs="宋体"/>
          <w:color w:val="auto"/>
          <w:kern w:val="0"/>
          <w:szCs w:val="24"/>
          <w:highlight w:val="none"/>
        </w:rPr>
        <w:t>对于</w:t>
      </w:r>
      <w:r>
        <w:rPr>
          <w:rFonts w:hint="eastAsia" w:ascii="宋体" w:hAnsi="宋体" w:eastAsia="宋体" w:cs="宋体"/>
          <w:color w:val="auto"/>
          <w:kern w:val="0"/>
          <w:szCs w:val="24"/>
          <w:highlight w:val="none"/>
          <w:lang w:eastAsia="zh-CN"/>
        </w:rPr>
        <w:t>响应文件</w:t>
      </w:r>
      <w:r>
        <w:rPr>
          <w:rFonts w:hint="eastAsia" w:ascii="宋体" w:hAnsi="宋体" w:eastAsia="宋体" w:cs="宋体"/>
          <w:color w:val="auto"/>
          <w:kern w:val="0"/>
          <w:szCs w:val="24"/>
          <w:highlight w:val="none"/>
        </w:rPr>
        <w:t>中含义不明确、同类问题表述不一致或者有明显文字和计算错误的内容需要</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作出必要的澄清、说明或者补正的，评标委员会和</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通过电子交易平台交换数据电文，</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提交使用电子签名的相关数据电文或通过平台上传加盖公章的扫描件。给予</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提交澄清、说明或补正的时间不得少于半小时，</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已经明确表示澄清说明或补正完毕的除外。</w:t>
      </w:r>
      <w:r>
        <w:rPr>
          <w:rFonts w:hint="eastAsia" w:ascii="宋体" w:hAnsi="宋体" w:eastAsia="宋体" w:cs="宋体"/>
          <w:color w:val="auto"/>
          <w:kern w:val="0"/>
          <w:szCs w:val="24"/>
          <w:highlight w:val="none"/>
          <w:lang w:eastAsia="zh-CN"/>
        </w:rPr>
        <w:t>供应商</w:t>
      </w:r>
      <w:r>
        <w:rPr>
          <w:rFonts w:hint="eastAsia" w:ascii="宋体" w:hAnsi="宋体" w:eastAsia="宋体" w:cs="宋体"/>
          <w:color w:val="auto"/>
          <w:kern w:val="0"/>
          <w:szCs w:val="24"/>
          <w:highlight w:val="none"/>
        </w:rPr>
        <w:t>的澄清、说明或者补正不得超出</w:t>
      </w:r>
      <w:r>
        <w:rPr>
          <w:rFonts w:hint="eastAsia" w:ascii="宋体" w:hAnsi="宋体" w:eastAsia="宋体" w:cs="宋体"/>
          <w:color w:val="auto"/>
          <w:kern w:val="0"/>
          <w:szCs w:val="24"/>
          <w:highlight w:val="none"/>
          <w:lang w:eastAsia="zh-CN"/>
        </w:rPr>
        <w:t>响应文件</w:t>
      </w:r>
      <w:r>
        <w:rPr>
          <w:rFonts w:hint="eastAsia" w:ascii="宋体" w:hAnsi="宋体" w:eastAsia="宋体" w:cs="宋体"/>
          <w:color w:val="auto"/>
          <w:kern w:val="0"/>
          <w:szCs w:val="24"/>
          <w:highlight w:val="none"/>
        </w:rPr>
        <w:t>的范围或者改变</w:t>
      </w:r>
      <w:r>
        <w:rPr>
          <w:rFonts w:hint="eastAsia" w:ascii="宋体" w:hAnsi="宋体" w:eastAsia="宋体" w:cs="宋体"/>
          <w:color w:val="auto"/>
          <w:kern w:val="0"/>
          <w:szCs w:val="24"/>
          <w:highlight w:val="none"/>
          <w:lang w:eastAsia="zh-CN"/>
        </w:rPr>
        <w:t>响应文件</w:t>
      </w:r>
      <w:r>
        <w:rPr>
          <w:rFonts w:hint="eastAsia" w:ascii="宋体" w:hAnsi="宋体" w:eastAsia="宋体" w:cs="宋体"/>
          <w:color w:val="auto"/>
          <w:kern w:val="0"/>
          <w:szCs w:val="24"/>
          <w:highlight w:val="none"/>
        </w:rPr>
        <w:t>的实质性内容。</w:t>
      </w:r>
    </w:p>
    <w:p w14:paraId="12650E9F">
      <w:pPr>
        <w:pStyle w:val="26"/>
        <w:pageBreakBefore w:val="0"/>
        <w:kinsoku/>
        <w:wordWrap/>
        <w:overflowPunct/>
        <w:topLinePunct w:val="0"/>
        <w:autoSpaceDE/>
        <w:autoSpaceDN/>
        <w:bidi w:val="0"/>
        <w:spacing w:line="570" w:lineRule="exact"/>
        <w:ind w:left="954" w:leftChars="226" w:hanging="479" w:firstLineChars="0"/>
        <w:textAlignment w:val="auto"/>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w:t>
      </w:r>
      <w:r>
        <w:rPr>
          <w:rFonts w:hint="eastAsia" w:ascii="宋体" w:hAnsi="宋体" w:eastAsia="宋体" w:cs="宋体"/>
          <w:b/>
          <w:color w:val="auto"/>
          <w:kern w:val="0"/>
          <w:highlight w:val="none"/>
          <w:lang w:eastAsia="zh-CN"/>
        </w:rPr>
        <w:t>交易无效</w:t>
      </w:r>
      <w:r>
        <w:rPr>
          <w:rFonts w:hint="eastAsia" w:ascii="宋体" w:hAnsi="宋体" w:eastAsia="宋体" w:cs="宋体"/>
          <w:b/>
          <w:color w:val="auto"/>
          <w:kern w:val="0"/>
          <w:highlight w:val="none"/>
        </w:rPr>
        <w:t>。</w:t>
      </w:r>
      <w:r>
        <w:rPr>
          <w:rFonts w:hint="eastAsia" w:ascii="宋体" w:hAnsi="宋体" w:eastAsia="宋体" w:cs="宋体"/>
          <w:color w:val="auto"/>
          <w:szCs w:val="21"/>
          <w:highlight w:val="none"/>
        </w:rPr>
        <w:t>有下列情形之一的，</w:t>
      </w:r>
      <w:r>
        <w:rPr>
          <w:rFonts w:hint="eastAsia" w:ascii="宋体" w:hAnsi="宋体" w:eastAsia="宋体" w:cs="宋体"/>
          <w:color w:val="auto"/>
          <w:szCs w:val="21"/>
          <w:highlight w:val="none"/>
          <w:lang w:eastAsia="zh-CN"/>
        </w:rPr>
        <w:t>交易无效</w:t>
      </w:r>
      <w:r>
        <w:rPr>
          <w:rFonts w:hint="eastAsia" w:ascii="宋体" w:hAnsi="宋体" w:eastAsia="宋体" w:cs="宋体"/>
          <w:color w:val="auto"/>
          <w:szCs w:val="21"/>
          <w:highlight w:val="none"/>
        </w:rPr>
        <w:t>：</w:t>
      </w:r>
    </w:p>
    <w:p w14:paraId="6D6D214A">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不具备</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中规定的资格要求的（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未提供有效的资格文件的，视为</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不具备</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中规定的资格要求）；</w:t>
      </w:r>
    </w:p>
    <w:p w14:paraId="2C38CA16">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未按照</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要求签署、盖章的；</w:t>
      </w:r>
    </w:p>
    <w:p w14:paraId="312FB23E">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w:t>
      </w:r>
      <w:r>
        <w:rPr>
          <w:rFonts w:hint="eastAsia" w:ascii="宋体" w:hAnsi="宋体" w:eastAsia="宋体" w:cs="宋体"/>
          <w:color w:val="auto"/>
          <w:kern w:val="0"/>
          <w:sz w:val="24"/>
          <w:highlight w:val="none"/>
          <w:lang w:eastAsia="zh-CN"/>
        </w:rPr>
        <w:t>交易人</w:t>
      </w:r>
      <w:r>
        <w:rPr>
          <w:rFonts w:hint="eastAsia" w:ascii="宋体" w:hAnsi="宋体" w:eastAsia="宋体" w:cs="宋体"/>
          <w:color w:val="auto"/>
          <w:kern w:val="0"/>
          <w:sz w:val="24"/>
          <w:highlight w:val="none"/>
        </w:rPr>
        <w:t>拟采购的产品属于政府强制采购的节能产品品目清单范围的，</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未按</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要求提供国家确定的认证机构出具的、处于有效期之内的节能产品认证证书的；</w:t>
      </w:r>
    </w:p>
    <w:p w14:paraId="59AEC0FE">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含有</w:t>
      </w:r>
      <w:r>
        <w:rPr>
          <w:rFonts w:hint="eastAsia" w:ascii="宋体" w:hAnsi="宋体" w:eastAsia="宋体" w:cs="宋体"/>
          <w:color w:val="auto"/>
          <w:kern w:val="0"/>
          <w:sz w:val="24"/>
          <w:highlight w:val="none"/>
          <w:lang w:eastAsia="zh-CN"/>
        </w:rPr>
        <w:t>交易人</w:t>
      </w:r>
      <w:r>
        <w:rPr>
          <w:rFonts w:hint="eastAsia" w:ascii="宋体" w:hAnsi="宋体" w:eastAsia="宋体" w:cs="宋体"/>
          <w:color w:val="auto"/>
          <w:kern w:val="0"/>
          <w:sz w:val="24"/>
          <w:highlight w:val="none"/>
        </w:rPr>
        <w:t>不能接受的附加条件的；</w:t>
      </w:r>
    </w:p>
    <w:p w14:paraId="5DB50A99">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中承诺的</w:t>
      </w:r>
      <w:r>
        <w:rPr>
          <w:rFonts w:hint="eastAsia" w:ascii="宋体" w:hAnsi="宋体" w:eastAsia="宋体" w:cs="宋体"/>
          <w:color w:val="auto"/>
          <w:kern w:val="0"/>
          <w:sz w:val="24"/>
          <w:highlight w:val="none"/>
          <w:lang w:eastAsia="zh-CN"/>
        </w:rPr>
        <w:t>交易有效期</w:t>
      </w:r>
      <w:r>
        <w:rPr>
          <w:rFonts w:hint="eastAsia" w:ascii="宋体" w:hAnsi="宋体" w:eastAsia="宋体" w:cs="宋体"/>
          <w:color w:val="auto"/>
          <w:kern w:val="0"/>
          <w:sz w:val="24"/>
          <w:highlight w:val="none"/>
        </w:rPr>
        <w:t>少于</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中载明的</w:t>
      </w:r>
      <w:r>
        <w:rPr>
          <w:rFonts w:hint="eastAsia" w:ascii="宋体" w:hAnsi="宋体" w:eastAsia="宋体" w:cs="宋体"/>
          <w:color w:val="auto"/>
          <w:kern w:val="0"/>
          <w:sz w:val="24"/>
          <w:highlight w:val="none"/>
          <w:lang w:eastAsia="zh-CN"/>
        </w:rPr>
        <w:t>交易有效期</w:t>
      </w:r>
      <w:r>
        <w:rPr>
          <w:rFonts w:hint="eastAsia" w:ascii="宋体" w:hAnsi="宋体" w:eastAsia="宋体" w:cs="宋体"/>
          <w:color w:val="auto"/>
          <w:kern w:val="0"/>
          <w:sz w:val="24"/>
          <w:highlight w:val="none"/>
        </w:rPr>
        <w:t>的；</w:t>
      </w:r>
    </w:p>
    <w:p w14:paraId="749C75B8">
      <w:pPr>
        <w:pageBreakBefore w:val="0"/>
        <w:kinsoku/>
        <w:wordWrap/>
        <w:overflowPunct/>
        <w:topLinePunct w:val="0"/>
        <w:autoSpaceDE/>
        <w:autoSpaceDN/>
        <w:bidi w:val="0"/>
        <w:snapToGrid w:val="0"/>
        <w:spacing w:line="570" w:lineRule="exact"/>
        <w:ind w:firstLine="120" w:firstLineChars="5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出现不是唯一的、有选择性</w:t>
      </w:r>
      <w:r>
        <w:rPr>
          <w:rFonts w:hint="eastAsia" w:ascii="宋体" w:hAnsi="宋体" w:eastAsia="宋体" w:cs="宋体"/>
          <w:color w:val="auto"/>
          <w:kern w:val="0"/>
          <w:sz w:val="24"/>
          <w:highlight w:val="none"/>
          <w:lang w:eastAsia="zh-CN"/>
        </w:rPr>
        <w:t>交易报价</w:t>
      </w:r>
      <w:r>
        <w:rPr>
          <w:rFonts w:hint="eastAsia" w:ascii="宋体" w:hAnsi="宋体" w:eastAsia="宋体" w:cs="宋体"/>
          <w:color w:val="auto"/>
          <w:kern w:val="0"/>
          <w:sz w:val="24"/>
          <w:highlight w:val="none"/>
        </w:rPr>
        <w:t>的;</w:t>
      </w:r>
    </w:p>
    <w:p w14:paraId="5CF80BFA">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w:t>
      </w:r>
      <w:r>
        <w:rPr>
          <w:rFonts w:hint="eastAsia" w:ascii="宋体" w:hAnsi="宋体" w:eastAsia="宋体" w:cs="宋体"/>
          <w:color w:val="auto"/>
          <w:kern w:val="0"/>
          <w:sz w:val="24"/>
          <w:highlight w:val="none"/>
          <w:lang w:eastAsia="zh-CN"/>
        </w:rPr>
        <w:t>交易报价</w:t>
      </w:r>
      <w:r>
        <w:rPr>
          <w:rFonts w:hint="eastAsia" w:ascii="宋体" w:hAnsi="宋体" w:eastAsia="宋体" w:cs="宋体"/>
          <w:color w:val="auto"/>
          <w:kern w:val="0"/>
          <w:sz w:val="24"/>
          <w:highlight w:val="none"/>
        </w:rPr>
        <w:t>超过</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中规定的预算金额或者最高限价的;</w:t>
      </w:r>
    </w:p>
    <w:p w14:paraId="3EC5DCB9">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的报价，有可能影响产品质量或者不能诚信履约的，未能按要求提供书面说明或者提交相关证明材料，不能证明其报价合理性的;</w:t>
      </w:r>
    </w:p>
    <w:p w14:paraId="7AB151C8">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对根据修正原则修正后的报价不确认的；</w:t>
      </w:r>
    </w:p>
    <w:p w14:paraId="16385B76">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提供虚假材料</w:t>
      </w:r>
      <w:r>
        <w:rPr>
          <w:rFonts w:hint="eastAsia" w:ascii="宋体" w:hAnsi="宋体" w:cs="宋体"/>
          <w:color w:val="auto"/>
          <w:kern w:val="0"/>
          <w:sz w:val="24"/>
          <w:highlight w:val="none"/>
          <w:lang w:val="en-US" w:eastAsia="zh-CN"/>
        </w:rPr>
        <w:t>响应</w:t>
      </w:r>
      <w:r>
        <w:rPr>
          <w:rFonts w:hint="eastAsia" w:ascii="宋体" w:hAnsi="宋体" w:eastAsia="宋体" w:cs="宋体"/>
          <w:color w:val="auto"/>
          <w:kern w:val="0"/>
          <w:sz w:val="24"/>
          <w:highlight w:val="none"/>
        </w:rPr>
        <w:t>的；</w:t>
      </w:r>
    </w:p>
    <w:p w14:paraId="4B527F3C">
      <w:pPr>
        <w:pageBreakBefore w:val="0"/>
        <w:kinsoku/>
        <w:wordWrap/>
        <w:overflowPunct/>
        <w:topLinePunct w:val="0"/>
        <w:autoSpaceDE/>
        <w:autoSpaceDN/>
        <w:bidi w:val="0"/>
        <w:spacing w:line="570" w:lineRule="exact"/>
        <w:ind w:firstLine="240" w:firstLineChars="1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有恶意串通、妨碍其他</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的竞争行为、损害</w:t>
      </w:r>
      <w:r>
        <w:rPr>
          <w:rFonts w:hint="eastAsia" w:ascii="宋体" w:hAnsi="宋体" w:eastAsia="宋体" w:cs="宋体"/>
          <w:color w:val="auto"/>
          <w:kern w:val="0"/>
          <w:sz w:val="24"/>
          <w:highlight w:val="none"/>
          <w:lang w:eastAsia="zh-CN"/>
        </w:rPr>
        <w:t>交易人</w:t>
      </w:r>
      <w:r>
        <w:rPr>
          <w:rFonts w:hint="eastAsia" w:ascii="宋体" w:hAnsi="宋体" w:eastAsia="宋体" w:cs="宋体"/>
          <w:color w:val="auto"/>
          <w:kern w:val="0"/>
          <w:sz w:val="24"/>
          <w:highlight w:val="none"/>
        </w:rPr>
        <w:t>或者其他</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的合法权益情形的；</w:t>
      </w:r>
    </w:p>
    <w:p w14:paraId="143881E5">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仅提交备份</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，未在电子交易平台传输递交</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lang w:eastAsia="zh-CN"/>
        </w:rPr>
        <w:t>交易无效</w:t>
      </w:r>
      <w:r>
        <w:rPr>
          <w:rFonts w:hint="eastAsia" w:ascii="宋体" w:hAnsi="宋体" w:eastAsia="宋体" w:cs="宋体"/>
          <w:color w:val="auto"/>
          <w:kern w:val="0"/>
          <w:sz w:val="24"/>
          <w:highlight w:val="none"/>
        </w:rPr>
        <w:t>；</w:t>
      </w:r>
    </w:p>
    <w:p w14:paraId="1D1287D6">
      <w:pPr>
        <w:pStyle w:val="4"/>
        <w:pageBreakBefore w:val="0"/>
        <w:kinsoku/>
        <w:wordWrap/>
        <w:overflowPunct/>
        <w:topLinePunct w:val="0"/>
        <w:autoSpaceDE/>
        <w:autoSpaceDN/>
        <w:bidi w:val="0"/>
        <w:spacing w:line="570" w:lineRule="exact"/>
        <w:ind w:left="862" w:leftChars="205"/>
        <w:textAlignment w:val="auto"/>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w:t>
      </w:r>
      <w:r>
        <w:rPr>
          <w:rFonts w:hint="eastAsia" w:ascii="宋体" w:hAnsi="宋体" w:eastAsia="宋体" w:cs="宋体"/>
          <w:b w:val="0"/>
          <w:bCs w:val="0"/>
          <w:color w:val="auto"/>
          <w:kern w:val="0"/>
          <w:sz w:val="24"/>
          <w:szCs w:val="24"/>
          <w:highlight w:val="none"/>
          <w:lang w:val="en-US" w:eastAsia="zh-CN"/>
        </w:rPr>
        <w:t>响应文件</w:t>
      </w:r>
      <w:r>
        <w:rPr>
          <w:rFonts w:hint="eastAsia" w:ascii="宋体" w:hAnsi="宋体" w:eastAsia="宋体" w:cs="宋体"/>
          <w:b w:val="0"/>
          <w:bCs w:val="0"/>
          <w:color w:val="auto"/>
          <w:kern w:val="0"/>
          <w:sz w:val="24"/>
          <w:szCs w:val="24"/>
          <w:highlight w:val="none"/>
          <w:lang w:val="en-US"/>
        </w:rPr>
        <w:t>不满足</w:t>
      </w:r>
      <w:r>
        <w:rPr>
          <w:rFonts w:hint="eastAsia" w:ascii="宋体" w:hAnsi="宋体" w:eastAsia="宋体" w:cs="宋体"/>
          <w:b w:val="0"/>
          <w:bCs w:val="0"/>
          <w:color w:val="auto"/>
          <w:kern w:val="0"/>
          <w:sz w:val="24"/>
          <w:szCs w:val="24"/>
          <w:highlight w:val="none"/>
          <w:lang w:val="en-US" w:eastAsia="zh-CN"/>
        </w:rPr>
        <w:t>交易文件</w:t>
      </w:r>
      <w:r>
        <w:rPr>
          <w:rFonts w:hint="eastAsia" w:ascii="宋体" w:hAnsi="宋体" w:eastAsia="宋体" w:cs="宋体"/>
          <w:b w:val="0"/>
          <w:bCs w:val="0"/>
          <w:color w:val="auto"/>
          <w:kern w:val="0"/>
          <w:sz w:val="24"/>
          <w:szCs w:val="24"/>
          <w:highlight w:val="none"/>
          <w:lang w:val="en-US"/>
        </w:rPr>
        <w:t>的其它实质性要求的；</w:t>
      </w:r>
    </w:p>
    <w:p w14:paraId="72D209F0">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14:paraId="17692ADD">
      <w:pPr>
        <w:pStyle w:val="26"/>
        <w:pageBreakBefore w:val="0"/>
        <w:kinsoku/>
        <w:wordWrap/>
        <w:overflowPunct/>
        <w:topLinePunct w:val="0"/>
        <w:autoSpaceDE/>
        <w:autoSpaceDN/>
        <w:bidi w:val="0"/>
        <w:snapToGrid w:val="0"/>
        <w:spacing w:line="570" w:lineRule="exact"/>
        <w:ind w:firstLine="472" w:firstLineChars="196"/>
        <w:textAlignment w:val="auto"/>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287B7807">
      <w:pPr>
        <w:pStyle w:val="26"/>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作实质响应的供应商不足3家的；</w:t>
      </w:r>
    </w:p>
    <w:p w14:paraId="5684FFD0">
      <w:pPr>
        <w:pStyle w:val="26"/>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6FC02C52">
      <w:pPr>
        <w:pStyle w:val="26"/>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5.3</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的报价均超过了采购预算，</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不能支付的；</w:t>
      </w:r>
    </w:p>
    <w:p w14:paraId="444BE2DD">
      <w:pPr>
        <w:pStyle w:val="26"/>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64D5410F">
      <w:pPr>
        <w:pStyle w:val="26"/>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w:t>
      </w:r>
    </w:p>
    <w:p w14:paraId="21EE3E30">
      <w:pPr>
        <w:pStyle w:val="26"/>
        <w:pageBreakBefore w:val="0"/>
        <w:kinsoku/>
        <w:wordWrap/>
        <w:overflowPunct/>
        <w:topLinePunct w:val="0"/>
        <w:autoSpaceDE/>
        <w:autoSpaceDN/>
        <w:bidi w:val="0"/>
        <w:snapToGrid w:val="0"/>
        <w:spacing w:line="570" w:lineRule="exact"/>
        <w:ind w:firstLine="590" w:firstLineChars="245"/>
        <w:textAlignment w:val="auto"/>
        <w:rPr>
          <w:rFonts w:hint="eastAsia" w:ascii="宋体" w:hAnsi="宋体" w:eastAsia="宋体" w:cs="宋体"/>
          <w:color w:val="auto"/>
          <w:highlight w:val="none"/>
        </w:rPr>
      </w:pPr>
      <w:r>
        <w:rPr>
          <w:rFonts w:hint="eastAsia" w:ascii="宋体" w:hAnsi="宋体" w:eastAsia="宋体" w:cs="宋体"/>
          <w:b/>
          <w:color w:val="auto"/>
          <w:highlight w:val="none"/>
        </w:rPr>
        <w:t>6.修改</w:t>
      </w:r>
      <w:r>
        <w:rPr>
          <w:rFonts w:hint="eastAsia" w:ascii="宋体" w:hAnsi="宋体" w:eastAsia="宋体" w:cs="宋体"/>
          <w:b/>
          <w:color w:val="auto"/>
          <w:highlight w:val="none"/>
          <w:lang w:eastAsia="zh-CN"/>
        </w:rPr>
        <w:t>交易文件</w:t>
      </w:r>
      <w:r>
        <w:rPr>
          <w:rFonts w:hint="eastAsia" w:ascii="宋体" w:hAnsi="宋体" w:eastAsia="宋体" w:cs="宋体"/>
          <w:b/>
          <w:color w:val="auto"/>
          <w:highlight w:val="none"/>
        </w:rPr>
        <w:t>，重新组织采购活动。</w:t>
      </w:r>
      <w:r>
        <w:rPr>
          <w:rFonts w:hint="eastAsia" w:ascii="宋体" w:hAnsi="宋体" w:eastAsia="宋体" w:cs="宋体"/>
          <w:color w:val="auto"/>
          <w:highlight w:val="none"/>
        </w:rPr>
        <w:t>评标委员会发现</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存在歧义、重大缺陷导致评标工作无法进行，或者</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内容违反国家有关强制性规定的，将停止评标工作，并与</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、采购机构沟通并作书面记录。</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、采购机构确认后，将修改</w:t>
      </w:r>
      <w:r>
        <w:rPr>
          <w:rFonts w:hint="eastAsia" w:ascii="宋体" w:hAnsi="宋体" w:eastAsia="宋体" w:cs="宋体"/>
          <w:color w:val="auto"/>
          <w:highlight w:val="none"/>
          <w:lang w:eastAsia="zh-CN"/>
        </w:rPr>
        <w:t>交易文件</w:t>
      </w:r>
      <w:r>
        <w:rPr>
          <w:rFonts w:hint="eastAsia" w:ascii="宋体" w:hAnsi="宋体" w:eastAsia="宋体" w:cs="宋体"/>
          <w:color w:val="auto"/>
          <w:highlight w:val="none"/>
        </w:rPr>
        <w:t>，重新组织采购活动。</w:t>
      </w:r>
    </w:p>
    <w:p w14:paraId="2CFF0760">
      <w:pPr>
        <w:pStyle w:val="26"/>
        <w:pageBreakBefore w:val="0"/>
        <w:kinsoku/>
        <w:wordWrap/>
        <w:overflowPunct/>
        <w:topLinePunct w:val="0"/>
        <w:autoSpaceDE/>
        <w:autoSpaceDN/>
        <w:bidi w:val="0"/>
        <w:snapToGrid w:val="0"/>
        <w:spacing w:line="570" w:lineRule="exact"/>
        <w:ind w:firstLine="590" w:firstLineChars="245"/>
        <w:textAlignment w:val="auto"/>
        <w:rPr>
          <w:rFonts w:hint="eastAsia" w:ascii="宋体" w:hAnsi="宋体" w:eastAsia="宋体" w:cs="宋体"/>
          <w:color w:val="auto"/>
          <w:highlight w:val="none"/>
        </w:rPr>
      </w:pPr>
      <w:r>
        <w:rPr>
          <w:rFonts w:hint="eastAsia" w:ascii="宋体" w:hAnsi="宋体" w:eastAsia="宋体" w:cs="宋体"/>
          <w:b/>
          <w:color w:val="auto"/>
          <w:kern w:val="0"/>
          <w:highlight w:val="none"/>
        </w:rPr>
        <w:t>7.重新开展</w:t>
      </w:r>
      <w:r>
        <w:rPr>
          <w:rFonts w:hint="eastAsia" w:ascii="宋体" w:hAnsi="宋体" w:eastAsia="宋体" w:cs="宋体"/>
          <w:b/>
          <w:color w:val="auto"/>
          <w:kern w:val="0"/>
          <w:highlight w:val="none"/>
          <w:lang w:val="en-US" w:eastAsia="zh-CN"/>
        </w:rPr>
        <w:t>交易</w:t>
      </w:r>
      <w:r>
        <w:rPr>
          <w:rFonts w:hint="eastAsia" w:ascii="宋体" w:hAnsi="宋体" w:eastAsia="宋体" w:cs="宋体"/>
          <w:b/>
          <w:color w:val="auto"/>
          <w:kern w:val="0"/>
          <w:highlight w:val="none"/>
        </w:rPr>
        <w:t>。</w:t>
      </w:r>
      <w:r>
        <w:rPr>
          <w:rFonts w:hint="eastAsia" w:ascii="宋体" w:hAnsi="宋体" w:eastAsia="宋体" w:cs="宋体"/>
          <w:color w:val="auto"/>
          <w:highlight w:val="none"/>
        </w:rPr>
        <w:t>影响或者可能影响</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、成交结果的，依照下列规定处理：</w:t>
      </w:r>
    </w:p>
    <w:p w14:paraId="073E03CF">
      <w:pPr>
        <w:pStyle w:val="26"/>
        <w:pageBreakBefore w:val="0"/>
        <w:kinsoku/>
        <w:wordWrap/>
        <w:overflowPunct/>
        <w:topLinePunct w:val="0"/>
        <w:autoSpaceDE/>
        <w:autoSpaceDN/>
        <w:bidi w:val="0"/>
        <w:snapToGrid w:val="0"/>
        <w:spacing w:line="570" w:lineRule="exact"/>
        <w:ind w:firstLine="600"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7.1未确定</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或者</w:t>
      </w:r>
      <w:r>
        <w:rPr>
          <w:rFonts w:hint="eastAsia" w:ascii="宋体" w:hAnsi="宋体" w:eastAsia="宋体" w:cs="宋体"/>
          <w:color w:val="auto"/>
          <w:highlight w:val="none"/>
          <w:lang w:eastAsia="zh-CN"/>
        </w:rPr>
        <w:t>成交人</w:t>
      </w:r>
      <w:r>
        <w:rPr>
          <w:rFonts w:hint="eastAsia" w:ascii="宋体" w:hAnsi="宋体" w:eastAsia="宋体" w:cs="宋体"/>
          <w:color w:val="auto"/>
          <w:highlight w:val="none"/>
        </w:rPr>
        <w:t>的，终止本次</w:t>
      </w:r>
      <w:r>
        <w:rPr>
          <w:rFonts w:hint="eastAsia" w:ascii="宋体" w:hAnsi="宋体" w:eastAsia="宋体" w:cs="宋体"/>
          <w:color w:val="auto"/>
          <w:highlight w:val="none"/>
          <w:lang w:val="en-US" w:eastAsia="zh-CN"/>
        </w:rPr>
        <w:t>交易</w:t>
      </w:r>
      <w:r>
        <w:rPr>
          <w:rFonts w:hint="eastAsia" w:ascii="宋体" w:hAnsi="宋体" w:eastAsia="宋体" w:cs="宋体"/>
          <w:color w:val="auto"/>
          <w:highlight w:val="none"/>
        </w:rPr>
        <w:t>活动，重新开展</w:t>
      </w:r>
      <w:r>
        <w:rPr>
          <w:rFonts w:hint="eastAsia" w:ascii="宋体" w:hAnsi="宋体" w:eastAsia="宋体" w:cs="宋体"/>
          <w:color w:val="auto"/>
          <w:highlight w:val="none"/>
          <w:lang w:val="en-US" w:eastAsia="zh-CN"/>
        </w:rPr>
        <w:t>交易</w:t>
      </w:r>
      <w:r>
        <w:rPr>
          <w:rFonts w:hint="eastAsia" w:ascii="宋体" w:hAnsi="宋体" w:eastAsia="宋体" w:cs="宋体"/>
          <w:color w:val="auto"/>
          <w:highlight w:val="none"/>
        </w:rPr>
        <w:t>活动。</w:t>
      </w:r>
    </w:p>
    <w:p w14:paraId="7F2B047D">
      <w:pPr>
        <w:pStyle w:val="26"/>
        <w:pageBreakBefore w:val="0"/>
        <w:kinsoku/>
        <w:wordWrap/>
        <w:overflowPunct/>
        <w:topLinePunct w:val="0"/>
        <w:autoSpaceDE/>
        <w:autoSpaceDN/>
        <w:bidi w:val="0"/>
        <w:snapToGrid w:val="0"/>
        <w:spacing w:line="570" w:lineRule="exact"/>
        <w:ind w:firstLine="600"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7.2已确定</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或者</w:t>
      </w:r>
      <w:r>
        <w:rPr>
          <w:rFonts w:hint="eastAsia" w:ascii="宋体" w:hAnsi="宋体" w:eastAsia="宋体" w:cs="宋体"/>
          <w:color w:val="auto"/>
          <w:highlight w:val="none"/>
          <w:lang w:eastAsia="zh-CN"/>
        </w:rPr>
        <w:t>成交人</w:t>
      </w:r>
      <w:r>
        <w:rPr>
          <w:rFonts w:hint="eastAsia" w:ascii="宋体" w:hAnsi="宋体" w:eastAsia="宋体" w:cs="宋体"/>
          <w:color w:val="auto"/>
          <w:highlight w:val="none"/>
        </w:rPr>
        <w:t>但尚未签订合同的，</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或者成交结果无效，从合格的</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或者成交候选人中另行确定</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或者</w:t>
      </w:r>
      <w:r>
        <w:rPr>
          <w:rFonts w:hint="eastAsia" w:ascii="宋体" w:hAnsi="宋体" w:eastAsia="宋体" w:cs="宋体"/>
          <w:color w:val="auto"/>
          <w:highlight w:val="none"/>
          <w:lang w:eastAsia="zh-CN"/>
        </w:rPr>
        <w:t>成交人</w:t>
      </w:r>
      <w:r>
        <w:rPr>
          <w:rFonts w:hint="eastAsia" w:ascii="宋体" w:hAnsi="宋体" w:eastAsia="宋体" w:cs="宋体"/>
          <w:color w:val="auto"/>
          <w:highlight w:val="none"/>
        </w:rPr>
        <w:t>；没有合格的</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或者成交候选人的，重新开展</w:t>
      </w:r>
      <w:r>
        <w:rPr>
          <w:rFonts w:hint="eastAsia" w:ascii="宋体" w:hAnsi="宋体" w:eastAsia="宋体" w:cs="宋体"/>
          <w:color w:val="auto"/>
          <w:highlight w:val="none"/>
          <w:lang w:val="en-US" w:eastAsia="zh-CN"/>
        </w:rPr>
        <w:t>交易</w:t>
      </w:r>
      <w:r>
        <w:rPr>
          <w:rFonts w:hint="eastAsia" w:ascii="宋体" w:hAnsi="宋体" w:eastAsia="宋体" w:cs="宋体"/>
          <w:color w:val="auto"/>
          <w:highlight w:val="none"/>
        </w:rPr>
        <w:t>活动。</w:t>
      </w:r>
    </w:p>
    <w:p w14:paraId="06FAF2D2">
      <w:pPr>
        <w:pStyle w:val="26"/>
        <w:pageBreakBefore w:val="0"/>
        <w:kinsoku/>
        <w:wordWrap/>
        <w:overflowPunct/>
        <w:topLinePunct w:val="0"/>
        <w:autoSpaceDE/>
        <w:autoSpaceDN/>
        <w:bidi w:val="0"/>
        <w:snapToGrid w:val="0"/>
        <w:spacing w:line="570" w:lineRule="exact"/>
        <w:ind w:firstLine="600"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7.3采购合同已签订但尚未履行的，撤销合同，从合格的</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或者成交候选人中另行确定</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或者</w:t>
      </w:r>
      <w:r>
        <w:rPr>
          <w:rFonts w:hint="eastAsia" w:ascii="宋体" w:hAnsi="宋体" w:eastAsia="宋体" w:cs="宋体"/>
          <w:color w:val="auto"/>
          <w:highlight w:val="none"/>
          <w:lang w:eastAsia="zh-CN"/>
        </w:rPr>
        <w:t>成交人</w:t>
      </w:r>
      <w:r>
        <w:rPr>
          <w:rFonts w:hint="eastAsia" w:ascii="宋体" w:hAnsi="宋体" w:eastAsia="宋体" w:cs="宋体"/>
          <w:color w:val="auto"/>
          <w:highlight w:val="none"/>
        </w:rPr>
        <w:t>；没有合格的</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或者成交候选人的，重新开展</w:t>
      </w:r>
      <w:r>
        <w:rPr>
          <w:rFonts w:hint="eastAsia" w:ascii="宋体" w:hAnsi="宋体" w:eastAsia="宋体" w:cs="宋体"/>
          <w:color w:val="auto"/>
          <w:highlight w:val="none"/>
          <w:lang w:val="en-US" w:eastAsia="zh-CN"/>
        </w:rPr>
        <w:t>交易</w:t>
      </w:r>
      <w:r>
        <w:rPr>
          <w:rFonts w:hint="eastAsia" w:ascii="宋体" w:hAnsi="宋体" w:eastAsia="宋体" w:cs="宋体"/>
          <w:color w:val="auto"/>
          <w:highlight w:val="none"/>
        </w:rPr>
        <w:t>活动。</w:t>
      </w:r>
    </w:p>
    <w:p w14:paraId="1174EA5C">
      <w:pPr>
        <w:pStyle w:val="26"/>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7.4采购合同已经履行，给</w:t>
      </w:r>
      <w:r>
        <w:rPr>
          <w:rFonts w:hint="eastAsia" w:ascii="宋体" w:hAnsi="宋体" w:eastAsia="宋体" w:cs="宋体"/>
          <w:color w:val="auto"/>
          <w:highlight w:val="none"/>
          <w:lang w:eastAsia="zh-CN"/>
        </w:rPr>
        <w:t>交易人</w:t>
      </w:r>
      <w:r>
        <w:rPr>
          <w:rFonts w:hint="eastAsia" w:ascii="宋体" w:hAnsi="宋体" w:eastAsia="宋体" w:cs="宋体"/>
          <w:color w:val="auto"/>
          <w:highlight w:val="none"/>
        </w:rPr>
        <w:t>、供应商造成损失的，由责任人承担赔偿责任。</w:t>
      </w:r>
    </w:p>
    <w:p w14:paraId="5B4B76EF">
      <w:pPr>
        <w:pStyle w:val="26"/>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7.5采购当事人有其他违反政府采购法</w:t>
      </w:r>
      <w:r>
        <w:rPr>
          <w:rFonts w:hint="eastAsia" w:ascii="宋体" w:hAnsi="宋体" w:eastAsia="宋体" w:cs="宋体"/>
          <w:color w:val="auto"/>
          <w:kern w:val="0"/>
          <w:highlight w:val="none"/>
        </w:rPr>
        <w:t>或者政府采购法实施条例等法律法规规定</w:t>
      </w:r>
      <w:r>
        <w:rPr>
          <w:rFonts w:hint="eastAsia" w:ascii="宋体" w:hAnsi="宋体" w:eastAsia="宋体" w:cs="宋体"/>
          <w:color w:val="auto"/>
          <w:highlight w:val="none"/>
        </w:rPr>
        <w:t>的行为，经改正后仍然影响或者可能影响</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、成交结果或者依法被认定为</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highlight w:val="none"/>
        </w:rPr>
        <w:t>、成交无效的，依照7.1-7.4规定处理。</w:t>
      </w:r>
    </w:p>
    <w:p w14:paraId="60790D61">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47B2DBEA">
      <w:pPr>
        <w:pStyle w:val="2"/>
        <w:rPr>
          <w:rFonts w:hint="eastAsia" w:ascii="宋体" w:hAnsi="宋体" w:eastAsia="宋体" w:cs="宋体"/>
          <w:color w:val="auto"/>
          <w:highlight w:val="none"/>
        </w:rPr>
      </w:pPr>
    </w:p>
    <w:p w14:paraId="72316B94">
      <w:pPr>
        <w:rPr>
          <w:rFonts w:hint="eastAsia" w:ascii="宋体" w:hAnsi="宋体" w:eastAsia="宋体" w:cs="宋体"/>
          <w:color w:val="auto"/>
          <w:highlight w:val="none"/>
        </w:rPr>
      </w:pPr>
    </w:p>
    <w:p w14:paraId="0B02FB8D">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26F7AB93">
      <w:pPr>
        <w:spacing w:line="360" w:lineRule="auto"/>
        <w:ind w:left="718" w:leftChars="342" w:firstLine="119" w:firstLineChars="33"/>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14:paraId="3CB6F8A5">
      <w:pPr>
        <w:pStyle w:val="3"/>
        <w:keepNext w:val="0"/>
        <w:keepLines w:val="0"/>
        <w:adjustRightInd w:val="0"/>
        <w:spacing w:before="0" w:after="100" w:afterAutospacing="1" w:line="440" w:lineRule="exact"/>
        <w:jc w:val="center"/>
        <w:textAlignment w:val="baseline"/>
        <w:rPr>
          <w:rFonts w:hint="eastAsia" w:asciiTheme="minorEastAsia" w:hAnsiTheme="minorEastAsia" w:eastAsiaTheme="minorEastAsia" w:cstheme="minorEastAsia"/>
          <w:b/>
          <w:bCs/>
          <w:color w:val="000000"/>
          <w:kern w:val="0"/>
          <w:sz w:val="44"/>
          <w:szCs w:val="44"/>
        </w:rPr>
      </w:pPr>
      <w:bookmarkStart w:id="387" w:name="_Toc213036227"/>
    </w:p>
    <w:p w14:paraId="20A9457D">
      <w:pPr>
        <w:pStyle w:val="3"/>
        <w:keepNext w:val="0"/>
        <w:keepLines w:val="0"/>
        <w:adjustRightInd w:val="0"/>
        <w:spacing w:before="0" w:after="100" w:afterAutospacing="1" w:line="440" w:lineRule="exact"/>
        <w:jc w:val="center"/>
        <w:textAlignment w:val="baseline"/>
        <w:rPr>
          <w:rFonts w:hint="eastAsia" w:asciiTheme="minorEastAsia" w:hAnsiTheme="minorEastAsia" w:eastAsiaTheme="minorEastAsia" w:cstheme="minorEastAsia"/>
          <w:b/>
          <w:bCs/>
          <w:color w:val="000000"/>
          <w:kern w:val="0"/>
          <w:sz w:val="44"/>
          <w:szCs w:val="44"/>
        </w:rPr>
      </w:pPr>
    </w:p>
    <w:p w14:paraId="1633E0DE">
      <w:pPr>
        <w:pStyle w:val="3"/>
        <w:keepNext w:val="0"/>
        <w:keepLines w:val="0"/>
        <w:adjustRightInd w:val="0"/>
        <w:spacing w:before="0" w:after="100" w:afterAutospacing="1" w:line="440" w:lineRule="exact"/>
        <w:jc w:val="center"/>
        <w:textAlignment w:val="baseline"/>
        <w:rPr>
          <w:rFonts w:hint="eastAsia" w:asciiTheme="minorEastAsia" w:hAnsiTheme="minorEastAsia" w:eastAsiaTheme="minorEastAsia" w:cstheme="minorEastAsia"/>
          <w:b/>
          <w:bCs/>
          <w:color w:val="000000"/>
          <w:kern w:val="0"/>
          <w:sz w:val="44"/>
          <w:szCs w:val="44"/>
        </w:rPr>
      </w:pPr>
      <w:r>
        <w:rPr>
          <w:rFonts w:hint="eastAsia" w:asciiTheme="minorEastAsia" w:hAnsiTheme="minorEastAsia" w:eastAsiaTheme="minorEastAsia" w:cstheme="minorEastAsia"/>
          <w:b/>
          <w:bCs/>
          <w:color w:val="000000"/>
          <w:kern w:val="0"/>
          <w:sz w:val="44"/>
          <w:szCs w:val="44"/>
        </w:rPr>
        <w:t>保</w:t>
      </w:r>
      <w:r>
        <w:rPr>
          <w:rFonts w:hint="eastAsia" w:asciiTheme="minorEastAsia" w:hAnsiTheme="minorEastAsia" w:eastAsiaTheme="minorEastAsia" w:cstheme="minorEastAsia"/>
          <w:b/>
          <w:bCs/>
          <w:color w:val="000000"/>
          <w:kern w:val="0"/>
          <w:sz w:val="44"/>
          <w:szCs w:val="44"/>
          <w:lang w:val="en-US" w:eastAsia="zh-CN"/>
        </w:rPr>
        <w:t xml:space="preserve"> </w:t>
      </w:r>
      <w:r>
        <w:rPr>
          <w:rFonts w:hint="eastAsia" w:asciiTheme="minorEastAsia" w:hAnsiTheme="minorEastAsia" w:eastAsiaTheme="minorEastAsia" w:cstheme="minorEastAsia"/>
          <w:b/>
          <w:bCs/>
          <w:color w:val="000000"/>
          <w:kern w:val="0"/>
          <w:sz w:val="44"/>
          <w:szCs w:val="44"/>
        </w:rPr>
        <w:t>险</w:t>
      </w:r>
      <w:r>
        <w:rPr>
          <w:rFonts w:hint="eastAsia" w:asciiTheme="minorEastAsia" w:hAnsiTheme="minorEastAsia" w:eastAsiaTheme="minorEastAsia" w:cstheme="minorEastAsia"/>
          <w:b/>
          <w:bCs/>
          <w:color w:val="000000"/>
          <w:kern w:val="0"/>
          <w:sz w:val="44"/>
          <w:szCs w:val="44"/>
          <w:lang w:val="en-US" w:eastAsia="zh-CN"/>
        </w:rPr>
        <w:t xml:space="preserve"> </w:t>
      </w:r>
      <w:r>
        <w:rPr>
          <w:rFonts w:hint="eastAsia" w:asciiTheme="minorEastAsia" w:hAnsiTheme="minorEastAsia" w:eastAsiaTheme="minorEastAsia" w:cstheme="minorEastAsia"/>
          <w:b/>
          <w:bCs/>
          <w:color w:val="000000"/>
          <w:kern w:val="0"/>
          <w:sz w:val="44"/>
          <w:szCs w:val="44"/>
        </w:rPr>
        <w:t>协</w:t>
      </w:r>
      <w:r>
        <w:rPr>
          <w:rFonts w:hint="eastAsia" w:asciiTheme="minorEastAsia" w:hAnsiTheme="minorEastAsia" w:eastAsiaTheme="minorEastAsia" w:cstheme="minorEastAsia"/>
          <w:b/>
          <w:bCs/>
          <w:color w:val="000000"/>
          <w:kern w:val="0"/>
          <w:sz w:val="44"/>
          <w:szCs w:val="44"/>
          <w:lang w:val="en-US" w:eastAsia="zh-CN"/>
        </w:rPr>
        <w:t xml:space="preserve"> </w:t>
      </w:r>
      <w:r>
        <w:rPr>
          <w:rFonts w:hint="eastAsia" w:asciiTheme="minorEastAsia" w:hAnsiTheme="minorEastAsia" w:eastAsiaTheme="minorEastAsia" w:cstheme="minorEastAsia"/>
          <w:b/>
          <w:bCs/>
          <w:color w:val="000000"/>
          <w:kern w:val="0"/>
          <w:sz w:val="44"/>
          <w:szCs w:val="44"/>
        </w:rPr>
        <w:t>议</w:t>
      </w:r>
    </w:p>
    <w:p w14:paraId="7F1F87A8">
      <w:pPr>
        <w:rPr>
          <w:rFonts w:hint="eastAsia" w:asciiTheme="minorEastAsia" w:hAnsiTheme="minorEastAsia" w:eastAsiaTheme="minorEastAsia" w:cstheme="minorEastAsia"/>
          <w:b w:val="0"/>
          <w:bCs w:val="0"/>
          <w:color w:val="000000"/>
          <w:kern w:val="0"/>
          <w:sz w:val="44"/>
          <w:szCs w:val="44"/>
        </w:rPr>
      </w:pPr>
    </w:p>
    <w:p w14:paraId="75D61CDC">
      <w:pPr>
        <w:rPr>
          <w:rFonts w:hint="eastAsia" w:asciiTheme="minorEastAsia" w:hAnsiTheme="minorEastAsia" w:eastAsiaTheme="minorEastAsia" w:cstheme="minorEastAsia"/>
          <w:b w:val="0"/>
          <w:bCs w:val="0"/>
          <w:color w:val="000000"/>
          <w:kern w:val="0"/>
          <w:sz w:val="44"/>
          <w:szCs w:val="44"/>
        </w:rPr>
      </w:pPr>
    </w:p>
    <w:p w14:paraId="4C6D213D">
      <w:pPr>
        <w:pStyle w:val="3"/>
        <w:keepNext w:val="0"/>
        <w:keepLines w:val="0"/>
        <w:adjustRightInd w:val="0"/>
        <w:spacing w:before="0" w:after="100" w:afterAutospacing="1" w:line="440" w:lineRule="exact"/>
        <w:textAlignment w:val="baseline"/>
        <w:rPr>
          <w:rFonts w:hint="eastAsia" w:asciiTheme="minorEastAsia" w:hAnsiTheme="minorEastAsia" w:eastAsiaTheme="minorEastAsia" w:cstheme="minorEastAsia"/>
          <w:b w:val="0"/>
          <w:color w:val="000000"/>
          <w:sz w:val="24"/>
          <w:szCs w:val="24"/>
        </w:rPr>
      </w:pPr>
      <w:r>
        <w:rPr>
          <w:rFonts w:hint="eastAsia" w:asciiTheme="minorEastAsia" w:hAnsiTheme="minorEastAsia" w:eastAsiaTheme="minorEastAsia" w:cstheme="minorEastAsia"/>
          <w:b w:val="0"/>
          <w:bCs w:val="0"/>
          <w:color w:val="000000"/>
          <w:kern w:val="0"/>
          <w:sz w:val="24"/>
          <w:szCs w:val="24"/>
        </w:rPr>
        <w:t>协议方：</w:t>
      </w:r>
    </w:p>
    <w:bookmarkEnd w:id="387"/>
    <w:p w14:paraId="05A19AD5">
      <w:pPr>
        <w:pStyle w:val="2"/>
        <w:spacing w:before="120"/>
        <w:ind w:firstLine="420"/>
        <w:rPr>
          <w:rFonts w:hint="eastAsia" w:asciiTheme="minorEastAsia" w:hAnsiTheme="minorEastAsia" w:eastAsiaTheme="minorEastAsia" w:cstheme="minorEastAsia"/>
          <w:sz w:val="24"/>
          <w:szCs w:val="24"/>
          <w:lang w:eastAsia="zh-CN"/>
        </w:rPr>
      </w:pPr>
      <w:bookmarkStart w:id="388" w:name="_Toc13942"/>
      <w:bookmarkStart w:id="389" w:name="_Toc209158505"/>
      <w:r>
        <w:rPr>
          <w:rFonts w:hint="eastAsia" w:asciiTheme="minorEastAsia" w:hAnsiTheme="minorEastAsia" w:eastAsiaTheme="minorEastAsia" w:cstheme="minorEastAsia"/>
          <w:sz w:val="24"/>
          <w:szCs w:val="24"/>
        </w:rPr>
        <w:t>甲方（投保人）：</w:t>
      </w:r>
      <w:r>
        <w:rPr>
          <w:rFonts w:hint="eastAsia" w:asciiTheme="minorEastAsia" w:hAnsiTheme="minorEastAsia" w:eastAsiaTheme="minorEastAsia" w:cstheme="minorEastAsia"/>
          <w:sz w:val="24"/>
          <w:szCs w:val="24"/>
          <w:u w:val="single"/>
          <w:lang w:eastAsia="zh-CN"/>
        </w:rPr>
        <w:t>杭州萧山钱江世纪城开发建设有限责任公司</w:t>
      </w:r>
    </w:p>
    <w:p w14:paraId="4F4E6955">
      <w:pPr>
        <w:pStyle w:val="2"/>
        <w:spacing w:before="120"/>
        <w:ind w:firstLine="4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地址：</w:t>
      </w:r>
    </w:p>
    <w:p w14:paraId="6B724625">
      <w:pPr>
        <w:pStyle w:val="2"/>
        <w:spacing w:before="120"/>
        <w:ind w:firstLine="42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联系电话：</w:t>
      </w:r>
    </w:p>
    <w:p w14:paraId="4C024427">
      <w:pPr>
        <w:pStyle w:val="2"/>
        <w:spacing w:before="120"/>
        <w:ind w:firstLine="4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乙方（保险人）：</w:t>
      </w:r>
    </w:p>
    <w:p w14:paraId="2B111292">
      <w:pPr>
        <w:pStyle w:val="2"/>
        <w:spacing w:before="120"/>
        <w:ind w:firstLine="42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地址：</w:t>
      </w:r>
    </w:p>
    <w:p w14:paraId="29869986">
      <w:pPr>
        <w:pStyle w:val="2"/>
        <w:spacing w:before="120"/>
        <w:ind w:firstLine="42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联系电话：</w:t>
      </w:r>
    </w:p>
    <w:p w14:paraId="39FCFFEB">
      <w:pPr>
        <w:pStyle w:val="2"/>
        <w:spacing w:before="120"/>
        <w:ind w:firstLine="420"/>
        <w:rPr>
          <w:rFonts w:hint="eastAsia" w:asciiTheme="minorEastAsia" w:hAnsiTheme="minorEastAsia" w:eastAsiaTheme="minorEastAsia" w:cstheme="minorEastAsia"/>
          <w:sz w:val="24"/>
          <w:szCs w:val="24"/>
        </w:rPr>
      </w:pPr>
    </w:p>
    <w:p w14:paraId="1EBDCDEC">
      <w:pPr>
        <w:pStyle w:val="2"/>
        <w:spacing w:before="120"/>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根据</w:t>
      </w:r>
      <w:r>
        <w:rPr>
          <w:rFonts w:hint="eastAsia" w:asciiTheme="minorEastAsia" w:hAnsiTheme="minorEastAsia" w:eastAsiaTheme="minorEastAsia" w:cstheme="minorEastAsia"/>
          <w:sz w:val="24"/>
          <w:szCs w:val="24"/>
          <w:lang w:eastAsia="zh-CN"/>
        </w:rPr>
        <w:t>杭州萧山钱江世纪城开发建设有限责任公司2025</w:t>
      </w:r>
      <w:r>
        <w:rPr>
          <w:rFonts w:hint="eastAsia" w:asciiTheme="minorEastAsia" w:hAnsiTheme="minorEastAsia" w:eastAsiaTheme="minorEastAsia" w:cstheme="minorEastAsia"/>
          <w:sz w:val="24"/>
          <w:szCs w:val="24"/>
        </w:rPr>
        <w:t xml:space="preserve">年度财产保险项目（以下简称“本项目”）保险招投标结果，经甲、乙双方友好协商，一致同意就本项目的保险事宜达成如下协议： </w:t>
      </w:r>
    </w:p>
    <w:p w14:paraId="0F9DB52B">
      <w:pPr>
        <w:pStyle w:val="2"/>
        <w:spacing w:before="120" w:beforeLines="50"/>
        <w:ind w:firstLine="422"/>
        <w:rPr>
          <w:rFonts w:hint="eastAsia" w:asciiTheme="minorEastAsia" w:hAnsiTheme="minorEastAsia" w:eastAsiaTheme="minorEastAsia" w:cstheme="minorEastAsia"/>
          <w:b/>
          <w:sz w:val="24"/>
          <w:szCs w:val="24"/>
        </w:rPr>
      </w:pPr>
      <w:bookmarkStart w:id="390" w:name="_Toc130561375"/>
      <w:r>
        <w:rPr>
          <w:rFonts w:hint="eastAsia" w:asciiTheme="minorEastAsia" w:hAnsiTheme="minorEastAsia" w:eastAsiaTheme="minorEastAsia" w:cstheme="minorEastAsia"/>
          <w:b/>
          <w:sz w:val="24"/>
          <w:szCs w:val="24"/>
        </w:rPr>
        <w:t>一、协议组成</w:t>
      </w:r>
      <w:bookmarkEnd w:id="390"/>
    </w:p>
    <w:p w14:paraId="4E6C7AA1">
      <w:pPr>
        <w:pStyle w:val="2"/>
        <w:spacing w:before="120"/>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1．下列文件应作为保险协议的组成部分</w:t>
      </w:r>
    </w:p>
    <w:p w14:paraId="56307CD5">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（1）补充协议书或批单（如有）。</w:t>
      </w:r>
    </w:p>
    <w:p w14:paraId="793ED769">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（2）本保险协议。</w:t>
      </w:r>
    </w:p>
    <w:p w14:paraId="3CB0BAD7">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（3）招标文件及澄清（答疑）文件。</w:t>
      </w:r>
    </w:p>
    <w:p w14:paraId="01720A29">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（4）招标文件保险方案中的特别约定。</w:t>
      </w:r>
    </w:p>
    <w:p w14:paraId="43AF90B7">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（5）投标文件及其修改、补充文件。</w:t>
      </w:r>
    </w:p>
    <w:p w14:paraId="3C1747A4">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（6）中标通知书。</w:t>
      </w:r>
    </w:p>
    <w:p w14:paraId="559E6451">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（7）保险单。</w:t>
      </w:r>
    </w:p>
    <w:p w14:paraId="05C4D84A">
      <w:pPr>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（8）其他合同文件。</w:t>
      </w:r>
    </w:p>
    <w:p w14:paraId="602A5DAC">
      <w:pPr>
        <w:pStyle w:val="2"/>
        <w:spacing w:before="120"/>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2．上述文件互为补充和解释，如有不清或互相矛盾之处，以上面所列顺序在前的为准，但双方有另有约定的除外。</w:t>
      </w:r>
    </w:p>
    <w:p w14:paraId="0F5460F1">
      <w:pPr>
        <w:pStyle w:val="2"/>
        <w:spacing w:before="120" w:beforeLines="50"/>
        <w:ind w:firstLine="482"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二、保险项目</w:t>
      </w:r>
    </w:p>
    <w:p w14:paraId="7DC45ACE">
      <w:pPr>
        <w:pStyle w:val="2"/>
        <w:spacing w:before="120"/>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u w:val="single"/>
          <w:lang w:eastAsia="zh-CN"/>
        </w:rPr>
        <w:t>杭州萧山钱江世纪城开发建设有限责任公司</w:t>
      </w:r>
      <w:r>
        <w:rPr>
          <w:rFonts w:hint="eastAsia" w:asciiTheme="minorEastAsia" w:hAnsiTheme="minorEastAsia" w:eastAsiaTheme="minorEastAsia" w:cstheme="minorEastAsia"/>
          <w:sz w:val="24"/>
          <w:szCs w:val="24"/>
          <w:lang w:eastAsia="zh-CN"/>
        </w:rPr>
        <w:t>2025</w:t>
      </w:r>
      <w:r>
        <w:rPr>
          <w:rFonts w:hint="eastAsia" w:asciiTheme="minorEastAsia" w:hAnsiTheme="minorEastAsia" w:eastAsiaTheme="minorEastAsia" w:cstheme="minorEastAsia"/>
          <w:sz w:val="24"/>
          <w:szCs w:val="24"/>
        </w:rPr>
        <w:t>年度财产保险项目。</w:t>
      </w:r>
    </w:p>
    <w:p w14:paraId="63356229">
      <w:pPr>
        <w:pStyle w:val="2"/>
        <w:spacing w:before="120" w:beforeLines="50"/>
        <w:ind w:firstLine="482"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三、保险条件</w:t>
      </w:r>
    </w:p>
    <w:p w14:paraId="21D185AA">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（一）投保险种</w:t>
      </w:r>
    </w:p>
    <w:p w14:paraId="554C7E9B">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财产一切险</w:t>
      </w:r>
    </w:p>
    <w:p w14:paraId="7DEF7280">
      <w:pPr>
        <w:pStyle w:val="2"/>
        <w:spacing w:before="120" w:line="360" w:lineRule="auto"/>
        <w:ind w:firstLine="480" w:firstLineChars="200"/>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财产基本险</w:t>
      </w:r>
    </w:p>
    <w:p w14:paraId="3207041B">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公众责任险</w:t>
      </w:r>
    </w:p>
    <w:p w14:paraId="7DC085B4">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（二）保险项目与保险金额</w:t>
      </w:r>
    </w:p>
    <w:p w14:paraId="3092BCA9">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1、财产一切险保险金额：RMB  万元；</w:t>
      </w:r>
    </w:p>
    <w:p w14:paraId="2E1357EB">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lang w:val="en-US" w:eastAsia="zh-CN"/>
        </w:rPr>
        <w:t>财产基本险</w:t>
      </w:r>
      <w:r>
        <w:rPr>
          <w:rFonts w:hint="eastAsia" w:asciiTheme="minorEastAsia" w:hAnsiTheme="minorEastAsia" w:eastAsiaTheme="minorEastAsia" w:cstheme="minorEastAsia"/>
          <w:sz w:val="24"/>
          <w:szCs w:val="24"/>
        </w:rPr>
        <w:t>保险金额：RMB  万元；</w:t>
      </w:r>
    </w:p>
    <w:p w14:paraId="70C595A1">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3、公众责任险每次事故及累计赔偿限额：RMB  万元。</w:t>
      </w:r>
    </w:p>
    <w:p w14:paraId="7C831820">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（三）年费率:</w:t>
      </w:r>
    </w:p>
    <w:p w14:paraId="0098F069">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1、财产一切险：  %</w:t>
      </w:r>
    </w:p>
    <w:p w14:paraId="38591DC4">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2、</w:t>
      </w:r>
      <w:r>
        <w:rPr>
          <w:rFonts w:hint="eastAsia" w:asciiTheme="minorEastAsia" w:hAnsiTheme="minorEastAsia" w:eastAsiaTheme="minorEastAsia" w:cstheme="minorEastAsia"/>
          <w:sz w:val="24"/>
          <w:szCs w:val="24"/>
          <w:lang w:val="en-US" w:eastAsia="zh-CN"/>
        </w:rPr>
        <w:t>财产基本险</w:t>
      </w:r>
      <w:r>
        <w:rPr>
          <w:rFonts w:hint="eastAsia" w:asciiTheme="minorEastAsia" w:hAnsiTheme="minorEastAsia" w:eastAsiaTheme="minorEastAsia" w:cstheme="minorEastAsia"/>
          <w:sz w:val="24"/>
          <w:szCs w:val="24"/>
        </w:rPr>
        <w:t>险：  %</w:t>
      </w:r>
    </w:p>
    <w:p w14:paraId="2B86C277">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3、公众责任险： %</w:t>
      </w:r>
    </w:p>
    <w:p w14:paraId="7FAA3071">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（四）保费</w:t>
      </w:r>
    </w:p>
    <w:p w14:paraId="6BD9FF3A">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人民币                  元 （ RMB   元）</w:t>
      </w:r>
    </w:p>
    <w:p w14:paraId="373B9A42">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（五）保险期限</w:t>
      </w:r>
    </w:p>
    <w:p w14:paraId="13823EC9">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rPr>
        <w:t>2025</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日零时起至 202</w:t>
      </w:r>
      <w:r>
        <w:rPr>
          <w:rFonts w:hint="eastAsia" w:asciiTheme="minorEastAsia" w:hAnsiTheme="minorEastAsia" w:eastAsiaTheme="minorEastAsia" w:cstheme="minorEastAsia"/>
          <w:sz w:val="24"/>
          <w:szCs w:val="24"/>
          <w:lang w:val="en-US" w:eastAsia="zh-CN"/>
        </w:rPr>
        <w:t>6</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日二十四时止</w:t>
      </w:r>
      <w:r>
        <w:rPr>
          <w:rFonts w:hint="eastAsia" w:asciiTheme="minorEastAsia" w:hAnsiTheme="minorEastAsia" w:eastAsiaTheme="minorEastAsia" w:cstheme="minorEastAsia"/>
          <w:color w:val="FF0000"/>
          <w:kern w:val="0"/>
          <w:sz w:val="24"/>
          <w:szCs w:val="24"/>
        </w:rPr>
        <w:t>或保险理赔结束时止。</w:t>
      </w:r>
    </w:p>
    <w:p w14:paraId="0992FFAF">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（六）其他保险条件</w:t>
      </w:r>
    </w:p>
    <w:p w14:paraId="29233C6E">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详见附件 “用户需求书”“保险方案”</w:t>
      </w:r>
    </w:p>
    <w:p w14:paraId="6870ADEC">
      <w:pPr>
        <w:pStyle w:val="2"/>
        <w:spacing w:before="120" w:beforeLines="50" w:line="360" w:lineRule="auto"/>
        <w:ind w:firstLine="482"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sz w:val="24"/>
          <w:szCs w:val="24"/>
        </w:rPr>
        <w:t xml:space="preserve">四、保费支付 </w:t>
      </w:r>
    </w:p>
    <w:p w14:paraId="291C2347">
      <w:pPr>
        <w:pStyle w:val="2"/>
        <w:spacing w:before="120"/>
        <w:ind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保单生效后 30个工作日内甲方向乙方支付保险费。甲方付款前，乙方应当交付符合甲方要求的发票，否则甲方有权迟延付款且无需承担违约责任。</w:t>
      </w:r>
    </w:p>
    <w:p w14:paraId="35A6EAD2">
      <w:pPr>
        <w:pStyle w:val="2"/>
        <w:spacing w:before="120" w:beforeLines="50"/>
        <w:ind w:firstLine="482"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五、期内服务</w:t>
      </w:r>
    </w:p>
    <w:p w14:paraId="4745CC49">
      <w:pPr>
        <w:pStyle w:val="2"/>
        <w:spacing w:before="120" w:beforeLines="50"/>
        <w:ind w:firstLine="42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sz w:val="24"/>
          <w:szCs w:val="24"/>
          <w:u w:val="single"/>
        </w:rPr>
        <w:t>（注：以下服务事项将根据中标人的实际服务方案进行调整）</w:t>
      </w:r>
    </w:p>
    <w:p w14:paraId="4BE55542">
      <w:pPr>
        <w:spacing w:line="360" w:lineRule="auto"/>
        <w:ind w:right="-231" w:rightChars="-110" w:firstLine="484" w:firstLineChars="20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（一）项目服务小组</w:t>
      </w:r>
    </w:p>
    <w:p w14:paraId="1B94A508">
      <w:pPr>
        <w:pStyle w:val="2"/>
        <w:spacing w:before="120"/>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乙方应专门为本项目成立服务小组，在本协议生效后立即投入正式操作，负责处理相关的保险事宜。</w:t>
      </w:r>
    </w:p>
    <w:p w14:paraId="35F5218F">
      <w:pPr>
        <w:pStyle w:val="2"/>
        <w:spacing w:before="120"/>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项目服务小组成员包括：</w:t>
      </w:r>
    </w:p>
    <w:p w14:paraId="3686A66C">
      <w:pPr>
        <w:pStyle w:val="2"/>
        <w:spacing w:before="120"/>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组长：　</w:t>
      </w:r>
    </w:p>
    <w:p w14:paraId="4A0BFAD8">
      <w:pPr>
        <w:pStyle w:val="2"/>
        <w:spacing w:before="120"/>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副组长：　</w:t>
      </w:r>
    </w:p>
    <w:p w14:paraId="45280303">
      <w:pPr>
        <w:pStyle w:val="2"/>
        <w:spacing w:before="120"/>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其他成员：　</w:t>
      </w:r>
    </w:p>
    <w:p w14:paraId="5D478F26">
      <w:pPr>
        <w:pStyle w:val="2"/>
        <w:spacing w:before="120"/>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项目小组组长、副组长人员变动须先经过甲方书面认可，其他成员人员变动须提前[ 5 ]天书面通知甲方。</w:t>
      </w:r>
    </w:p>
    <w:p w14:paraId="1B83E8FA">
      <w:pPr>
        <w:spacing w:line="360" w:lineRule="auto"/>
        <w:ind w:right="-231" w:rightChars="-110" w:firstLine="484" w:firstLineChars="20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（二）期内专项服务</w:t>
      </w:r>
    </w:p>
    <w:p w14:paraId="6FF3BB69">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为了更好提供培训、防灾防损等期内服务，提高被保险人风险管理意识，以期尽量减少事故和损失的发生，乙方承诺提供以下专项服务，相应费用已包含在保费中：</w:t>
      </w:r>
    </w:p>
    <w:p w14:paraId="69D45D0C">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1、培训服务</w:t>
      </w:r>
    </w:p>
    <w:p w14:paraId="5C3622D8">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在保险有效期内，乙方应负责为被保险人按照年度风险服务计划提供保险知识、安全管理、风险管理等专项培训，以提高被保险人相关人员的安全意识和防灾防损技能。</w:t>
      </w:r>
    </w:p>
    <w:p w14:paraId="1358C99A">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培训费用由乙方承担，具体举办时间和地点由甲乙双方共同协商确定。</w:t>
      </w:r>
    </w:p>
    <w:p w14:paraId="52B1A5CA">
      <w:pPr>
        <w:pStyle w:val="2"/>
        <w:spacing w:before="120" w:line="360" w:lineRule="auto"/>
        <w:ind w:firstLine="480" w:firstLineChars="200"/>
        <w:rPr>
          <w:rFonts w:hint="eastAsia" w:asciiTheme="minorEastAsia" w:hAnsiTheme="minorEastAsia" w:eastAsiaTheme="minorEastAsia" w:cstheme="minorEastAsia"/>
          <w:sz w:val="24"/>
          <w:szCs w:val="24"/>
        </w:rPr>
      </w:pPr>
      <w:bookmarkStart w:id="391" w:name="_Toc288337209"/>
      <w:r>
        <w:rPr>
          <w:rFonts w:hint="eastAsia" w:asciiTheme="minorEastAsia" w:hAnsiTheme="minorEastAsia" w:eastAsiaTheme="minorEastAsia" w:cstheme="minorEastAsia"/>
          <w:sz w:val="24"/>
          <w:szCs w:val="24"/>
        </w:rPr>
        <w:t>2、防灾防损服务</w:t>
      </w:r>
    </w:p>
    <w:p w14:paraId="63BD15B7">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应积极为投保人或其他被保险人提供优质防灾防损服务，包括但不限于：①加强同国家气象部门或其他相关部门合作，及时给被保险人预报风险信息，并与被保险人一起做好这些灾害的风险控制工作。②定期与投保人联络，了解保险标的情况和风险隐患，按照投保人及被保险人要求及时提供咨询、防灾防损等方面的优质服务。</w:t>
      </w:r>
      <w:bookmarkEnd w:id="391"/>
    </w:p>
    <w:p w14:paraId="3BA695E0">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3、定期提供理赔统计报表</w:t>
      </w:r>
    </w:p>
    <w:p w14:paraId="24276D08">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专项服务小组必须对被保险人每一索赔案件的处理过程予以负责，并在每月10日前向甲方提供上个月份险种的理赔统计报表，报表应包括损失发生的时间、地点、损失原因、估损金额、定损金额、赔款等与赔案处理有关的信息。</w:t>
      </w:r>
    </w:p>
    <w:p w14:paraId="2EAA98F6">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1、接报案</w:t>
      </w:r>
    </w:p>
    <w:p w14:paraId="08D0C534">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（1）保险公司应设立24小时报案电话，电话号码：</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，可全年365天随时接受被保险人的出险报案。</w:t>
      </w:r>
    </w:p>
    <w:p w14:paraId="5AEB85BE">
      <w:pPr>
        <w:pStyle w:val="2"/>
        <w:spacing w:before="120" w:line="360" w:lineRule="auto"/>
        <w:ind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被保险人也可以直接向保险公司专项服务小组报案，专职理赔联络人员</w:t>
      </w:r>
      <w:r>
        <w:rPr>
          <w:rFonts w:hint="eastAsia" w:asciiTheme="minorEastAsia" w:hAnsiTheme="minorEastAsia" w:eastAsiaTheme="minorEastAsia" w:cstheme="minorEastAsia"/>
          <w:sz w:val="24"/>
          <w:szCs w:val="24"/>
          <w:lang w:val="en-US" w:eastAsia="zh-CN"/>
        </w:rPr>
        <w:t xml:space="preserve"> </w:t>
      </w:r>
    </w:p>
    <w:p w14:paraId="128D062D">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（2）被保险人因特殊情况无法在出单公司规定时间内报案的，出单公司应认可被保险人事后出具的书面说明，并视同为及时报案。</w:t>
      </w:r>
    </w:p>
    <w:p w14:paraId="7D8AA4DE">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2、现场查勘</w:t>
      </w:r>
    </w:p>
    <w:p w14:paraId="597BC313">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（1）保险公司接到报案后，应向被保险人提出处理意见，并回复是否前往现场查勘。如需现场查勘，查勘人员最迟应在报案后,1小时内到达。</w:t>
      </w:r>
    </w:p>
    <w:p w14:paraId="5C26C352">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超过上述时限，被保险人可对事故现场进行必要的处理，保险公司应认可被保险人所申报的事故经过属实，并认可被保险人采取的有关施救处理措施及发生的有关施救费用，但是被保险人应注意保留有关的现场照片及有关索赔单证。 </w:t>
      </w:r>
    </w:p>
    <w:p w14:paraId="4FFD21A7">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（2）在出单公司进行现场查勘前，为减少损失或尽快恢复正常生产运营，保险公司同意出险单位可以进行施救、修复或人员救治，但出险单位应保留相关损失现场材料。</w:t>
      </w:r>
    </w:p>
    <w:p w14:paraId="4B47B8AA">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（3）出单公司查勘理赔人员到达现场后，应立即查明出险时间、地点、原因，并应配合被保险人做好必要的施救工作和受损财产的保护、整理工作。现场查勘主要进行以下工作：</w:t>
      </w:r>
    </w:p>
    <w:p w14:paraId="69100D19">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①会同被保险人进行现场查勘，了解事故具体情况，必要时对损失现场和损失财产或受伤人员进行必要的拍照；</w:t>
      </w:r>
    </w:p>
    <w:p w14:paraId="38CAAABD">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②估计损失情况：详细了解人员伤亡、财产损失情况，对受损的财产项目名称、数量等进行必要的分类、清点和登记；</w:t>
      </w:r>
    </w:p>
    <w:p w14:paraId="5D1DB0AF">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③商定初步的后续处理方案；</w:t>
      </w:r>
    </w:p>
    <w:p w14:paraId="730A3951">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④保险双方代表对现场查勘记录进行签字确认；</w:t>
      </w:r>
    </w:p>
    <w:p w14:paraId="76C16E81">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⑤代查勘机构应及时将查勘的情况上报出单公司。</w:t>
      </w:r>
    </w:p>
    <w:p w14:paraId="3C9A5440">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（4）保险公司应在现场查勘后的2个工作日内，向被保险人提供书面的查勘材料及处理意见。</w:t>
      </w:r>
    </w:p>
    <w:p w14:paraId="6FC0A962">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3、损失恢复/人员救治</w:t>
      </w:r>
    </w:p>
    <w:p w14:paraId="7218574D">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保险事故发生后，无论保险公司是否查勘，首先需要进行人员救治。如不需保险公司查勘的，被保险人即可着手进行损失恢复；如保险公司要求进行查勘，在保险公司查勘后着手进行损失恢复。</w:t>
      </w:r>
    </w:p>
    <w:p w14:paraId="48F53369">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4、核定损失</w:t>
      </w:r>
    </w:p>
    <w:p w14:paraId="311A2F86">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保险公司在收到被保险人的书面索赔申请和索赔单证后，应立即审核，若认为有关证明或资料不完整的，应在收到索赔单证后5个工作日内以书面形式向被保险人提出需补充提供的有关证明或资料，否则将视为保险公司认可索赔资料完整。</w:t>
      </w:r>
    </w:p>
    <w:p w14:paraId="239B33B6">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（2）保险公司在收到完整的索赔单证后，应尽快核定损失项目和赔偿金额，并应在3个工作日内向被保险人反馈赔付意见。对被保险人的不同意见，保险公司应予以尊重，并进行充分的沟通与协商。</w:t>
      </w:r>
    </w:p>
    <w:p w14:paraId="36279642">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（3）预付赔款</w:t>
      </w:r>
    </w:p>
    <w:p w14:paraId="2B5EFF84">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如果发生保险责任范围内的损失且估损金额超过人民币10万元，在保险责任明确但损失金额尚不能确定的情况下，根据被保险人要求，保险公司应支付一定数量的预付赔款，预付金额为估损金额的50%。</w:t>
      </w:r>
    </w:p>
    <w:p w14:paraId="65C7CD01">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（4）赔款支付</w:t>
      </w:r>
    </w:p>
    <w:p w14:paraId="2E08AB45">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双方达成一致后，乙方同意按照以下时限要求支付赔款：</w:t>
      </w:r>
    </w:p>
    <w:p w14:paraId="57A9F9A0">
      <w:pPr>
        <w:pStyle w:val="2"/>
        <w:spacing w:before="120" w:line="360" w:lineRule="auto"/>
        <w:ind w:firstLine="480" w:firstLineChars="200"/>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sz w:val="24"/>
          <w:szCs w:val="24"/>
          <w:highlight w:val="yellow"/>
        </w:rPr>
        <w:t>赔款金额在RMB</w:t>
      </w:r>
      <w:r>
        <w:rPr>
          <w:rFonts w:hint="eastAsia" w:asciiTheme="minorEastAsia" w:hAnsiTheme="minorEastAsia" w:eastAsiaTheme="minorEastAsia" w:cstheme="minorEastAsia"/>
          <w:sz w:val="24"/>
          <w:szCs w:val="24"/>
          <w:highlight w:val="yellow"/>
          <w:lang w:val="en-US" w:eastAsia="zh-CN"/>
        </w:rPr>
        <w:t>1</w:t>
      </w:r>
      <w:r>
        <w:rPr>
          <w:rFonts w:hint="eastAsia" w:asciiTheme="minorEastAsia" w:hAnsiTheme="minorEastAsia" w:eastAsiaTheme="minorEastAsia" w:cstheme="minorEastAsia"/>
          <w:sz w:val="24"/>
          <w:szCs w:val="24"/>
          <w:highlight w:val="yellow"/>
        </w:rPr>
        <w:t>00,000.00以下，</w:t>
      </w:r>
      <w:r>
        <w:rPr>
          <w:rFonts w:hint="eastAsia" w:asciiTheme="minorEastAsia" w:hAnsiTheme="minorEastAsia" w:eastAsiaTheme="minorEastAsia" w:cstheme="minorEastAsia"/>
          <w:sz w:val="24"/>
          <w:szCs w:val="24"/>
          <w:highlight w:val="yellow"/>
          <w:lang w:val="en-US" w:eastAsia="zh-CN"/>
        </w:rPr>
        <w:t>1</w:t>
      </w:r>
      <w:r>
        <w:rPr>
          <w:rFonts w:hint="eastAsia" w:asciiTheme="minorEastAsia" w:hAnsiTheme="minorEastAsia" w:eastAsiaTheme="minorEastAsia" w:cstheme="minorEastAsia"/>
          <w:sz w:val="24"/>
          <w:szCs w:val="24"/>
          <w:highlight w:val="yellow"/>
        </w:rPr>
        <w:t>个工作日支付；</w:t>
      </w:r>
    </w:p>
    <w:p w14:paraId="0D344C6F">
      <w:pPr>
        <w:pStyle w:val="2"/>
        <w:spacing w:before="120" w:line="360" w:lineRule="auto"/>
        <w:ind w:firstLine="480" w:firstLineChars="200"/>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sz w:val="24"/>
          <w:szCs w:val="24"/>
          <w:highlight w:val="yellow"/>
        </w:rPr>
        <w:t>赔款金额在RMB</w:t>
      </w:r>
      <w:r>
        <w:rPr>
          <w:rFonts w:hint="eastAsia" w:asciiTheme="minorEastAsia" w:hAnsiTheme="minorEastAsia" w:eastAsiaTheme="minorEastAsia" w:cstheme="minorEastAsia"/>
          <w:sz w:val="24"/>
          <w:szCs w:val="24"/>
          <w:highlight w:val="yellow"/>
          <w:lang w:val="en-US" w:eastAsia="zh-CN"/>
        </w:rPr>
        <w:t>1</w:t>
      </w:r>
      <w:r>
        <w:rPr>
          <w:rFonts w:hint="eastAsia" w:asciiTheme="minorEastAsia" w:hAnsiTheme="minorEastAsia" w:eastAsiaTheme="minorEastAsia" w:cstheme="minorEastAsia"/>
          <w:sz w:val="24"/>
          <w:szCs w:val="24"/>
          <w:highlight w:val="yellow"/>
        </w:rPr>
        <w:t>00,000.00以</w:t>
      </w:r>
      <w:r>
        <w:rPr>
          <w:rFonts w:hint="eastAsia" w:asciiTheme="minorEastAsia" w:hAnsiTheme="minorEastAsia" w:eastAsiaTheme="minorEastAsia" w:cstheme="minorEastAsia"/>
          <w:sz w:val="24"/>
          <w:szCs w:val="24"/>
          <w:highlight w:val="yellow"/>
          <w:lang w:val="en-US" w:eastAsia="zh-CN"/>
        </w:rPr>
        <w:t>上</w:t>
      </w:r>
      <w:r>
        <w:rPr>
          <w:rFonts w:hint="eastAsia" w:asciiTheme="minorEastAsia" w:hAnsiTheme="minorEastAsia" w:eastAsiaTheme="minorEastAsia" w:cstheme="minorEastAsia"/>
          <w:sz w:val="24"/>
          <w:szCs w:val="24"/>
          <w:highlight w:val="yellow"/>
        </w:rPr>
        <w:t>（含）</w:t>
      </w:r>
      <w:r>
        <w:rPr>
          <w:rFonts w:hint="eastAsia" w:asciiTheme="minorEastAsia" w:hAnsiTheme="minorEastAsia" w:eastAsiaTheme="minorEastAsia" w:cstheme="minorEastAsia"/>
          <w:sz w:val="24"/>
          <w:szCs w:val="24"/>
          <w:highlight w:val="yellow"/>
          <w:lang w:val="en-US" w:eastAsia="zh-CN"/>
        </w:rPr>
        <w:t>且</w:t>
      </w:r>
      <w:r>
        <w:rPr>
          <w:rFonts w:hint="eastAsia" w:asciiTheme="minorEastAsia" w:hAnsiTheme="minorEastAsia" w:eastAsiaTheme="minorEastAsia" w:cstheme="minorEastAsia"/>
          <w:sz w:val="24"/>
          <w:szCs w:val="24"/>
          <w:highlight w:val="yellow"/>
        </w:rPr>
        <w:t>RMB500,000.00以上（</w:t>
      </w:r>
      <w:r>
        <w:rPr>
          <w:rFonts w:hint="eastAsia" w:asciiTheme="minorEastAsia" w:hAnsiTheme="minorEastAsia" w:eastAsiaTheme="minorEastAsia" w:cstheme="minorEastAsia"/>
          <w:sz w:val="24"/>
          <w:szCs w:val="24"/>
          <w:highlight w:val="yellow"/>
          <w:lang w:val="en-US" w:eastAsia="zh-CN"/>
        </w:rPr>
        <w:t>不</w:t>
      </w:r>
      <w:r>
        <w:rPr>
          <w:rFonts w:hint="eastAsia" w:asciiTheme="minorEastAsia" w:hAnsiTheme="minorEastAsia" w:eastAsiaTheme="minorEastAsia" w:cstheme="minorEastAsia"/>
          <w:sz w:val="24"/>
          <w:szCs w:val="24"/>
          <w:highlight w:val="yellow"/>
        </w:rPr>
        <w:t>含）</w:t>
      </w:r>
      <w:r>
        <w:rPr>
          <w:rFonts w:hint="eastAsia" w:asciiTheme="minorEastAsia" w:hAnsiTheme="minorEastAsia" w:eastAsiaTheme="minorEastAsia" w:cstheme="minorEastAsia"/>
          <w:sz w:val="24"/>
          <w:szCs w:val="24"/>
          <w:highlight w:val="yellow"/>
          <w:lang w:val="en-US" w:eastAsia="zh-CN"/>
        </w:rPr>
        <w:t>的</w:t>
      </w:r>
      <w:r>
        <w:rPr>
          <w:rFonts w:hint="eastAsia" w:asciiTheme="minorEastAsia" w:hAnsiTheme="minorEastAsia" w:eastAsiaTheme="minorEastAsia" w:cstheme="minorEastAsia"/>
          <w:sz w:val="24"/>
          <w:szCs w:val="24"/>
          <w:highlight w:val="yellow"/>
        </w:rPr>
        <w:t>，</w:t>
      </w:r>
      <w:r>
        <w:rPr>
          <w:rFonts w:hint="eastAsia" w:asciiTheme="minorEastAsia" w:hAnsiTheme="minorEastAsia" w:eastAsiaTheme="minorEastAsia" w:cstheme="minorEastAsia"/>
          <w:sz w:val="24"/>
          <w:szCs w:val="24"/>
          <w:highlight w:val="yellow"/>
          <w:lang w:val="en-US" w:eastAsia="zh-CN"/>
        </w:rPr>
        <w:t>3</w:t>
      </w:r>
      <w:r>
        <w:rPr>
          <w:rFonts w:hint="eastAsia" w:asciiTheme="minorEastAsia" w:hAnsiTheme="minorEastAsia" w:eastAsiaTheme="minorEastAsia" w:cstheme="minorEastAsia"/>
          <w:sz w:val="24"/>
          <w:szCs w:val="24"/>
          <w:highlight w:val="yellow"/>
        </w:rPr>
        <w:t>个工作日支付；</w:t>
      </w:r>
    </w:p>
    <w:p w14:paraId="57F0AA5B">
      <w:pPr>
        <w:pStyle w:val="2"/>
        <w:spacing w:before="120" w:line="360" w:lineRule="auto"/>
        <w:ind w:firstLine="480" w:firstLineChars="200"/>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sz w:val="24"/>
          <w:szCs w:val="24"/>
          <w:highlight w:val="yellow"/>
        </w:rPr>
        <w:t>赔款金额在RMB500,000.00以上（含）且RMB1,000,000.00以下（</w:t>
      </w:r>
      <w:r>
        <w:rPr>
          <w:rFonts w:hint="eastAsia" w:asciiTheme="minorEastAsia" w:hAnsiTheme="minorEastAsia" w:eastAsiaTheme="minorEastAsia" w:cstheme="minorEastAsia"/>
          <w:sz w:val="24"/>
          <w:szCs w:val="24"/>
          <w:highlight w:val="yellow"/>
          <w:lang w:val="en-US" w:eastAsia="zh-CN"/>
        </w:rPr>
        <w:t>不</w:t>
      </w:r>
      <w:r>
        <w:rPr>
          <w:rFonts w:hint="eastAsia" w:asciiTheme="minorEastAsia" w:hAnsiTheme="minorEastAsia" w:eastAsiaTheme="minorEastAsia" w:cstheme="minorEastAsia"/>
          <w:sz w:val="24"/>
          <w:szCs w:val="24"/>
          <w:highlight w:val="yellow"/>
        </w:rPr>
        <w:t>含）的，</w:t>
      </w:r>
      <w:r>
        <w:rPr>
          <w:rFonts w:hint="eastAsia" w:asciiTheme="minorEastAsia" w:hAnsiTheme="minorEastAsia" w:eastAsiaTheme="minorEastAsia" w:cstheme="minorEastAsia"/>
          <w:sz w:val="24"/>
          <w:szCs w:val="24"/>
          <w:highlight w:val="yellow"/>
          <w:lang w:val="en-US" w:eastAsia="zh-CN"/>
        </w:rPr>
        <w:t>5</w:t>
      </w:r>
      <w:r>
        <w:rPr>
          <w:rFonts w:hint="eastAsia" w:asciiTheme="minorEastAsia" w:hAnsiTheme="minorEastAsia" w:eastAsiaTheme="minorEastAsia" w:cstheme="minorEastAsia"/>
          <w:sz w:val="24"/>
          <w:szCs w:val="24"/>
          <w:highlight w:val="yellow"/>
        </w:rPr>
        <w:t>个工作日内支付；</w:t>
      </w:r>
    </w:p>
    <w:p w14:paraId="6192CC44">
      <w:pPr>
        <w:pStyle w:val="2"/>
        <w:spacing w:before="120" w:line="360" w:lineRule="auto"/>
        <w:ind w:firstLine="480" w:firstLineChars="200"/>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sz w:val="24"/>
          <w:szCs w:val="24"/>
          <w:highlight w:val="yellow"/>
        </w:rPr>
        <w:t>赔款金额在RMB1,000,000.00（含）以上，</w:t>
      </w:r>
      <w:r>
        <w:rPr>
          <w:rFonts w:hint="eastAsia" w:asciiTheme="minorEastAsia" w:hAnsiTheme="minorEastAsia" w:eastAsiaTheme="minorEastAsia" w:cstheme="minorEastAsia"/>
          <w:sz w:val="24"/>
          <w:szCs w:val="24"/>
          <w:highlight w:val="yellow"/>
          <w:lang w:val="en-US" w:eastAsia="zh-CN"/>
        </w:rPr>
        <w:t>7</w:t>
      </w:r>
      <w:r>
        <w:rPr>
          <w:rFonts w:hint="eastAsia" w:asciiTheme="minorEastAsia" w:hAnsiTheme="minorEastAsia" w:eastAsiaTheme="minorEastAsia" w:cstheme="minorEastAsia"/>
          <w:sz w:val="24"/>
          <w:szCs w:val="24"/>
          <w:highlight w:val="yellow"/>
        </w:rPr>
        <w:t>个工作日内支付。</w:t>
      </w:r>
    </w:p>
    <w:p w14:paraId="11636C2A">
      <w:pPr>
        <w:spacing w:line="360" w:lineRule="auto"/>
        <w:ind w:firstLine="482"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六、乙方其他优惠条件</w:t>
      </w:r>
    </w:p>
    <w:p w14:paraId="73E25239">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以保险投标文件为准。</w:t>
      </w:r>
    </w:p>
    <w:p w14:paraId="39EC527B">
      <w:pPr>
        <w:spacing w:line="360" w:lineRule="auto"/>
        <w:ind w:firstLine="482"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七、一般条款</w:t>
      </w:r>
    </w:p>
    <w:p w14:paraId="6FBEC0C5">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（一）协议有效期</w:t>
      </w:r>
    </w:p>
    <w:p w14:paraId="4CA3E533">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本协议自签订之日起生效，有效期为</w:t>
      </w:r>
      <w:r>
        <w:rPr>
          <w:rFonts w:hint="eastAsia" w:asciiTheme="minorEastAsia" w:hAnsiTheme="minorEastAsia" w:eastAsiaTheme="minorEastAsia" w:cstheme="minorEastAsia"/>
          <w:sz w:val="24"/>
          <w:szCs w:val="24"/>
          <w:lang w:val="en-US" w:eastAsia="zh-CN"/>
        </w:rPr>
        <w:t>一</w:t>
      </w:r>
      <w:r>
        <w:rPr>
          <w:rFonts w:hint="eastAsia" w:asciiTheme="minorEastAsia" w:hAnsiTheme="minorEastAsia" w:eastAsiaTheme="minorEastAsia" w:cstheme="minorEastAsia"/>
          <w:sz w:val="24"/>
          <w:szCs w:val="24"/>
        </w:rPr>
        <w:t>年，并在本协议下保单有效期内持续有效。如果保险期限结束后，存在遗留问题，本协议将继续有效，直至保单涉及的各项遗留事宜最终处理完毕时为止。</w:t>
      </w:r>
    </w:p>
    <w:p w14:paraId="582CBFFD">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（二）协议的变更、解除和续订</w:t>
      </w:r>
    </w:p>
    <w:p w14:paraId="182F3BC6">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本协议如有未尽事宜，经甲方和乙方协商后可随时以书面形式修改或补充，并作为本协议的组成部分。修改或补充部分的效力优于本协议相关内容。</w:t>
      </w:r>
    </w:p>
    <w:p w14:paraId="6B7B9188">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如因特殊原因确有需要解除本协议的，甲方可随时书面通知乙方终止本协议，并注销保单；乙方如需提前解除本协议的，应提前60天（含）通知甲方退出或终止本协议，并对保单进行相应修改或注销，同时承担因提前退出或终止本协议给甲方造成经济损失的赔偿责任。</w:t>
      </w:r>
    </w:p>
    <w:p w14:paraId="274C37E6">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（三）保密条款</w:t>
      </w:r>
    </w:p>
    <w:p w14:paraId="49A37264">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除非下列情况，自本协议生效之日起，甲、乙双方不得将本协议涉及的所有有形、无形的信息及资料（包括但不限于双方的往来书面文字文件、电子邮件及其他信息资料等）泄露给第三方：</w:t>
      </w:r>
    </w:p>
    <w:p w14:paraId="049CA6CB">
      <w:pPr>
        <w:pStyle w:val="2"/>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1、告诉经纪公司、为执行本协议而提供相关服务的雇员或顾问，或再保险人、再保险经纪人，或</w:t>
      </w:r>
    </w:p>
    <w:p w14:paraId="0656CDE1">
      <w:pPr>
        <w:pStyle w:val="2"/>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2、应法律或司法管辖要求而提供，或</w:t>
      </w:r>
    </w:p>
    <w:p w14:paraId="41435F92">
      <w:pPr>
        <w:pStyle w:val="2"/>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3、经甲方和乙方各保险公司书面同意。</w:t>
      </w:r>
    </w:p>
    <w:p w14:paraId="1DEF7255">
      <w:pPr>
        <w:pStyle w:val="2"/>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本协议一方因过错造成泄密而给另一方造成损失的，过错一方承担经济赔偿责任。</w:t>
      </w:r>
    </w:p>
    <w:p w14:paraId="77E7A2E8">
      <w:pPr>
        <w:pStyle w:val="2"/>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本协议终止时本条款继续并长期有效。</w:t>
      </w:r>
    </w:p>
    <w:p w14:paraId="5F2A79D8">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（四）法律责任</w:t>
      </w:r>
    </w:p>
    <w:p w14:paraId="7E897BEB">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由于本协议一方当事人的过错，造成本协议不能履行或者不能完全履行的，由有过错的一方依法承担违约责任；如属双方当事人的过错，则根据双方当事人过错的实际情况，由双方当事人分别承担各自应负的违约责任。</w:t>
      </w:r>
    </w:p>
    <w:p w14:paraId="5886F012">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若发生违约情形，违约方依法依约承担其相应法律责任后，除非守约方同意终止本协议的，本协议仍须继续履行。</w:t>
      </w:r>
    </w:p>
    <w:p w14:paraId="4AB4251A">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本协议的相关内容与保险人开具的保单中相关约定不符时，以本协议的约定为准，投保人、被保险人或受益人有权据此主张权利。</w:t>
      </w:r>
    </w:p>
    <w:p w14:paraId="6902058A">
      <w:pPr>
        <w:numPr>
          <w:ilvl w:val="0"/>
          <w:numId w:val="11"/>
        </w:numPr>
        <w:spacing w:line="360" w:lineRule="auto"/>
        <w:ind w:firstLine="482" w:firstLineChars="200"/>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违约责任</w:t>
      </w:r>
    </w:p>
    <w:p w14:paraId="363956EB">
      <w:pPr>
        <w:numPr>
          <w:ilvl w:val="-1"/>
          <w:numId w:val="0"/>
        </w:numPr>
        <w:spacing w:line="360" w:lineRule="auto"/>
        <w:ind w:firstLine="480" w:firstLineChars="200"/>
        <w:rPr>
          <w:rFonts w:hint="eastAsia" w:asciiTheme="minorEastAsia" w:hAnsiTheme="minorEastAsia" w:eastAsiaTheme="minorEastAsia" w:cstheme="minorEastAsia"/>
          <w:b w:val="0"/>
          <w:snapToGrid w:val="0"/>
          <w:color w:val="000000"/>
          <w:kern w:val="28"/>
          <w:sz w:val="24"/>
          <w:szCs w:val="24"/>
          <w:lang w:val="en-US" w:eastAsia="zh-CN"/>
        </w:rPr>
      </w:pPr>
      <w:r>
        <w:rPr>
          <w:rFonts w:hint="eastAsia" w:asciiTheme="minorEastAsia" w:hAnsiTheme="minorEastAsia" w:eastAsiaTheme="minorEastAsia" w:cstheme="minorEastAsia"/>
          <w:b w:val="0"/>
          <w:snapToGrid w:val="0"/>
          <w:color w:val="000000"/>
          <w:kern w:val="28"/>
          <w:sz w:val="24"/>
          <w:szCs w:val="24"/>
          <w:lang w:val="en-US" w:eastAsia="zh-CN"/>
        </w:rPr>
        <w:t>1、若乙方逾期履行本协议项下义务的，每逾期一天，应按照本协议总金额的万分之五支付违约金，逾期超过</w:t>
      </w:r>
      <w:r>
        <w:rPr>
          <w:rFonts w:hint="eastAsia" w:asciiTheme="minorEastAsia" w:hAnsiTheme="minorEastAsia" w:eastAsiaTheme="minorEastAsia" w:cstheme="minorEastAsia"/>
          <w:b w:val="0"/>
          <w:snapToGrid w:val="0"/>
          <w:color w:val="000000"/>
          <w:kern w:val="28"/>
          <w:sz w:val="24"/>
          <w:szCs w:val="24"/>
          <w:u w:val="single"/>
          <w:lang w:val="en-US" w:eastAsia="zh-CN"/>
        </w:rPr>
        <w:t xml:space="preserve">   </w:t>
      </w:r>
      <w:r>
        <w:rPr>
          <w:rFonts w:hint="eastAsia" w:asciiTheme="minorEastAsia" w:hAnsiTheme="minorEastAsia" w:eastAsiaTheme="minorEastAsia" w:cstheme="minorEastAsia"/>
          <w:b w:val="0"/>
          <w:snapToGrid w:val="0"/>
          <w:color w:val="000000"/>
          <w:kern w:val="28"/>
          <w:sz w:val="24"/>
          <w:szCs w:val="24"/>
          <w:lang w:val="en-US" w:eastAsia="zh-CN"/>
        </w:rPr>
        <w:t>日的，甲方有权解除本协议，并要求乙方支付本协议总金额</w:t>
      </w:r>
      <w:r>
        <w:rPr>
          <w:rFonts w:hint="eastAsia" w:asciiTheme="minorEastAsia" w:hAnsiTheme="minorEastAsia" w:eastAsiaTheme="minorEastAsia" w:cstheme="minorEastAsia"/>
          <w:b w:val="0"/>
          <w:snapToGrid w:val="0"/>
          <w:color w:val="000000"/>
          <w:kern w:val="28"/>
          <w:sz w:val="24"/>
          <w:szCs w:val="24"/>
          <w:u w:val="single"/>
          <w:lang w:val="en-US" w:eastAsia="zh-CN"/>
        </w:rPr>
        <w:t xml:space="preserve">   </w:t>
      </w:r>
      <w:r>
        <w:rPr>
          <w:rFonts w:hint="eastAsia" w:asciiTheme="minorEastAsia" w:hAnsiTheme="minorEastAsia" w:eastAsiaTheme="minorEastAsia" w:cstheme="minorEastAsia"/>
          <w:b w:val="0"/>
          <w:snapToGrid w:val="0"/>
          <w:color w:val="000000"/>
          <w:kern w:val="28"/>
          <w:sz w:val="24"/>
          <w:szCs w:val="24"/>
          <w:lang w:val="en-US" w:eastAsia="zh-CN"/>
        </w:rPr>
        <w:t>%的违约金。</w:t>
      </w:r>
    </w:p>
    <w:p w14:paraId="4258AF64">
      <w:pPr>
        <w:numPr>
          <w:ilvl w:val="-1"/>
          <w:numId w:val="0"/>
        </w:numPr>
        <w:spacing w:line="360" w:lineRule="auto"/>
        <w:ind w:firstLine="480" w:firstLineChars="200"/>
        <w:rPr>
          <w:rFonts w:hint="eastAsia" w:asciiTheme="minorEastAsia" w:hAnsiTheme="minorEastAsia" w:eastAsiaTheme="minorEastAsia" w:cstheme="minorEastAsia"/>
          <w:b w:val="0"/>
          <w:snapToGrid w:val="0"/>
          <w:color w:val="000000"/>
          <w:kern w:val="28"/>
          <w:sz w:val="24"/>
          <w:szCs w:val="24"/>
          <w:lang w:val="en-US" w:eastAsia="zh-CN"/>
        </w:rPr>
      </w:pPr>
      <w:r>
        <w:rPr>
          <w:rFonts w:hint="eastAsia" w:asciiTheme="minorEastAsia" w:hAnsiTheme="minorEastAsia" w:eastAsiaTheme="minorEastAsia" w:cstheme="minorEastAsia"/>
          <w:b w:val="0"/>
          <w:snapToGrid w:val="0"/>
          <w:color w:val="000000"/>
          <w:kern w:val="28"/>
          <w:sz w:val="24"/>
          <w:szCs w:val="24"/>
          <w:lang w:val="en-US" w:eastAsia="zh-CN"/>
        </w:rPr>
        <w:t>2、若乙方提供的服务不符合甲方或本协议要求的，乙方应当支付本协议总金额</w:t>
      </w:r>
      <w:r>
        <w:rPr>
          <w:rFonts w:hint="eastAsia" w:asciiTheme="minorEastAsia" w:hAnsiTheme="minorEastAsia" w:eastAsiaTheme="minorEastAsia" w:cstheme="minorEastAsia"/>
          <w:b w:val="0"/>
          <w:snapToGrid w:val="0"/>
          <w:color w:val="000000"/>
          <w:kern w:val="28"/>
          <w:sz w:val="24"/>
          <w:szCs w:val="24"/>
          <w:u w:val="single"/>
          <w:lang w:val="en-US" w:eastAsia="zh-CN"/>
        </w:rPr>
        <w:t xml:space="preserve">   </w:t>
      </w:r>
      <w:r>
        <w:rPr>
          <w:rFonts w:hint="eastAsia" w:asciiTheme="minorEastAsia" w:hAnsiTheme="minorEastAsia" w:eastAsiaTheme="minorEastAsia" w:cstheme="minorEastAsia"/>
          <w:b w:val="0"/>
          <w:snapToGrid w:val="0"/>
          <w:color w:val="000000"/>
          <w:kern w:val="28"/>
          <w:sz w:val="24"/>
          <w:szCs w:val="24"/>
          <w:lang w:val="en-US" w:eastAsia="zh-CN"/>
        </w:rPr>
        <w:t>%的违约金。</w:t>
      </w:r>
    </w:p>
    <w:p w14:paraId="2230C2EF">
      <w:pPr>
        <w:numPr>
          <w:ilvl w:val="-1"/>
          <w:numId w:val="0"/>
        </w:numPr>
        <w:spacing w:line="360" w:lineRule="auto"/>
        <w:ind w:firstLine="480" w:firstLineChars="200"/>
        <w:rPr>
          <w:rFonts w:hint="eastAsia" w:asciiTheme="minorEastAsia" w:hAnsiTheme="minorEastAsia" w:eastAsiaTheme="minorEastAsia" w:cstheme="minorEastAsia"/>
          <w:b w:val="0"/>
          <w:snapToGrid w:val="0"/>
          <w:color w:val="000000"/>
          <w:kern w:val="28"/>
          <w:sz w:val="24"/>
          <w:szCs w:val="24"/>
          <w:lang w:val="en-US" w:eastAsia="zh-CN"/>
        </w:rPr>
      </w:pPr>
      <w:r>
        <w:rPr>
          <w:rFonts w:hint="eastAsia" w:asciiTheme="minorEastAsia" w:hAnsiTheme="minorEastAsia" w:eastAsiaTheme="minorEastAsia" w:cstheme="minorEastAsia"/>
          <w:b w:val="0"/>
          <w:snapToGrid w:val="0"/>
          <w:color w:val="000000"/>
          <w:kern w:val="28"/>
          <w:sz w:val="24"/>
          <w:szCs w:val="24"/>
          <w:lang w:val="en-US" w:eastAsia="zh-CN"/>
        </w:rPr>
        <w:t>3、乙方在为甲方提供服务的过程中，如有违反《保险法》、中国保险监督管理局相关规定等法律、法规或违反本合同约定的行为，即构成其违约。乙方出现违约行为，甲方有权终止本合同。本合同终止后，由此给甲方造成的损失由乙方承担。</w:t>
      </w:r>
    </w:p>
    <w:p w14:paraId="255C90E6">
      <w:pPr>
        <w:numPr>
          <w:ilvl w:val="-1"/>
          <w:numId w:val="0"/>
        </w:numPr>
        <w:spacing w:line="360" w:lineRule="auto"/>
        <w:ind w:firstLine="480" w:firstLineChars="200"/>
        <w:rPr>
          <w:rFonts w:hint="default" w:asciiTheme="minorEastAsia" w:hAnsiTheme="minorEastAsia" w:eastAsiaTheme="minorEastAsia" w:cstheme="minorEastAsia"/>
          <w:b w:val="0"/>
          <w:snapToGrid w:val="0"/>
          <w:color w:val="000000"/>
          <w:kern w:val="28"/>
          <w:sz w:val="24"/>
          <w:szCs w:val="24"/>
          <w:lang w:val="en-US" w:eastAsia="zh-CN"/>
        </w:rPr>
      </w:pPr>
    </w:p>
    <w:p w14:paraId="7D1FBFA4">
      <w:pPr>
        <w:numPr>
          <w:ilvl w:val="0"/>
          <w:numId w:val="11"/>
        </w:numPr>
        <w:spacing w:line="360" w:lineRule="auto"/>
        <w:ind w:firstLine="482"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争议解决</w:t>
      </w:r>
    </w:p>
    <w:p w14:paraId="051E3B55">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凡与本合同有关引起的一切争议，各方首先通过友好协商解决，如经协商后仍不能达到协议时，则由各方律师进行调解。如调解仍不能解决，各方一致同意：任何一方均应向甲方所在地（浙江省杭州市</w:t>
      </w:r>
      <w:r>
        <w:rPr>
          <w:rFonts w:hint="eastAsia" w:asciiTheme="minorEastAsia" w:hAnsiTheme="minorEastAsia" w:eastAsiaTheme="minorEastAsia" w:cstheme="minorEastAsia"/>
          <w:sz w:val="24"/>
          <w:szCs w:val="24"/>
          <w:lang w:val="en-US" w:eastAsia="zh-CN"/>
        </w:rPr>
        <w:t>萧山区</w:t>
      </w:r>
      <w:r>
        <w:rPr>
          <w:rFonts w:hint="eastAsia" w:asciiTheme="minorEastAsia" w:hAnsiTheme="minorEastAsia" w:eastAsiaTheme="minorEastAsia" w:cstheme="minorEastAsia"/>
          <w:sz w:val="24"/>
          <w:szCs w:val="24"/>
        </w:rPr>
        <w:t>）的人民法院提出诉讼。</w:t>
      </w:r>
    </w:p>
    <w:p w14:paraId="1630CC43">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法院判决对双方均具有约束力。</w:t>
      </w:r>
    </w:p>
    <w:p w14:paraId="2D2D45E0">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由上述过程发生的费用除上述法院判决另有规定外，应由败诉方承担。</w:t>
      </w:r>
    </w:p>
    <w:p w14:paraId="74847AEF">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在进行法院审理期间，除提交法院审理的事项外，合同仍应继续履行。</w:t>
      </w:r>
    </w:p>
    <w:p w14:paraId="590A4574">
      <w:pPr>
        <w:spacing w:line="360" w:lineRule="auto"/>
        <w:ind w:firstLine="482" w:firstLineChars="200"/>
        <w:rPr>
          <w:rFonts w:hint="eastAsia" w:asciiTheme="minorEastAsia" w:hAnsiTheme="minorEastAsia" w:eastAsiaTheme="minorEastAsia" w:cstheme="minorEastAsia"/>
          <w:b/>
          <w:sz w:val="24"/>
          <w:szCs w:val="24"/>
        </w:rPr>
      </w:pPr>
    </w:p>
    <w:p w14:paraId="2ADF4DBE">
      <w:pPr>
        <w:spacing w:line="360" w:lineRule="auto"/>
        <w:ind w:firstLine="482"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val="en-US" w:eastAsia="zh-CN"/>
        </w:rPr>
        <w:t>十</w:t>
      </w:r>
      <w:r>
        <w:rPr>
          <w:rFonts w:hint="eastAsia" w:asciiTheme="minorEastAsia" w:hAnsiTheme="minorEastAsia" w:eastAsiaTheme="minorEastAsia" w:cstheme="minorEastAsia"/>
          <w:b/>
          <w:sz w:val="24"/>
          <w:szCs w:val="24"/>
        </w:rPr>
        <w:t>、其他</w:t>
      </w:r>
    </w:p>
    <w:p w14:paraId="05B004F9">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（一）乙方按本协议出具的正式保单作为本协议的有效组成部分，保单与本协议冲突之处，以本协议内容为准，甲乙双方另有明确约定的情况除外。</w:t>
      </w:r>
    </w:p>
    <w:p w14:paraId="5C3FE467">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甲乙双方在本合同列示的地址为各自的送达地址，如遇诉讼可按该地址进行送达；任何一方的送达地址发生变化的，均应当在送达地址发生变化之日起2个工作日内书面通知对方。双方在向对方列示的任一送达地址有关文书时，如果发生收件人拒绝签收或其他无法送达情形的，则从发件人寄出文书之日起3日视为已经送达对方。</w:t>
      </w:r>
    </w:p>
    <w:p w14:paraId="6D7C72AA">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三</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highlight w:val="yellow"/>
          <w:lang w:val="en-US" w:eastAsia="zh-CN"/>
        </w:rPr>
        <w:t>本项目保险经纪人为中联金安保险经纪有限公司浙江分公司，负责为采购人提供风险管理建议、审核保险合同、在后续发生理赔时协助采购人对中标人提出处理建议等工作</w:t>
      </w:r>
      <w:r>
        <w:rPr>
          <w:rFonts w:hint="eastAsia" w:asciiTheme="minorEastAsia" w:hAnsiTheme="minorEastAsia" w:eastAsiaTheme="minorEastAsia" w:cstheme="minorEastAsia"/>
          <w:sz w:val="24"/>
          <w:szCs w:val="24"/>
          <w:lang w:val="en-US" w:eastAsia="zh-CN"/>
        </w:rPr>
        <w:t>。</w:t>
      </w:r>
    </w:p>
    <w:p w14:paraId="1C2F0E85">
      <w:pPr>
        <w:pStyle w:val="2"/>
        <w:spacing w:before="120"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四）</w:t>
      </w:r>
      <w:r>
        <w:rPr>
          <w:rFonts w:hint="eastAsia" w:asciiTheme="minorEastAsia" w:hAnsiTheme="minorEastAsia" w:eastAsiaTheme="minorEastAsia" w:cstheme="minorEastAsia"/>
          <w:sz w:val="24"/>
          <w:szCs w:val="24"/>
        </w:rPr>
        <w:t>本协议壹式陆份，甲方执伍份、乙方执壹份</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自双方法定代表人或授权代表签字或加盖公章后生效</w:t>
      </w:r>
      <w:r>
        <w:rPr>
          <w:rFonts w:hint="eastAsia" w:asciiTheme="minorEastAsia" w:hAnsiTheme="minorEastAsia" w:eastAsiaTheme="minorEastAsia" w:cstheme="minorEastAsia"/>
          <w:sz w:val="24"/>
          <w:szCs w:val="24"/>
        </w:rPr>
        <w:t xml:space="preserve">。 </w:t>
      </w:r>
    </w:p>
    <w:p w14:paraId="2C318429">
      <w:pPr>
        <w:spacing w:line="24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p>
    <w:p w14:paraId="3B6571C0">
      <w:pPr>
        <w:spacing w:line="360" w:lineRule="auto"/>
        <w:ind w:right="-73" w:rightChars="-35"/>
        <w:rPr>
          <w:rFonts w:hint="eastAsia" w:asciiTheme="minorEastAsia" w:hAnsiTheme="minorEastAsia" w:eastAsiaTheme="minorEastAsia" w:cstheme="minorEastAsia"/>
          <w:sz w:val="24"/>
          <w:szCs w:val="24"/>
        </w:rPr>
      </w:pPr>
    </w:p>
    <w:p w14:paraId="58DCDD55">
      <w:pPr>
        <w:spacing w:line="360" w:lineRule="auto"/>
        <w:ind w:right="-73" w:rightChars="-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甲方：（签章）</w:t>
      </w:r>
    </w:p>
    <w:p w14:paraId="60AAF3AC">
      <w:pPr>
        <w:spacing w:line="360" w:lineRule="auto"/>
        <w:ind w:right="-73" w:rightChars="-35"/>
        <w:rPr>
          <w:rFonts w:hint="eastAsia" w:asciiTheme="minorEastAsia" w:hAnsiTheme="minorEastAsia" w:eastAsiaTheme="minorEastAsia" w:cstheme="minorEastAsia"/>
          <w:sz w:val="24"/>
          <w:szCs w:val="24"/>
        </w:rPr>
      </w:pPr>
    </w:p>
    <w:p w14:paraId="432CC93C">
      <w:pPr>
        <w:spacing w:line="360" w:lineRule="auto"/>
        <w:ind w:right="-73" w:rightChars="-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法定代表人或委托代理人：（签章）</w:t>
      </w:r>
    </w:p>
    <w:p w14:paraId="39DA4F28">
      <w:pPr>
        <w:spacing w:line="360" w:lineRule="auto"/>
        <w:ind w:right="-73" w:rightChars="-35"/>
        <w:rPr>
          <w:rFonts w:hint="eastAsia" w:asciiTheme="minorEastAsia" w:hAnsiTheme="minorEastAsia" w:eastAsiaTheme="minorEastAsia" w:cstheme="minorEastAsia"/>
          <w:sz w:val="24"/>
          <w:szCs w:val="24"/>
        </w:rPr>
      </w:pPr>
    </w:p>
    <w:p w14:paraId="71FAFDCF">
      <w:pPr>
        <w:spacing w:line="360" w:lineRule="auto"/>
        <w:ind w:right="-73" w:rightChars="-35"/>
        <w:rPr>
          <w:rFonts w:hint="eastAsia" w:asciiTheme="minorEastAsia" w:hAnsiTheme="minorEastAsia" w:eastAsiaTheme="minorEastAsia" w:cstheme="minorEastAsia"/>
          <w:sz w:val="24"/>
          <w:szCs w:val="24"/>
        </w:rPr>
      </w:pPr>
    </w:p>
    <w:p w14:paraId="52DB16A9">
      <w:pPr>
        <w:spacing w:line="360" w:lineRule="auto"/>
        <w:ind w:right="-73" w:rightChars="-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乙方：（签章）</w:t>
      </w:r>
    </w:p>
    <w:p w14:paraId="657A37F2">
      <w:pPr>
        <w:spacing w:line="360" w:lineRule="auto"/>
        <w:ind w:right="-73" w:rightChars="-35"/>
        <w:rPr>
          <w:rFonts w:hint="eastAsia" w:asciiTheme="minorEastAsia" w:hAnsiTheme="minorEastAsia" w:eastAsiaTheme="minorEastAsia" w:cstheme="minorEastAsia"/>
          <w:sz w:val="24"/>
          <w:szCs w:val="24"/>
        </w:rPr>
      </w:pPr>
    </w:p>
    <w:p w14:paraId="024F60D1">
      <w:pPr>
        <w:spacing w:line="360" w:lineRule="auto"/>
        <w:ind w:right="-73" w:rightChars="-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法定代表人或委托代理人：（签章）</w:t>
      </w:r>
    </w:p>
    <w:p w14:paraId="1B3EFB3F">
      <w:pPr>
        <w:spacing w:line="360" w:lineRule="auto"/>
        <w:ind w:right="-73" w:rightChars="-35"/>
        <w:rPr>
          <w:rFonts w:hint="eastAsia" w:asciiTheme="minorEastAsia" w:hAnsiTheme="minorEastAsia" w:eastAsiaTheme="minorEastAsia" w:cstheme="minorEastAsia"/>
          <w:sz w:val="24"/>
          <w:szCs w:val="24"/>
        </w:rPr>
      </w:pPr>
    </w:p>
    <w:p w14:paraId="6632978D">
      <w:pPr>
        <w:spacing w:line="360" w:lineRule="auto"/>
        <w:ind w:right="-73" w:rightChars="-35"/>
        <w:rPr>
          <w:rFonts w:hint="eastAsia" w:asciiTheme="minorEastAsia" w:hAnsiTheme="minorEastAsia" w:eastAsiaTheme="minorEastAsia" w:cstheme="minorEastAsia"/>
          <w:sz w:val="24"/>
          <w:szCs w:val="24"/>
        </w:rPr>
      </w:pPr>
    </w:p>
    <w:p w14:paraId="4C3E2A42">
      <w:pPr>
        <w:spacing w:line="360" w:lineRule="auto"/>
        <w:ind w:right="-73" w:rightChars="-35"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本协议签订时间：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日 </w:t>
      </w:r>
    </w:p>
    <w:p w14:paraId="2543FC34">
      <w:pPr>
        <w:spacing w:line="360" w:lineRule="auto"/>
        <w:ind w:right="-73" w:rightChars="-35"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本协议签订地点：中国 浙江省 杭州市</w:t>
      </w:r>
    </w:p>
    <w:bookmarkEnd w:id="388"/>
    <w:bookmarkEnd w:id="389"/>
    <w:p w14:paraId="2BE9156A">
      <w:pPr>
        <w:pStyle w:val="25"/>
        <w:rPr>
          <w:rFonts w:hint="eastAsia" w:ascii="宋体" w:hAnsi="宋体" w:eastAsia="宋体" w:cs="宋体"/>
          <w:color w:val="auto"/>
          <w:sz w:val="24"/>
          <w:highlight w:val="none"/>
        </w:rPr>
      </w:pPr>
    </w:p>
    <w:p w14:paraId="436DED2C">
      <w:pPr>
        <w:spacing w:line="360" w:lineRule="auto"/>
        <w:ind w:left="720" w:firstLine="723" w:firstLineChars="200"/>
        <w:outlineLvl w:val="0"/>
        <w:rPr>
          <w:rFonts w:hint="eastAsia" w:ascii="宋体" w:hAnsi="宋体" w:eastAsia="宋体" w:cs="宋体"/>
          <w:b/>
          <w:color w:val="auto"/>
          <w:sz w:val="36"/>
          <w:szCs w:val="20"/>
          <w:highlight w:val="none"/>
        </w:rPr>
      </w:pPr>
    </w:p>
    <w:p w14:paraId="07ECB1AA">
      <w:pPr>
        <w:spacing w:line="360" w:lineRule="auto"/>
        <w:ind w:left="720" w:firstLine="723" w:firstLineChars="200"/>
        <w:outlineLvl w:val="0"/>
        <w:rPr>
          <w:rFonts w:hint="eastAsia" w:ascii="宋体" w:hAnsi="宋体" w:eastAsia="宋体" w:cs="宋体"/>
          <w:b/>
          <w:color w:val="auto"/>
          <w:sz w:val="36"/>
          <w:szCs w:val="20"/>
          <w:highlight w:val="none"/>
        </w:rPr>
      </w:pPr>
    </w:p>
    <w:p w14:paraId="3EF446CD">
      <w:pPr>
        <w:spacing w:line="360" w:lineRule="auto"/>
        <w:ind w:left="720" w:firstLine="723" w:firstLineChars="200"/>
        <w:outlineLvl w:val="0"/>
        <w:rPr>
          <w:rFonts w:hint="eastAsia" w:ascii="宋体" w:hAnsi="宋体" w:eastAsia="宋体" w:cs="宋体"/>
          <w:b/>
          <w:color w:val="auto"/>
          <w:sz w:val="36"/>
          <w:szCs w:val="20"/>
          <w:highlight w:val="none"/>
        </w:rPr>
      </w:pPr>
    </w:p>
    <w:p w14:paraId="2B9252CB">
      <w:pPr>
        <w:spacing w:line="360" w:lineRule="auto"/>
        <w:ind w:left="720" w:firstLine="723" w:firstLineChars="200"/>
        <w:outlineLvl w:val="0"/>
        <w:rPr>
          <w:rFonts w:hint="eastAsia" w:ascii="宋体" w:hAnsi="宋体" w:eastAsia="宋体" w:cs="宋体"/>
          <w:b/>
          <w:color w:val="auto"/>
          <w:sz w:val="36"/>
          <w:szCs w:val="20"/>
          <w:highlight w:val="none"/>
        </w:rPr>
      </w:pPr>
    </w:p>
    <w:p w14:paraId="4BD2843F">
      <w:pPr>
        <w:spacing w:line="360" w:lineRule="auto"/>
        <w:ind w:left="720" w:firstLine="723" w:firstLineChars="200"/>
        <w:outlineLvl w:val="0"/>
        <w:rPr>
          <w:rFonts w:hint="eastAsia" w:ascii="宋体" w:hAnsi="宋体" w:eastAsia="宋体" w:cs="宋体"/>
          <w:b/>
          <w:color w:val="auto"/>
          <w:sz w:val="36"/>
          <w:szCs w:val="20"/>
          <w:highlight w:val="none"/>
        </w:rPr>
      </w:pPr>
    </w:p>
    <w:p w14:paraId="32321710">
      <w:pPr>
        <w:spacing w:line="360" w:lineRule="auto"/>
        <w:ind w:left="720" w:firstLine="723" w:firstLineChars="200"/>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85"/>
      <w:r>
        <w:rPr>
          <w:rFonts w:hint="eastAsia" w:ascii="宋体" w:hAnsi="宋体" w:eastAsia="宋体" w:cs="宋体"/>
          <w:b/>
          <w:color w:val="auto"/>
          <w:sz w:val="36"/>
          <w:szCs w:val="20"/>
          <w:highlight w:val="none"/>
        </w:rPr>
        <w:t xml:space="preserve"> </w:t>
      </w:r>
      <w:bookmarkEnd w:id="386"/>
      <w:r>
        <w:rPr>
          <w:rFonts w:hint="eastAsia" w:ascii="宋体" w:hAnsi="宋体" w:eastAsia="宋体" w:cs="宋体"/>
          <w:b/>
          <w:color w:val="auto"/>
          <w:sz w:val="36"/>
          <w:szCs w:val="20"/>
          <w:highlight w:val="none"/>
        </w:rPr>
        <w:t>应提交的有关格式范例</w:t>
      </w:r>
    </w:p>
    <w:p w14:paraId="05146869">
      <w:pPr>
        <w:spacing w:line="360" w:lineRule="auto"/>
        <w:jc w:val="center"/>
        <w:outlineLvl w:val="0"/>
        <w:rPr>
          <w:rFonts w:hint="eastAsia" w:ascii="宋体" w:hAnsi="宋体" w:eastAsia="宋体" w:cs="宋体"/>
          <w:b/>
          <w:color w:val="auto"/>
          <w:kern w:val="0"/>
          <w:sz w:val="36"/>
          <w:szCs w:val="36"/>
          <w:highlight w:val="none"/>
        </w:rPr>
      </w:pPr>
    </w:p>
    <w:p w14:paraId="74D94F40">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533B74E5">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321A719F">
      <w:pPr>
        <w:spacing w:line="360" w:lineRule="auto"/>
        <w:jc w:val="center"/>
        <w:outlineLvl w:val="0"/>
        <w:rPr>
          <w:rFonts w:hint="eastAsia" w:ascii="宋体" w:hAnsi="宋体" w:eastAsia="宋体" w:cs="宋体"/>
          <w:b/>
          <w:color w:val="auto"/>
          <w:kern w:val="0"/>
          <w:sz w:val="36"/>
          <w:szCs w:val="36"/>
          <w:highlight w:val="none"/>
        </w:rPr>
      </w:pPr>
    </w:p>
    <w:p w14:paraId="2598B22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活动应当具备的一般条件的承诺函…………………（页码）</w:t>
      </w:r>
    </w:p>
    <w:p w14:paraId="6AF4684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本项目的特定资格要求………………………………………………（页码）</w:t>
      </w:r>
    </w:p>
    <w:p w14:paraId="6AAA7A40">
      <w:pPr>
        <w:snapToGrid w:val="0"/>
        <w:spacing w:line="360" w:lineRule="auto"/>
        <w:ind w:firstLine="480" w:firstLineChars="200"/>
        <w:rPr>
          <w:rFonts w:hint="eastAsia" w:ascii="宋体" w:hAnsi="宋体" w:eastAsia="宋体" w:cs="宋体"/>
          <w:color w:val="auto"/>
          <w:sz w:val="24"/>
          <w:highlight w:val="none"/>
        </w:rPr>
      </w:pPr>
    </w:p>
    <w:p w14:paraId="33091779">
      <w:pPr>
        <w:spacing w:line="360" w:lineRule="auto"/>
        <w:ind w:firstLine="480" w:firstLineChars="200"/>
        <w:rPr>
          <w:rFonts w:hint="eastAsia" w:ascii="宋体" w:hAnsi="宋体" w:eastAsia="宋体" w:cs="宋体"/>
          <w:color w:val="auto"/>
          <w:sz w:val="24"/>
          <w:highlight w:val="none"/>
        </w:rPr>
      </w:pPr>
    </w:p>
    <w:p w14:paraId="392DBEFE">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w:t>
      </w:r>
      <w:r>
        <w:rPr>
          <w:rFonts w:hint="eastAsia" w:ascii="宋体" w:hAnsi="宋体" w:eastAsia="宋体" w:cs="宋体"/>
          <w:b/>
          <w:color w:val="auto"/>
          <w:kern w:val="0"/>
          <w:sz w:val="32"/>
          <w:szCs w:val="32"/>
          <w:highlight w:val="none"/>
          <w:lang w:val="en-US" w:eastAsia="zh-CN"/>
        </w:rPr>
        <w:t>交易</w:t>
      </w:r>
      <w:r>
        <w:rPr>
          <w:rFonts w:hint="eastAsia" w:ascii="宋体" w:hAnsi="宋体" w:eastAsia="宋体" w:cs="宋体"/>
          <w:b/>
          <w:color w:val="auto"/>
          <w:kern w:val="0"/>
          <w:sz w:val="32"/>
          <w:szCs w:val="32"/>
          <w:highlight w:val="none"/>
        </w:rPr>
        <w:t>活动应当具备的一般条件的承诺函</w:t>
      </w:r>
    </w:p>
    <w:p w14:paraId="3FA58DB3">
      <w:pPr>
        <w:snapToGrid w:val="0"/>
        <w:spacing w:line="360" w:lineRule="auto"/>
        <w:rPr>
          <w:rFonts w:hint="eastAsia" w:ascii="宋体" w:hAnsi="宋体" w:eastAsia="宋体" w:cs="宋体"/>
          <w:color w:val="auto"/>
          <w:sz w:val="24"/>
          <w:highlight w:val="none"/>
        </w:rPr>
      </w:pPr>
    </w:p>
    <w:p w14:paraId="0BE649C5">
      <w:pPr>
        <w:snapToGrid w:val="0"/>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交易人</w:t>
      </w:r>
      <w:r>
        <w:rPr>
          <w:rFonts w:hint="eastAsia" w:ascii="宋体" w:hAnsi="宋体" w:eastAsia="宋体" w:cs="宋体"/>
          <w:color w:val="auto"/>
          <w:sz w:val="24"/>
          <w:highlight w:val="none"/>
          <w:u w:val="single"/>
        </w:rPr>
        <w:t>）、（采购机构）：</w:t>
      </w:r>
    </w:p>
    <w:p w14:paraId="0EA93D1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u w:val="single"/>
          <w:lang w:eastAsia="zh-CN"/>
        </w:rPr>
        <w:t>交易编号</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活动，郑重承诺：</w:t>
      </w:r>
    </w:p>
    <w:p w14:paraId="0BDD7D4D">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w:t>
      </w:r>
      <w:r>
        <w:rPr>
          <w:rFonts w:hint="eastAsia" w:ascii="宋体" w:hAnsi="宋体" w:eastAsia="宋体" w:cs="宋体"/>
          <w:color w:val="auto"/>
          <w:sz w:val="24"/>
          <w:highlight w:val="none"/>
          <w:lang w:eastAsia="zh-CN"/>
        </w:rPr>
        <w:t>以下</w:t>
      </w:r>
      <w:r>
        <w:rPr>
          <w:rFonts w:hint="eastAsia" w:ascii="宋体" w:hAnsi="宋体" w:eastAsia="宋体" w:cs="宋体"/>
          <w:color w:val="auto"/>
          <w:sz w:val="24"/>
          <w:highlight w:val="none"/>
        </w:rPr>
        <w:t>条件：</w:t>
      </w:r>
    </w:p>
    <w:p w14:paraId="2C8D88B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458126D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7278DCF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5762C36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58457BC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5、参加采购活动前三年内，在经营活动中没有重大违法记录；</w:t>
      </w:r>
    </w:p>
    <w:p w14:paraId="1B9BBC2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1EA48AA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二</w:t>
      </w:r>
      <w:r>
        <w:rPr>
          <w:rFonts w:hint="eastAsia" w:ascii="宋体" w:hAnsi="宋体" w:eastAsia="宋体" w:cs="宋体"/>
          <w:color w:val="auto"/>
          <w:sz w:val="24"/>
          <w:highlight w:val="none"/>
        </w:rPr>
        <w:t>）我方不存在以下情况：</w:t>
      </w:r>
    </w:p>
    <w:p w14:paraId="48A8501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5BC9424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238A5896">
      <w:pPr>
        <w:snapToGrid w:val="0"/>
        <w:spacing w:line="360" w:lineRule="auto"/>
        <w:ind w:firstLine="5520" w:firstLineChars="2300"/>
        <w:rPr>
          <w:rFonts w:hint="eastAsia" w:ascii="宋体" w:hAnsi="宋体" w:eastAsia="宋体" w:cs="宋体"/>
          <w:color w:val="auto"/>
          <w:kern w:val="0"/>
          <w:sz w:val="24"/>
          <w:highlight w:val="none"/>
          <w:lang w:val="zh-CN"/>
        </w:rPr>
      </w:pPr>
    </w:p>
    <w:p w14:paraId="5A8EB39E">
      <w:pPr>
        <w:snapToGrid w:val="0"/>
        <w:spacing w:line="360" w:lineRule="auto"/>
        <w:ind w:firstLine="5520" w:firstLineChars="2300"/>
        <w:rPr>
          <w:rFonts w:hint="eastAsia" w:ascii="宋体" w:hAnsi="宋体" w:eastAsia="宋体" w:cs="宋体"/>
          <w:color w:val="auto"/>
          <w:kern w:val="0"/>
          <w:sz w:val="24"/>
          <w:highlight w:val="none"/>
          <w:lang w:val="zh-CN"/>
        </w:rPr>
      </w:pPr>
    </w:p>
    <w:p w14:paraId="45F07EB5">
      <w:pPr>
        <w:snapToGrid w:val="0"/>
        <w:spacing w:line="360" w:lineRule="auto"/>
        <w:ind w:firstLine="5520" w:firstLineChars="2300"/>
        <w:rPr>
          <w:rFonts w:hint="eastAsia" w:ascii="宋体" w:hAnsi="宋体" w:eastAsia="宋体" w:cs="宋体"/>
          <w:color w:val="auto"/>
          <w:kern w:val="0"/>
          <w:sz w:val="24"/>
          <w:highlight w:val="none"/>
          <w:lang w:val="zh-CN"/>
        </w:rPr>
      </w:pPr>
    </w:p>
    <w:p w14:paraId="5F6BE512">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239769D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1C8AE64F">
      <w:pPr>
        <w:snapToGrid w:val="0"/>
        <w:spacing w:line="360" w:lineRule="auto"/>
        <w:ind w:right="480"/>
        <w:jc w:val="center"/>
        <w:rPr>
          <w:rFonts w:hint="eastAsia" w:ascii="宋体" w:hAnsi="宋体" w:eastAsia="宋体" w:cs="宋体"/>
          <w:b/>
          <w:color w:val="auto"/>
          <w:kern w:val="0"/>
          <w:sz w:val="32"/>
          <w:szCs w:val="32"/>
          <w:highlight w:val="none"/>
        </w:rPr>
      </w:pPr>
    </w:p>
    <w:p w14:paraId="4A9924D4">
      <w:pPr>
        <w:snapToGrid w:val="0"/>
        <w:spacing w:line="360" w:lineRule="auto"/>
        <w:ind w:right="480"/>
        <w:jc w:val="center"/>
        <w:rPr>
          <w:rFonts w:hint="eastAsia" w:ascii="宋体" w:hAnsi="宋体" w:eastAsia="宋体" w:cs="宋体"/>
          <w:b/>
          <w:color w:val="auto"/>
          <w:kern w:val="0"/>
          <w:sz w:val="32"/>
          <w:szCs w:val="32"/>
          <w:highlight w:val="none"/>
        </w:rPr>
      </w:pPr>
    </w:p>
    <w:p w14:paraId="2DBF3F90">
      <w:pPr>
        <w:snapToGrid w:val="0"/>
        <w:spacing w:line="360" w:lineRule="auto"/>
        <w:ind w:right="480"/>
        <w:jc w:val="center"/>
        <w:rPr>
          <w:rFonts w:hint="eastAsia" w:ascii="宋体" w:hAnsi="宋体" w:eastAsia="宋体" w:cs="宋体"/>
          <w:b/>
          <w:color w:val="auto"/>
          <w:kern w:val="0"/>
          <w:sz w:val="32"/>
          <w:szCs w:val="32"/>
          <w:highlight w:val="none"/>
        </w:rPr>
      </w:pPr>
    </w:p>
    <w:p w14:paraId="4EB64EC6">
      <w:pPr>
        <w:rPr>
          <w:rFonts w:hint="eastAsia" w:ascii="宋体" w:hAnsi="宋体" w:eastAsia="宋体" w:cs="宋体"/>
          <w:color w:val="auto"/>
          <w:highlight w:val="none"/>
        </w:rPr>
      </w:pPr>
    </w:p>
    <w:p w14:paraId="61659DED">
      <w:pPr>
        <w:snapToGrid w:val="0"/>
        <w:spacing w:line="360" w:lineRule="auto"/>
        <w:ind w:right="480"/>
        <w:jc w:val="center"/>
        <w:rPr>
          <w:rFonts w:hint="eastAsia" w:ascii="宋体" w:hAnsi="宋体" w:eastAsia="宋体" w:cs="宋体"/>
          <w:b/>
          <w:color w:val="auto"/>
          <w:kern w:val="0"/>
          <w:sz w:val="32"/>
          <w:szCs w:val="32"/>
          <w:highlight w:val="none"/>
        </w:rPr>
      </w:pPr>
    </w:p>
    <w:p w14:paraId="1FBD49A2">
      <w:pPr>
        <w:snapToGrid w:val="0"/>
        <w:spacing w:line="360" w:lineRule="auto"/>
        <w:ind w:right="480"/>
        <w:jc w:val="center"/>
        <w:rPr>
          <w:rFonts w:hint="eastAsia" w:ascii="宋体" w:hAnsi="宋体" w:eastAsia="宋体" w:cs="宋体"/>
          <w:b/>
          <w:color w:val="auto"/>
          <w:kern w:val="0"/>
          <w:sz w:val="32"/>
          <w:szCs w:val="32"/>
          <w:highlight w:val="none"/>
        </w:rPr>
      </w:pPr>
    </w:p>
    <w:p w14:paraId="6D577BD8">
      <w:pPr>
        <w:snapToGrid w:val="0"/>
        <w:spacing w:line="360" w:lineRule="auto"/>
        <w:ind w:right="480"/>
        <w:jc w:val="center"/>
        <w:rPr>
          <w:rFonts w:hint="eastAsia" w:ascii="宋体" w:hAnsi="宋体" w:eastAsia="宋体" w:cs="宋体"/>
          <w:b/>
          <w:color w:val="auto"/>
          <w:kern w:val="0"/>
          <w:sz w:val="32"/>
          <w:szCs w:val="32"/>
          <w:highlight w:val="none"/>
        </w:rPr>
      </w:pPr>
    </w:p>
    <w:p w14:paraId="708DD78E">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83BC2FB">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二、本项目的特定资格要求</w:t>
      </w:r>
    </w:p>
    <w:p w14:paraId="628EDC20">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eastAsia="zh-CN"/>
        </w:rPr>
        <w:t>交易公告</w:t>
      </w:r>
      <w:r>
        <w:rPr>
          <w:rFonts w:hint="eastAsia" w:ascii="宋体" w:hAnsi="宋体" w:eastAsia="宋体" w:cs="宋体"/>
          <w:color w:val="auto"/>
          <w:sz w:val="24"/>
          <w:highlight w:val="none"/>
        </w:rPr>
        <w:t>本项目的特定资格要求提供相应的材料；未要求的，无需提供）</w:t>
      </w:r>
    </w:p>
    <w:p w14:paraId="222ED160">
      <w:pPr>
        <w:spacing w:line="360" w:lineRule="auto"/>
        <w:jc w:val="center"/>
        <w:rPr>
          <w:rFonts w:hint="eastAsia" w:ascii="宋体" w:hAnsi="宋体" w:eastAsia="宋体" w:cs="宋体"/>
          <w:color w:val="auto"/>
          <w:kern w:val="0"/>
          <w:sz w:val="24"/>
          <w:highlight w:val="none"/>
          <w:lang w:val="zh-CN"/>
        </w:rPr>
      </w:pPr>
    </w:p>
    <w:p w14:paraId="14DE82D0">
      <w:pPr>
        <w:widowControl/>
        <w:spacing w:line="360" w:lineRule="auto"/>
        <w:ind w:left="150"/>
        <w:jc w:val="center"/>
        <w:rPr>
          <w:rFonts w:hint="eastAsia" w:ascii="宋体" w:hAnsi="宋体" w:eastAsia="宋体" w:cs="宋体"/>
          <w:b/>
          <w:color w:val="auto"/>
          <w:kern w:val="0"/>
          <w:sz w:val="32"/>
          <w:szCs w:val="32"/>
          <w:highlight w:val="none"/>
        </w:rPr>
      </w:pPr>
    </w:p>
    <w:p w14:paraId="24A520FC">
      <w:pPr>
        <w:rPr>
          <w:rFonts w:hint="eastAsia" w:ascii="宋体" w:hAnsi="宋体" w:eastAsia="宋体" w:cs="宋体"/>
          <w:color w:val="auto"/>
          <w:highlight w:val="none"/>
        </w:rPr>
      </w:pPr>
    </w:p>
    <w:p w14:paraId="3466B8AF">
      <w:pPr>
        <w:snapToGrid w:val="0"/>
        <w:spacing w:line="360" w:lineRule="auto"/>
        <w:ind w:right="480"/>
        <w:jc w:val="center"/>
        <w:rPr>
          <w:rFonts w:hint="eastAsia" w:ascii="宋体" w:hAnsi="宋体" w:eastAsia="宋体" w:cs="宋体"/>
          <w:b/>
          <w:color w:val="auto"/>
          <w:kern w:val="0"/>
          <w:sz w:val="32"/>
          <w:szCs w:val="32"/>
          <w:highlight w:val="none"/>
        </w:rPr>
      </w:pPr>
    </w:p>
    <w:p w14:paraId="6D791077">
      <w:pPr>
        <w:snapToGrid w:val="0"/>
        <w:spacing w:line="360" w:lineRule="auto"/>
        <w:ind w:right="480"/>
        <w:jc w:val="center"/>
        <w:rPr>
          <w:rFonts w:hint="eastAsia" w:ascii="宋体" w:hAnsi="宋体" w:eastAsia="宋体" w:cs="宋体"/>
          <w:b/>
          <w:color w:val="auto"/>
          <w:kern w:val="0"/>
          <w:sz w:val="32"/>
          <w:szCs w:val="32"/>
          <w:highlight w:val="none"/>
        </w:rPr>
      </w:pPr>
    </w:p>
    <w:p w14:paraId="51CA9E2D">
      <w:pPr>
        <w:snapToGrid w:val="0"/>
        <w:spacing w:line="360" w:lineRule="auto"/>
        <w:ind w:right="480"/>
        <w:jc w:val="center"/>
        <w:rPr>
          <w:rFonts w:hint="eastAsia" w:ascii="宋体" w:hAnsi="宋体" w:eastAsia="宋体" w:cs="宋体"/>
          <w:b/>
          <w:color w:val="auto"/>
          <w:kern w:val="0"/>
          <w:sz w:val="32"/>
          <w:szCs w:val="32"/>
          <w:highlight w:val="none"/>
        </w:rPr>
      </w:pPr>
    </w:p>
    <w:p w14:paraId="3186C2E9">
      <w:pPr>
        <w:snapToGrid w:val="0"/>
        <w:spacing w:line="360" w:lineRule="auto"/>
        <w:ind w:right="480"/>
        <w:jc w:val="center"/>
        <w:rPr>
          <w:rFonts w:hint="eastAsia" w:ascii="宋体" w:hAnsi="宋体" w:eastAsia="宋体" w:cs="宋体"/>
          <w:b/>
          <w:color w:val="auto"/>
          <w:kern w:val="0"/>
          <w:sz w:val="32"/>
          <w:szCs w:val="32"/>
          <w:highlight w:val="none"/>
        </w:rPr>
      </w:pPr>
    </w:p>
    <w:p w14:paraId="2E26B71F">
      <w:pPr>
        <w:snapToGrid w:val="0"/>
        <w:spacing w:line="360" w:lineRule="auto"/>
        <w:ind w:right="480"/>
        <w:jc w:val="center"/>
        <w:rPr>
          <w:rFonts w:hint="eastAsia" w:ascii="宋体" w:hAnsi="宋体" w:eastAsia="宋体" w:cs="宋体"/>
          <w:b/>
          <w:color w:val="auto"/>
          <w:kern w:val="0"/>
          <w:sz w:val="32"/>
          <w:szCs w:val="32"/>
          <w:highlight w:val="none"/>
        </w:rPr>
      </w:pPr>
    </w:p>
    <w:p w14:paraId="616BC88D">
      <w:pPr>
        <w:snapToGrid w:val="0"/>
        <w:spacing w:line="360" w:lineRule="auto"/>
        <w:ind w:right="480"/>
        <w:jc w:val="center"/>
        <w:rPr>
          <w:rFonts w:hint="eastAsia" w:ascii="宋体" w:hAnsi="宋体" w:eastAsia="宋体" w:cs="宋体"/>
          <w:b/>
          <w:color w:val="auto"/>
          <w:kern w:val="0"/>
          <w:sz w:val="32"/>
          <w:szCs w:val="32"/>
          <w:highlight w:val="none"/>
        </w:rPr>
      </w:pPr>
    </w:p>
    <w:p w14:paraId="3C0263E3">
      <w:pPr>
        <w:spacing w:line="360" w:lineRule="auto"/>
        <w:jc w:val="center"/>
        <w:outlineLvl w:val="0"/>
        <w:rPr>
          <w:rFonts w:hint="eastAsia" w:ascii="宋体" w:hAnsi="宋体" w:eastAsia="宋体" w:cs="宋体"/>
          <w:b/>
          <w:color w:val="auto"/>
          <w:kern w:val="0"/>
          <w:sz w:val="36"/>
          <w:szCs w:val="36"/>
          <w:highlight w:val="none"/>
        </w:rPr>
      </w:pPr>
    </w:p>
    <w:p w14:paraId="7A0B6E2F">
      <w:pPr>
        <w:snapToGrid w:val="0"/>
        <w:spacing w:line="360" w:lineRule="auto"/>
        <w:ind w:right="480"/>
        <w:jc w:val="center"/>
        <w:rPr>
          <w:rFonts w:hint="eastAsia" w:ascii="宋体" w:hAnsi="宋体" w:eastAsia="宋体" w:cs="宋体"/>
          <w:b/>
          <w:color w:val="auto"/>
          <w:kern w:val="0"/>
          <w:sz w:val="32"/>
          <w:szCs w:val="32"/>
          <w:highlight w:val="none"/>
        </w:rPr>
      </w:pPr>
    </w:p>
    <w:p w14:paraId="2D9B87E4">
      <w:pPr>
        <w:spacing w:line="360" w:lineRule="auto"/>
        <w:jc w:val="center"/>
        <w:outlineLvl w:val="0"/>
        <w:rPr>
          <w:rFonts w:hint="eastAsia" w:ascii="宋体" w:hAnsi="宋体" w:eastAsia="宋体" w:cs="宋体"/>
          <w:b/>
          <w:color w:val="auto"/>
          <w:kern w:val="0"/>
          <w:sz w:val="36"/>
          <w:szCs w:val="36"/>
          <w:highlight w:val="none"/>
        </w:rPr>
      </w:pPr>
    </w:p>
    <w:p w14:paraId="569932BD">
      <w:pPr>
        <w:snapToGrid w:val="0"/>
        <w:spacing w:line="360" w:lineRule="auto"/>
        <w:ind w:right="480"/>
        <w:jc w:val="center"/>
        <w:rPr>
          <w:rFonts w:hint="eastAsia" w:ascii="宋体" w:hAnsi="宋体" w:eastAsia="宋体" w:cs="宋体"/>
          <w:b/>
          <w:color w:val="auto"/>
          <w:kern w:val="0"/>
          <w:sz w:val="32"/>
          <w:szCs w:val="32"/>
          <w:highlight w:val="none"/>
        </w:rPr>
      </w:pPr>
    </w:p>
    <w:p w14:paraId="57A1B92A">
      <w:pPr>
        <w:spacing w:line="360" w:lineRule="auto"/>
        <w:jc w:val="center"/>
        <w:outlineLvl w:val="0"/>
        <w:rPr>
          <w:rFonts w:hint="eastAsia" w:ascii="宋体" w:hAnsi="宋体" w:eastAsia="宋体" w:cs="宋体"/>
          <w:b/>
          <w:color w:val="auto"/>
          <w:kern w:val="0"/>
          <w:sz w:val="36"/>
          <w:szCs w:val="36"/>
          <w:highlight w:val="none"/>
        </w:rPr>
      </w:pPr>
    </w:p>
    <w:p w14:paraId="125AE0C2">
      <w:pP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3DA18D8B">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51DE3811">
      <w:pPr>
        <w:spacing w:line="360" w:lineRule="auto"/>
        <w:jc w:val="center"/>
        <w:outlineLvl w:val="0"/>
        <w:rPr>
          <w:rFonts w:hint="eastAsia" w:ascii="宋体" w:hAnsi="宋体" w:eastAsia="宋体" w:cs="宋体"/>
          <w:b/>
          <w:color w:val="auto"/>
          <w:kern w:val="0"/>
          <w:sz w:val="24"/>
          <w:highlight w:val="none"/>
        </w:rPr>
      </w:pPr>
    </w:p>
    <w:p w14:paraId="35C9B41B">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w:t>
      </w:r>
      <w:r>
        <w:rPr>
          <w:rFonts w:hint="eastAsia" w:ascii="宋体" w:hAnsi="宋体" w:cs="宋体"/>
          <w:b/>
          <w:color w:val="auto"/>
          <w:kern w:val="0"/>
          <w:sz w:val="28"/>
          <w:szCs w:val="28"/>
          <w:highlight w:val="none"/>
          <w:lang w:val="en-US" w:eastAsia="zh-CN"/>
        </w:rPr>
        <w:t xml:space="preserve">  </w:t>
      </w:r>
      <w:r>
        <w:rPr>
          <w:rFonts w:hint="eastAsia" w:ascii="宋体" w:hAnsi="宋体" w:eastAsia="宋体" w:cs="宋体"/>
          <w:b/>
          <w:color w:val="auto"/>
          <w:kern w:val="0"/>
          <w:sz w:val="28"/>
          <w:szCs w:val="28"/>
          <w:highlight w:val="none"/>
        </w:rPr>
        <w:t>录</w:t>
      </w:r>
    </w:p>
    <w:p w14:paraId="41DA722A">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交易函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14:paraId="107E3CFE">
      <w:p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营业执照</w:t>
      </w:r>
      <w:r>
        <w:rPr>
          <w:rFonts w:hint="eastAsia" w:ascii="宋体" w:hAnsi="宋体" w:eastAsia="宋体" w:cs="宋体"/>
          <w:color w:val="auto"/>
          <w:highlight w:val="none"/>
        </w:rPr>
        <w:t>………………………………………………………………………………（页码）</w:t>
      </w:r>
    </w:p>
    <w:p w14:paraId="21A34CE8">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14:paraId="230FE40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p>
    <w:p w14:paraId="5402803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）商务技术偏离表</w:t>
      </w:r>
      <w:r>
        <w:rPr>
          <w:rFonts w:hint="eastAsia" w:ascii="宋体" w:hAnsi="宋体" w:eastAsia="宋体" w:cs="宋体"/>
          <w:color w:val="auto"/>
          <w:highlight w:val="none"/>
        </w:rPr>
        <w:t>………………………………………………………………………（页码）</w:t>
      </w:r>
    </w:p>
    <w:p w14:paraId="4ACCE90C">
      <w:pPr>
        <w:snapToGrid w:val="0"/>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供应商廉洁自律承诺书</w:t>
      </w:r>
      <w:r>
        <w:rPr>
          <w:rFonts w:hint="eastAsia" w:ascii="宋体" w:hAnsi="宋体" w:eastAsia="宋体" w:cs="宋体"/>
          <w:color w:val="auto"/>
          <w:highlight w:val="none"/>
        </w:rPr>
        <w:t>……………………………………………………………（页码）</w:t>
      </w:r>
    </w:p>
    <w:p w14:paraId="21CEA129">
      <w:pPr>
        <w:snapToGrid w:val="0"/>
        <w:spacing w:line="360" w:lineRule="auto"/>
        <w:jc w:val="center"/>
        <w:rPr>
          <w:rFonts w:hint="eastAsia" w:ascii="宋体" w:hAnsi="宋体" w:eastAsia="宋体" w:cs="宋体"/>
          <w:b/>
          <w:color w:val="auto"/>
          <w:kern w:val="0"/>
          <w:sz w:val="32"/>
          <w:szCs w:val="32"/>
          <w:highlight w:val="none"/>
          <w:lang w:val="zh-CN"/>
        </w:rPr>
      </w:pPr>
    </w:p>
    <w:p w14:paraId="73445C77">
      <w:pPr>
        <w:snapToGrid w:val="0"/>
        <w:spacing w:line="360" w:lineRule="auto"/>
        <w:jc w:val="center"/>
        <w:rPr>
          <w:rFonts w:hint="eastAsia" w:ascii="宋体" w:hAnsi="宋体" w:eastAsia="宋体" w:cs="宋体"/>
          <w:b/>
          <w:color w:val="auto"/>
          <w:kern w:val="0"/>
          <w:sz w:val="32"/>
          <w:szCs w:val="32"/>
          <w:highlight w:val="none"/>
          <w:lang w:val="zh-CN"/>
        </w:rPr>
      </w:pPr>
    </w:p>
    <w:p w14:paraId="544E4549">
      <w:pPr>
        <w:snapToGrid w:val="0"/>
        <w:spacing w:line="360" w:lineRule="auto"/>
        <w:jc w:val="center"/>
        <w:rPr>
          <w:rFonts w:hint="eastAsia" w:ascii="宋体" w:hAnsi="宋体" w:eastAsia="宋体" w:cs="宋体"/>
          <w:b/>
          <w:color w:val="auto"/>
          <w:kern w:val="0"/>
          <w:sz w:val="32"/>
          <w:szCs w:val="32"/>
          <w:highlight w:val="none"/>
          <w:lang w:val="zh-CN"/>
        </w:rPr>
      </w:pPr>
    </w:p>
    <w:p w14:paraId="1CE5B133">
      <w:pPr>
        <w:snapToGrid w:val="0"/>
        <w:spacing w:line="360" w:lineRule="auto"/>
        <w:jc w:val="center"/>
        <w:rPr>
          <w:rFonts w:hint="eastAsia" w:ascii="宋体" w:hAnsi="宋体" w:eastAsia="宋体" w:cs="宋体"/>
          <w:b/>
          <w:color w:val="auto"/>
          <w:kern w:val="0"/>
          <w:sz w:val="32"/>
          <w:szCs w:val="32"/>
          <w:highlight w:val="none"/>
          <w:lang w:val="zh-CN"/>
        </w:rPr>
      </w:pPr>
    </w:p>
    <w:p w14:paraId="29A26B40">
      <w:pPr>
        <w:snapToGrid w:val="0"/>
        <w:spacing w:line="360" w:lineRule="auto"/>
        <w:jc w:val="center"/>
        <w:rPr>
          <w:rFonts w:hint="eastAsia" w:ascii="宋体" w:hAnsi="宋体" w:eastAsia="宋体" w:cs="宋体"/>
          <w:b/>
          <w:color w:val="auto"/>
          <w:kern w:val="0"/>
          <w:sz w:val="32"/>
          <w:szCs w:val="32"/>
          <w:highlight w:val="none"/>
          <w:lang w:val="zh-CN"/>
        </w:rPr>
      </w:pPr>
    </w:p>
    <w:p w14:paraId="52E37CC8">
      <w:pPr>
        <w:snapToGrid w:val="0"/>
        <w:spacing w:line="360" w:lineRule="auto"/>
        <w:jc w:val="center"/>
        <w:outlineLvl w:val="0"/>
        <w:rPr>
          <w:rFonts w:hint="eastAsia" w:ascii="宋体" w:hAnsi="宋体" w:eastAsia="宋体" w:cs="宋体"/>
          <w:b/>
          <w:color w:val="auto"/>
          <w:kern w:val="0"/>
          <w:sz w:val="32"/>
          <w:szCs w:val="32"/>
          <w:highlight w:val="none"/>
        </w:rPr>
      </w:pPr>
    </w:p>
    <w:p w14:paraId="215DAB1F">
      <w:pPr>
        <w:snapToGrid w:val="0"/>
        <w:spacing w:line="360" w:lineRule="auto"/>
        <w:jc w:val="center"/>
        <w:outlineLvl w:val="0"/>
        <w:rPr>
          <w:rFonts w:hint="eastAsia" w:ascii="宋体" w:hAnsi="宋体" w:eastAsia="宋体" w:cs="宋体"/>
          <w:b/>
          <w:color w:val="auto"/>
          <w:kern w:val="0"/>
          <w:sz w:val="32"/>
          <w:szCs w:val="32"/>
          <w:highlight w:val="none"/>
        </w:rPr>
      </w:pPr>
    </w:p>
    <w:p w14:paraId="3EFB1518">
      <w:pPr>
        <w:rPr>
          <w:rFonts w:hint="eastAsia" w:ascii="宋体" w:hAnsi="宋体" w:eastAsia="宋体" w:cs="宋体"/>
          <w:color w:val="auto"/>
          <w:highlight w:val="none"/>
        </w:rPr>
      </w:pPr>
    </w:p>
    <w:p w14:paraId="593961AD">
      <w:pPr>
        <w:snapToGrid w:val="0"/>
        <w:spacing w:line="360" w:lineRule="auto"/>
        <w:jc w:val="center"/>
        <w:outlineLvl w:val="0"/>
        <w:rPr>
          <w:rFonts w:hint="eastAsia" w:ascii="宋体" w:hAnsi="宋体" w:eastAsia="宋体" w:cs="宋体"/>
          <w:b/>
          <w:color w:val="auto"/>
          <w:kern w:val="0"/>
          <w:sz w:val="32"/>
          <w:szCs w:val="32"/>
          <w:highlight w:val="none"/>
        </w:rPr>
      </w:pPr>
    </w:p>
    <w:p w14:paraId="257A4C5B">
      <w:pPr>
        <w:snapToGrid w:val="0"/>
        <w:spacing w:line="360" w:lineRule="auto"/>
        <w:jc w:val="center"/>
        <w:outlineLvl w:val="0"/>
        <w:rPr>
          <w:rFonts w:hint="eastAsia" w:ascii="宋体" w:hAnsi="宋体" w:eastAsia="宋体" w:cs="宋体"/>
          <w:b/>
          <w:color w:val="auto"/>
          <w:kern w:val="0"/>
          <w:sz w:val="32"/>
          <w:szCs w:val="32"/>
          <w:highlight w:val="none"/>
        </w:rPr>
      </w:pPr>
    </w:p>
    <w:p w14:paraId="7F8A2461">
      <w:pPr>
        <w:snapToGrid w:val="0"/>
        <w:spacing w:line="360" w:lineRule="auto"/>
        <w:jc w:val="center"/>
        <w:outlineLvl w:val="0"/>
        <w:rPr>
          <w:rFonts w:hint="eastAsia" w:ascii="宋体" w:hAnsi="宋体" w:eastAsia="宋体" w:cs="宋体"/>
          <w:b/>
          <w:color w:val="auto"/>
          <w:kern w:val="0"/>
          <w:sz w:val="32"/>
          <w:szCs w:val="32"/>
          <w:highlight w:val="none"/>
        </w:rPr>
      </w:pPr>
    </w:p>
    <w:p w14:paraId="3FCC15F6">
      <w:pPr>
        <w:snapToGrid w:val="0"/>
        <w:spacing w:line="360" w:lineRule="auto"/>
        <w:jc w:val="center"/>
        <w:outlineLvl w:val="0"/>
        <w:rPr>
          <w:rFonts w:hint="eastAsia" w:ascii="宋体" w:hAnsi="宋体" w:eastAsia="宋体" w:cs="宋体"/>
          <w:b/>
          <w:color w:val="auto"/>
          <w:kern w:val="0"/>
          <w:sz w:val="32"/>
          <w:szCs w:val="32"/>
          <w:highlight w:val="none"/>
        </w:rPr>
      </w:pPr>
    </w:p>
    <w:p w14:paraId="3D3B6E51">
      <w:pPr>
        <w:snapToGrid w:val="0"/>
        <w:spacing w:line="360" w:lineRule="auto"/>
        <w:jc w:val="center"/>
        <w:outlineLvl w:val="0"/>
        <w:rPr>
          <w:rFonts w:hint="eastAsia" w:ascii="宋体" w:hAnsi="宋体" w:eastAsia="宋体" w:cs="宋体"/>
          <w:b/>
          <w:color w:val="auto"/>
          <w:kern w:val="0"/>
          <w:sz w:val="32"/>
          <w:szCs w:val="32"/>
          <w:highlight w:val="none"/>
        </w:rPr>
      </w:pPr>
    </w:p>
    <w:p w14:paraId="0DA9D81C">
      <w:pPr>
        <w:snapToGrid w:val="0"/>
        <w:spacing w:line="360" w:lineRule="auto"/>
        <w:jc w:val="center"/>
        <w:outlineLvl w:val="0"/>
        <w:rPr>
          <w:rFonts w:hint="eastAsia" w:ascii="宋体" w:hAnsi="宋体" w:eastAsia="宋体" w:cs="宋体"/>
          <w:b/>
          <w:color w:val="auto"/>
          <w:kern w:val="0"/>
          <w:sz w:val="32"/>
          <w:szCs w:val="32"/>
          <w:highlight w:val="none"/>
        </w:rPr>
      </w:pPr>
    </w:p>
    <w:p w14:paraId="64784CAC">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03DA780D">
      <w:pPr>
        <w:snapToGrid w:val="0"/>
        <w:spacing w:line="360" w:lineRule="auto"/>
        <w:jc w:val="center"/>
        <w:outlineLvl w:val="0"/>
        <w:rPr>
          <w:rFonts w:hint="eastAsia" w:ascii="宋体" w:hAnsi="宋体" w:eastAsia="宋体" w:cs="宋体"/>
          <w:b/>
          <w:color w:val="auto"/>
          <w:sz w:val="32"/>
          <w:szCs w:val="32"/>
          <w:highlight w:val="none"/>
          <w:lang w:eastAsia="zh-CN"/>
        </w:rPr>
      </w:pPr>
      <w:r>
        <w:rPr>
          <w:rFonts w:hint="eastAsia" w:ascii="宋体" w:hAnsi="宋体" w:eastAsia="宋体" w:cs="宋体"/>
          <w:b/>
          <w:color w:val="auto"/>
          <w:kern w:val="0"/>
          <w:sz w:val="32"/>
          <w:szCs w:val="32"/>
          <w:highlight w:val="none"/>
        </w:rPr>
        <w:t>一、</w:t>
      </w:r>
      <w:r>
        <w:rPr>
          <w:rFonts w:hint="eastAsia" w:ascii="宋体" w:hAnsi="宋体" w:eastAsia="宋体" w:cs="宋体"/>
          <w:b/>
          <w:color w:val="auto"/>
          <w:kern w:val="0"/>
          <w:sz w:val="32"/>
          <w:szCs w:val="32"/>
          <w:highlight w:val="none"/>
          <w:lang w:eastAsia="zh-CN"/>
        </w:rPr>
        <w:t>交易函</w:t>
      </w:r>
    </w:p>
    <w:p w14:paraId="3C4CB5C1">
      <w:pPr>
        <w:snapToGrid w:val="0"/>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交易人</w:t>
      </w:r>
      <w:r>
        <w:rPr>
          <w:rFonts w:hint="eastAsia" w:ascii="宋体" w:hAnsi="宋体" w:eastAsia="宋体" w:cs="宋体"/>
          <w:color w:val="auto"/>
          <w:sz w:val="24"/>
          <w:highlight w:val="none"/>
          <w:u w:val="single"/>
        </w:rPr>
        <w:t>）、（采购代理机构）：</w:t>
      </w:r>
    </w:p>
    <w:p w14:paraId="5F7A8A0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u w:val="single"/>
          <w:lang w:eastAsia="zh-CN"/>
        </w:rPr>
        <w:t>交易编号</w:t>
      </w:r>
      <w:r>
        <w:rPr>
          <w:rFonts w:hint="eastAsia" w:ascii="宋体" w:hAnsi="宋体" w:eastAsia="宋体" w:cs="宋体"/>
          <w:color w:val="auto"/>
          <w:sz w:val="24"/>
          <w:highlight w:val="none"/>
          <w:u w:val="single"/>
        </w:rPr>
        <w:t>：（采购编号）】</w:t>
      </w:r>
      <w:r>
        <w:rPr>
          <w:rFonts w:hint="eastAsia" w:ascii="宋体" w:hAnsi="宋体" w:cs="宋体"/>
          <w:color w:val="auto"/>
          <w:sz w:val="24"/>
          <w:highlight w:val="none"/>
          <w:u w:val="single"/>
          <w:lang w:val="en-US" w:eastAsia="zh-CN"/>
        </w:rPr>
        <w:t>交易</w:t>
      </w:r>
      <w:r>
        <w:rPr>
          <w:rFonts w:hint="eastAsia" w:ascii="宋体" w:hAnsi="宋体" w:eastAsia="宋体" w:cs="宋体"/>
          <w:color w:val="auto"/>
          <w:sz w:val="24"/>
          <w:highlight w:val="none"/>
        </w:rPr>
        <w:t>的有关活动，并对此项目进行</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。为此：</w:t>
      </w:r>
    </w:p>
    <w:p w14:paraId="323F9DE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w:t>
      </w:r>
      <w:r>
        <w:rPr>
          <w:rFonts w:hint="eastAsia" w:ascii="宋体" w:hAnsi="宋体" w:eastAsia="宋体" w:cs="宋体"/>
          <w:color w:val="auto"/>
          <w:sz w:val="24"/>
          <w:highlight w:val="none"/>
          <w:lang w:eastAsia="zh-CN"/>
        </w:rPr>
        <w:t>交易有效期</w:t>
      </w:r>
      <w:r>
        <w:rPr>
          <w:rFonts w:hint="eastAsia" w:ascii="宋体" w:hAnsi="宋体" w:eastAsia="宋体" w:cs="宋体"/>
          <w:color w:val="auto"/>
          <w:sz w:val="24"/>
          <w:highlight w:val="none"/>
        </w:rPr>
        <w:t>从提交</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在</w:t>
      </w:r>
      <w:r>
        <w:rPr>
          <w:rFonts w:hint="eastAsia" w:ascii="宋体" w:hAnsi="宋体" w:eastAsia="宋体" w:cs="宋体"/>
          <w:color w:val="auto"/>
          <w:sz w:val="24"/>
          <w:highlight w:val="none"/>
          <w:lang w:eastAsia="zh-CN"/>
        </w:rPr>
        <w:t>交易有效期</w:t>
      </w:r>
      <w:r>
        <w:rPr>
          <w:rFonts w:hint="eastAsia" w:ascii="宋体" w:hAnsi="宋体" w:eastAsia="宋体" w:cs="宋体"/>
          <w:color w:val="auto"/>
          <w:sz w:val="24"/>
          <w:highlight w:val="none"/>
        </w:rPr>
        <w:t>满之前均具有约束力。</w:t>
      </w:r>
    </w:p>
    <w:p w14:paraId="0D731A2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包括以下内容：</w:t>
      </w:r>
    </w:p>
    <w:p w14:paraId="54CF1D3C">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60FB43EC">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000E0B7B">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2.1.2本项目的特定资格要求（如果有）。</w:t>
      </w:r>
    </w:p>
    <w:p w14:paraId="4A86961D">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769436C4">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2.2.1</w:t>
      </w:r>
      <w:r>
        <w:rPr>
          <w:rFonts w:hint="eastAsia" w:ascii="宋体" w:hAnsi="宋体" w:eastAsia="宋体" w:cs="宋体"/>
          <w:color w:val="auto"/>
          <w:sz w:val="24"/>
          <w:highlight w:val="none"/>
          <w:lang w:eastAsia="zh-CN"/>
        </w:rPr>
        <w:t>交易函</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 xml:space="preserve"> </w:t>
      </w:r>
    </w:p>
    <w:p w14:paraId="39F79F07">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02247309">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2.2.3符合性审查资料；</w:t>
      </w:r>
    </w:p>
    <w:p w14:paraId="5F763EDF">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z w:val="24"/>
          <w:highlight w:val="none"/>
        </w:rPr>
        <w:t>2.2.4评标标准相应的商务技术资料；</w:t>
      </w:r>
    </w:p>
    <w:p w14:paraId="4521A873">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2.2.5</w:t>
      </w:r>
      <w:r>
        <w:rPr>
          <w:rFonts w:hint="eastAsia" w:ascii="宋体" w:hAnsi="宋体" w:eastAsia="宋体" w:cs="宋体"/>
          <w:color w:val="auto"/>
          <w:sz w:val="24"/>
          <w:highlight w:val="none"/>
          <w:lang w:eastAsia="zh-CN"/>
        </w:rPr>
        <w:t>响应标的清单</w:t>
      </w:r>
      <w:r>
        <w:rPr>
          <w:rFonts w:hint="eastAsia" w:ascii="宋体" w:hAnsi="宋体" w:eastAsia="宋体" w:cs="宋体"/>
          <w:color w:val="auto"/>
          <w:sz w:val="24"/>
          <w:highlight w:val="none"/>
        </w:rPr>
        <w:t>；</w:t>
      </w:r>
    </w:p>
    <w:p w14:paraId="6EE3DE99">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2.2.6商务技术偏离表；</w:t>
      </w:r>
    </w:p>
    <w:p w14:paraId="378303DC">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2.2.7</w:t>
      </w:r>
      <w:r>
        <w:rPr>
          <w:rFonts w:hint="eastAsia" w:ascii="宋体" w:hAnsi="宋体" w:eastAsia="宋体" w:cs="宋体"/>
          <w:color w:val="auto"/>
          <w:sz w:val="24"/>
          <w:highlight w:val="none"/>
          <w:lang w:val="zh-CN"/>
        </w:rPr>
        <w:t>供应商廉洁自律承诺书</w:t>
      </w:r>
    </w:p>
    <w:p w14:paraId="743031F5">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7F7343A5">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2.3.1</w:t>
      </w:r>
      <w:r>
        <w:rPr>
          <w:rFonts w:hint="eastAsia" w:ascii="宋体" w:hAnsi="宋体" w:eastAsia="宋体" w:cs="宋体"/>
          <w:color w:val="auto"/>
          <w:sz w:val="24"/>
          <w:highlight w:val="none"/>
          <w:lang w:eastAsia="zh-CN"/>
        </w:rPr>
        <w:t>交易一览表</w:t>
      </w:r>
      <w:r>
        <w:rPr>
          <w:rFonts w:hint="eastAsia" w:ascii="宋体" w:hAnsi="宋体" w:eastAsia="宋体" w:cs="宋体"/>
          <w:color w:val="auto"/>
          <w:sz w:val="24"/>
          <w:highlight w:val="none"/>
        </w:rPr>
        <w:t>（报价表）；</w:t>
      </w:r>
    </w:p>
    <w:p w14:paraId="17611FB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的全部要求。</w:t>
      </w:r>
    </w:p>
    <w:p w14:paraId="5B1D2F6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，我方承诺：</w:t>
      </w:r>
    </w:p>
    <w:p w14:paraId="43746C12">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4.1在收到</w:t>
      </w:r>
      <w:r>
        <w:rPr>
          <w:rFonts w:hint="eastAsia" w:ascii="宋体" w:hAnsi="宋体" w:eastAsia="宋体" w:cs="宋体"/>
          <w:color w:val="auto"/>
          <w:sz w:val="24"/>
          <w:highlight w:val="none"/>
          <w:lang w:eastAsia="zh-CN"/>
        </w:rPr>
        <w:t>成交通知</w:t>
      </w:r>
      <w:r>
        <w:rPr>
          <w:rFonts w:hint="eastAsia" w:ascii="宋体" w:hAnsi="宋体" w:eastAsia="宋体" w:cs="宋体"/>
          <w:color w:val="auto"/>
          <w:sz w:val="24"/>
          <w:highlight w:val="none"/>
        </w:rPr>
        <w:t>书后，在</w:t>
      </w:r>
      <w:r>
        <w:rPr>
          <w:rFonts w:hint="eastAsia" w:ascii="宋体" w:hAnsi="宋体" w:eastAsia="宋体" w:cs="宋体"/>
          <w:color w:val="auto"/>
          <w:sz w:val="24"/>
          <w:highlight w:val="none"/>
          <w:lang w:eastAsia="zh-CN"/>
        </w:rPr>
        <w:t>成交通知</w:t>
      </w:r>
      <w:r>
        <w:rPr>
          <w:rFonts w:hint="eastAsia" w:ascii="宋体" w:hAnsi="宋体" w:eastAsia="宋体" w:cs="宋体"/>
          <w:color w:val="auto"/>
          <w:sz w:val="24"/>
          <w:highlight w:val="none"/>
        </w:rPr>
        <w:t xml:space="preserve">书规定的期限内与你方签订合同； </w:t>
      </w:r>
    </w:p>
    <w:p w14:paraId="4A96BA71">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5CF1E0DA">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4.3按照</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 xml:space="preserve">要求提交履约保证金； </w:t>
      </w:r>
    </w:p>
    <w:p w14:paraId="0941EAAB">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551C8CE9">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8C75036">
      <w:pPr>
        <w:keepNext w:val="0"/>
        <w:keepLines w:val="0"/>
        <w:pageBreakBefore w:val="0"/>
        <w:widowControl w:val="0"/>
        <w:kinsoku/>
        <w:wordWrap/>
        <w:overflowPunct/>
        <w:topLinePunct w:val="0"/>
        <w:autoSpaceDE/>
        <w:autoSpaceDN/>
        <w:bidi w:val="0"/>
        <w:adjustRightInd w:val="0"/>
        <w:spacing w:line="440" w:lineRule="exact"/>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 xml:space="preserve">名称（电子签名）：                          </w:t>
      </w:r>
    </w:p>
    <w:p w14:paraId="16315896">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宋体" w:hAnsi="宋体" w:eastAsia="宋体" w:cs="宋体"/>
          <w:color w:val="auto"/>
          <w:kern w:val="0"/>
          <w:sz w:val="24"/>
          <w:highlight w:val="none"/>
          <w:u w:val="single"/>
        </w:rPr>
      </w:pPr>
      <w:r>
        <w:rPr>
          <w:rFonts w:hint="eastAsia" w:ascii="宋体" w:hAnsi="宋体" w:eastAsia="宋体" w:cs="宋体"/>
          <w:color w:val="auto"/>
          <w:sz w:val="24"/>
          <w:highlight w:val="none"/>
        </w:rPr>
        <w:t xml:space="preserve">     日期：  年   月   日</w:t>
      </w:r>
    </w:p>
    <w:p w14:paraId="414DB4FD">
      <w:pPr>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55350775">
      <w:pPr>
        <w:pStyle w:val="23"/>
        <w:rPr>
          <w:rFonts w:hint="eastAsia" w:ascii="宋体" w:hAnsi="宋体" w:eastAsia="宋体" w:cs="宋体"/>
          <w:color w:val="auto"/>
          <w:highlight w:val="none"/>
        </w:rPr>
      </w:pPr>
    </w:p>
    <w:p w14:paraId="1F148D96">
      <w:pPr>
        <w:jc w:val="center"/>
        <w:rPr>
          <w:rFonts w:hint="eastAsia" w:ascii="宋体" w:hAnsi="宋体" w:eastAsia="宋体" w:cs="宋体"/>
          <w:b/>
          <w:color w:val="auto"/>
          <w:kern w:val="0"/>
          <w:sz w:val="32"/>
          <w:szCs w:val="32"/>
          <w:highlight w:val="none"/>
          <w:lang w:val="zh-CN"/>
        </w:rPr>
      </w:pPr>
    </w:p>
    <w:p w14:paraId="2651F75B">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59EA84F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01B0CEA7">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w:t>
      </w:r>
      <w:r>
        <w:rPr>
          <w:rFonts w:hint="eastAsia" w:ascii="宋体" w:hAnsi="宋体" w:eastAsia="宋体" w:cs="宋体"/>
          <w:color w:val="auto"/>
          <w:highlight w:val="none"/>
        </w:rPr>
        <w:t xml:space="preserve">                               </w:t>
      </w:r>
    </w:p>
    <w:p w14:paraId="6C00266C">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交易人</w:t>
      </w:r>
      <w:r>
        <w:rPr>
          <w:rFonts w:hint="eastAsia" w:ascii="宋体" w:hAnsi="宋体" w:eastAsia="宋体" w:cs="宋体"/>
          <w:color w:val="auto"/>
          <w:sz w:val="24"/>
          <w:highlight w:val="none"/>
          <w:u w:val="single"/>
        </w:rPr>
        <w:t>）、（采购代理机构）</w:t>
      </w:r>
      <w:r>
        <w:rPr>
          <w:rFonts w:hint="eastAsia" w:ascii="宋体" w:hAnsi="宋体" w:eastAsia="宋体" w:cs="宋体"/>
          <w:color w:val="auto"/>
          <w:kern w:val="0"/>
          <w:sz w:val="24"/>
          <w:highlight w:val="none"/>
          <w:lang w:val="zh-CN"/>
        </w:rPr>
        <w:t>：</w:t>
      </w:r>
    </w:p>
    <w:p w14:paraId="14F62D02">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u w:val="single"/>
          <w:lang w:eastAsia="zh-CN"/>
        </w:rPr>
        <w:t>交易编号</w:t>
      </w:r>
      <w:r>
        <w:rPr>
          <w:rFonts w:hint="eastAsia" w:ascii="宋体" w:hAnsi="宋体" w:eastAsia="宋体" w:cs="宋体"/>
          <w:color w:val="auto"/>
          <w:sz w:val="24"/>
          <w:highlight w:val="none"/>
          <w:u w:val="single"/>
        </w:rPr>
        <w:t>：（采购编号）】</w:t>
      </w:r>
      <w:r>
        <w:rPr>
          <w:rFonts w:hint="eastAsia" w:ascii="宋体" w:hAnsi="宋体" w:eastAsia="宋体" w:cs="宋体"/>
          <w:color w:val="auto"/>
          <w:kern w:val="0"/>
          <w:sz w:val="24"/>
          <w:highlight w:val="none"/>
          <w:lang w:val="zh-CN"/>
        </w:rPr>
        <w:t>采购</w:t>
      </w:r>
      <w:r>
        <w:rPr>
          <w:rFonts w:hint="eastAsia" w:ascii="宋体" w:hAnsi="宋体" w:cs="宋体"/>
          <w:color w:val="auto"/>
          <w:kern w:val="0"/>
          <w:sz w:val="24"/>
          <w:highlight w:val="none"/>
          <w:lang w:val="en-US" w:eastAsia="zh-CN"/>
        </w:rPr>
        <w:t>交易</w:t>
      </w:r>
      <w:r>
        <w:rPr>
          <w:rFonts w:hint="eastAsia" w:ascii="宋体" w:hAnsi="宋体" w:eastAsia="宋体" w:cs="宋体"/>
          <w:color w:val="auto"/>
          <w:kern w:val="0"/>
          <w:sz w:val="24"/>
          <w:highlight w:val="none"/>
          <w:lang w:val="zh-CN"/>
        </w:rPr>
        <w:t>的一切事项，其法律后果由我方承担。</w:t>
      </w:r>
    </w:p>
    <w:p w14:paraId="2C0F5DCA">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36560AC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035A507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供应商名称(电子签名)：</w:t>
      </w:r>
    </w:p>
    <w:p w14:paraId="363609CA">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40D9FD44">
      <w:pPr>
        <w:snapToGrid w:val="0"/>
        <w:spacing w:line="360" w:lineRule="auto"/>
        <w:rPr>
          <w:rFonts w:hint="eastAsia" w:ascii="宋体" w:hAnsi="宋体" w:eastAsia="宋体" w:cs="宋体"/>
          <w:color w:val="auto"/>
          <w:sz w:val="24"/>
          <w:highlight w:val="none"/>
        </w:rPr>
      </w:pPr>
    </w:p>
    <w:p w14:paraId="75384E0B">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32"/>
          <w:szCs w:val="32"/>
          <w:highlight w:val="none"/>
          <w:lang w:val="zh-CN"/>
        </w:rPr>
        <w:t xml:space="preserve">    </w:t>
      </w:r>
    </w:p>
    <w:p w14:paraId="03166B89">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w:t>
      </w:r>
      <w:r>
        <w:rPr>
          <w:rFonts w:hint="eastAsia" w:ascii="宋体" w:hAnsi="宋体" w:eastAsia="宋体" w:cs="宋体"/>
          <w:b/>
          <w:color w:val="auto"/>
          <w:sz w:val="30"/>
          <w:szCs w:val="30"/>
          <w:highlight w:val="none"/>
          <w:lang w:eastAsia="zh-CN"/>
        </w:rPr>
        <w:t>供应商</w:t>
      </w:r>
      <w:r>
        <w:rPr>
          <w:rFonts w:hint="eastAsia" w:ascii="宋体" w:hAnsi="宋体" w:eastAsia="宋体" w:cs="宋体"/>
          <w:b/>
          <w:color w:val="auto"/>
          <w:sz w:val="30"/>
          <w:szCs w:val="30"/>
          <w:highlight w:val="none"/>
        </w:rPr>
        <w:t>参加</w:t>
      </w:r>
      <w:r>
        <w:rPr>
          <w:rFonts w:hint="eastAsia" w:ascii="宋体" w:hAnsi="宋体" w:cs="宋体"/>
          <w:b/>
          <w:color w:val="auto"/>
          <w:sz w:val="30"/>
          <w:szCs w:val="30"/>
          <w:highlight w:val="none"/>
          <w:lang w:val="en-US" w:eastAsia="zh-CN"/>
        </w:rPr>
        <w:t>交易</w:t>
      </w:r>
      <w:r>
        <w:rPr>
          <w:rFonts w:hint="eastAsia" w:ascii="宋体" w:hAnsi="宋体" w:eastAsia="宋体" w:cs="宋体"/>
          <w:b/>
          <w:color w:val="auto"/>
          <w:sz w:val="30"/>
          <w:szCs w:val="30"/>
          <w:highlight w:val="none"/>
        </w:rPr>
        <w:t>）</w:t>
      </w:r>
    </w:p>
    <w:p w14:paraId="27D20B6C">
      <w:pPr>
        <w:pStyle w:val="15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7B29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5ED5B081">
            <w:pPr>
              <w:pStyle w:val="150"/>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4A7FE661">
            <w:pPr>
              <w:pStyle w:val="150"/>
              <w:adjustRightInd w:val="0"/>
              <w:spacing w:line="360" w:lineRule="auto"/>
              <w:rPr>
                <w:rFonts w:hint="eastAsia" w:ascii="宋体" w:hAnsi="宋体" w:eastAsia="宋体" w:cs="宋体"/>
                <w:bCs/>
                <w:color w:val="auto"/>
                <w:sz w:val="24"/>
                <w:highlight w:val="none"/>
              </w:rPr>
            </w:pPr>
          </w:p>
        </w:tc>
      </w:tr>
    </w:tbl>
    <w:p w14:paraId="4C5C2985">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75A83D57">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供应商名称(电子签名)：                              </w:t>
      </w:r>
    </w:p>
    <w:p w14:paraId="3909B907">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0C4D9DF8">
      <w:pPr>
        <w:jc w:val="center"/>
        <w:rPr>
          <w:rFonts w:hint="eastAsia" w:ascii="宋体" w:hAnsi="宋体" w:eastAsia="宋体" w:cs="宋体"/>
          <w:b/>
          <w:color w:val="auto"/>
          <w:kern w:val="0"/>
          <w:sz w:val="32"/>
          <w:szCs w:val="32"/>
          <w:highlight w:val="none"/>
          <w:lang w:eastAsia="zh-CN"/>
        </w:rPr>
      </w:pPr>
    </w:p>
    <w:p w14:paraId="605421AA">
      <w:pPr>
        <w:jc w:val="cente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三、营业执照</w:t>
      </w:r>
    </w:p>
    <w:p w14:paraId="65538D12">
      <w:pPr>
        <w:jc w:val="center"/>
        <w:rPr>
          <w:rFonts w:hint="eastAsia" w:ascii="宋体" w:hAnsi="宋体" w:eastAsia="宋体" w:cs="宋体"/>
          <w:b/>
          <w:color w:val="auto"/>
          <w:kern w:val="0"/>
          <w:sz w:val="32"/>
          <w:szCs w:val="32"/>
          <w:highlight w:val="none"/>
          <w:lang w:eastAsia="zh-CN"/>
        </w:rPr>
      </w:pP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BE43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13A69EA3">
            <w:pPr>
              <w:pStyle w:val="150"/>
              <w:adjustRightInd w:val="0"/>
              <w:spacing w:line="360" w:lineRule="auto"/>
              <w:rPr>
                <w:rFonts w:hint="eastAsia" w:ascii="宋体" w:hAnsi="宋体" w:eastAsia="宋体" w:cs="宋体"/>
                <w:bCs/>
                <w:color w:val="auto"/>
                <w:sz w:val="24"/>
                <w:highlight w:val="none"/>
              </w:rPr>
            </w:pPr>
          </w:p>
        </w:tc>
      </w:tr>
    </w:tbl>
    <w:p w14:paraId="3FF6BEF4">
      <w:pPr>
        <w:snapToGrid w:val="0"/>
        <w:spacing w:line="360" w:lineRule="auto"/>
        <w:ind w:firstLine="576"/>
        <w:jc w:val="center"/>
        <w:rPr>
          <w:rFonts w:hint="eastAsia" w:ascii="宋体" w:hAnsi="宋体" w:eastAsia="宋体" w:cs="宋体"/>
          <w:color w:val="auto"/>
          <w:kern w:val="0"/>
          <w:sz w:val="24"/>
          <w:highlight w:val="none"/>
          <w:lang w:val="zh-CN"/>
        </w:rPr>
      </w:pPr>
    </w:p>
    <w:p w14:paraId="4B62B0A5">
      <w:pPr>
        <w:snapToGrid w:val="0"/>
        <w:spacing w:line="360" w:lineRule="auto"/>
        <w:ind w:firstLine="576"/>
        <w:jc w:val="center"/>
        <w:rPr>
          <w:rFonts w:hint="eastAsia" w:ascii="宋体" w:hAnsi="宋体" w:eastAsia="宋体" w:cs="宋体"/>
          <w:color w:val="auto"/>
          <w:kern w:val="0"/>
          <w:sz w:val="24"/>
          <w:highlight w:val="none"/>
          <w:lang w:val="zh-CN"/>
        </w:rPr>
      </w:pPr>
    </w:p>
    <w:p w14:paraId="763C7B71">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供应商名称(电子签名)：                              </w:t>
      </w:r>
    </w:p>
    <w:p w14:paraId="7D0B54F5">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240828C0">
      <w:pPr>
        <w:jc w:val="center"/>
        <w:rPr>
          <w:rFonts w:hint="eastAsia" w:ascii="宋体" w:hAnsi="宋体" w:eastAsia="宋体" w:cs="宋体"/>
          <w:b/>
          <w:color w:val="auto"/>
          <w:kern w:val="0"/>
          <w:sz w:val="32"/>
          <w:szCs w:val="32"/>
          <w:highlight w:val="none"/>
          <w:lang w:eastAsia="zh-CN"/>
        </w:rPr>
      </w:pPr>
    </w:p>
    <w:p w14:paraId="2453E27E">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eastAsia="zh-CN"/>
        </w:rPr>
        <w:t>四</w:t>
      </w:r>
      <w:r>
        <w:rPr>
          <w:rFonts w:hint="eastAsia" w:ascii="宋体" w:hAnsi="宋体" w:eastAsia="宋体" w:cs="宋体"/>
          <w:b/>
          <w:color w:val="auto"/>
          <w:kern w:val="0"/>
          <w:sz w:val="32"/>
          <w:szCs w:val="32"/>
          <w:highlight w:val="none"/>
        </w:rPr>
        <w:t>、符合性审查资料</w:t>
      </w:r>
    </w:p>
    <w:p w14:paraId="7D404024">
      <w:pPr>
        <w:jc w:val="center"/>
        <w:rPr>
          <w:rFonts w:hint="eastAsia" w:ascii="宋体" w:hAnsi="宋体" w:eastAsia="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5C444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D83EAAA">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3976" w:type="dxa"/>
            <w:vAlign w:val="center"/>
          </w:tcPr>
          <w:p w14:paraId="0011385F">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3566" w:type="dxa"/>
            <w:vAlign w:val="center"/>
          </w:tcPr>
          <w:p w14:paraId="35A4859D">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78AA5BEB">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中的</w:t>
            </w:r>
          </w:p>
          <w:p w14:paraId="673BB039">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63685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1F3A09C">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976" w:type="dxa"/>
            <w:vAlign w:val="center"/>
          </w:tcPr>
          <w:p w14:paraId="0CF600FF">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按照</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要求签署、盖章。</w:t>
            </w:r>
          </w:p>
        </w:tc>
        <w:tc>
          <w:tcPr>
            <w:tcW w:w="3566" w:type="dxa"/>
            <w:vAlign w:val="center"/>
          </w:tcPr>
          <w:p w14:paraId="642BA768">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的组成部分</w:t>
            </w:r>
          </w:p>
        </w:tc>
        <w:tc>
          <w:tcPr>
            <w:tcW w:w="1418" w:type="dxa"/>
            <w:vAlign w:val="center"/>
          </w:tcPr>
          <w:p w14:paraId="6922075F">
            <w:pPr>
              <w:jc w:val="center"/>
              <w:rPr>
                <w:rFonts w:hint="eastAsia" w:ascii="宋体" w:hAnsi="宋体" w:eastAsia="宋体" w:cs="宋体"/>
                <w:color w:val="auto"/>
                <w:sz w:val="24"/>
                <w:highlight w:val="none"/>
              </w:rPr>
            </w:pPr>
          </w:p>
          <w:p w14:paraId="2E2410E2">
            <w:pPr>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见</w:t>
            </w:r>
            <w:r>
              <w:rPr>
                <w:rFonts w:hint="eastAsia" w:ascii="宋体" w:hAnsi="宋体" w:eastAsia="宋体" w:cs="宋体"/>
                <w:color w:val="auto"/>
                <w:sz w:val="24"/>
                <w:highlight w:val="none"/>
                <w:lang w:eastAsia="zh-CN"/>
              </w:rPr>
              <w:t>响应文件</w:t>
            </w:r>
          </w:p>
          <w:p w14:paraId="7604792D">
            <w:pPr>
              <w:jc w:val="cente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29E71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56EF9F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3976" w:type="dxa"/>
            <w:vAlign w:val="center"/>
          </w:tcPr>
          <w:p w14:paraId="2D960CD0">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中承诺的</w:t>
            </w:r>
            <w:r>
              <w:rPr>
                <w:rFonts w:hint="eastAsia" w:ascii="宋体" w:hAnsi="宋体" w:eastAsia="宋体" w:cs="宋体"/>
                <w:color w:val="auto"/>
                <w:sz w:val="24"/>
                <w:highlight w:val="none"/>
                <w:lang w:eastAsia="zh-CN"/>
              </w:rPr>
              <w:t>交易有效期</w:t>
            </w:r>
            <w:r>
              <w:rPr>
                <w:rFonts w:hint="eastAsia" w:ascii="宋体" w:hAnsi="宋体" w:eastAsia="宋体" w:cs="宋体"/>
                <w:color w:val="auto"/>
                <w:sz w:val="24"/>
                <w:highlight w:val="none"/>
              </w:rPr>
              <w:t>不少于</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中载明的</w:t>
            </w:r>
            <w:r>
              <w:rPr>
                <w:rFonts w:hint="eastAsia" w:ascii="宋体" w:hAnsi="宋体" w:eastAsia="宋体" w:cs="宋体"/>
                <w:color w:val="auto"/>
                <w:sz w:val="24"/>
                <w:highlight w:val="none"/>
                <w:lang w:eastAsia="zh-CN"/>
              </w:rPr>
              <w:t>交易有效期</w:t>
            </w:r>
            <w:r>
              <w:rPr>
                <w:rFonts w:hint="eastAsia" w:ascii="宋体" w:hAnsi="宋体" w:eastAsia="宋体" w:cs="宋体"/>
                <w:color w:val="auto"/>
                <w:sz w:val="24"/>
                <w:highlight w:val="none"/>
              </w:rPr>
              <w:t>。</w:t>
            </w:r>
          </w:p>
        </w:tc>
        <w:tc>
          <w:tcPr>
            <w:tcW w:w="3566" w:type="dxa"/>
            <w:vAlign w:val="center"/>
          </w:tcPr>
          <w:p w14:paraId="2CD6E604">
            <w:pPr>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交易函</w:t>
            </w:r>
          </w:p>
        </w:tc>
        <w:tc>
          <w:tcPr>
            <w:tcW w:w="1418" w:type="dxa"/>
            <w:vAlign w:val="center"/>
          </w:tcPr>
          <w:p w14:paraId="1E86B496">
            <w:pPr>
              <w:jc w:val="center"/>
              <w:rPr>
                <w:rFonts w:hint="eastAsia" w:ascii="宋体" w:hAnsi="宋体" w:eastAsia="宋体" w:cs="宋体"/>
                <w:color w:val="auto"/>
                <w:highlight w:val="none"/>
                <w:lang w:val="en-US"/>
              </w:rPr>
            </w:pPr>
            <w:r>
              <w:rPr>
                <w:rFonts w:hint="eastAsia" w:ascii="宋体" w:hAnsi="宋体" w:eastAsia="宋体" w:cs="宋体"/>
                <w:color w:val="auto"/>
                <w:sz w:val="24"/>
                <w:highlight w:val="none"/>
              </w:rPr>
              <w:t>见</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6B284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E04BBC2">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3976" w:type="dxa"/>
            <w:vAlign w:val="center"/>
          </w:tcPr>
          <w:p w14:paraId="4ADF93F1">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满足</w:t>
            </w:r>
            <w:r>
              <w:rPr>
                <w:rFonts w:hint="eastAsia" w:ascii="宋体" w:hAnsi="宋体" w:eastAsia="宋体" w:cs="宋体"/>
                <w:color w:val="auto"/>
                <w:sz w:val="24"/>
                <w:highlight w:val="none"/>
                <w:lang w:eastAsia="zh-CN"/>
              </w:rPr>
              <w:t>交易文件</w:t>
            </w:r>
            <w:r>
              <w:rPr>
                <w:rFonts w:hint="eastAsia" w:ascii="宋体" w:hAnsi="宋体" w:eastAsia="宋体" w:cs="宋体"/>
                <w:color w:val="auto"/>
                <w:sz w:val="24"/>
                <w:highlight w:val="none"/>
              </w:rPr>
              <w:t>的其它实质性要求。</w:t>
            </w:r>
          </w:p>
        </w:tc>
        <w:tc>
          <w:tcPr>
            <w:tcW w:w="3566" w:type="dxa"/>
            <w:vAlign w:val="center"/>
          </w:tcPr>
          <w:p w14:paraId="14B92DF9">
            <w:pPr>
              <w:jc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其它实质性要求相应的材料（“▲” 系指实质性要求条款，</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无其它实质性要求的，无需提供）</w:t>
            </w:r>
          </w:p>
        </w:tc>
        <w:tc>
          <w:tcPr>
            <w:tcW w:w="1418" w:type="dxa"/>
            <w:vAlign w:val="center"/>
          </w:tcPr>
          <w:p w14:paraId="4CF758A7">
            <w:pPr>
              <w:jc w:val="center"/>
              <w:rPr>
                <w:rFonts w:hint="eastAsia" w:ascii="宋体" w:hAnsi="宋体" w:eastAsia="宋体" w:cs="宋体"/>
                <w:color w:val="auto"/>
                <w:highlight w:val="none"/>
              </w:rPr>
            </w:pPr>
            <w:r>
              <w:rPr>
                <w:rFonts w:hint="eastAsia" w:ascii="宋体" w:hAnsi="宋体" w:eastAsia="宋体" w:cs="宋体"/>
                <w:color w:val="auto"/>
                <w:sz w:val="24"/>
                <w:highlight w:val="none"/>
              </w:rPr>
              <w:t>见</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14:paraId="695D0224">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617EB2DC">
      <w:pPr>
        <w:jc w:val="center"/>
        <w:rPr>
          <w:rFonts w:hint="eastAsia" w:ascii="宋体" w:hAnsi="宋体" w:eastAsia="宋体" w:cs="宋体"/>
          <w:b/>
          <w:color w:val="auto"/>
          <w:kern w:val="0"/>
          <w:sz w:val="32"/>
          <w:szCs w:val="32"/>
          <w:highlight w:val="none"/>
        </w:rPr>
      </w:pPr>
    </w:p>
    <w:p w14:paraId="750FF4EA">
      <w:pPr>
        <w:jc w:val="center"/>
        <w:rPr>
          <w:rFonts w:hint="eastAsia" w:ascii="宋体" w:hAnsi="宋体" w:eastAsia="宋体" w:cs="宋体"/>
          <w:b/>
          <w:color w:val="auto"/>
          <w:kern w:val="0"/>
          <w:sz w:val="32"/>
          <w:szCs w:val="32"/>
          <w:highlight w:val="none"/>
        </w:rPr>
      </w:pPr>
    </w:p>
    <w:p w14:paraId="5781E1B2">
      <w:pPr>
        <w:jc w:val="center"/>
        <w:rPr>
          <w:rFonts w:hint="eastAsia" w:ascii="宋体" w:hAnsi="宋体" w:eastAsia="宋体" w:cs="宋体"/>
          <w:b/>
          <w:color w:val="auto"/>
          <w:kern w:val="0"/>
          <w:sz w:val="32"/>
          <w:szCs w:val="32"/>
          <w:highlight w:val="none"/>
        </w:rPr>
      </w:pPr>
    </w:p>
    <w:p w14:paraId="56F81345">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eastAsia="zh-CN"/>
        </w:rPr>
        <w:t>五</w:t>
      </w:r>
      <w:r>
        <w:rPr>
          <w:rFonts w:hint="eastAsia" w:ascii="宋体" w:hAnsi="宋体" w:eastAsia="宋体" w:cs="宋体"/>
          <w:b/>
          <w:color w:val="auto"/>
          <w:kern w:val="0"/>
          <w:sz w:val="32"/>
          <w:szCs w:val="32"/>
          <w:highlight w:val="none"/>
        </w:rPr>
        <w:t>、评标标准相应的商务技术资料</w:t>
      </w:r>
    </w:p>
    <w:p w14:paraId="7568B4BA">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w:t>
      </w:r>
      <w:r>
        <w:rPr>
          <w:rFonts w:hint="eastAsia" w:ascii="宋体" w:hAnsi="宋体" w:eastAsia="宋体" w:cs="宋体"/>
          <w:b/>
          <w:color w:val="auto"/>
          <w:sz w:val="24"/>
          <w:highlight w:val="none"/>
          <w:lang w:eastAsia="zh-CN"/>
        </w:rPr>
        <w:t>交易文件</w:t>
      </w:r>
      <w:r>
        <w:rPr>
          <w:rFonts w:hint="eastAsia" w:ascii="宋体" w:hAnsi="宋体" w:eastAsia="宋体" w:cs="宋体"/>
          <w:b/>
          <w:color w:val="auto"/>
          <w:sz w:val="24"/>
          <w:highlight w:val="none"/>
        </w:rPr>
        <w:t>第四部分</w:t>
      </w:r>
      <w:r>
        <w:rPr>
          <w:rFonts w:hint="eastAsia" w:ascii="宋体" w:hAnsi="宋体" w:eastAsia="宋体" w:cs="宋体"/>
          <w:b/>
          <w:color w:val="auto"/>
          <w:sz w:val="24"/>
          <w:highlight w:val="none"/>
          <w:lang w:eastAsia="zh-CN"/>
        </w:rPr>
        <w:t>交易办法</w:t>
      </w:r>
      <w:r>
        <w:rPr>
          <w:rFonts w:hint="eastAsia" w:ascii="宋体" w:hAnsi="宋体" w:eastAsia="宋体" w:cs="宋体"/>
          <w:b/>
          <w:color w:val="auto"/>
          <w:sz w:val="24"/>
          <w:highlight w:val="none"/>
        </w:rPr>
        <w:t>前附表中“</w:t>
      </w:r>
      <w:r>
        <w:rPr>
          <w:rFonts w:hint="eastAsia" w:ascii="宋体" w:hAnsi="宋体" w:eastAsia="宋体" w:cs="宋体"/>
          <w:b/>
          <w:color w:val="auto"/>
          <w:sz w:val="24"/>
          <w:highlight w:val="none"/>
          <w:lang w:eastAsia="zh-CN"/>
        </w:rPr>
        <w:t>响应文件</w:t>
      </w:r>
      <w:r>
        <w:rPr>
          <w:rFonts w:hint="eastAsia" w:ascii="宋体" w:hAnsi="宋体" w:eastAsia="宋体" w:cs="宋体"/>
          <w:b/>
          <w:color w:val="auto"/>
          <w:sz w:val="24"/>
          <w:highlight w:val="none"/>
        </w:rPr>
        <w:t>中评标标准相应的商务技术资料目录”提供资料。）</w:t>
      </w:r>
    </w:p>
    <w:p w14:paraId="7F00C0D9">
      <w:pPr>
        <w:jc w:val="center"/>
        <w:rPr>
          <w:rFonts w:hint="eastAsia" w:ascii="宋体" w:hAnsi="宋体" w:eastAsia="宋体" w:cs="宋体"/>
          <w:b/>
          <w:color w:val="auto"/>
          <w:kern w:val="0"/>
          <w:sz w:val="32"/>
          <w:szCs w:val="32"/>
          <w:highlight w:val="none"/>
        </w:rPr>
      </w:pPr>
    </w:p>
    <w:p w14:paraId="438F1586">
      <w:pPr>
        <w:jc w:val="center"/>
        <w:rPr>
          <w:rFonts w:hint="eastAsia" w:ascii="宋体" w:hAnsi="宋体" w:eastAsia="宋体" w:cs="宋体"/>
          <w:b/>
          <w:color w:val="auto"/>
          <w:kern w:val="0"/>
          <w:sz w:val="32"/>
          <w:szCs w:val="32"/>
          <w:highlight w:val="none"/>
        </w:rPr>
      </w:pPr>
    </w:p>
    <w:p w14:paraId="084FA0C5">
      <w:pPr>
        <w:jc w:val="center"/>
        <w:rPr>
          <w:rFonts w:hint="eastAsia" w:ascii="宋体" w:hAnsi="宋体" w:eastAsia="宋体" w:cs="宋体"/>
          <w:b/>
          <w:color w:val="auto"/>
          <w:kern w:val="0"/>
          <w:sz w:val="32"/>
          <w:szCs w:val="32"/>
          <w:highlight w:val="none"/>
        </w:rPr>
      </w:pPr>
    </w:p>
    <w:p w14:paraId="776FF352">
      <w:pPr>
        <w:jc w:val="center"/>
        <w:rPr>
          <w:rFonts w:hint="eastAsia" w:ascii="宋体" w:hAnsi="宋体" w:eastAsia="宋体" w:cs="宋体"/>
          <w:b/>
          <w:color w:val="auto"/>
          <w:kern w:val="0"/>
          <w:sz w:val="32"/>
          <w:szCs w:val="32"/>
          <w:highlight w:val="none"/>
        </w:rPr>
      </w:pPr>
    </w:p>
    <w:p w14:paraId="31012795">
      <w:pPr>
        <w:jc w:val="center"/>
        <w:rPr>
          <w:rFonts w:hint="eastAsia" w:ascii="宋体" w:hAnsi="宋体" w:eastAsia="宋体" w:cs="宋体"/>
          <w:b/>
          <w:color w:val="auto"/>
          <w:kern w:val="0"/>
          <w:sz w:val="32"/>
          <w:szCs w:val="32"/>
          <w:highlight w:val="none"/>
        </w:rPr>
      </w:pPr>
    </w:p>
    <w:p w14:paraId="6A99788C">
      <w:pPr>
        <w:pStyle w:val="24"/>
        <w:rPr>
          <w:rFonts w:hint="eastAsia" w:ascii="宋体" w:hAnsi="宋体" w:eastAsia="宋体" w:cs="宋体"/>
          <w:b/>
          <w:color w:val="auto"/>
          <w:kern w:val="0"/>
          <w:sz w:val="32"/>
          <w:szCs w:val="32"/>
          <w:highlight w:val="none"/>
        </w:rPr>
      </w:pPr>
    </w:p>
    <w:p w14:paraId="49BA1F0F">
      <w:pPr>
        <w:pStyle w:val="25"/>
        <w:rPr>
          <w:rFonts w:hint="eastAsia" w:ascii="宋体" w:hAnsi="宋体" w:eastAsia="宋体" w:cs="宋体"/>
          <w:color w:val="auto"/>
          <w:highlight w:val="none"/>
        </w:rPr>
      </w:pPr>
    </w:p>
    <w:p w14:paraId="549626A8">
      <w:pPr>
        <w:jc w:val="center"/>
        <w:rPr>
          <w:rFonts w:hint="eastAsia" w:ascii="宋体" w:hAnsi="宋体" w:eastAsia="宋体" w:cs="宋体"/>
          <w:b/>
          <w:color w:val="auto"/>
          <w:kern w:val="0"/>
          <w:sz w:val="32"/>
          <w:szCs w:val="32"/>
          <w:highlight w:val="none"/>
        </w:rPr>
      </w:pPr>
    </w:p>
    <w:p w14:paraId="7C110D8C">
      <w:pPr>
        <w:jc w:val="center"/>
        <w:rPr>
          <w:rFonts w:hint="eastAsia" w:ascii="宋体" w:hAnsi="宋体" w:eastAsia="宋体" w:cs="宋体"/>
          <w:b/>
          <w:color w:val="auto"/>
          <w:kern w:val="0"/>
          <w:sz w:val="32"/>
          <w:szCs w:val="32"/>
          <w:highlight w:val="none"/>
        </w:rPr>
      </w:pPr>
    </w:p>
    <w:p w14:paraId="468AF270">
      <w:pPr>
        <w:jc w:val="center"/>
        <w:rPr>
          <w:rFonts w:hint="eastAsia" w:ascii="宋体" w:hAnsi="宋体" w:eastAsia="宋体" w:cs="宋体"/>
          <w:b/>
          <w:color w:val="auto"/>
          <w:kern w:val="0"/>
          <w:sz w:val="32"/>
          <w:szCs w:val="32"/>
          <w:highlight w:val="none"/>
        </w:rPr>
      </w:pPr>
    </w:p>
    <w:p w14:paraId="67A1ED89">
      <w:pPr>
        <w:jc w:val="center"/>
        <w:rPr>
          <w:rFonts w:hint="eastAsia" w:ascii="宋体" w:hAnsi="宋体" w:eastAsia="宋体" w:cs="宋体"/>
          <w:b/>
          <w:color w:val="auto"/>
          <w:kern w:val="0"/>
          <w:sz w:val="32"/>
          <w:szCs w:val="32"/>
          <w:highlight w:val="none"/>
        </w:rPr>
      </w:pPr>
    </w:p>
    <w:p w14:paraId="7FBB56E3">
      <w:pPr>
        <w:spacing w:line="360" w:lineRule="auto"/>
        <w:ind w:right="42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eastAsia="zh-CN"/>
        </w:rPr>
        <w:t>六</w:t>
      </w:r>
      <w:r>
        <w:rPr>
          <w:rFonts w:hint="eastAsia" w:ascii="宋体" w:hAnsi="宋体" w:eastAsia="宋体" w:cs="宋体"/>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6708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02A30A2">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14:paraId="1F33D11C">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交易文件</w:t>
            </w:r>
            <w:r>
              <w:rPr>
                <w:rFonts w:hint="eastAsia" w:ascii="宋体" w:hAnsi="宋体" w:eastAsia="宋体" w:cs="宋体"/>
                <w:b/>
                <w:bCs/>
                <w:color w:val="auto"/>
                <w:sz w:val="24"/>
                <w:highlight w:val="none"/>
              </w:rPr>
              <w:t>章节及具体内容</w:t>
            </w:r>
          </w:p>
        </w:tc>
        <w:tc>
          <w:tcPr>
            <w:tcW w:w="3546" w:type="dxa"/>
          </w:tcPr>
          <w:p w14:paraId="6B05F4F6">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响应文件</w:t>
            </w:r>
            <w:r>
              <w:rPr>
                <w:rFonts w:hint="eastAsia" w:ascii="宋体" w:hAnsi="宋体" w:eastAsia="宋体" w:cs="宋体"/>
                <w:b/>
                <w:bCs/>
                <w:color w:val="auto"/>
                <w:sz w:val="24"/>
                <w:highlight w:val="none"/>
              </w:rPr>
              <w:t>章节及具体内容</w:t>
            </w:r>
          </w:p>
        </w:tc>
        <w:tc>
          <w:tcPr>
            <w:tcW w:w="1276" w:type="dxa"/>
          </w:tcPr>
          <w:p w14:paraId="22B541BC">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7CBE9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5DE89DE">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14:paraId="5908E669">
            <w:pPr>
              <w:jc w:val="center"/>
              <w:rPr>
                <w:rFonts w:hint="eastAsia" w:ascii="宋体" w:hAnsi="宋体" w:eastAsia="宋体" w:cs="宋体"/>
                <w:b/>
                <w:color w:val="auto"/>
                <w:kern w:val="0"/>
                <w:sz w:val="32"/>
                <w:szCs w:val="32"/>
                <w:highlight w:val="none"/>
              </w:rPr>
            </w:pPr>
          </w:p>
        </w:tc>
        <w:tc>
          <w:tcPr>
            <w:tcW w:w="3546" w:type="dxa"/>
          </w:tcPr>
          <w:p w14:paraId="75179EF1">
            <w:pPr>
              <w:jc w:val="center"/>
              <w:rPr>
                <w:rFonts w:hint="eastAsia" w:ascii="宋体" w:hAnsi="宋体" w:eastAsia="宋体" w:cs="宋体"/>
                <w:b/>
                <w:color w:val="auto"/>
                <w:kern w:val="0"/>
                <w:sz w:val="32"/>
                <w:szCs w:val="32"/>
                <w:highlight w:val="none"/>
              </w:rPr>
            </w:pPr>
          </w:p>
        </w:tc>
        <w:tc>
          <w:tcPr>
            <w:tcW w:w="1276" w:type="dxa"/>
          </w:tcPr>
          <w:p w14:paraId="2FAFDBD4">
            <w:pPr>
              <w:jc w:val="center"/>
              <w:rPr>
                <w:rFonts w:hint="eastAsia" w:ascii="宋体" w:hAnsi="宋体" w:eastAsia="宋体" w:cs="宋体"/>
                <w:b/>
                <w:color w:val="auto"/>
                <w:kern w:val="0"/>
                <w:sz w:val="32"/>
                <w:szCs w:val="32"/>
                <w:highlight w:val="none"/>
              </w:rPr>
            </w:pPr>
          </w:p>
        </w:tc>
      </w:tr>
      <w:tr w14:paraId="45D57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2902FE1">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14:paraId="67028A00">
            <w:pPr>
              <w:jc w:val="center"/>
              <w:rPr>
                <w:rFonts w:hint="eastAsia" w:ascii="宋体" w:hAnsi="宋体" w:eastAsia="宋体" w:cs="宋体"/>
                <w:b/>
                <w:color w:val="auto"/>
                <w:kern w:val="0"/>
                <w:sz w:val="32"/>
                <w:szCs w:val="32"/>
                <w:highlight w:val="none"/>
              </w:rPr>
            </w:pPr>
          </w:p>
        </w:tc>
        <w:tc>
          <w:tcPr>
            <w:tcW w:w="3546" w:type="dxa"/>
          </w:tcPr>
          <w:p w14:paraId="37D6C397">
            <w:pPr>
              <w:jc w:val="center"/>
              <w:rPr>
                <w:rFonts w:hint="eastAsia" w:ascii="宋体" w:hAnsi="宋体" w:eastAsia="宋体" w:cs="宋体"/>
                <w:b/>
                <w:color w:val="auto"/>
                <w:kern w:val="0"/>
                <w:sz w:val="32"/>
                <w:szCs w:val="32"/>
                <w:highlight w:val="none"/>
              </w:rPr>
            </w:pPr>
          </w:p>
        </w:tc>
        <w:tc>
          <w:tcPr>
            <w:tcW w:w="1276" w:type="dxa"/>
          </w:tcPr>
          <w:p w14:paraId="0B467B3B">
            <w:pPr>
              <w:jc w:val="center"/>
              <w:rPr>
                <w:rFonts w:hint="eastAsia" w:ascii="宋体" w:hAnsi="宋体" w:eastAsia="宋体" w:cs="宋体"/>
                <w:b/>
                <w:color w:val="auto"/>
                <w:kern w:val="0"/>
                <w:sz w:val="32"/>
                <w:szCs w:val="32"/>
                <w:highlight w:val="none"/>
              </w:rPr>
            </w:pPr>
          </w:p>
        </w:tc>
      </w:tr>
      <w:tr w14:paraId="39B8C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B2A75AF">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14:paraId="00E3C34C">
            <w:pPr>
              <w:jc w:val="center"/>
              <w:rPr>
                <w:rFonts w:hint="eastAsia" w:ascii="宋体" w:hAnsi="宋体" w:eastAsia="宋体" w:cs="宋体"/>
                <w:b/>
                <w:color w:val="auto"/>
                <w:kern w:val="0"/>
                <w:sz w:val="32"/>
                <w:szCs w:val="32"/>
                <w:highlight w:val="none"/>
              </w:rPr>
            </w:pPr>
          </w:p>
        </w:tc>
        <w:tc>
          <w:tcPr>
            <w:tcW w:w="3546" w:type="dxa"/>
          </w:tcPr>
          <w:p w14:paraId="53E34DE6">
            <w:pPr>
              <w:jc w:val="center"/>
              <w:rPr>
                <w:rFonts w:hint="eastAsia" w:ascii="宋体" w:hAnsi="宋体" w:eastAsia="宋体" w:cs="宋体"/>
                <w:b/>
                <w:color w:val="auto"/>
                <w:kern w:val="0"/>
                <w:sz w:val="32"/>
                <w:szCs w:val="32"/>
                <w:highlight w:val="none"/>
              </w:rPr>
            </w:pPr>
          </w:p>
        </w:tc>
        <w:tc>
          <w:tcPr>
            <w:tcW w:w="1276" w:type="dxa"/>
          </w:tcPr>
          <w:p w14:paraId="6C161001">
            <w:pPr>
              <w:jc w:val="center"/>
              <w:rPr>
                <w:rFonts w:hint="eastAsia" w:ascii="宋体" w:hAnsi="宋体" w:eastAsia="宋体" w:cs="宋体"/>
                <w:b/>
                <w:color w:val="auto"/>
                <w:kern w:val="0"/>
                <w:sz w:val="32"/>
                <w:szCs w:val="32"/>
                <w:highlight w:val="none"/>
              </w:rPr>
            </w:pPr>
          </w:p>
        </w:tc>
      </w:tr>
    </w:tbl>
    <w:p w14:paraId="3EEE4556">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保证：除商务技术偏离表列出的偏离外，</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响应</w:t>
      </w:r>
      <w:r>
        <w:rPr>
          <w:rFonts w:hint="eastAsia" w:ascii="宋体" w:hAnsi="宋体" w:eastAsia="宋体" w:cs="宋体"/>
          <w:color w:val="auto"/>
          <w:kern w:val="0"/>
          <w:sz w:val="24"/>
          <w:highlight w:val="none"/>
          <w:lang w:eastAsia="zh-CN"/>
        </w:rPr>
        <w:t>交易文件</w:t>
      </w:r>
      <w:r>
        <w:rPr>
          <w:rFonts w:hint="eastAsia" w:ascii="宋体" w:hAnsi="宋体" w:eastAsia="宋体" w:cs="宋体"/>
          <w:color w:val="auto"/>
          <w:kern w:val="0"/>
          <w:sz w:val="24"/>
          <w:highlight w:val="none"/>
        </w:rPr>
        <w:t>的全部要求</w:t>
      </w:r>
    </w:p>
    <w:p w14:paraId="1CDE184B">
      <w:pPr>
        <w:jc w:val="center"/>
        <w:rPr>
          <w:rFonts w:hint="eastAsia" w:ascii="宋体" w:hAnsi="宋体" w:eastAsia="宋体" w:cs="宋体"/>
          <w:b/>
          <w:color w:val="auto"/>
          <w:kern w:val="0"/>
          <w:sz w:val="32"/>
          <w:szCs w:val="32"/>
          <w:highlight w:val="none"/>
        </w:rPr>
      </w:pPr>
    </w:p>
    <w:p w14:paraId="2CF4B090">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3D1AFFCE">
      <w:pPr>
        <w:jc w:val="center"/>
        <w:rPr>
          <w:rFonts w:hint="eastAsia" w:ascii="宋体" w:hAnsi="宋体" w:eastAsia="宋体" w:cs="宋体"/>
          <w:b/>
          <w:color w:val="auto"/>
          <w:kern w:val="0"/>
          <w:sz w:val="32"/>
          <w:szCs w:val="32"/>
          <w:highlight w:val="none"/>
        </w:rPr>
      </w:pPr>
    </w:p>
    <w:p w14:paraId="76986DB9">
      <w:pPr>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br w:type="page"/>
      </w:r>
    </w:p>
    <w:p w14:paraId="3239A8CC">
      <w:pPr>
        <w:ind w:left="0" w:leftChars="0" w:firstLine="0" w:firstLineChars="0"/>
        <w:jc w:val="center"/>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lang w:eastAsia="zh-CN"/>
        </w:rPr>
        <w:t>七</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供应商廉洁自律承诺书</w:t>
      </w:r>
    </w:p>
    <w:p w14:paraId="2EB9E641">
      <w:pPr>
        <w:snapToGrid w:val="0"/>
        <w:spacing w:line="360" w:lineRule="auto"/>
        <w:rPr>
          <w:rFonts w:hint="eastAsia" w:ascii="宋体" w:hAnsi="宋体" w:eastAsia="宋体" w:cs="宋体"/>
          <w:color w:val="auto"/>
          <w:sz w:val="24"/>
          <w:highlight w:val="none"/>
        </w:rPr>
      </w:pPr>
    </w:p>
    <w:p w14:paraId="46E588AF">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交易人</w:t>
      </w:r>
      <w:r>
        <w:rPr>
          <w:rFonts w:hint="eastAsia" w:ascii="宋体" w:hAnsi="宋体" w:eastAsia="宋体" w:cs="宋体"/>
          <w:color w:val="auto"/>
          <w:sz w:val="24"/>
          <w:highlight w:val="none"/>
          <w:u w:val="single"/>
        </w:rPr>
        <w:t>）、（采购代理机构）</w:t>
      </w:r>
      <w:r>
        <w:rPr>
          <w:rFonts w:hint="eastAsia" w:ascii="宋体" w:hAnsi="宋体" w:eastAsia="宋体" w:cs="宋体"/>
          <w:color w:val="auto"/>
          <w:kern w:val="0"/>
          <w:sz w:val="24"/>
          <w:highlight w:val="none"/>
          <w:lang w:val="zh-CN"/>
        </w:rPr>
        <w:t>：</w:t>
      </w:r>
    </w:p>
    <w:p w14:paraId="36FDC524">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w:t>
      </w:r>
      <w:r>
        <w:rPr>
          <w:rFonts w:hint="eastAsia" w:ascii="宋体" w:hAnsi="宋体" w:cs="宋体"/>
          <w:color w:val="auto"/>
          <w:kern w:val="0"/>
          <w:sz w:val="24"/>
          <w:highlight w:val="none"/>
          <w:lang w:val="en-US" w:eastAsia="zh-CN"/>
        </w:rPr>
        <w:t>交易</w:t>
      </w:r>
      <w:r>
        <w:rPr>
          <w:rFonts w:hint="eastAsia" w:ascii="宋体" w:hAnsi="宋体" w:eastAsia="宋体" w:cs="宋体"/>
          <w:color w:val="auto"/>
          <w:kern w:val="0"/>
          <w:sz w:val="24"/>
          <w:highlight w:val="none"/>
          <w:lang w:val="zh-CN"/>
        </w:rPr>
        <w:t>要求参加</w:t>
      </w:r>
      <w:r>
        <w:rPr>
          <w:rFonts w:hint="eastAsia" w:ascii="宋体" w:hAnsi="宋体" w:cs="宋体"/>
          <w:color w:val="auto"/>
          <w:kern w:val="0"/>
          <w:sz w:val="24"/>
          <w:highlight w:val="none"/>
          <w:lang w:val="en-US" w:eastAsia="zh-CN"/>
        </w:rPr>
        <w:t>交易活动</w:t>
      </w:r>
      <w:r>
        <w:rPr>
          <w:rFonts w:hint="eastAsia" w:ascii="宋体" w:hAnsi="宋体" w:eastAsia="宋体" w:cs="宋体"/>
          <w:color w:val="auto"/>
          <w:kern w:val="0"/>
          <w:sz w:val="24"/>
          <w:highlight w:val="none"/>
          <w:lang w:val="zh-CN"/>
        </w:rPr>
        <w:t>。在这次</w:t>
      </w:r>
      <w:r>
        <w:rPr>
          <w:rFonts w:hint="eastAsia" w:ascii="宋体" w:hAnsi="宋体" w:cs="宋体"/>
          <w:color w:val="auto"/>
          <w:kern w:val="0"/>
          <w:sz w:val="24"/>
          <w:highlight w:val="none"/>
          <w:lang w:val="en-US" w:eastAsia="zh-CN"/>
        </w:rPr>
        <w:t>交易</w:t>
      </w:r>
      <w:r>
        <w:rPr>
          <w:rFonts w:hint="eastAsia" w:ascii="宋体" w:hAnsi="宋体" w:eastAsia="宋体" w:cs="宋体"/>
          <w:color w:val="auto"/>
          <w:kern w:val="0"/>
          <w:sz w:val="24"/>
          <w:highlight w:val="none"/>
          <w:lang w:val="zh-CN"/>
        </w:rPr>
        <w:t>过程中和</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kern w:val="0"/>
          <w:sz w:val="24"/>
          <w:highlight w:val="none"/>
          <w:lang w:val="zh-CN"/>
        </w:rPr>
        <w:t>后，我们将严格遵守国家法律法规要求，并郑重承诺：</w:t>
      </w:r>
    </w:p>
    <w:p w14:paraId="7BD25B96">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36F95B51">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34D323F8">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3E7B69E4">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09BDEEF9">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4EC1B6C4">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5913D9F9">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六、严格遵守相关法律法规，诚实守信，合法经营，坚决抵制各种违法违纪行为。 </w:t>
      </w:r>
    </w:p>
    <w:p w14:paraId="5D948CA0">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w:t>
      </w:r>
      <w:r>
        <w:rPr>
          <w:rFonts w:hint="eastAsia" w:ascii="宋体" w:hAnsi="宋体" w:cs="宋体"/>
          <w:color w:val="auto"/>
          <w:kern w:val="0"/>
          <w:sz w:val="24"/>
          <w:highlight w:val="none"/>
          <w:lang w:val="en-US" w:eastAsia="zh-CN"/>
        </w:rPr>
        <w:t>响应</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lang w:val="en-US" w:eastAsia="zh-CN"/>
        </w:rPr>
        <w:t>成交</w:t>
      </w:r>
      <w:r>
        <w:rPr>
          <w:rFonts w:hint="eastAsia" w:ascii="宋体" w:hAnsi="宋体" w:eastAsia="宋体" w:cs="宋体"/>
          <w:color w:val="auto"/>
          <w:kern w:val="0"/>
          <w:sz w:val="24"/>
          <w:highlight w:val="none"/>
          <w:lang w:val="zh-CN"/>
        </w:rPr>
        <w:t>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0F504946">
      <w:pPr>
        <w:autoSpaceDE w:val="0"/>
        <w:autoSpaceDN w:val="0"/>
        <w:spacing w:line="360" w:lineRule="auto"/>
        <w:ind w:left="2"/>
        <w:jc w:val="left"/>
        <w:rPr>
          <w:rFonts w:hint="eastAsia" w:ascii="宋体" w:hAnsi="宋体" w:eastAsia="宋体" w:cs="宋体"/>
          <w:color w:val="auto"/>
          <w:kern w:val="0"/>
          <w:sz w:val="24"/>
          <w:highlight w:val="none"/>
          <w:lang w:val="zh-CN"/>
        </w:rPr>
      </w:pPr>
    </w:p>
    <w:p w14:paraId="2B501DD3">
      <w:pPr>
        <w:autoSpaceDE w:val="0"/>
        <w:autoSpaceDN w:val="0"/>
        <w:spacing w:line="360" w:lineRule="auto"/>
        <w:ind w:left="2"/>
        <w:jc w:val="left"/>
        <w:rPr>
          <w:rFonts w:hint="eastAsia" w:ascii="宋体" w:hAnsi="宋体" w:eastAsia="宋体" w:cs="宋体"/>
          <w:color w:val="auto"/>
          <w:kern w:val="0"/>
          <w:sz w:val="24"/>
          <w:highlight w:val="none"/>
          <w:lang w:val="zh-CN"/>
        </w:rPr>
      </w:pPr>
    </w:p>
    <w:p w14:paraId="5446201A">
      <w:pPr>
        <w:autoSpaceDE w:val="0"/>
        <w:autoSpaceDN w:val="0"/>
        <w:spacing w:line="360" w:lineRule="auto"/>
        <w:ind w:left="2"/>
        <w:jc w:val="left"/>
        <w:rPr>
          <w:rFonts w:hint="eastAsia" w:ascii="宋体" w:hAnsi="宋体" w:eastAsia="宋体" w:cs="宋体"/>
          <w:color w:val="auto"/>
          <w:kern w:val="0"/>
          <w:sz w:val="24"/>
          <w:highlight w:val="none"/>
          <w:lang w:val="zh-CN"/>
        </w:rPr>
      </w:pPr>
    </w:p>
    <w:p w14:paraId="0D0B9F22">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737B7503">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759ACA2B">
      <w:pPr>
        <w:spacing w:line="360" w:lineRule="auto"/>
        <w:jc w:val="center"/>
        <w:rPr>
          <w:rFonts w:hint="eastAsia" w:ascii="宋体" w:hAnsi="宋体" w:eastAsia="宋体" w:cs="宋体"/>
          <w:b/>
          <w:bCs/>
          <w:color w:val="auto"/>
          <w:sz w:val="24"/>
          <w:highlight w:val="none"/>
        </w:rPr>
      </w:pPr>
    </w:p>
    <w:p w14:paraId="24060EFE">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6839ADD8">
      <w:pPr>
        <w:spacing w:line="360" w:lineRule="auto"/>
        <w:jc w:val="center"/>
        <w:rPr>
          <w:rFonts w:hint="eastAsia" w:ascii="宋体" w:hAnsi="宋体" w:eastAsia="宋体" w:cs="宋体"/>
          <w:b/>
          <w:bCs/>
          <w:color w:val="auto"/>
          <w:sz w:val="24"/>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pgNumType w:fmt="decimal"/>
          <w:cols w:space="720" w:num="1"/>
          <w:titlePg/>
          <w:docGrid w:linePitch="312" w:charSpace="0"/>
        </w:sectPr>
      </w:pPr>
    </w:p>
    <w:p w14:paraId="6527AABC">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59C86080">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645C96F5">
      <w:pPr>
        <w:spacing w:line="360" w:lineRule="auto"/>
        <w:jc w:val="center"/>
        <w:outlineLvl w:val="0"/>
        <w:rPr>
          <w:rFonts w:hint="eastAsia" w:ascii="宋体" w:hAnsi="宋体" w:eastAsia="宋体" w:cs="宋体"/>
          <w:b/>
          <w:color w:val="auto"/>
          <w:kern w:val="0"/>
          <w:sz w:val="36"/>
          <w:szCs w:val="36"/>
          <w:highlight w:val="none"/>
        </w:rPr>
      </w:pPr>
    </w:p>
    <w:p w14:paraId="363691B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交易一览表</w:t>
      </w:r>
      <w:r>
        <w:rPr>
          <w:rFonts w:hint="eastAsia" w:ascii="宋体" w:hAnsi="宋体" w:eastAsia="宋体" w:cs="宋体"/>
          <w:color w:val="auto"/>
          <w:sz w:val="24"/>
          <w:highlight w:val="none"/>
        </w:rPr>
        <w:t>（报价表）………………………………………………………（页码）</w:t>
      </w:r>
    </w:p>
    <w:p w14:paraId="49CC2522">
      <w:pPr>
        <w:snapToGrid w:val="0"/>
        <w:spacing w:line="360" w:lineRule="auto"/>
        <w:ind w:right="480"/>
        <w:jc w:val="center"/>
        <w:rPr>
          <w:rFonts w:hint="eastAsia" w:ascii="宋体" w:hAnsi="宋体" w:eastAsia="宋体" w:cs="宋体"/>
          <w:b/>
          <w:color w:val="auto"/>
          <w:kern w:val="0"/>
          <w:sz w:val="32"/>
          <w:szCs w:val="32"/>
          <w:highlight w:val="none"/>
        </w:rPr>
      </w:pPr>
    </w:p>
    <w:p w14:paraId="24E9B97F">
      <w:pPr>
        <w:snapToGrid w:val="0"/>
        <w:spacing w:line="360" w:lineRule="auto"/>
        <w:ind w:right="480"/>
        <w:jc w:val="center"/>
        <w:rPr>
          <w:rFonts w:hint="eastAsia" w:ascii="宋体" w:hAnsi="宋体" w:eastAsia="宋体" w:cs="宋体"/>
          <w:b/>
          <w:color w:val="auto"/>
          <w:kern w:val="0"/>
          <w:sz w:val="32"/>
          <w:szCs w:val="32"/>
          <w:highlight w:val="none"/>
        </w:rPr>
      </w:pPr>
    </w:p>
    <w:p w14:paraId="7D76AEA2">
      <w:pPr>
        <w:snapToGrid w:val="0"/>
        <w:spacing w:line="360" w:lineRule="auto"/>
        <w:ind w:right="480"/>
        <w:jc w:val="center"/>
        <w:rPr>
          <w:rFonts w:hint="eastAsia" w:ascii="宋体" w:hAnsi="宋体" w:eastAsia="宋体" w:cs="宋体"/>
          <w:b/>
          <w:color w:val="auto"/>
          <w:kern w:val="0"/>
          <w:sz w:val="32"/>
          <w:szCs w:val="32"/>
          <w:highlight w:val="none"/>
        </w:rPr>
      </w:pPr>
    </w:p>
    <w:p w14:paraId="4B78B778">
      <w:pPr>
        <w:snapToGrid w:val="0"/>
        <w:spacing w:line="360" w:lineRule="auto"/>
        <w:ind w:right="480"/>
        <w:jc w:val="center"/>
        <w:rPr>
          <w:rFonts w:hint="eastAsia" w:ascii="宋体" w:hAnsi="宋体" w:eastAsia="宋体" w:cs="宋体"/>
          <w:b/>
          <w:color w:val="auto"/>
          <w:kern w:val="0"/>
          <w:sz w:val="32"/>
          <w:szCs w:val="32"/>
          <w:highlight w:val="none"/>
        </w:rPr>
      </w:pPr>
    </w:p>
    <w:p w14:paraId="1FFFDCF1">
      <w:pPr>
        <w:snapToGrid w:val="0"/>
        <w:spacing w:line="360" w:lineRule="auto"/>
        <w:ind w:right="480"/>
        <w:jc w:val="center"/>
        <w:rPr>
          <w:rFonts w:hint="eastAsia" w:ascii="宋体" w:hAnsi="宋体" w:eastAsia="宋体" w:cs="宋体"/>
          <w:b/>
          <w:color w:val="auto"/>
          <w:kern w:val="0"/>
          <w:sz w:val="32"/>
          <w:szCs w:val="32"/>
          <w:highlight w:val="none"/>
        </w:rPr>
      </w:pPr>
    </w:p>
    <w:p w14:paraId="522E0E73">
      <w:pPr>
        <w:snapToGrid w:val="0"/>
        <w:spacing w:line="360" w:lineRule="auto"/>
        <w:ind w:right="480"/>
        <w:jc w:val="center"/>
        <w:rPr>
          <w:rFonts w:hint="eastAsia" w:ascii="宋体" w:hAnsi="宋体" w:eastAsia="宋体" w:cs="宋体"/>
          <w:b/>
          <w:color w:val="auto"/>
          <w:kern w:val="0"/>
          <w:sz w:val="32"/>
          <w:szCs w:val="32"/>
          <w:highlight w:val="none"/>
        </w:rPr>
      </w:pPr>
    </w:p>
    <w:p w14:paraId="2455780E">
      <w:pPr>
        <w:snapToGrid w:val="0"/>
        <w:spacing w:line="360" w:lineRule="auto"/>
        <w:ind w:right="480"/>
        <w:jc w:val="center"/>
        <w:rPr>
          <w:rFonts w:hint="eastAsia" w:ascii="宋体" w:hAnsi="宋体" w:eastAsia="宋体" w:cs="宋体"/>
          <w:b/>
          <w:color w:val="auto"/>
          <w:kern w:val="0"/>
          <w:sz w:val="32"/>
          <w:szCs w:val="32"/>
          <w:highlight w:val="none"/>
        </w:rPr>
      </w:pPr>
    </w:p>
    <w:p w14:paraId="49F85CA8">
      <w:pPr>
        <w:snapToGrid w:val="0"/>
        <w:spacing w:line="360" w:lineRule="auto"/>
        <w:ind w:right="480"/>
        <w:jc w:val="center"/>
        <w:rPr>
          <w:rFonts w:hint="eastAsia" w:ascii="宋体" w:hAnsi="宋体" w:eastAsia="宋体" w:cs="宋体"/>
          <w:b/>
          <w:color w:val="auto"/>
          <w:kern w:val="0"/>
          <w:sz w:val="32"/>
          <w:szCs w:val="32"/>
          <w:highlight w:val="none"/>
        </w:rPr>
      </w:pPr>
    </w:p>
    <w:p w14:paraId="78353DD7">
      <w:pPr>
        <w:snapToGrid w:val="0"/>
        <w:spacing w:line="360" w:lineRule="auto"/>
        <w:ind w:right="480"/>
        <w:jc w:val="center"/>
        <w:rPr>
          <w:rFonts w:hint="eastAsia" w:ascii="宋体" w:hAnsi="宋体" w:eastAsia="宋体" w:cs="宋体"/>
          <w:b/>
          <w:color w:val="auto"/>
          <w:kern w:val="0"/>
          <w:sz w:val="32"/>
          <w:szCs w:val="32"/>
          <w:highlight w:val="none"/>
        </w:rPr>
      </w:pPr>
    </w:p>
    <w:p w14:paraId="59B25341">
      <w:pPr>
        <w:snapToGrid w:val="0"/>
        <w:spacing w:line="360" w:lineRule="auto"/>
        <w:ind w:right="480"/>
        <w:jc w:val="center"/>
        <w:rPr>
          <w:rFonts w:hint="eastAsia" w:ascii="宋体" w:hAnsi="宋体" w:eastAsia="宋体" w:cs="宋体"/>
          <w:b/>
          <w:color w:val="auto"/>
          <w:kern w:val="0"/>
          <w:sz w:val="32"/>
          <w:szCs w:val="32"/>
          <w:highlight w:val="none"/>
        </w:rPr>
      </w:pPr>
    </w:p>
    <w:p w14:paraId="46852BC6">
      <w:pPr>
        <w:snapToGrid w:val="0"/>
        <w:spacing w:line="360" w:lineRule="auto"/>
        <w:ind w:right="480"/>
        <w:jc w:val="center"/>
        <w:rPr>
          <w:rFonts w:hint="eastAsia" w:ascii="宋体" w:hAnsi="宋体" w:eastAsia="宋体" w:cs="宋体"/>
          <w:b/>
          <w:color w:val="auto"/>
          <w:kern w:val="0"/>
          <w:sz w:val="32"/>
          <w:szCs w:val="32"/>
          <w:highlight w:val="none"/>
        </w:rPr>
      </w:pPr>
    </w:p>
    <w:p w14:paraId="394BBFE1">
      <w:pPr>
        <w:snapToGrid w:val="0"/>
        <w:spacing w:line="360" w:lineRule="auto"/>
        <w:ind w:right="480"/>
        <w:jc w:val="center"/>
        <w:rPr>
          <w:rFonts w:hint="eastAsia" w:ascii="宋体" w:hAnsi="宋体" w:eastAsia="宋体" w:cs="宋体"/>
          <w:b/>
          <w:color w:val="auto"/>
          <w:kern w:val="0"/>
          <w:sz w:val="32"/>
          <w:szCs w:val="32"/>
          <w:highlight w:val="none"/>
        </w:rPr>
      </w:pPr>
    </w:p>
    <w:p w14:paraId="4AA1FF31">
      <w:pPr>
        <w:snapToGrid w:val="0"/>
        <w:spacing w:line="360" w:lineRule="auto"/>
        <w:ind w:right="480"/>
        <w:jc w:val="center"/>
        <w:rPr>
          <w:rFonts w:hint="eastAsia" w:ascii="宋体" w:hAnsi="宋体" w:eastAsia="宋体" w:cs="宋体"/>
          <w:b/>
          <w:color w:val="auto"/>
          <w:kern w:val="0"/>
          <w:sz w:val="32"/>
          <w:szCs w:val="32"/>
          <w:highlight w:val="none"/>
        </w:rPr>
      </w:pPr>
    </w:p>
    <w:p w14:paraId="781BF26D">
      <w:pPr>
        <w:snapToGrid w:val="0"/>
        <w:spacing w:line="360" w:lineRule="auto"/>
        <w:ind w:right="480"/>
        <w:jc w:val="center"/>
        <w:rPr>
          <w:rFonts w:hint="eastAsia" w:ascii="宋体" w:hAnsi="宋体" w:eastAsia="宋体" w:cs="宋体"/>
          <w:b/>
          <w:color w:val="auto"/>
          <w:kern w:val="0"/>
          <w:sz w:val="32"/>
          <w:szCs w:val="32"/>
          <w:highlight w:val="none"/>
        </w:rPr>
      </w:pPr>
    </w:p>
    <w:p w14:paraId="46013050">
      <w:pPr>
        <w:snapToGrid w:val="0"/>
        <w:spacing w:line="360" w:lineRule="auto"/>
        <w:ind w:right="480"/>
        <w:jc w:val="center"/>
        <w:rPr>
          <w:rFonts w:hint="eastAsia" w:ascii="宋体" w:hAnsi="宋体" w:eastAsia="宋体" w:cs="宋体"/>
          <w:b/>
          <w:color w:val="auto"/>
          <w:kern w:val="0"/>
          <w:sz w:val="32"/>
          <w:szCs w:val="32"/>
          <w:highlight w:val="none"/>
        </w:rPr>
      </w:pPr>
    </w:p>
    <w:p w14:paraId="67F8CE2A">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pgNumType w:fmt="decimal"/>
          <w:cols w:space="720" w:num="1"/>
          <w:titlePg/>
          <w:docGrid w:linePitch="312" w:charSpace="0"/>
        </w:sectPr>
      </w:pPr>
    </w:p>
    <w:p w14:paraId="1E62CDEA">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w:t>
      </w:r>
      <w:r>
        <w:rPr>
          <w:rFonts w:hint="eastAsia" w:ascii="宋体" w:hAnsi="宋体" w:eastAsia="宋体" w:cs="宋体"/>
          <w:color w:val="auto"/>
          <w:kern w:val="2"/>
          <w:sz w:val="32"/>
          <w:szCs w:val="32"/>
          <w:highlight w:val="none"/>
          <w:lang w:eastAsia="zh-CN"/>
        </w:rPr>
        <w:t>交易一览表</w:t>
      </w:r>
      <w:r>
        <w:rPr>
          <w:rFonts w:hint="eastAsia" w:ascii="宋体" w:hAnsi="宋体" w:eastAsia="宋体" w:cs="宋体"/>
          <w:color w:val="auto"/>
          <w:kern w:val="2"/>
          <w:sz w:val="32"/>
          <w:szCs w:val="32"/>
          <w:highlight w:val="none"/>
        </w:rPr>
        <w:t>（报价表）</w:t>
      </w:r>
    </w:p>
    <w:p w14:paraId="503A1306">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交易人</w:t>
      </w:r>
      <w:r>
        <w:rPr>
          <w:rFonts w:hint="eastAsia" w:ascii="宋体" w:hAnsi="宋体" w:eastAsia="宋体" w:cs="宋体"/>
          <w:color w:val="auto"/>
          <w:sz w:val="24"/>
          <w:highlight w:val="none"/>
          <w:u w:val="single"/>
        </w:rPr>
        <w:t>）、（采购代理机构）</w:t>
      </w:r>
      <w:r>
        <w:rPr>
          <w:rFonts w:hint="eastAsia" w:ascii="宋体" w:hAnsi="宋体" w:eastAsia="宋体" w:cs="宋体"/>
          <w:color w:val="auto"/>
          <w:kern w:val="0"/>
          <w:sz w:val="24"/>
          <w:highlight w:val="none"/>
          <w:lang w:val="zh-CN"/>
        </w:rPr>
        <w:t>：</w:t>
      </w:r>
    </w:p>
    <w:p w14:paraId="5DA20F4D">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按你方交易文件要求，我们，本响应文件签字方，谨此向你方发出要约如下：如你方接受本</w:t>
      </w:r>
      <w:r>
        <w:rPr>
          <w:rFonts w:hint="eastAsia" w:ascii="宋体" w:hAnsi="宋体" w:cs="宋体"/>
          <w:color w:val="auto"/>
          <w:kern w:val="0"/>
          <w:sz w:val="24"/>
          <w:highlight w:val="none"/>
          <w:lang w:val="en-US" w:eastAsia="zh-CN"/>
        </w:rPr>
        <w:t>响应</w:t>
      </w:r>
      <w:r>
        <w:rPr>
          <w:rFonts w:hint="eastAsia" w:ascii="宋体" w:hAnsi="宋体" w:eastAsia="宋体" w:cs="宋体"/>
          <w:color w:val="auto"/>
          <w:kern w:val="0"/>
          <w:sz w:val="24"/>
          <w:highlight w:val="none"/>
          <w:lang w:val="zh-CN"/>
        </w:rPr>
        <w:t>，我方承诺按照如下交易一览表（报价表）的价格完成</w:t>
      </w:r>
      <w:r>
        <w:rPr>
          <w:rFonts w:hint="eastAsia" w:ascii="宋体" w:hAnsi="宋体" w:eastAsia="宋体" w:cs="宋体"/>
          <w:color w:val="auto"/>
          <w:sz w:val="24"/>
          <w:highlight w:val="none"/>
          <w:u w:val="single"/>
        </w:rPr>
        <w:t>（项目名称）</w:t>
      </w:r>
      <w:r>
        <w:rPr>
          <w:rFonts w:hint="eastAsia" w:ascii="宋体" w:hAnsi="宋体" w:eastAsia="宋体" w:cs="宋体"/>
          <w:color w:val="auto"/>
          <w:kern w:val="0"/>
          <w:sz w:val="24"/>
          <w:highlight w:val="none"/>
          <w:u w:val="single"/>
          <w:lang w:val="zh-CN"/>
        </w:rPr>
        <w:t>【交易编号：</w:t>
      </w:r>
      <w:r>
        <w:rPr>
          <w:rFonts w:hint="eastAsia" w:ascii="宋体" w:hAnsi="宋体" w:eastAsia="宋体" w:cs="宋体"/>
          <w:color w:val="auto"/>
          <w:sz w:val="24"/>
          <w:highlight w:val="none"/>
          <w:u w:val="single"/>
        </w:rPr>
        <w:t>（采购编号）】</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14:paraId="5AE4551E">
      <w:pPr>
        <w:snapToGrid w:val="0"/>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交易一览表（报价表）(单位均为人民币元)</w:t>
      </w:r>
    </w:p>
    <w:tbl>
      <w:tblPr>
        <w:tblStyle w:val="62"/>
        <w:tblW w:w="9512" w:type="dxa"/>
        <w:tblInd w:w="-34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00"/>
        <w:gridCol w:w="2361"/>
        <w:gridCol w:w="2164"/>
        <w:gridCol w:w="1325"/>
        <w:gridCol w:w="1850"/>
        <w:gridCol w:w="912"/>
      </w:tblGrid>
      <w:tr w14:paraId="4C731E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7" w:hRule="atLeast"/>
        </w:trPr>
        <w:tc>
          <w:tcPr>
            <w:tcW w:w="900" w:type="dxa"/>
          </w:tcPr>
          <w:p w14:paraId="2F60F2E5">
            <w:pPr>
              <w:pStyle w:val="957"/>
              <w:spacing w:before="6"/>
              <w:rPr>
                <w:rFonts w:hint="eastAsia" w:ascii="仿宋" w:hAnsi="仿宋" w:eastAsia="仿宋" w:cs="仿宋"/>
                <w:color w:val="000000" w:themeColor="text1"/>
                <w:sz w:val="24"/>
                <w:szCs w:val="24"/>
                <w:highlight w:val="none"/>
                <w14:textFill>
                  <w14:solidFill>
                    <w14:schemeClr w14:val="tx1"/>
                  </w14:solidFill>
                </w14:textFill>
              </w:rPr>
            </w:pPr>
          </w:p>
          <w:p w14:paraId="0561D1A4">
            <w:pPr>
              <w:pStyle w:val="957"/>
              <w:ind w:left="125" w:right="111"/>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2361" w:type="dxa"/>
          </w:tcPr>
          <w:p w14:paraId="4C327454">
            <w:pPr>
              <w:pStyle w:val="957"/>
              <w:spacing w:before="6"/>
              <w:rPr>
                <w:rFonts w:hint="eastAsia" w:ascii="仿宋" w:hAnsi="仿宋" w:eastAsia="仿宋" w:cs="仿宋"/>
                <w:color w:val="000000" w:themeColor="text1"/>
                <w:sz w:val="24"/>
                <w:szCs w:val="24"/>
                <w:highlight w:val="none"/>
                <w14:textFill>
                  <w14:solidFill>
                    <w14:schemeClr w14:val="tx1"/>
                  </w14:solidFill>
                </w14:textFill>
              </w:rPr>
            </w:pPr>
          </w:p>
          <w:p w14:paraId="13B2C759">
            <w:pPr>
              <w:pStyle w:val="957"/>
              <w:ind w:left="232" w:right="223"/>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名称</w:t>
            </w:r>
          </w:p>
        </w:tc>
        <w:tc>
          <w:tcPr>
            <w:tcW w:w="2164" w:type="dxa"/>
          </w:tcPr>
          <w:p w14:paraId="78FBEB94">
            <w:pPr>
              <w:pStyle w:val="957"/>
              <w:spacing w:before="27"/>
              <w:ind w:left="581"/>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计费基数</w:t>
            </w:r>
          </w:p>
          <w:p w14:paraId="7140F303">
            <w:pPr>
              <w:pStyle w:val="957"/>
              <w:spacing w:before="50"/>
              <w:ind w:left="504"/>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（万元）A</w:t>
            </w:r>
          </w:p>
        </w:tc>
        <w:tc>
          <w:tcPr>
            <w:tcW w:w="1325" w:type="dxa"/>
          </w:tcPr>
          <w:p w14:paraId="0E232100">
            <w:pPr>
              <w:pStyle w:val="957"/>
              <w:spacing w:before="186"/>
              <w:ind w:left="11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保费费率B</w:t>
            </w:r>
          </w:p>
        </w:tc>
        <w:tc>
          <w:tcPr>
            <w:tcW w:w="1850" w:type="dxa"/>
          </w:tcPr>
          <w:p w14:paraId="545D0602">
            <w:pPr>
              <w:pStyle w:val="957"/>
              <w:spacing w:before="27"/>
              <w:ind w:left="374" w:right="371"/>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报价（元）</w:t>
            </w:r>
          </w:p>
          <w:p w14:paraId="76FE98BD">
            <w:pPr>
              <w:pStyle w:val="957"/>
              <w:spacing w:before="50"/>
              <w:ind w:left="372" w:right="371"/>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C=A×B</w:t>
            </w:r>
          </w:p>
        </w:tc>
        <w:tc>
          <w:tcPr>
            <w:tcW w:w="912" w:type="dxa"/>
          </w:tcPr>
          <w:p w14:paraId="14CEEFAE">
            <w:pPr>
              <w:pStyle w:val="957"/>
              <w:spacing w:before="6"/>
              <w:rPr>
                <w:rFonts w:hint="eastAsia" w:ascii="仿宋" w:hAnsi="仿宋" w:eastAsia="仿宋" w:cs="仿宋"/>
                <w:color w:val="000000" w:themeColor="text1"/>
                <w:sz w:val="24"/>
                <w:szCs w:val="24"/>
                <w:highlight w:val="none"/>
                <w14:textFill>
                  <w14:solidFill>
                    <w14:schemeClr w14:val="tx1"/>
                  </w14:solidFill>
                </w14:textFill>
              </w:rPr>
            </w:pPr>
          </w:p>
          <w:p w14:paraId="272EA469">
            <w:pPr>
              <w:pStyle w:val="95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备注</w:t>
            </w:r>
          </w:p>
        </w:tc>
      </w:tr>
      <w:tr w14:paraId="16293C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900" w:type="dxa"/>
          </w:tcPr>
          <w:p w14:paraId="339BF4BB">
            <w:pPr>
              <w:pStyle w:val="957"/>
              <w:spacing w:before="190"/>
              <w:ind w:left="9"/>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w w:val="100"/>
                <w:sz w:val="24"/>
                <w:szCs w:val="24"/>
                <w:highlight w:val="none"/>
                <w14:textFill>
                  <w14:solidFill>
                    <w14:schemeClr w14:val="tx1"/>
                  </w14:solidFill>
                </w14:textFill>
              </w:rPr>
              <w:t>1</w:t>
            </w:r>
          </w:p>
        </w:tc>
        <w:tc>
          <w:tcPr>
            <w:tcW w:w="2361" w:type="dxa"/>
          </w:tcPr>
          <w:p w14:paraId="537A9CD5">
            <w:pPr>
              <w:pStyle w:val="957"/>
              <w:spacing w:before="178"/>
              <w:ind w:left="235" w:right="223"/>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财产</w:t>
            </w:r>
            <w:r>
              <w:rPr>
                <w:rFonts w:hint="eastAsia" w:ascii="仿宋" w:hAnsi="仿宋" w:eastAsia="仿宋" w:cs="仿宋"/>
                <w:color w:val="000000" w:themeColor="text1"/>
                <w:sz w:val="24"/>
                <w:szCs w:val="24"/>
                <w:highlight w:val="none"/>
                <w:lang w:val="en-US" w:eastAsia="zh-CN"/>
                <w14:textFill>
                  <w14:solidFill>
                    <w14:schemeClr w14:val="tx1"/>
                  </w14:solidFill>
                </w14:textFill>
              </w:rPr>
              <w:t>基本</w:t>
            </w:r>
            <w:r>
              <w:rPr>
                <w:rFonts w:hint="eastAsia" w:ascii="仿宋" w:hAnsi="仿宋" w:eastAsia="仿宋" w:cs="仿宋"/>
                <w:color w:val="000000" w:themeColor="text1"/>
                <w:sz w:val="24"/>
                <w:szCs w:val="24"/>
                <w:highlight w:val="none"/>
                <w14:textFill>
                  <w14:solidFill>
                    <w14:schemeClr w14:val="tx1"/>
                  </w14:solidFill>
                </w14:textFill>
              </w:rPr>
              <w:t>险</w:t>
            </w:r>
          </w:p>
        </w:tc>
        <w:tc>
          <w:tcPr>
            <w:tcW w:w="2164" w:type="dxa"/>
          </w:tcPr>
          <w:p w14:paraId="60C3811D">
            <w:pPr>
              <w:pStyle w:val="957"/>
              <w:spacing w:before="190"/>
              <w:ind w:left="536" w:right="529"/>
              <w:jc w:val="center"/>
              <w:rPr>
                <w:rFonts w:hint="default" w:ascii="仿宋" w:hAnsi="仿宋" w:eastAsia="仿宋" w:cs="仿宋"/>
                <w:color w:val="FF0000"/>
                <w:sz w:val="24"/>
                <w:szCs w:val="24"/>
                <w:highlight w:val="none"/>
                <w:lang w:val="en-US" w:eastAsia="zh-CN"/>
              </w:rPr>
            </w:pPr>
            <w:r>
              <w:rPr>
                <w:rFonts w:hint="eastAsia" w:ascii="仿宋" w:hAnsi="仿宋" w:eastAsia="仿宋" w:cs="仿宋"/>
                <w:i w:val="0"/>
                <w:color w:val="FF0000"/>
                <w:kern w:val="0"/>
                <w:sz w:val="24"/>
                <w:szCs w:val="24"/>
                <w:u w:val="none"/>
                <w:lang w:val="en-US" w:eastAsia="zh-CN" w:bidi="ar"/>
              </w:rPr>
              <w:t>219684</w:t>
            </w:r>
          </w:p>
        </w:tc>
        <w:tc>
          <w:tcPr>
            <w:tcW w:w="1325" w:type="dxa"/>
          </w:tcPr>
          <w:p w14:paraId="4DDD7509">
            <w:pPr>
              <w:pStyle w:val="957"/>
              <w:rPr>
                <w:rFonts w:hint="eastAsia" w:ascii="仿宋" w:hAnsi="仿宋" w:eastAsia="仿宋" w:cs="仿宋"/>
                <w:color w:val="000000" w:themeColor="text1"/>
                <w:sz w:val="24"/>
                <w:szCs w:val="24"/>
                <w:highlight w:val="none"/>
                <w14:textFill>
                  <w14:solidFill>
                    <w14:schemeClr w14:val="tx1"/>
                  </w14:solidFill>
                </w14:textFill>
              </w:rPr>
            </w:pPr>
          </w:p>
        </w:tc>
        <w:tc>
          <w:tcPr>
            <w:tcW w:w="1850" w:type="dxa"/>
          </w:tcPr>
          <w:p w14:paraId="68549D1A">
            <w:pPr>
              <w:pStyle w:val="957"/>
              <w:rPr>
                <w:rFonts w:hint="eastAsia" w:ascii="仿宋" w:hAnsi="仿宋" w:eastAsia="仿宋" w:cs="仿宋"/>
                <w:color w:val="000000" w:themeColor="text1"/>
                <w:sz w:val="24"/>
                <w:szCs w:val="24"/>
                <w:highlight w:val="none"/>
                <w14:textFill>
                  <w14:solidFill>
                    <w14:schemeClr w14:val="tx1"/>
                  </w14:solidFill>
                </w14:textFill>
              </w:rPr>
            </w:pPr>
          </w:p>
        </w:tc>
        <w:tc>
          <w:tcPr>
            <w:tcW w:w="912" w:type="dxa"/>
          </w:tcPr>
          <w:p w14:paraId="45738665">
            <w:pPr>
              <w:pStyle w:val="957"/>
              <w:rPr>
                <w:rFonts w:hint="eastAsia" w:ascii="仿宋" w:hAnsi="仿宋" w:eastAsia="仿宋" w:cs="仿宋"/>
                <w:color w:val="000000" w:themeColor="text1"/>
                <w:sz w:val="24"/>
                <w:szCs w:val="24"/>
                <w:highlight w:val="none"/>
                <w14:textFill>
                  <w14:solidFill>
                    <w14:schemeClr w14:val="tx1"/>
                  </w14:solidFill>
                </w14:textFill>
              </w:rPr>
            </w:pPr>
          </w:p>
        </w:tc>
      </w:tr>
      <w:tr w14:paraId="2463A4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900" w:type="dxa"/>
          </w:tcPr>
          <w:p w14:paraId="71C4F843">
            <w:pPr>
              <w:pStyle w:val="957"/>
              <w:spacing w:before="187"/>
              <w:ind w:left="9"/>
              <w:jc w:val="center"/>
              <w:rPr>
                <w:rFonts w:hint="eastAsia" w:ascii="仿宋" w:hAnsi="仿宋" w:eastAsia="仿宋" w:cs="仿宋"/>
                <w:color w:val="000000" w:themeColor="text1"/>
                <w:w w:val="100"/>
                <w:sz w:val="24"/>
                <w:szCs w:val="24"/>
                <w:highlight w:val="none"/>
                <w:lang w:val="en-US" w:eastAsia="zh-CN"/>
                <w14:textFill>
                  <w14:solidFill>
                    <w14:schemeClr w14:val="tx1"/>
                  </w14:solidFill>
                </w14:textFill>
              </w:rPr>
            </w:pPr>
            <w:r>
              <w:rPr>
                <w:rFonts w:hint="eastAsia" w:ascii="仿宋" w:hAnsi="仿宋" w:eastAsia="仿宋" w:cs="仿宋"/>
                <w:color w:val="000000" w:themeColor="text1"/>
                <w:w w:val="100"/>
                <w:sz w:val="24"/>
                <w:szCs w:val="24"/>
                <w:highlight w:val="none"/>
                <w:lang w:val="en-US" w:eastAsia="zh-CN"/>
                <w14:textFill>
                  <w14:solidFill>
                    <w14:schemeClr w14:val="tx1"/>
                  </w14:solidFill>
                </w14:textFill>
              </w:rPr>
              <w:t>2</w:t>
            </w:r>
          </w:p>
        </w:tc>
        <w:tc>
          <w:tcPr>
            <w:tcW w:w="2361" w:type="dxa"/>
          </w:tcPr>
          <w:p w14:paraId="158D80FE">
            <w:pPr>
              <w:pStyle w:val="957"/>
              <w:spacing w:before="176"/>
              <w:ind w:left="235" w:right="223"/>
              <w:jc w:val="center"/>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财产一切险</w:t>
            </w:r>
          </w:p>
        </w:tc>
        <w:tc>
          <w:tcPr>
            <w:tcW w:w="2164" w:type="dxa"/>
          </w:tcPr>
          <w:p w14:paraId="07E00B3D">
            <w:pPr>
              <w:pStyle w:val="957"/>
              <w:spacing w:before="187"/>
              <w:ind w:left="536" w:right="529"/>
              <w:jc w:val="center"/>
              <w:rPr>
                <w:rFonts w:hint="default" w:ascii="仿宋" w:hAnsi="仿宋" w:eastAsia="仿宋" w:cs="仿宋"/>
                <w:color w:val="FF0000"/>
                <w:sz w:val="24"/>
                <w:szCs w:val="24"/>
                <w:highlight w:val="none"/>
                <w:lang w:val="en-US" w:eastAsia="zh-CN"/>
              </w:rPr>
            </w:pPr>
            <w:r>
              <w:rPr>
                <w:rFonts w:hint="eastAsia" w:ascii="仿宋" w:hAnsi="仿宋" w:eastAsia="仿宋" w:cs="仿宋"/>
                <w:color w:val="FF0000"/>
                <w:sz w:val="24"/>
                <w:szCs w:val="24"/>
                <w:highlight w:val="none"/>
                <w:lang w:val="en-US" w:eastAsia="zh-CN"/>
              </w:rPr>
              <w:t>249838</w:t>
            </w:r>
          </w:p>
        </w:tc>
        <w:tc>
          <w:tcPr>
            <w:tcW w:w="1325" w:type="dxa"/>
          </w:tcPr>
          <w:p w14:paraId="2D7DD3C0">
            <w:pPr>
              <w:pStyle w:val="957"/>
              <w:rPr>
                <w:rFonts w:hint="eastAsia" w:ascii="仿宋" w:hAnsi="仿宋" w:eastAsia="仿宋" w:cs="仿宋"/>
                <w:color w:val="000000" w:themeColor="text1"/>
                <w:sz w:val="24"/>
                <w:szCs w:val="24"/>
                <w:highlight w:val="none"/>
                <w14:textFill>
                  <w14:solidFill>
                    <w14:schemeClr w14:val="tx1"/>
                  </w14:solidFill>
                </w14:textFill>
              </w:rPr>
            </w:pPr>
          </w:p>
        </w:tc>
        <w:tc>
          <w:tcPr>
            <w:tcW w:w="1850" w:type="dxa"/>
          </w:tcPr>
          <w:p w14:paraId="678D24FD">
            <w:pPr>
              <w:pStyle w:val="957"/>
              <w:rPr>
                <w:rFonts w:hint="eastAsia" w:ascii="仿宋" w:hAnsi="仿宋" w:eastAsia="仿宋" w:cs="仿宋"/>
                <w:color w:val="000000" w:themeColor="text1"/>
                <w:sz w:val="24"/>
                <w:szCs w:val="24"/>
                <w:highlight w:val="none"/>
                <w14:textFill>
                  <w14:solidFill>
                    <w14:schemeClr w14:val="tx1"/>
                  </w14:solidFill>
                </w14:textFill>
              </w:rPr>
            </w:pPr>
          </w:p>
        </w:tc>
        <w:tc>
          <w:tcPr>
            <w:tcW w:w="912" w:type="dxa"/>
          </w:tcPr>
          <w:p w14:paraId="4BD58275">
            <w:pPr>
              <w:pStyle w:val="957"/>
              <w:rPr>
                <w:rFonts w:hint="eastAsia" w:ascii="仿宋" w:hAnsi="仿宋" w:eastAsia="仿宋" w:cs="仿宋"/>
                <w:color w:val="000000" w:themeColor="text1"/>
                <w:sz w:val="24"/>
                <w:szCs w:val="24"/>
                <w:highlight w:val="none"/>
                <w14:textFill>
                  <w14:solidFill>
                    <w14:schemeClr w14:val="tx1"/>
                  </w14:solidFill>
                </w14:textFill>
              </w:rPr>
            </w:pPr>
          </w:p>
        </w:tc>
      </w:tr>
      <w:tr w14:paraId="1AD14E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900" w:type="dxa"/>
          </w:tcPr>
          <w:p w14:paraId="7A1DBC11">
            <w:pPr>
              <w:pStyle w:val="957"/>
              <w:spacing w:before="187"/>
              <w:ind w:left="9"/>
              <w:jc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p>
        </w:tc>
        <w:tc>
          <w:tcPr>
            <w:tcW w:w="2361" w:type="dxa"/>
          </w:tcPr>
          <w:p w14:paraId="22A480F4">
            <w:pPr>
              <w:pStyle w:val="957"/>
              <w:spacing w:before="176"/>
              <w:ind w:left="235" w:right="223"/>
              <w:jc w:val="center"/>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公众责任险</w:t>
            </w:r>
          </w:p>
        </w:tc>
        <w:tc>
          <w:tcPr>
            <w:tcW w:w="2164" w:type="dxa"/>
          </w:tcPr>
          <w:p w14:paraId="1EB26B88">
            <w:pPr>
              <w:pStyle w:val="957"/>
              <w:spacing w:before="187"/>
              <w:ind w:left="536" w:right="529"/>
              <w:jc w:val="center"/>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5000.00</w:t>
            </w:r>
          </w:p>
        </w:tc>
        <w:tc>
          <w:tcPr>
            <w:tcW w:w="1325" w:type="dxa"/>
          </w:tcPr>
          <w:p w14:paraId="35B923E7">
            <w:pPr>
              <w:pStyle w:val="957"/>
              <w:rPr>
                <w:rFonts w:hint="eastAsia" w:ascii="仿宋" w:hAnsi="仿宋" w:eastAsia="仿宋" w:cs="仿宋"/>
                <w:color w:val="000000" w:themeColor="text1"/>
                <w:sz w:val="24"/>
                <w:szCs w:val="24"/>
                <w:highlight w:val="none"/>
                <w14:textFill>
                  <w14:solidFill>
                    <w14:schemeClr w14:val="tx1"/>
                  </w14:solidFill>
                </w14:textFill>
              </w:rPr>
            </w:pPr>
          </w:p>
        </w:tc>
        <w:tc>
          <w:tcPr>
            <w:tcW w:w="1850" w:type="dxa"/>
          </w:tcPr>
          <w:p w14:paraId="13A2E412">
            <w:pPr>
              <w:pStyle w:val="957"/>
              <w:rPr>
                <w:rFonts w:hint="eastAsia" w:ascii="仿宋" w:hAnsi="仿宋" w:eastAsia="仿宋" w:cs="仿宋"/>
                <w:color w:val="000000" w:themeColor="text1"/>
                <w:sz w:val="24"/>
                <w:szCs w:val="24"/>
                <w:highlight w:val="none"/>
                <w14:textFill>
                  <w14:solidFill>
                    <w14:schemeClr w14:val="tx1"/>
                  </w14:solidFill>
                </w14:textFill>
              </w:rPr>
            </w:pPr>
          </w:p>
        </w:tc>
        <w:tc>
          <w:tcPr>
            <w:tcW w:w="912" w:type="dxa"/>
          </w:tcPr>
          <w:p w14:paraId="0665F3B9">
            <w:pPr>
              <w:pStyle w:val="957"/>
              <w:rPr>
                <w:rFonts w:hint="eastAsia" w:ascii="仿宋" w:hAnsi="仿宋" w:eastAsia="仿宋" w:cs="仿宋"/>
                <w:color w:val="000000" w:themeColor="text1"/>
                <w:sz w:val="24"/>
                <w:szCs w:val="24"/>
                <w:highlight w:val="none"/>
                <w14:textFill>
                  <w14:solidFill>
                    <w14:schemeClr w14:val="tx1"/>
                  </w14:solidFill>
                </w14:textFill>
              </w:rPr>
            </w:pPr>
          </w:p>
        </w:tc>
      </w:tr>
      <w:tr w14:paraId="6519B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3261" w:type="dxa"/>
            <w:gridSpan w:val="2"/>
          </w:tcPr>
          <w:p w14:paraId="1CF8F916">
            <w:pPr>
              <w:pStyle w:val="957"/>
              <w:spacing w:before="178"/>
              <w:ind w:left="398"/>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总报价（小写）</w:t>
            </w:r>
          </w:p>
        </w:tc>
        <w:tc>
          <w:tcPr>
            <w:tcW w:w="6251" w:type="dxa"/>
            <w:gridSpan w:val="4"/>
          </w:tcPr>
          <w:p w14:paraId="1DB1D866">
            <w:pPr>
              <w:pStyle w:val="957"/>
              <w:rPr>
                <w:rFonts w:hint="eastAsia" w:ascii="仿宋" w:hAnsi="仿宋" w:eastAsia="仿宋" w:cs="仿宋"/>
                <w:color w:val="000000" w:themeColor="text1"/>
                <w:sz w:val="24"/>
                <w:szCs w:val="24"/>
                <w:highlight w:val="none"/>
                <w14:textFill>
                  <w14:solidFill>
                    <w14:schemeClr w14:val="tx1"/>
                  </w14:solidFill>
                </w14:textFill>
              </w:rPr>
            </w:pPr>
          </w:p>
        </w:tc>
      </w:tr>
      <w:tr w14:paraId="27D43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3261" w:type="dxa"/>
            <w:gridSpan w:val="2"/>
          </w:tcPr>
          <w:p w14:paraId="259DB140">
            <w:pPr>
              <w:pStyle w:val="957"/>
              <w:spacing w:before="178"/>
              <w:ind w:left="398"/>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总报价（大写）</w:t>
            </w:r>
          </w:p>
        </w:tc>
        <w:tc>
          <w:tcPr>
            <w:tcW w:w="6251" w:type="dxa"/>
            <w:gridSpan w:val="4"/>
          </w:tcPr>
          <w:p w14:paraId="56573A93">
            <w:pPr>
              <w:pStyle w:val="957"/>
              <w:rPr>
                <w:rFonts w:hint="eastAsia" w:ascii="仿宋" w:hAnsi="仿宋" w:eastAsia="仿宋" w:cs="仿宋"/>
                <w:color w:val="000000" w:themeColor="text1"/>
                <w:sz w:val="24"/>
                <w:szCs w:val="24"/>
                <w:highlight w:val="none"/>
                <w14:textFill>
                  <w14:solidFill>
                    <w14:schemeClr w14:val="tx1"/>
                  </w14:solidFill>
                </w14:textFill>
              </w:rPr>
            </w:pPr>
          </w:p>
        </w:tc>
      </w:tr>
      <w:tr w14:paraId="58DBE3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3261" w:type="dxa"/>
            <w:gridSpan w:val="2"/>
          </w:tcPr>
          <w:p w14:paraId="47E5D6B4">
            <w:pPr>
              <w:pStyle w:val="957"/>
              <w:spacing w:before="178"/>
              <w:ind w:left="904" w:right="89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备注</w:t>
            </w:r>
          </w:p>
        </w:tc>
        <w:tc>
          <w:tcPr>
            <w:tcW w:w="6251" w:type="dxa"/>
            <w:gridSpan w:val="4"/>
          </w:tcPr>
          <w:p w14:paraId="2E209362">
            <w:pPr>
              <w:pStyle w:val="957"/>
              <w:tabs>
                <w:tab w:val="left" w:pos="633"/>
              </w:tabs>
              <w:spacing w:before="178"/>
              <w:ind w:left="2"/>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税率</w:t>
            </w:r>
            <w:r>
              <w:rPr>
                <w:rFonts w:hint="eastAsia" w:ascii="仿宋" w:hAnsi="仿宋" w:eastAsia="仿宋" w:cs="仿宋"/>
                <w:color w:val="000000" w:themeColor="text1"/>
                <w:sz w:val="24"/>
                <w:szCs w:val="24"/>
                <w:highlight w:val="none"/>
                <w14:textFill>
                  <w14:solidFill>
                    <w14:schemeClr w14:val="tx1"/>
                  </w14:solidFill>
                </w14:textFill>
              </w:rPr>
              <w:tab/>
            </w:r>
            <w:r>
              <w:rPr>
                <w:rFonts w:hint="eastAsia" w:ascii="仿宋" w:hAnsi="仿宋" w:eastAsia="仿宋" w:cs="仿宋"/>
                <w:color w:val="000000" w:themeColor="text1"/>
                <w:sz w:val="24"/>
                <w:szCs w:val="24"/>
                <w:highlight w:val="none"/>
                <w14:textFill>
                  <w14:solidFill>
                    <w14:schemeClr w14:val="tx1"/>
                  </w14:solidFill>
                </w14:textFill>
              </w:rPr>
              <w:t>%</w:t>
            </w:r>
          </w:p>
        </w:tc>
      </w:tr>
    </w:tbl>
    <w:p w14:paraId="0EEC40CA">
      <w:pPr>
        <w:snapToGrid w:val="0"/>
        <w:spacing w:line="360" w:lineRule="auto"/>
        <w:ind w:left="480"/>
        <w:rPr>
          <w:rFonts w:hint="eastAsia" w:ascii="仿宋" w:hAnsi="仿宋" w:eastAsia="仿宋" w:cs="仿宋"/>
          <w:b/>
          <w:color w:val="000000" w:themeColor="text1"/>
          <w:kern w:val="0"/>
          <w:sz w:val="24"/>
          <w:highlight w:val="none"/>
          <w:lang w:val="zh-CN"/>
          <w14:textFill>
            <w14:solidFill>
              <w14:schemeClr w14:val="tx1"/>
            </w14:solidFill>
          </w14:textFill>
        </w:rPr>
      </w:pPr>
    </w:p>
    <w:p w14:paraId="51FFCF54">
      <w:pPr>
        <w:snapToGrid w:val="0"/>
        <w:spacing w:line="360" w:lineRule="auto"/>
        <w:ind w:left="480"/>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注：</w:t>
      </w:r>
    </w:p>
    <w:p w14:paraId="663BB5FA">
      <w:pPr>
        <w:numPr>
          <w:ilvl w:val="0"/>
          <w:numId w:val="12"/>
        </w:numPr>
        <w:spacing w:line="360" w:lineRule="auto"/>
        <w:ind w:left="-2" w:leftChars="-1"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投标人需按本表格式填写，不得自行更改。</w:t>
      </w:r>
    </w:p>
    <w:p w14:paraId="1D65ED01">
      <w:pPr>
        <w:pStyle w:val="26"/>
        <w:numPr>
          <w:ilvl w:val="0"/>
          <w:numId w:val="12"/>
        </w:numPr>
        <w:rPr>
          <w:rFonts w:hint="eastAsia" w:ascii="仿宋" w:hAnsi="仿宋" w:eastAsia="仿宋" w:cs="仿宋"/>
          <w:color w:val="000000" w:themeColor="text1"/>
          <w:kern w:val="0"/>
          <w:highlight w:val="none"/>
          <w:lang w:val="zh-CN"/>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投标</w:t>
      </w:r>
      <w:r>
        <w:rPr>
          <w:rFonts w:hint="eastAsia" w:ascii="仿宋" w:hAnsi="仿宋" w:eastAsia="仿宋" w:cs="仿宋"/>
          <w:color w:val="000000" w:themeColor="text1"/>
          <w:kern w:val="0"/>
          <w:highlight w:val="none"/>
          <w:lang w:eastAsia="zh-CN"/>
          <w14:textFill>
            <w14:solidFill>
              <w14:schemeClr w14:val="tx1"/>
            </w14:solidFill>
          </w14:textFill>
        </w:rPr>
        <w:t>报价</w:t>
      </w:r>
      <w:r>
        <w:rPr>
          <w:rFonts w:hint="eastAsia" w:ascii="仿宋" w:hAnsi="仿宋" w:eastAsia="仿宋" w:cs="仿宋"/>
          <w:color w:val="000000" w:themeColor="text1"/>
          <w:kern w:val="0"/>
          <w:highlight w:val="none"/>
          <w14:textFill>
            <w14:solidFill>
              <w14:schemeClr w14:val="tx1"/>
            </w14:solidFill>
          </w14:textFill>
        </w:rPr>
        <w:t>为一次性包干，今后不作调整。</w:t>
      </w:r>
    </w:p>
    <w:p w14:paraId="1ACD0C82">
      <w:pPr>
        <w:spacing w:line="360" w:lineRule="auto"/>
        <w:ind w:firstLine="482" w:firstLineChars="200"/>
        <w:rPr>
          <w:rFonts w:hint="eastAsia" w:ascii="宋体" w:hAnsi="宋体" w:eastAsia="宋体" w:cs="宋体"/>
          <w:b/>
          <w:color w:val="auto"/>
          <w:kern w:val="0"/>
          <w:sz w:val="24"/>
          <w:highlight w:val="none"/>
        </w:rPr>
      </w:pPr>
    </w:p>
    <w:p w14:paraId="22DE26E9">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14:paraId="5CDF0FAB">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w:t>
      </w:r>
    </w:p>
    <w:p w14:paraId="7261D686">
      <w:pPr>
        <w:autoSpaceDE w:val="0"/>
        <w:autoSpaceDN w:val="0"/>
        <w:spacing w:line="360" w:lineRule="auto"/>
        <w:ind w:left="2" w:leftChars="1" w:right="1120" w:firstLine="4560" w:firstLineChars="1900"/>
        <w:jc w:val="left"/>
        <w:rPr>
          <w:rFonts w:hint="eastAsia" w:ascii="宋体" w:hAnsi="宋体" w:eastAsia="宋体" w:cs="宋体"/>
          <w:color w:val="auto"/>
          <w:kern w:val="2"/>
          <w:sz w:val="32"/>
          <w:szCs w:val="32"/>
          <w:highlight w:val="none"/>
        </w:rPr>
        <w:sectPr>
          <w:pgSz w:w="11906" w:h="16838"/>
          <w:pgMar w:top="1247" w:right="1418" w:bottom="1276" w:left="1418" w:header="851" w:footer="992" w:gutter="0"/>
          <w:pgNumType w:fmt="decimal"/>
          <w:cols w:space="720" w:num="1"/>
          <w:titlePg/>
          <w:docGrid w:linePitch="312" w:charSpace="0"/>
        </w:sect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36A6C47C">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w:t>
      </w:r>
      <w:r>
        <w:rPr>
          <w:rFonts w:hint="eastAsia" w:ascii="宋体" w:hAnsi="宋体" w:eastAsia="宋体" w:cs="宋体"/>
          <w:b/>
          <w:color w:val="auto"/>
          <w:spacing w:val="6"/>
          <w:sz w:val="32"/>
          <w:szCs w:val="32"/>
          <w:highlight w:val="none"/>
          <w:lang w:val="en-US" w:eastAsia="zh-CN"/>
        </w:rPr>
        <w:t>1</w:t>
      </w:r>
      <w:r>
        <w:rPr>
          <w:rFonts w:hint="eastAsia" w:ascii="宋体" w:hAnsi="宋体" w:eastAsia="宋体" w:cs="宋体"/>
          <w:b/>
          <w:color w:val="auto"/>
          <w:spacing w:val="6"/>
          <w:sz w:val="32"/>
          <w:szCs w:val="32"/>
          <w:highlight w:val="none"/>
        </w:rPr>
        <w:t>：质疑函范本及制作说明</w:t>
      </w:r>
    </w:p>
    <w:p w14:paraId="007CB360">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11EC6AFA">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13E621C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70366C6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580970E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4AC681C4">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005FC48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6786C6E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32E98310">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3461030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1B870B1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0953C85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lang w:eastAsia="zh-CN"/>
        </w:rPr>
        <w:t>交易人</w:t>
      </w:r>
      <w:r>
        <w:rPr>
          <w:rFonts w:hint="eastAsia" w:ascii="宋体" w:hAnsi="宋体" w:eastAsia="宋体" w:cs="宋体"/>
          <w:color w:val="auto"/>
          <w:sz w:val="24"/>
          <w:highlight w:val="none"/>
        </w:rPr>
        <w:t>名称：</w:t>
      </w:r>
      <w:r>
        <w:rPr>
          <w:rFonts w:hint="eastAsia" w:ascii="宋体" w:hAnsi="宋体" w:eastAsia="宋体" w:cs="宋体"/>
          <w:color w:val="auto"/>
          <w:sz w:val="24"/>
          <w:highlight w:val="none"/>
          <w:u w:val="dotted"/>
        </w:rPr>
        <w:t xml:space="preserve">                                         </w:t>
      </w:r>
    </w:p>
    <w:p w14:paraId="34BB69D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73E3EFAC">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5958F502">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2A0AA192">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351CC5F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77F90F8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4BB1F56D">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0847AA7A">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513DA22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7453DDD9">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5CBF96A6">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729C3CE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23EFB5C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31DB3E59">
      <w:pPr>
        <w:spacing w:line="360" w:lineRule="auto"/>
        <w:jc w:val="center"/>
        <w:rPr>
          <w:rFonts w:hint="eastAsia" w:ascii="宋体" w:hAnsi="宋体" w:eastAsia="宋体" w:cs="宋体"/>
          <w:b/>
          <w:bCs/>
          <w:color w:val="auto"/>
          <w:sz w:val="24"/>
          <w:highlight w:val="none"/>
        </w:rPr>
      </w:pPr>
    </w:p>
    <w:p w14:paraId="2ED6EC8F">
      <w:pPr>
        <w:spacing w:line="360" w:lineRule="auto"/>
        <w:rPr>
          <w:rFonts w:hint="eastAsia" w:ascii="宋体" w:hAnsi="宋体" w:eastAsia="宋体" w:cs="宋体"/>
          <w:b/>
          <w:color w:val="auto"/>
          <w:sz w:val="24"/>
          <w:highlight w:val="none"/>
        </w:rPr>
      </w:pPr>
    </w:p>
    <w:p w14:paraId="03F6FC5D">
      <w:pPr>
        <w:spacing w:line="360" w:lineRule="auto"/>
        <w:rPr>
          <w:rFonts w:hint="eastAsia" w:ascii="宋体" w:hAnsi="宋体" w:eastAsia="宋体" w:cs="宋体"/>
          <w:b/>
          <w:color w:val="auto"/>
          <w:sz w:val="24"/>
          <w:highlight w:val="none"/>
        </w:rPr>
      </w:pPr>
    </w:p>
    <w:p w14:paraId="008E1CDF">
      <w:pPr>
        <w:spacing w:line="360" w:lineRule="auto"/>
        <w:rPr>
          <w:rFonts w:hint="eastAsia" w:ascii="宋体" w:hAnsi="宋体" w:eastAsia="宋体" w:cs="宋体"/>
          <w:b/>
          <w:color w:val="auto"/>
          <w:sz w:val="24"/>
          <w:highlight w:val="none"/>
        </w:rPr>
      </w:pPr>
    </w:p>
    <w:p w14:paraId="2AC5C502">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79535242">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3A12BAD1">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14E1B3C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3F9A1A95">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79707A0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3173CD84">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00E7A1C">
      <w:pPr>
        <w:widowControl/>
        <w:spacing w:line="360" w:lineRule="auto"/>
        <w:ind w:firstLine="600" w:firstLineChars="200"/>
        <w:jc w:val="left"/>
        <w:rPr>
          <w:rFonts w:hint="eastAsia" w:ascii="宋体" w:hAnsi="宋体" w:eastAsia="宋体" w:cs="宋体"/>
          <w:color w:val="auto"/>
          <w:sz w:val="30"/>
          <w:szCs w:val="30"/>
          <w:highlight w:val="none"/>
        </w:rPr>
      </w:pPr>
    </w:p>
    <w:p w14:paraId="4BA4754A">
      <w:pPr>
        <w:spacing w:line="360" w:lineRule="auto"/>
        <w:jc w:val="center"/>
        <w:rPr>
          <w:rFonts w:hint="eastAsia" w:ascii="宋体" w:hAnsi="宋体" w:eastAsia="宋体" w:cs="宋体"/>
          <w:b/>
          <w:color w:val="auto"/>
          <w:spacing w:val="6"/>
          <w:sz w:val="32"/>
          <w:szCs w:val="32"/>
          <w:highlight w:val="none"/>
        </w:rPr>
      </w:pPr>
    </w:p>
    <w:p w14:paraId="067C2770">
      <w:pPr>
        <w:spacing w:line="360" w:lineRule="auto"/>
        <w:jc w:val="center"/>
        <w:rPr>
          <w:rFonts w:hint="eastAsia" w:ascii="宋体" w:hAnsi="宋体" w:eastAsia="宋体" w:cs="宋体"/>
          <w:b/>
          <w:color w:val="auto"/>
          <w:spacing w:val="6"/>
          <w:sz w:val="32"/>
          <w:szCs w:val="32"/>
          <w:highlight w:val="none"/>
        </w:rPr>
      </w:pPr>
    </w:p>
    <w:p w14:paraId="65D14E10">
      <w:pPr>
        <w:spacing w:line="360" w:lineRule="auto"/>
        <w:jc w:val="center"/>
        <w:rPr>
          <w:rFonts w:hint="eastAsia" w:ascii="宋体" w:hAnsi="宋体" w:eastAsia="宋体" w:cs="宋体"/>
          <w:b/>
          <w:color w:val="auto"/>
          <w:spacing w:val="6"/>
          <w:sz w:val="32"/>
          <w:szCs w:val="32"/>
          <w:highlight w:val="none"/>
        </w:rPr>
      </w:pPr>
    </w:p>
    <w:p w14:paraId="4CCC6CDA">
      <w:pPr>
        <w:spacing w:line="360" w:lineRule="auto"/>
        <w:jc w:val="center"/>
        <w:rPr>
          <w:rFonts w:hint="eastAsia" w:ascii="宋体" w:hAnsi="宋体" w:eastAsia="宋体" w:cs="宋体"/>
          <w:b/>
          <w:color w:val="auto"/>
          <w:spacing w:val="6"/>
          <w:sz w:val="32"/>
          <w:szCs w:val="32"/>
          <w:highlight w:val="none"/>
        </w:rPr>
      </w:pPr>
    </w:p>
    <w:p w14:paraId="136EF5BF">
      <w:pPr>
        <w:spacing w:line="360" w:lineRule="auto"/>
        <w:jc w:val="center"/>
        <w:rPr>
          <w:rFonts w:hint="eastAsia" w:ascii="宋体" w:hAnsi="宋体" w:eastAsia="宋体" w:cs="宋体"/>
          <w:b/>
          <w:color w:val="auto"/>
          <w:spacing w:val="6"/>
          <w:sz w:val="32"/>
          <w:szCs w:val="32"/>
          <w:highlight w:val="none"/>
        </w:rPr>
      </w:pPr>
    </w:p>
    <w:p w14:paraId="38895253">
      <w:pPr>
        <w:spacing w:line="360" w:lineRule="auto"/>
        <w:jc w:val="center"/>
        <w:rPr>
          <w:rFonts w:hint="eastAsia" w:ascii="宋体" w:hAnsi="宋体" w:eastAsia="宋体" w:cs="宋体"/>
          <w:b/>
          <w:color w:val="auto"/>
          <w:spacing w:val="6"/>
          <w:sz w:val="32"/>
          <w:szCs w:val="32"/>
          <w:highlight w:val="none"/>
        </w:rPr>
      </w:pPr>
    </w:p>
    <w:p w14:paraId="053D2496">
      <w:pPr>
        <w:spacing w:line="360" w:lineRule="auto"/>
        <w:jc w:val="center"/>
        <w:rPr>
          <w:rFonts w:hint="eastAsia" w:ascii="宋体" w:hAnsi="宋体" w:eastAsia="宋体" w:cs="宋体"/>
          <w:b/>
          <w:color w:val="auto"/>
          <w:spacing w:val="6"/>
          <w:sz w:val="32"/>
          <w:szCs w:val="32"/>
          <w:highlight w:val="none"/>
        </w:rPr>
      </w:pPr>
    </w:p>
    <w:p w14:paraId="4053B46E">
      <w:pPr>
        <w:spacing w:line="360" w:lineRule="auto"/>
        <w:jc w:val="center"/>
        <w:rPr>
          <w:rFonts w:hint="eastAsia" w:ascii="宋体" w:hAnsi="宋体" w:eastAsia="宋体" w:cs="宋体"/>
          <w:b/>
          <w:color w:val="auto"/>
          <w:spacing w:val="6"/>
          <w:sz w:val="32"/>
          <w:szCs w:val="32"/>
          <w:highlight w:val="none"/>
        </w:rPr>
      </w:pPr>
    </w:p>
    <w:p w14:paraId="6A687862">
      <w:pPr>
        <w:spacing w:line="360" w:lineRule="auto"/>
        <w:jc w:val="center"/>
        <w:rPr>
          <w:rFonts w:hint="eastAsia" w:ascii="宋体" w:hAnsi="宋体" w:eastAsia="宋体" w:cs="宋体"/>
          <w:b/>
          <w:color w:val="auto"/>
          <w:spacing w:val="6"/>
          <w:sz w:val="32"/>
          <w:szCs w:val="32"/>
          <w:highlight w:val="none"/>
        </w:rPr>
      </w:pPr>
    </w:p>
    <w:p w14:paraId="13C8E060">
      <w:pPr>
        <w:spacing w:line="360" w:lineRule="auto"/>
        <w:jc w:val="center"/>
        <w:rPr>
          <w:rFonts w:hint="eastAsia" w:ascii="宋体" w:hAnsi="宋体" w:eastAsia="宋体" w:cs="宋体"/>
          <w:b/>
          <w:color w:val="auto"/>
          <w:spacing w:val="6"/>
          <w:sz w:val="32"/>
          <w:szCs w:val="32"/>
          <w:highlight w:val="none"/>
        </w:rPr>
      </w:pPr>
    </w:p>
    <w:p w14:paraId="15B7D587">
      <w:pPr>
        <w:spacing w:line="360" w:lineRule="auto"/>
        <w:jc w:val="center"/>
        <w:rPr>
          <w:rFonts w:hint="eastAsia" w:ascii="宋体" w:hAnsi="宋体" w:eastAsia="宋体" w:cs="宋体"/>
          <w:b/>
          <w:color w:val="auto"/>
          <w:spacing w:val="6"/>
          <w:sz w:val="32"/>
          <w:szCs w:val="32"/>
          <w:highlight w:val="none"/>
        </w:rPr>
      </w:pPr>
    </w:p>
    <w:p w14:paraId="40CD7F76">
      <w:pPr>
        <w:spacing w:line="360" w:lineRule="auto"/>
        <w:jc w:val="center"/>
        <w:rPr>
          <w:rFonts w:hint="eastAsia" w:ascii="宋体" w:hAnsi="宋体" w:eastAsia="宋体" w:cs="宋体"/>
          <w:b/>
          <w:color w:val="auto"/>
          <w:spacing w:val="6"/>
          <w:sz w:val="32"/>
          <w:szCs w:val="32"/>
          <w:highlight w:val="none"/>
        </w:rPr>
      </w:pPr>
    </w:p>
    <w:p w14:paraId="07E6E3E9">
      <w:pPr>
        <w:spacing w:line="360" w:lineRule="auto"/>
        <w:jc w:val="left"/>
        <w:rPr>
          <w:rFonts w:hint="eastAsia" w:ascii="宋体" w:hAnsi="宋体" w:eastAsia="宋体" w:cs="宋体"/>
          <w:b/>
          <w:color w:val="auto"/>
          <w:spacing w:val="6"/>
          <w:sz w:val="32"/>
          <w:szCs w:val="32"/>
          <w:highlight w:val="none"/>
        </w:rPr>
      </w:pPr>
    </w:p>
    <w:p w14:paraId="1D3AC973">
      <w:pPr>
        <w:spacing w:line="360" w:lineRule="auto"/>
        <w:jc w:val="left"/>
        <w:rPr>
          <w:rFonts w:hint="eastAsia" w:ascii="宋体" w:hAnsi="宋体" w:eastAsia="宋体" w:cs="宋体"/>
          <w:b/>
          <w:color w:val="auto"/>
          <w:spacing w:val="6"/>
          <w:sz w:val="32"/>
          <w:szCs w:val="32"/>
          <w:highlight w:val="none"/>
        </w:rPr>
      </w:pPr>
    </w:p>
    <w:p w14:paraId="7A3F1EE4">
      <w:pPr>
        <w:autoSpaceDE w:val="0"/>
        <w:autoSpaceDN w:val="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w:t>
      </w:r>
      <w:r>
        <w:rPr>
          <w:rFonts w:hint="eastAsia" w:ascii="宋体" w:hAnsi="宋体" w:eastAsia="宋体" w:cs="宋体"/>
          <w:b/>
          <w:color w:val="auto"/>
          <w:spacing w:val="6"/>
          <w:sz w:val="32"/>
          <w:szCs w:val="32"/>
          <w:highlight w:val="none"/>
          <w:lang w:val="en-US" w:eastAsia="zh-CN"/>
        </w:rPr>
        <w:t>2</w:t>
      </w:r>
      <w:r>
        <w:rPr>
          <w:rFonts w:hint="eastAsia" w:ascii="宋体" w:hAnsi="宋体" w:eastAsia="宋体" w:cs="宋体"/>
          <w:b/>
          <w:color w:val="auto"/>
          <w:spacing w:val="6"/>
          <w:sz w:val="32"/>
          <w:szCs w:val="32"/>
          <w:highlight w:val="none"/>
        </w:rPr>
        <w:t>：</w:t>
      </w:r>
    </w:p>
    <w:p w14:paraId="08D14C01">
      <w:pPr>
        <w:autoSpaceDE w:val="0"/>
        <w:autoSpaceDN w:val="0"/>
        <w:jc w:val="center"/>
        <w:rPr>
          <w:rFonts w:hint="eastAsia" w:ascii="宋体" w:hAnsi="宋体" w:eastAsia="宋体" w:cs="宋体"/>
          <w:b/>
          <w:bCs/>
          <w:color w:val="auto"/>
          <w:sz w:val="32"/>
          <w:szCs w:val="32"/>
          <w:highlight w:val="none"/>
        </w:rPr>
      </w:pPr>
    </w:p>
    <w:p w14:paraId="4F177B92">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业务专用章使用说明函</w:t>
      </w:r>
    </w:p>
    <w:p w14:paraId="3306728D">
      <w:pPr>
        <w:spacing w:line="360" w:lineRule="auto"/>
        <w:rPr>
          <w:rFonts w:hint="eastAsia" w:ascii="宋体" w:hAnsi="宋体" w:eastAsia="宋体" w:cs="宋体"/>
          <w:color w:val="auto"/>
          <w:sz w:val="24"/>
          <w:highlight w:val="none"/>
          <w:u w:val="single"/>
        </w:rPr>
      </w:pPr>
    </w:p>
    <w:p w14:paraId="308F4D9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交易人</w:t>
      </w:r>
      <w:r>
        <w:rPr>
          <w:rFonts w:hint="eastAsia" w:ascii="宋体" w:hAnsi="宋体" w:eastAsia="宋体" w:cs="宋体"/>
          <w:color w:val="auto"/>
          <w:sz w:val="24"/>
          <w:highlight w:val="none"/>
          <w:u w:val="single"/>
        </w:rPr>
        <w:t>）、（采购代理机构）</w:t>
      </w:r>
    </w:p>
    <w:p w14:paraId="55D45A8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w:t>
      </w:r>
      <w:r>
        <w:rPr>
          <w:rFonts w:hint="eastAsia" w:ascii="宋体" w:hAnsi="宋体" w:eastAsia="宋体" w:cs="宋体"/>
          <w:color w:val="auto"/>
          <w:sz w:val="24"/>
          <w:highlight w:val="none"/>
          <w:u w:val="single"/>
        </w:rPr>
        <w:t>（项目名称）项目【</w:t>
      </w:r>
      <w:r>
        <w:rPr>
          <w:rFonts w:hint="eastAsia" w:ascii="宋体" w:hAnsi="宋体" w:eastAsia="宋体" w:cs="宋体"/>
          <w:color w:val="auto"/>
          <w:sz w:val="24"/>
          <w:highlight w:val="none"/>
          <w:u w:val="single"/>
          <w:lang w:eastAsia="zh-CN"/>
        </w:rPr>
        <w:t>交易编号</w:t>
      </w:r>
      <w:r>
        <w:rPr>
          <w:rFonts w:hint="eastAsia" w:ascii="宋体" w:hAnsi="宋体" w:eastAsia="宋体" w:cs="宋体"/>
          <w:color w:val="auto"/>
          <w:sz w:val="24"/>
          <w:highlight w:val="none"/>
          <w:u w:val="single"/>
        </w:rPr>
        <w:t>：（采购编号）】</w:t>
      </w:r>
      <w:r>
        <w:rPr>
          <w:rFonts w:hint="eastAsia" w:ascii="宋体" w:hAnsi="宋体" w:cs="宋体"/>
          <w:color w:val="auto"/>
          <w:sz w:val="24"/>
          <w:highlight w:val="none"/>
          <w:u w:val="single"/>
          <w:lang w:val="en-US" w:eastAsia="zh-CN"/>
        </w:rPr>
        <w:t>交易</w:t>
      </w:r>
      <w:r>
        <w:rPr>
          <w:rFonts w:hint="eastAsia" w:ascii="宋体" w:hAnsi="宋体" w:eastAsia="宋体" w:cs="宋体"/>
          <w:bCs/>
          <w:color w:val="auto"/>
          <w:sz w:val="24"/>
          <w:highlight w:val="none"/>
        </w:rPr>
        <w:t>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2B4DB2E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123A91C7">
      <w:pPr>
        <w:spacing w:line="360" w:lineRule="auto"/>
        <w:ind w:firstLine="494"/>
        <w:rPr>
          <w:rFonts w:hint="eastAsia" w:ascii="宋体" w:hAnsi="宋体" w:eastAsia="宋体" w:cs="宋体"/>
          <w:color w:val="auto"/>
          <w:sz w:val="24"/>
          <w:highlight w:val="none"/>
        </w:rPr>
      </w:pPr>
    </w:p>
    <w:p w14:paraId="298E4145">
      <w:pPr>
        <w:spacing w:line="360" w:lineRule="auto"/>
        <w:ind w:firstLine="494"/>
        <w:rPr>
          <w:rFonts w:hint="eastAsia" w:ascii="宋体" w:hAnsi="宋体" w:eastAsia="宋体" w:cs="宋体"/>
          <w:color w:val="auto"/>
          <w:sz w:val="24"/>
          <w:highlight w:val="none"/>
        </w:rPr>
      </w:pPr>
    </w:p>
    <w:p w14:paraId="47ACE949">
      <w:pPr>
        <w:spacing w:line="360" w:lineRule="auto"/>
        <w:ind w:firstLine="494"/>
        <w:rPr>
          <w:rFonts w:hint="eastAsia" w:ascii="宋体" w:hAnsi="宋体" w:eastAsia="宋体" w:cs="宋体"/>
          <w:color w:val="auto"/>
          <w:sz w:val="24"/>
          <w:highlight w:val="none"/>
        </w:rPr>
      </w:pPr>
    </w:p>
    <w:p w14:paraId="1AD38830">
      <w:pPr>
        <w:spacing w:line="360" w:lineRule="auto"/>
        <w:ind w:firstLine="494"/>
        <w:rPr>
          <w:rFonts w:hint="eastAsia" w:ascii="宋体" w:hAnsi="宋体" w:eastAsia="宋体" w:cs="宋体"/>
          <w:color w:val="auto"/>
          <w:sz w:val="24"/>
          <w:highlight w:val="none"/>
        </w:rPr>
      </w:pPr>
    </w:p>
    <w:p w14:paraId="29F92CAC">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（法定名称章）：</w:t>
      </w:r>
    </w:p>
    <w:p w14:paraId="6E8B0C5C">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3F1EFD03">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2A23D006">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6D6FBD7C">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6D6FBD7C">
                      <w:pPr>
                        <w:jc w:val="center"/>
                      </w:pPr>
                    </w:p>
                  </w:txbxContent>
                </v:textbox>
              </v:rect>
            </w:pict>
          </mc:Fallback>
        </mc:AlternateConten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 xml:space="preserve">法定名称章（印模）                </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“XX专用章”（印模）</w:t>
      </w:r>
    </w:p>
    <w:p w14:paraId="211E2A83">
      <w:pPr>
        <w:autoSpaceDE w:val="0"/>
        <w:autoSpaceDN w:val="0"/>
        <w:jc w:val="center"/>
        <w:rPr>
          <w:rFonts w:hint="eastAsia" w:ascii="宋体" w:hAnsi="宋体" w:eastAsia="宋体" w:cs="宋体"/>
          <w:b/>
          <w:color w:val="auto"/>
          <w:spacing w:val="6"/>
          <w:sz w:val="32"/>
          <w:szCs w:val="32"/>
          <w:highlight w:val="none"/>
        </w:rPr>
      </w:pPr>
    </w:p>
    <w:p w14:paraId="553AAE64">
      <w:pPr>
        <w:autoSpaceDE w:val="0"/>
        <w:autoSpaceDN w:val="0"/>
        <w:jc w:val="center"/>
        <w:rPr>
          <w:rFonts w:hint="eastAsia" w:ascii="宋体" w:hAnsi="宋体" w:eastAsia="宋体" w:cs="宋体"/>
          <w:b/>
          <w:color w:val="auto"/>
          <w:spacing w:val="6"/>
          <w:sz w:val="32"/>
          <w:szCs w:val="32"/>
          <w:highlight w:val="none"/>
        </w:rPr>
      </w:pPr>
    </w:p>
    <w:p w14:paraId="7D78958D">
      <w:pPr>
        <w:autoSpaceDE w:val="0"/>
        <w:autoSpaceDN w:val="0"/>
        <w:jc w:val="center"/>
        <w:rPr>
          <w:rFonts w:hint="eastAsia" w:ascii="宋体" w:hAnsi="宋体" w:eastAsia="宋体" w:cs="宋体"/>
          <w:b/>
          <w:color w:val="auto"/>
          <w:spacing w:val="6"/>
          <w:sz w:val="32"/>
          <w:szCs w:val="32"/>
          <w:highlight w:val="none"/>
        </w:rPr>
      </w:pPr>
    </w:p>
    <w:p w14:paraId="6CF6811A">
      <w:pPr>
        <w:autoSpaceDE w:val="0"/>
        <w:autoSpaceDN w:val="0"/>
        <w:jc w:val="center"/>
        <w:rPr>
          <w:rFonts w:hint="eastAsia" w:ascii="宋体" w:hAnsi="宋体" w:eastAsia="宋体" w:cs="宋体"/>
          <w:b/>
          <w:color w:val="auto"/>
          <w:spacing w:val="6"/>
          <w:sz w:val="32"/>
          <w:szCs w:val="32"/>
          <w:highlight w:val="none"/>
        </w:rPr>
      </w:pPr>
    </w:p>
    <w:p w14:paraId="372898AC">
      <w:pPr>
        <w:autoSpaceDE w:val="0"/>
        <w:autoSpaceDN w:val="0"/>
        <w:jc w:val="center"/>
        <w:rPr>
          <w:rFonts w:hint="eastAsia" w:ascii="宋体" w:hAnsi="宋体" w:eastAsia="宋体" w:cs="宋体"/>
          <w:b/>
          <w:color w:val="auto"/>
          <w:spacing w:val="6"/>
          <w:sz w:val="32"/>
          <w:szCs w:val="32"/>
          <w:highlight w:val="none"/>
        </w:rPr>
      </w:pPr>
    </w:p>
    <w:p w14:paraId="0F8952C1">
      <w:pPr>
        <w:autoSpaceDE w:val="0"/>
        <w:autoSpaceDN w:val="0"/>
        <w:jc w:val="center"/>
        <w:rPr>
          <w:rFonts w:hint="eastAsia" w:ascii="宋体" w:hAnsi="宋体" w:eastAsia="宋体" w:cs="宋体"/>
          <w:b/>
          <w:color w:val="auto"/>
          <w:spacing w:val="6"/>
          <w:sz w:val="32"/>
          <w:szCs w:val="32"/>
          <w:highlight w:val="none"/>
        </w:rPr>
      </w:pPr>
    </w:p>
    <w:p w14:paraId="5140C6CD">
      <w:pPr>
        <w:autoSpaceDE w:val="0"/>
        <w:autoSpaceDN w:val="0"/>
        <w:jc w:val="center"/>
        <w:rPr>
          <w:rFonts w:hint="eastAsia" w:ascii="宋体" w:hAnsi="宋体" w:eastAsia="宋体" w:cs="宋体"/>
          <w:b/>
          <w:color w:val="auto"/>
          <w:spacing w:val="6"/>
          <w:sz w:val="32"/>
          <w:szCs w:val="32"/>
          <w:highlight w:val="none"/>
        </w:rPr>
      </w:pPr>
    </w:p>
    <w:p w14:paraId="72F868CA">
      <w:pPr>
        <w:autoSpaceDE w:val="0"/>
        <w:autoSpaceDN w:val="0"/>
        <w:jc w:val="center"/>
        <w:rPr>
          <w:rFonts w:hint="eastAsia" w:ascii="宋体" w:hAnsi="宋体" w:eastAsia="宋体" w:cs="宋体"/>
          <w:b/>
          <w:color w:val="auto"/>
          <w:spacing w:val="6"/>
          <w:sz w:val="32"/>
          <w:szCs w:val="32"/>
          <w:highlight w:val="none"/>
        </w:rPr>
      </w:pPr>
    </w:p>
    <w:p w14:paraId="07B4CF21">
      <w:pPr>
        <w:autoSpaceDE w:val="0"/>
        <w:autoSpaceDN w:val="0"/>
        <w:jc w:val="center"/>
        <w:rPr>
          <w:rFonts w:hint="eastAsia" w:ascii="宋体" w:hAnsi="宋体" w:eastAsia="宋体" w:cs="宋体"/>
          <w:b/>
          <w:color w:val="auto"/>
          <w:spacing w:val="6"/>
          <w:sz w:val="32"/>
          <w:szCs w:val="32"/>
          <w:highlight w:val="none"/>
        </w:rPr>
      </w:pPr>
    </w:p>
    <w:p w14:paraId="6B356F47">
      <w:pPr>
        <w:autoSpaceDE w:val="0"/>
        <w:autoSpaceDN w:val="0"/>
        <w:jc w:val="center"/>
        <w:rPr>
          <w:rFonts w:hint="eastAsia" w:ascii="宋体" w:hAnsi="宋体" w:eastAsia="宋体" w:cs="宋体"/>
          <w:b/>
          <w:color w:val="auto"/>
          <w:spacing w:val="6"/>
          <w:sz w:val="32"/>
          <w:szCs w:val="32"/>
          <w:highlight w:val="none"/>
        </w:rPr>
      </w:pPr>
    </w:p>
    <w:p w14:paraId="5BFDDA8C">
      <w:pPr>
        <w:autoSpaceDE w:val="0"/>
        <w:autoSpaceDN w:val="0"/>
        <w:jc w:val="center"/>
        <w:rPr>
          <w:rFonts w:hint="eastAsia" w:ascii="宋体" w:hAnsi="宋体" w:eastAsia="宋体" w:cs="宋体"/>
          <w:b/>
          <w:color w:val="auto"/>
          <w:spacing w:val="6"/>
          <w:sz w:val="32"/>
          <w:szCs w:val="32"/>
          <w:highlight w:val="none"/>
        </w:rPr>
      </w:pPr>
    </w:p>
    <w:p w14:paraId="48E96257">
      <w:pPr>
        <w:autoSpaceDE w:val="0"/>
        <w:autoSpaceDN w:val="0"/>
        <w:jc w:val="center"/>
        <w:rPr>
          <w:rFonts w:hint="eastAsia" w:ascii="宋体" w:hAnsi="宋体" w:eastAsia="宋体" w:cs="宋体"/>
          <w:b/>
          <w:color w:val="auto"/>
          <w:spacing w:val="6"/>
          <w:sz w:val="32"/>
          <w:szCs w:val="32"/>
          <w:highlight w:val="none"/>
        </w:rPr>
      </w:pPr>
    </w:p>
    <w:p w14:paraId="3036963D">
      <w:pPr>
        <w:autoSpaceDE w:val="0"/>
        <w:autoSpaceDN w:val="0"/>
        <w:jc w:val="center"/>
        <w:rPr>
          <w:rFonts w:hint="eastAsia" w:ascii="宋体" w:hAnsi="宋体" w:eastAsia="宋体" w:cs="宋体"/>
          <w:b/>
          <w:color w:val="auto"/>
          <w:spacing w:val="6"/>
          <w:sz w:val="32"/>
          <w:szCs w:val="32"/>
          <w:highlight w:val="none"/>
        </w:rPr>
      </w:pPr>
    </w:p>
    <w:p w14:paraId="47DCBBCD">
      <w:pPr>
        <w:autoSpaceDE w:val="0"/>
        <w:autoSpaceDN w:val="0"/>
        <w:jc w:val="center"/>
        <w:rPr>
          <w:rFonts w:hint="eastAsia" w:ascii="宋体" w:hAnsi="宋体" w:eastAsia="宋体" w:cs="宋体"/>
          <w:b/>
          <w:color w:val="auto"/>
          <w:spacing w:val="6"/>
          <w:sz w:val="32"/>
          <w:szCs w:val="32"/>
          <w:highlight w:val="none"/>
        </w:rPr>
      </w:pPr>
    </w:p>
    <w:sectPr>
      <w:headerReference r:id="rId12" w:type="first"/>
      <w:footerReference r:id="rId15" w:type="first"/>
      <w:headerReference r:id="rId11" w:type="default"/>
      <w:footerReference r:id="rId13" w:type="default"/>
      <w:footerReference r:id="rId14"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90EE2">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C9AAEC">
                          <w:pPr>
                            <w:pStyle w:val="41"/>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3AC9AAEC">
                    <w:pPr>
                      <w:pStyle w:val="41"/>
                    </w:pPr>
                    <w:r>
                      <w:t xml:space="preserve">第 </w:t>
                    </w:r>
                    <w:r>
                      <w:fldChar w:fldCharType="begin"/>
                    </w:r>
                    <w:r>
                      <w:instrText xml:space="preserve"> PAGE  \* MERGEFORMAT </w:instrText>
                    </w:r>
                    <w:r>
                      <w:fldChar w:fldCharType="separate"/>
                    </w:r>
                    <w:r>
                      <w:t>34</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p>
  <w:p w14:paraId="3A0D8A83">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8A17F">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BE735A">
                          <w:pPr>
                            <w:pStyle w:val="41"/>
                          </w:pPr>
                          <w:r>
                            <w:t xml:space="preserve">第 </w:t>
                          </w:r>
                          <w:r>
                            <w:fldChar w:fldCharType="begin"/>
                          </w:r>
                          <w:r>
                            <w:instrText xml:space="preserve"> PAGE  \* MERGEFORMAT </w:instrText>
                          </w:r>
                          <w:r>
                            <w:fldChar w:fldCharType="separate"/>
                          </w:r>
                          <w:r>
                            <w:t>33</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FBE735A">
                    <w:pPr>
                      <w:pStyle w:val="41"/>
                    </w:pPr>
                    <w:r>
                      <w:t xml:space="preserve">第 </w:t>
                    </w:r>
                    <w:r>
                      <w:fldChar w:fldCharType="begin"/>
                    </w:r>
                    <w:r>
                      <w:instrText xml:space="preserve"> PAGE  \* MERGEFORMAT </w:instrText>
                    </w:r>
                    <w:r>
                      <w:fldChar w:fldCharType="separate"/>
                    </w:r>
                    <w:r>
                      <w:t>33</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p>
  <w:p w14:paraId="474FB72E">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EF4F9">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16FFC8">
                          <w:pPr>
                            <w:pStyle w:val="41"/>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616FFC8">
                    <w:pPr>
                      <w:pStyle w:val="41"/>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p>
  <w:p w14:paraId="054976ED">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AF7B3">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7F719C">
                          <w:pPr>
                            <w:pStyle w:val="41"/>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3A7F719C">
                    <w:pPr>
                      <w:pStyle w:val="41"/>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p>
  <w:p w14:paraId="658B086E">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C76EB">
    <w:pPr>
      <w:pStyle w:val="41"/>
      <w:jc w:val="center"/>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B00916">
                          <w:pPr>
                            <w:pStyle w:val="41"/>
                          </w:pPr>
                          <w:r>
                            <w:t xml:space="preserve">第 </w:t>
                          </w:r>
                          <w:r>
                            <w:fldChar w:fldCharType="begin"/>
                          </w:r>
                          <w:r>
                            <w:instrText xml:space="preserve"> PAGE  \* MERGEFORMAT </w:instrText>
                          </w:r>
                          <w:r>
                            <w:fldChar w:fldCharType="separate"/>
                          </w:r>
                          <w:r>
                            <w:t>46</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5AB00916">
                    <w:pPr>
                      <w:pStyle w:val="41"/>
                    </w:pPr>
                    <w:r>
                      <w:t xml:space="preserve">第 </w:t>
                    </w:r>
                    <w:r>
                      <w:fldChar w:fldCharType="begin"/>
                    </w:r>
                    <w:r>
                      <w:instrText xml:space="preserve"> PAGE  \* MERGEFORMAT </w:instrText>
                    </w:r>
                    <w:r>
                      <w:fldChar w:fldCharType="separate"/>
                    </w:r>
                    <w:r>
                      <w:t>46</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F81B3">
    <w:pPr>
      <w:pStyle w:val="41"/>
      <w:framePr w:wrap="around" w:vAnchor="text" w:hAnchor="margin" w:xAlign="right" w:y="1"/>
      <w:rPr>
        <w:rStyle w:val="72"/>
      </w:rPr>
    </w:pPr>
    <w:r>
      <w:fldChar w:fldCharType="begin"/>
    </w:r>
    <w:r>
      <w:rPr>
        <w:rStyle w:val="72"/>
      </w:rPr>
      <w:instrText xml:space="preserve">PAGE  </w:instrText>
    </w:r>
    <w:r>
      <w:fldChar w:fldCharType="end"/>
    </w:r>
  </w:p>
  <w:p w14:paraId="19D9CD9F">
    <w:pPr>
      <w:pStyle w:val="41"/>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467EE">
    <w:pPr>
      <w:pStyle w:val="41"/>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6A55B6">
                          <w:pPr>
                            <w:pStyle w:val="41"/>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6A6A55B6">
                    <w:pPr>
                      <w:pStyle w:val="41"/>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49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9BF2B">
    <w:pPr>
      <w:pStyle w:val="42"/>
      <w:rPr>
        <w:rFonts w:hint="default" w:eastAsia="宋体"/>
        <w:lang w:val="en-US" w:eastAsia="zh-CN"/>
      </w:rPr>
    </w:pPr>
    <w:r>
      <w:rPr>
        <w:rFonts w:hint="eastAsia"/>
        <w:lang w:val="en-US" w:eastAsia="zh-CN"/>
      </w:rPr>
      <w:t xml:space="preserve">                                                                                         交易文件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1DE38">
    <w:pPr>
      <w:pStyle w:val="42"/>
    </w:pPr>
    <w:r>
      <w:rPr>
        <w:rFonts w:hint="eastAsia"/>
        <w:lang w:val="en-US" w:eastAsia="zh-CN"/>
      </w:rPr>
      <w:t xml:space="preserve">                                                                                         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A6E863">
    <w:pPr>
      <w:pStyle w:val="4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206C3">
    <w:pPr>
      <w:pStyle w:val="42"/>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314CC">
    <w:pPr>
      <w:pStyle w:val="42"/>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D2154">
    <w:pPr>
      <w:pStyle w:val="42"/>
      <w:rPr>
        <w:rFonts w:hint="eastAsia" w:eastAsia="宋体"/>
        <w:lang w:eastAsia="zh-CN"/>
      </w:rPr>
    </w:pPr>
    <w:r>
      <w:t></w:t>
    </w:r>
    <w:r>
      <w:rPr>
        <w:rFonts w:hint="eastAsia"/>
      </w:rPr>
      <w:t xml:space="preserve">                                             </w:t>
    </w:r>
    <w:r>
      <w:t>杭州市采购公开</w:t>
    </w:r>
    <w:r>
      <w:rPr>
        <w:rFonts w:hint="eastAsia"/>
        <w:lang w:eastAsia="zh-CN"/>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B115AC"/>
    <w:multiLevelType w:val="multilevel"/>
    <w:tmpl w:val="8BB115AC"/>
    <w:lvl w:ilvl="0" w:tentative="0">
      <w:start w:val="1"/>
      <w:numFmt w:val="decimal"/>
      <w:lvlText w:val="%1."/>
      <w:lvlJc w:val="left"/>
      <w:pPr>
        <w:ind w:left="420" w:hanging="420"/>
      </w:pPr>
      <w:rPr>
        <w:rFonts w:ascii="宋体" w:hAnsi="宋体" w:eastAsia="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BFFFF310"/>
    <w:multiLevelType w:val="singleLevel"/>
    <w:tmpl w:val="BFFFF310"/>
    <w:lvl w:ilvl="0" w:tentative="0">
      <w:start w:val="8"/>
      <w:numFmt w:val="chineseCounting"/>
      <w:suff w:val="nothing"/>
      <w:lvlText w:val="%1、"/>
      <w:lvlJc w:val="left"/>
      <w:rPr>
        <w:rFonts w:hint="eastAsia"/>
      </w:rPr>
    </w:lvl>
  </w:abstractNum>
  <w:abstractNum w:abstractNumId="2">
    <w:nsid w:val="F0BA277B"/>
    <w:multiLevelType w:val="multilevel"/>
    <w:tmpl w:val="F0BA277B"/>
    <w:lvl w:ilvl="0" w:tentative="0">
      <w:start w:val="1"/>
      <w:numFmt w:val="chineseCountingThousand"/>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9A544C0"/>
    <w:multiLevelType w:val="singleLevel"/>
    <w:tmpl w:val="29A544C0"/>
    <w:lvl w:ilvl="0" w:tentative="0">
      <w:start w:val="1"/>
      <w:numFmt w:val="decimal"/>
      <w:lvlText w:val="%1."/>
      <w:lvlJc w:val="left"/>
      <w:pPr>
        <w:tabs>
          <w:tab w:val="left" w:pos="312"/>
        </w:tabs>
      </w:pPr>
    </w:lvl>
  </w:abstractNum>
  <w:abstractNum w:abstractNumId="4">
    <w:nsid w:val="39517E8C"/>
    <w:multiLevelType w:val="singleLevel"/>
    <w:tmpl w:val="39517E8C"/>
    <w:lvl w:ilvl="0" w:tentative="0">
      <w:start w:val="1"/>
      <w:numFmt w:val="chineseCounting"/>
      <w:suff w:val="nothing"/>
      <w:lvlText w:val="（%1）"/>
      <w:lvlJc w:val="left"/>
      <w:rPr>
        <w:rFonts w:hint="eastAsia"/>
      </w:rPr>
    </w:lvl>
  </w:abstractNum>
  <w:abstractNum w:abstractNumId="5">
    <w:nsid w:val="425C7F31"/>
    <w:multiLevelType w:val="multilevel"/>
    <w:tmpl w:val="425C7F31"/>
    <w:lvl w:ilvl="0" w:tentative="0">
      <w:start w:val="1"/>
      <w:numFmt w:val="chineseCountingThousand"/>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34CA0FB"/>
    <w:multiLevelType w:val="singleLevel"/>
    <w:tmpl w:val="434CA0FB"/>
    <w:lvl w:ilvl="0" w:tentative="0">
      <w:start w:val="14"/>
      <w:numFmt w:val="decimal"/>
      <w:lvlText w:val="%1."/>
      <w:lvlJc w:val="left"/>
      <w:pPr>
        <w:tabs>
          <w:tab w:val="left" w:pos="312"/>
        </w:tabs>
      </w:pPr>
    </w:lvl>
  </w:abstractNum>
  <w:abstractNum w:abstractNumId="7">
    <w:nsid w:val="43771B9E"/>
    <w:multiLevelType w:val="singleLevel"/>
    <w:tmpl w:val="43771B9E"/>
    <w:lvl w:ilvl="0" w:tentative="0">
      <w:start w:val="1"/>
      <w:numFmt w:val="decimal"/>
      <w:suff w:val="nothing"/>
      <w:lvlText w:val="%1、"/>
      <w:lvlJc w:val="left"/>
    </w:lvl>
  </w:abstractNum>
  <w:abstractNum w:abstractNumId="8">
    <w:nsid w:val="5559833E"/>
    <w:multiLevelType w:val="singleLevel"/>
    <w:tmpl w:val="5559833E"/>
    <w:lvl w:ilvl="0" w:tentative="0">
      <w:start w:val="1"/>
      <w:numFmt w:val="chineseCounting"/>
      <w:suff w:val="nothing"/>
      <w:lvlText w:val="%1、"/>
      <w:lvlJc w:val="left"/>
      <w:pPr>
        <w:ind w:left="0" w:firstLine="0"/>
      </w:pPr>
    </w:lvl>
  </w:abstractNum>
  <w:abstractNum w:abstractNumId="9">
    <w:nsid w:val="6FCC4598"/>
    <w:multiLevelType w:val="multilevel"/>
    <w:tmpl w:val="6FCC4598"/>
    <w:lvl w:ilvl="0" w:tentative="0">
      <w:start w:val="1"/>
      <w:numFmt w:val="decimal"/>
      <w:lvlText w:val="%1."/>
      <w:lvlJc w:val="left"/>
      <w:pPr>
        <w:ind w:left="420" w:hanging="420"/>
      </w:pPr>
      <w:rPr>
        <w:rFonts w:ascii="宋体" w:hAnsi="宋体" w:eastAsia="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705B11A8"/>
    <w:multiLevelType w:val="multilevel"/>
    <w:tmpl w:val="705B11A8"/>
    <w:lvl w:ilvl="0" w:tentative="0">
      <w:start w:val="1"/>
      <w:numFmt w:val="decimal"/>
      <w:lvlText w:val="%1."/>
      <w:lvlJc w:val="left"/>
      <w:pPr>
        <w:ind w:left="420" w:hanging="420"/>
      </w:pPr>
      <w:rPr>
        <w:rFonts w:ascii="宋体" w:hAnsi="宋体" w:eastAsia="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7478512A"/>
    <w:multiLevelType w:val="singleLevel"/>
    <w:tmpl w:val="7478512A"/>
    <w:lvl w:ilvl="0" w:tentative="0">
      <w:start w:val="3"/>
      <w:numFmt w:val="chineseCounting"/>
      <w:suff w:val="nothing"/>
      <w:lvlText w:val="%1、"/>
      <w:lvlJc w:val="left"/>
      <w:rPr>
        <w:rFonts w:hint="eastAsia"/>
      </w:rPr>
    </w:lvl>
  </w:abstractNum>
  <w:num w:numId="1">
    <w:abstractNumId w:val="6"/>
  </w:num>
  <w:num w:numId="2">
    <w:abstractNumId w:val="8"/>
    <w:lvlOverride w:ilvl="0">
      <w:startOverride w:val="1"/>
    </w:lvlOverride>
  </w:num>
  <w:num w:numId="3">
    <w:abstractNumId w:val="11"/>
  </w:num>
  <w:num w:numId="4">
    <w:abstractNumId w:val="4"/>
  </w:num>
  <w:num w:numId="5">
    <w:abstractNumId w:val="5"/>
  </w:num>
  <w:num w:numId="6">
    <w:abstractNumId w:val="3"/>
  </w:num>
  <w:num w:numId="7">
    <w:abstractNumId w:val="10"/>
  </w:num>
  <w:num w:numId="8">
    <w:abstractNumId w:val="2"/>
  </w:num>
  <w:num w:numId="9">
    <w:abstractNumId w:val="0"/>
  </w:num>
  <w:num w:numId="10">
    <w:abstractNumId w:val="9"/>
  </w:num>
  <w:num w:numId="11">
    <w:abstractNumId w:val="1"/>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Q3Y2ZmMTBmMWE2MDFmNmUwZmI4MTYyNGE3YmNmMmE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F12"/>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B8C"/>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6B35"/>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00"/>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7055D0"/>
    <w:rsid w:val="019F7441"/>
    <w:rsid w:val="01B37585"/>
    <w:rsid w:val="01B5399D"/>
    <w:rsid w:val="01D55165"/>
    <w:rsid w:val="01DF6BF8"/>
    <w:rsid w:val="01EC2C57"/>
    <w:rsid w:val="023D280E"/>
    <w:rsid w:val="025F0711"/>
    <w:rsid w:val="026B2E25"/>
    <w:rsid w:val="02824D4D"/>
    <w:rsid w:val="02DC4B10"/>
    <w:rsid w:val="02DD76CE"/>
    <w:rsid w:val="02F36323"/>
    <w:rsid w:val="02F5619C"/>
    <w:rsid w:val="03154A32"/>
    <w:rsid w:val="0326446A"/>
    <w:rsid w:val="032D5555"/>
    <w:rsid w:val="034452E0"/>
    <w:rsid w:val="034C07A8"/>
    <w:rsid w:val="036634D2"/>
    <w:rsid w:val="03994523"/>
    <w:rsid w:val="03B36AC5"/>
    <w:rsid w:val="03B70AF8"/>
    <w:rsid w:val="03C50033"/>
    <w:rsid w:val="03DD35E4"/>
    <w:rsid w:val="04076900"/>
    <w:rsid w:val="041A5A3B"/>
    <w:rsid w:val="042311BA"/>
    <w:rsid w:val="042B157A"/>
    <w:rsid w:val="048B1359"/>
    <w:rsid w:val="048F763B"/>
    <w:rsid w:val="049F330E"/>
    <w:rsid w:val="04AA775C"/>
    <w:rsid w:val="04AF1889"/>
    <w:rsid w:val="04B85F11"/>
    <w:rsid w:val="04C030D2"/>
    <w:rsid w:val="04EE3F9B"/>
    <w:rsid w:val="04F66F48"/>
    <w:rsid w:val="051E28A6"/>
    <w:rsid w:val="05251E14"/>
    <w:rsid w:val="05486BFD"/>
    <w:rsid w:val="05507636"/>
    <w:rsid w:val="05770BD6"/>
    <w:rsid w:val="05A16594"/>
    <w:rsid w:val="05A7762D"/>
    <w:rsid w:val="05B6346C"/>
    <w:rsid w:val="05BF4603"/>
    <w:rsid w:val="05C04DC2"/>
    <w:rsid w:val="060E5941"/>
    <w:rsid w:val="06110FAF"/>
    <w:rsid w:val="06493CA7"/>
    <w:rsid w:val="065A6178"/>
    <w:rsid w:val="065F48A2"/>
    <w:rsid w:val="066F1CF3"/>
    <w:rsid w:val="06930BB8"/>
    <w:rsid w:val="06956198"/>
    <w:rsid w:val="06D13A82"/>
    <w:rsid w:val="07245D42"/>
    <w:rsid w:val="07264C62"/>
    <w:rsid w:val="0779354C"/>
    <w:rsid w:val="07850FAC"/>
    <w:rsid w:val="07955BE5"/>
    <w:rsid w:val="07FE18F3"/>
    <w:rsid w:val="08061376"/>
    <w:rsid w:val="082857CB"/>
    <w:rsid w:val="082E71A5"/>
    <w:rsid w:val="08452D77"/>
    <w:rsid w:val="086401F8"/>
    <w:rsid w:val="08751CAA"/>
    <w:rsid w:val="087E4C40"/>
    <w:rsid w:val="08A871D0"/>
    <w:rsid w:val="08D43DEE"/>
    <w:rsid w:val="08D66AD6"/>
    <w:rsid w:val="08DA33A3"/>
    <w:rsid w:val="08E80F13"/>
    <w:rsid w:val="092C286C"/>
    <w:rsid w:val="09335624"/>
    <w:rsid w:val="0944690F"/>
    <w:rsid w:val="09535675"/>
    <w:rsid w:val="095F057D"/>
    <w:rsid w:val="096270D2"/>
    <w:rsid w:val="09642282"/>
    <w:rsid w:val="09733572"/>
    <w:rsid w:val="09772C16"/>
    <w:rsid w:val="098353B5"/>
    <w:rsid w:val="09A92330"/>
    <w:rsid w:val="09B06B87"/>
    <w:rsid w:val="09C13146"/>
    <w:rsid w:val="09E04166"/>
    <w:rsid w:val="09E31BAE"/>
    <w:rsid w:val="0A1C0718"/>
    <w:rsid w:val="0A3E7710"/>
    <w:rsid w:val="0A5B7E63"/>
    <w:rsid w:val="0A7D3DBC"/>
    <w:rsid w:val="0AA374A5"/>
    <w:rsid w:val="0AAB7649"/>
    <w:rsid w:val="0AAF5E89"/>
    <w:rsid w:val="0AB86C5C"/>
    <w:rsid w:val="0ABC5606"/>
    <w:rsid w:val="0AC42692"/>
    <w:rsid w:val="0ADE3108"/>
    <w:rsid w:val="0ADF4EB4"/>
    <w:rsid w:val="0B0F74C5"/>
    <w:rsid w:val="0B30404E"/>
    <w:rsid w:val="0B384DD5"/>
    <w:rsid w:val="0B4C6C14"/>
    <w:rsid w:val="0B545C24"/>
    <w:rsid w:val="0B631A88"/>
    <w:rsid w:val="0B683D45"/>
    <w:rsid w:val="0B76461B"/>
    <w:rsid w:val="0B7F3F11"/>
    <w:rsid w:val="0B884417"/>
    <w:rsid w:val="0BF6188C"/>
    <w:rsid w:val="0BF73C91"/>
    <w:rsid w:val="0C170175"/>
    <w:rsid w:val="0C571A41"/>
    <w:rsid w:val="0C5C1171"/>
    <w:rsid w:val="0C5E1CBC"/>
    <w:rsid w:val="0C615B50"/>
    <w:rsid w:val="0C8445DA"/>
    <w:rsid w:val="0C87121B"/>
    <w:rsid w:val="0CC007F7"/>
    <w:rsid w:val="0CC617AC"/>
    <w:rsid w:val="0CFE707A"/>
    <w:rsid w:val="0D063BDA"/>
    <w:rsid w:val="0D08375F"/>
    <w:rsid w:val="0D184CFB"/>
    <w:rsid w:val="0D3D3B60"/>
    <w:rsid w:val="0D4A7419"/>
    <w:rsid w:val="0D6E73D6"/>
    <w:rsid w:val="0D827401"/>
    <w:rsid w:val="0D84094E"/>
    <w:rsid w:val="0D8A00E9"/>
    <w:rsid w:val="0D8D589E"/>
    <w:rsid w:val="0D95362E"/>
    <w:rsid w:val="0DA01C73"/>
    <w:rsid w:val="0DCD5D58"/>
    <w:rsid w:val="0DD63300"/>
    <w:rsid w:val="0DF50604"/>
    <w:rsid w:val="0DF702FE"/>
    <w:rsid w:val="0DFC577A"/>
    <w:rsid w:val="0E060E51"/>
    <w:rsid w:val="0E373674"/>
    <w:rsid w:val="0E437165"/>
    <w:rsid w:val="0E5604B2"/>
    <w:rsid w:val="0E6D5D79"/>
    <w:rsid w:val="0E7A28B2"/>
    <w:rsid w:val="0E9D0089"/>
    <w:rsid w:val="0EB803EE"/>
    <w:rsid w:val="0EF94D4B"/>
    <w:rsid w:val="0F0B13B6"/>
    <w:rsid w:val="0F182768"/>
    <w:rsid w:val="0F4958DC"/>
    <w:rsid w:val="0F515DF7"/>
    <w:rsid w:val="0F596BA8"/>
    <w:rsid w:val="0F6248D2"/>
    <w:rsid w:val="0F635421"/>
    <w:rsid w:val="0F693536"/>
    <w:rsid w:val="0F7B0511"/>
    <w:rsid w:val="0F7B76D9"/>
    <w:rsid w:val="0F816ACD"/>
    <w:rsid w:val="0F912B0A"/>
    <w:rsid w:val="0F9832DB"/>
    <w:rsid w:val="0F997393"/>
    <w:rsid w:val="0FA9475D"/>
    <w:rsid w:val="0FBF3FD2"/>
    <w:rsid w:val="0FBF7FF3"/>
    <w:rsid w:val="0FCF1C32"/>
    <w:rsid w:val="0FD054CB"/>
    <w:rsid w:val="0FDA406B"/>
    <w:rsid w:val="0FE91E54"/>
    <w:rsid w:val="0FFC3E38"/>
    <w:rsid w:val="10646583"/>
    <w:rsid w:val="107D4B15"/>
    <w:rsid w:val="10826E74"/>
    <w:rsid w:val="10841832"/>
    <w:rsid w:val="108A3C80"/>
    <w:rsid w:val="10AC0B06"/>
    <w:rsid w:val="10C26171"/>
    <w:rsid w:val="10C56CB9"/>
    <w:rsid w:val="10D635AF"/>
    <w:rsid w:val="10DC700E"/>
    <w:rsid w:val="10E439C5"/>
    <w:rsid w:val="10F33360"/>
    <w:rsid w:val="10F4083A"/>
    <w:rsid w:val="10FC16EA"/>
    <w:rsid w:val="110F1D40"/>
    <w:rsid w:val="11266F33"/>
    <w:rsid w:val="117929C8"/>
    <w:rsid w:val="118963A1"/>
    <w:rsid w:val="119F13D9"/>
    <w:rsid w:val="11C6522A"/>
    <w:rsid w:val="11E104CC"/>
    <w:rsid w:val="11E20309"/>
    <w:rsid w:val="12255233"/>
    <w:rsid w:val="12530213"/>
    <w:rsid w:val="12662CA5"/>
    <w:rsid w:val="127723A9"/>
    <w:rsid w:val="12862074"/>
    <w:rsid w:val="12883966"/>
    <w:rsid w:val="128A53B7"/>
    <w:rsid w:val="1293440D"/>
    <w:rsid w:val="129E45B4"/>
    <w:rsid w:val="12D21374"/>
    <w:rsid w:val="12D81596"/>
    <w:rsid w:val="12EB0D5C"/>
    <w:rsid w:val="13072A44"/>
    <w:rsid w:val="131A1B7F"/>
    <w:rsid w:val="134A5B9B"/>
    <w:rsid w:val="135F4BE2"/>
    <w:rsid w:val="13913864"/>
    <w:rsid w:val="139B1A0A"/>
    <w:rsid w:val="139D25C7"/>
    <w:rsid w:val="13BB7774"/>
    <w:rsid w:val="13BF3CE4"/>
    <w:rsid w:val="13E70A92"/>
    <w:rsid w:val="141008D8"/>
    <w:rsid w:val="14125FE6"/>
    <w:rsid w:val="1436459E"/>
    <w:rsid w:val="143A69F6"/>
    <w:rsid w:val="14500381"/>
    <w:rsid w:val="146C5B88"/>
    <w:rsid w:val="146D271E"/>
    <w:rsid w:val="147D48FD"/>
    <w:rsid w:val="149561F7"/>
    <w:rsid w:val="14982588"/>
    <w:rsid w:val="149A5AD9"/>
    <w:rsid w:val="14A7619D"/>
    <w:rsid w:val="14F25B02"/>
    <w:rsid w:val="150536C3"/>
    <w:rsid w:val="150C1963"/>
    <w:rsid w:val="151447A0"/>
    <w:rsid w:val="154A6454"/>
    <w:rsid w:val="15762120"/>
    <w:rsid w:val="15F56AC3"/>
    <w:rsid w:val="1608540D"/>
    <w:rsid w:val="16204A74"/>
    <w:rsid w:val="162504A3"/>
    <w:rsid w:val="16A8729C"/>
    <w:rsid w:val="16B33777"/>
    <w:rsid w:val="16BC70A7"/>
    <w:rsid w:val="16C6339E"/>
    <w:rsid w:val="16C730F7"/>
    <w:rsid w:val="16D6012D"/>
    <w:rsid w:val="16E81DEE"/>
    <w:rsid w:val="16FE2244"/>
    <w:rsid w:val="172F2D79"/>
    <w:rsid w:val="17557BEF"/>
    <w:rsid w:val="17852075"/>
    <w:rsid w:val="17D349C1"/>
    <w:rsid w:val="17DF3D12"/>
    <w:rsid w:val="180C2B98"/>
    <w:rsid w:val="18230AB3"/>
    <w:rsid w:val="1830729E"/>
    <w:rsid w:val="185134E3"/>
    <w:rsid w:val="1860524D"/>
    <w:rsid w:val="1870062C"/>
    <w:rsid w:val="18817102"/>
    <w:rsid w:val="18830A15"/>
    <w:rsid w:val="18852B28"/>
    <w:rsid w:val="188B5321"/>
    <w:rsid w:val="18EE574D"/>
    <w:rsid w:val="19341F4D"/>
    <w:rsid w:val="19932372"/>
    <w:rsid w:val="19952336"/>
    <w:rsid w:val="19A20DD5"/>
    <w:rsid w:val="19AE03F1"/>
    <w:rsid w:val="19C70AC1"/>
    <w:rsid w:val="19D16EBE"/>
    <w:rsid w:val="19EB5B18"/>
    <w:rsid w:val="1A071A03"/>
    <w:rsid w:val="1A1F16AE"/>
    <w:rsid w:val="1A3B5C77"/>
    <w:rsid w:val="1A984BAD"/>
    <w:rsid w:val="1AB8220E"/>
    <w:rsid w:val="1AE4166C"/>
    <w:rsid w:val="1AF06CFB"/>
    <w:rsid w:val="1AF11B8D"/>
    <w:rsid w:val="1B11359C"/>
    <w:rsid w:val="1B265798"/>
    <w:rsid w:val="1B2A271F"/>
    <w:rsid w:val="1B530544"/>
    <w:rsid w:val="1B713184"/>
    <w:rsid w:val="1B825FBC"/>
    <w:rsid w:val="1BA209CF"/>
    <w:rsid w:val="1BB4777D"/>
    <w:rsid w:val="1BD75AB8"/>
    <w:rsid w:val="1BE22A26"/>
    <w:rsid w:val="1C0459C2"/>
    <w:rsid w:val="1C1B3B4A"/>
    <w:rsid w:val="1C88086E"/>
    <w:rsid w:val="1CC47A8B"/>
    <w:rsid w:val="1CCC2F99"/>
    <w:rsid w:val="1D0C340A"/>
    <w:rsid w:val="1D224C79"/>
    <w:rsid w:val="1D266CE1"/>
    <w:rsid w:val="1D2F6F57"/>
    <w:rsid w:val="1D3963AF"/>
    <w:rsid w:val="1D6A673C"/>
    <w:rsid w:val="1D822FF1"/>
    <w:rsid w:val="1D9247AE"/>
    <w:rsid w:val="1D9B0A20"/>
    <w:rsid w:val="1DB567EC"/>
    <w:rsid w:val="1DB754A5"/>
    <w:rsid w:val="1DF00CAF"/>
    <w:rsid w:val="1DF51A98"/>
    <w:rsid w:val="1E3D060F"/>
    <w:rsid w:val="1E3F7D2E"/>
    <w:rsid w:val="1E4134E4"/>
    <w:rsid w:val="1E5062B3"/>
    <w:rsid w:val="1E523514"/>
    <w:rsid w:val="1E6F1C79"/>
    <w:rsid w:val="1E714A66"/>
    <w:rsid w:val="1E802593"/>
    <w:rsid w:val="1E8B6156"/>
    <w:rsid w:val="1EA703CC"/>
    <w:rsid w:val="1EB7330C"/>
    <w:rsid w:val="1F0A0FF3"/>
    <w:rsid w:val="1F5771FF"/>
    <w:rsid w:val="1FE868A9"/>
    <w:rsid w:val="20034907"/>
    <w:rsid w:val="20173E4B"/>
    <w:rsid w:val="204E48BC"/>
    <w:rsid w:val="208921B3"/>
    <w:rsid w:val="2093370A"/>
    <w:rsid w:val="20973DEB"/>
    <w:rsid w:val="20B26522"/>
    <w:rsid w:val="20B34C6B"/>
    <w:rsid w:val="20B44310"/>
    <w:rsid w:val="20DF1008"/>
    <w:rsid w:val="211116EB"/>
    <w:rsid w:val="211E01F0"/>
    <w:rsid w:val="216133FC"/>
    <w:rsid w:val="21707ECB"/>
    <w:rsid w:val="218944CA"/>
    <w:rsid w:val="219C7ADE"/>
    <w:rsid w:val="21D56769"/>
    <w:rsid w:val="21D62C50"/>
    <w:rsid w:val="21E52EF3"/>
    <w:rsid w:val="21FB5D7B"/>
    <w:rsid w:val="220201E7"/>
    <w:rsid w:val="220B1C3D"/>
    <w:rsid w:val="221D1D20"/>
    <w:rsid w:val="22334A87"/>
    <w:rsid w:val="228F6DD5"/>
    <w:rsid w:val="22BE6801"/>
    <w:rsid w:val="22E91C68"/>
    <w:rsid w:val="22FA03F2"/>
    <w:rsid w:val="23113F1A"/>
    <w:rsid w:val="233500BF"/>
    <w:rsid w:val="23377FF7"/>
    <w:rsid w:val="236B425F"/>
    <w:rsid w:val="23836192"/>
    <w:rsid w:val="23901F29"/>
    <w:rsid w:val="239C0061"/>
    <w:rsid w:val="23B908A4"/>
    <w:rsid w:val="23E95BEF"/>
    <w:rsid w:val="23FC3F1E"/>
    <w:rsid w:val="23FD0064"/>
    <w:rsid w:val="24241552"/>
    <w:rsid w:val="245375B0"/>
    <w:rsid w:val="24642C0A"/>
    <w:rsid w:val="24837800"/>
    <w:rsid w:val="249307DC"/>
    <w:rsid w:val="24B22173"/>
    <w:rsid w:val="24B95AD9"/>
    <w:rsid w:val="24BE24DA"/>
    <w:rsid w:val="24CC53F9"/>
    <w:rsid w:val="24CF5825"/>
    <w:rsid w:val="24D663E6"/>
    <w:rsid w:val="24D77F2B"/>
    <w:rsid w:val="254F52B1"/>
    <w:rsid w:val="257C08D2"/>
    <w:rsid w:val="258B00E2"/>
    <w:rsid w:val="25A34E23"/>
    <w:rsid w:val="25A917A6"/>
    <w:rsid w:val="25BE27CC"/>
    <w:rsid w:val="25C8227C"/>
    <w:rsid w:val="25E92F53"/>
    <w:rsid w:val="25F74A5C"/>
    <w:rsid w:val="260F2540"/>
    <w:rsid w:val="2628662C"/>
    <w:rsid w:val="262D45DE"/>
    <w:rsid w:val="264E3031"/>
    <w:rsid w:val="266E6AE8"/>
    <w:rsid w:val="26871DC8"/>
    <w:rsid w:val="26A53EF9"/>
    <w:rsid w:val="26A94201"/>
    <w:rsid w:val="26AC274F"/>
    <w:rsid w:val="26D815AB"/>
    <w:rsid w:val="26E11237"/>
    <w:rsid w:val="27044A29"/>
    <w:rsid w:val="271D34C8"/>
    <w:rsid w:val="272F6449"/>
    <w:rsid w:val="276142BF"/>
    <w:rsid w:val="27783712"/>
    <w:rsid w:val="27907362"/>
    <w:rsid w:val="279B7084"/>
    <w:rsid w:val="27CD6C56"/>
    <w:rsid w:val="280338F2"/>
    <w:rsid w:val="280D353B"/>
    <w:rsid w:val="28231E66"/>
    <w:rsid w:val="282C0AA7"/>
    <w:rsid w:val="28333E1D"/>
    <w:rsid w:val="28454BD6"/>
    <w:rsid w:val="28455253"/>
    <w:rsid w:val="28551971"/>
    <w:rsid w:val="285B1C53"/>
    <w:rsid w:val="289F7086"/>
    <w:rsid w:val="28C32028"/>
    <w:rsid w:val="28CC490F"/>
    <w:rsid w:val="28DE40AA"/>
    <w:rsid w:val="29345E77"/>
    <w:rsid w:val="29453CBE"/>
    <w:rsid w:val="294657EB"/>
    <w:rsid w:val="294C65AD"/>
    <w:rsid w:val="295A56BB"/>
    <w:rsid w:val="297E34F4"/>
    <w:rsid w:val="29806583"/>
    <w:rsid w:val="2987255C"/>
    <w:rsid w:val="298B3C4C"/>
    <w:rsid w:val="298F3FAA"/>
    <w:rsid w:val="299A0B78"/>
    <w:rsid w:val="29AC7DF7"/>
    <w:rsid w:val="29F26D24"/>
    <w:rsid w:val="2A15033F"/>
    <w:rsid w:val="2A1662C1"/>
    <w:rsid w:val="2A1C7367"/>
    <w:rsid w:val="2A2815FA"/>
    <w:rsid w:val="2A6D6092"/>
    <w:rsid w:val="2A7D76B4"/>
    <w:rsid w:val="2AB80699"/>
    <w:rsid w:val="2AEE1B3B"/>
    <w:rsid w:val="2AF47F2E"/>
    <w:rsid w:val="2AF51992"/>
    <w:rsid w:val="2B437463"/>
    <w:rsid w:val="2B490B42"/>
    <w:rsid w:val="2B4E3B91"/>
    <w:rsid w:val="2B7807EE"/>
    <w:rsid w:val="2BA50BF7"/>
    <w:rsid w:val="2BAE3F59"/>
    <w:rsid w:val="2BBF00EC"/>
    <w:rsid w:val="2BC37CFD"/>
    <w:rsid w:val="2BD5237F"/>
    <w:rsid w:val="2BE536CE"/>
    <w:rsid w:val="2BE758D9"/>
    <w:rsid w:val="2BEA7DD3"/>
    <w:rsid w:val="2C09049E"/>
    <w:rsid w:val="2C0A653C"/>
    <w:rsid w:val="2C1633B6"/>
    <w:rsid w:val="2C191F85"/>
    <w:rsid w:val="2CE82D6F"/>
    <w:rsid w:val="2CFE1868"/>
    <w:rsid w:val="2D1A2639"/>
    <w:rsid w:val="2D2216DE"/>
    <w:rsid w:val="2D343236"/>
    <w:rsid w:val="2D370317"/>
    <w:rsid w:val="2D4E71E2"/>
    <w:rsid w:val="2DD15014"/>
    <w:rsid w:val="2DE802CF"/>
    <w:rsid w:val="2DF72DE4"/>
    <w:rsid w:val="2E0220AF"/>
    <w:rsid w:val="2E162050"/>
    <w:rsid w:val="2E4B082A"/>
    <w:rsid w:val="2E5D4E86"/>
    <w:rsid w:val="2E5D790B"/>
    <w:rsid w:val="2E776A61"/>
    <w:rsid w:val="2E9A3C18"/>
    <w:rsid w:val="2EBB0FEE"/>
    <w:rsid w:val="2EC63002"/>
    <w:rsid w:val="2F064D1A"/>
    <w:rsid w:val="2F0A6B38"/>
    <w:rsid w:val="2F0E78D3"/>
    <w:rsid w:val="2F29280E"/>
    <w:rsid w:val="2F642B9D"/>
    <w:rsid w:val="2F946CCB"/>
    <w:rsid w:val="2FD25781"/>
    <w:rsid w:val="2FDB7DED"/>
    <w:rsid w:val="2FF346DE"/>
    <w:rsid w:val="2FFD7934"/>
    <w:rsid w:val="30733ACD"/>
    <w:rsid w:val="308C3862"/>
    <w:rsid w:val="309379D8"/>
    <w:rsid w:val="30A270F7"/>
    <w:rsid w:val="30C55F59"/>
    <w:rsid w:val="30DF1478"/>
    <w:rsid w:val="30EA055D"/>
    <w:rsid w:val="30EA18BA"/>
    <w:rsid w:val="30EC586F"/>
    <w:rsid w:val="31377457"/>
    <w:rsid w:val="319C6071"/>
    <w:rsid w:val="31AC537E"/>
    <w:rsid w:val="31B420C4"/>
    <w:rsid w:val="31B82C24"/>
    <w:rsid w:val="31C549B6"/>
    <w:rsid w:val="31E3679B"/>
    <w:rsid w:val="31E732FD"/>
    <w:rsid w:val="323116EF"/>
    <w:rsid w:val="32517576"/>
    <w:rsid w:val="3262346C"/>
    <w:rsid w:val="32A64673"/>
    <w:rsid w:val="32BE5C2C"/>
    <w:rsid w:val="32C87279"/>
    <w:rsid w:val="32E56C2A"/>
    <w:rsid w:val="32FB6478"/>
    <w:rsid w:val="331E793D"/>
    <w:rsid w:val="33263B3F"/>
    <w:rsid w:val="33357137"/>
    <w:rsid w:val="336963EB"/>
    <w:rsid w:val="33816EEB"/>
    <w:rsid w:val="338863E7"/>
    <w:rsid w:val="33EB55CD"/>
    <w:rsid w:val="33EC4C02"/>
    <w:rsid w:val="340D2360"/>
    <w:rsid w:val="3410665D"/>
    <w:rsid w:val="34211214"/>
    <w:rsid w:val="342323B9"/>
    <w:rsid w:val="342E63AB"/>
    <w:rsid w:val="34494E6C"/>
    <w:rsid w:val="347528BB"/>
    <w:rsid w:val="348C6D04"/>
    <w:rsid w:val="34950E68"/>
    <w:rsid w:val="34986E94"/>
    <w:rsid w:val="34AF62C9"/>
    <w:rsid w:val="34CB4388"/>
    <w:rsid w:val="34FA6E12"/>
    <w:rsid w:val="3509229B"/>
    <w:rsid w:val="354D7158"/>
    <w:rsid w:val="35642866"/>
    <w:rsid w:val="35851EC4"/>
    <w:rsid w:val="358D5588"/>
    <w:rsid w:val="35C35F77"/>
    <w:rsid w:val="36136070"/>
    <w:rsid w:val="363A3B40"/>
    <w:rsid w:val="365302AE"/>
    <w:rsid w:val="36607A0A"/>
    <w:rsid w:val="366E227C"/>
    <w:rsid w:val="366F2E0D"/>
    <w:rsid w:val="367B6A5C"/>
    <w:rsid w:val="368D3353"/>
    <w:rsid w:val="36A74ADA"/>
    <w:rsid w:val="36AA2385"/>
    <w:rsid w:val="36AD60D5"/>
    <w:rsid w:val="36B224F9"/>
    <w:rsid w:val="36D653E8"/>
    <w:rsid w:val="36E95DB3"/>
    <w:rsid w:val="36EC0CC9"/>
    <w:rsid w:val="36F171EE"/>
    <w:rsid w:val="3730112D"/>
    <w:rsid w:val="37390A8E"/>
    <w:rsid w:val="373F410B"/>
    <w:rsid w:val="37BD1A5A"/>
    <w:rsid w:val="37D7457D"/>
    <w:rsid w:val="37DE0CD2"/>
    <w:rsid w:val="37EE7094"/>
    <w:rsid w:val="38296C89"/>
    <w:rsid w:val="382A1E8F"/>
    <w:rsid w:val="383002EB"/>
    <w:rsid w:val="38331038"/>
    <w:rsid w:val="383F2B7E"/>
    <w:rsid w:val="38586797"/>
    <w:rsid w:val="388843DC"/>
    <w:rsid w:val="38BC0149"/>
    <w:rsid w:val="38D06B3C"/>
    <w:rsid w:val="38D87D1C"/>
    <w:rsid w:val="38EC5367"/>
    <w:rsid w:val="391F535F"/>
    <w:rsid w:val="394474B9"/>
    <w:rsid w:val="39636459"/>
    <w:rsid w:val="396B7F6C"/>
    <w:rsid w:val="39B417A9"/>
    <w:rsid w:val="39E406FE"/>
    <w:rsid w:val="39F5707E"/>
    <w:rsid w:val="39FC5695"/>
    <w:rsid w:val="3A006D8E"/>
    <w:rsid w:val="3A3651E5"/>
    <w:rsid w:val="3A4E2342"/>
    <w:rsid w:val="3A58614A"/>
    <w:rsid w:val="3A744481"/>
    <w:rsid w:val="3A8C7BEF"/>
    <w:rsid w:val="3A906246"/>
    <w:rsid w:val="3A9858B4"/>
    <w:rsid w:val="3AA06FEA"/>
    <w:rsid w:val="3B2349B7"/>
    <w:rsid w:val="3B2E1A16"/>
    <w:rsid w:val="3B616CFF"/>
    <w:rsid w:val="3B6259F6"/>
    <w:rsid w:val="3B8F5C1B"/>
    <w:rsid w:val="3B976654"/>
    <w:rsid w:val="3BC01EFC"/>
    <w:rsid w:val="3BCA786A"/>
    <w:rsid w:val="3BD31E2F"/>
    <w:rsid w:val="3BF15831"/>
    <w:rsid w:val="3C105946"/>
    <w:rsid w:val="3C302924"/>
    <w:rsid w:val="3C471448"/>
    <w:rsid w:val="3C5F759A"/>
    <w:rsid w:val="3C6C525A"/>
    <w:rsid w:val="3C7A02EC"/>
    <w:rsid w:val="3CC922E8"/>
    <w:rsid w:val="3CCE23CB"/>
    <w:rsid w:val="3CD17D17"/>
    <w:rsid w:val="3CEE6358"/>
    <w:rsid w:val="3D3C7F39"/>
    <w:rsid w:val="3D440F09"/>
    <w:rsid w:val="3D4504A0"/>
    <w:rsid w:val="3D8734BB"/>
    <w:rsid w:val="3D9A11D4"/>
    <w:rsid w:val="3DA16D89"/>
    <w:rsid w:val="3DA364BE"/>
    <w:rsid w:val="3DE041CB"/>
    <w:rsid w:val="3DF51B71"/>
    <w:rsid w:val="3E0D48F6"/>
    <w:rsid w:val="3E1868B4"/>
    <w:rsid w:val="3E377251"/>
    <w:rsid w:val="3E42664B"/>
    <w:rsid w:val="3E5A7334"/>
    <w:rsid w:val="3E7B5D6B"/>
    <w:rsid w:val="3E843E66"/>
    <w:rsid w:val="3E8F51FE"/>
    <w:rsid w:val="3E926F87"/>
    <w:rsid w:val="3E992734"/>
    <w:rsid w:val="3E9A59DE"/>
    <w:rsid w:val="3EA17431"/>
    <w:rsid w:val="3EAF4836"/>
    <w:rsid w:val="3EC33DFA"/>
    <w:rsid w:val="3EF25A37"/>
    <w:rsid w:val="3EF66285"/>
    <w:rsid w:val="3F060E16"/>
    <w:rsid w:val="3F1D1096"/>
    <w:rsid w:val="3F2F0234"/>
    <w:rsid w:val="3F6363FE"/>
    <w:rsid w:val="3F734539"/>
    <w:rsid w:val="3F756B8F"/>
    <w:rsid w:val="3F8D4B70"/>
    <w:rsid w:val="3F95482B"/>
    <w:rsid w:val="3FA02073"/>
    <w:rsid w:val="3FAF4907"/>
    <w:rsid w:val="3FD71055"/>
    <w:rsid w:val="3FE413B8"/>
    <w:rsid w:val="4019356B"/>
    <w:rsid w:val="40226500"/>
    <w:rsid w:val="40592157"/>
    <w:rsid w:val="406E1CAE"/>
    <w:rsid w:val="40A0133A"/>
    <w:rsid w:val="40C31A53"/>
    <w:rsid w:val="40EB0FA9"/>
    <w:rsid w:val="40FF545D"/>
    <w:rsid w:val="410067C8"/>
    <w:rsid w:val="41272A88"/>
    <w:rsid w:val="413C45E3"/>
    <w:rsid w:val="4147433B"/>
    <w:rsid w:val="418F0D2A"/>
    <w:rsid w:val="41CA14B4"/>
    <w:rsid w:val="41D01505"/>
    <w:rsid w:val="42425934"/>
    <w:rsid w:val="42474939"/>
    <w:rsid w:val="424C3C57"/>
    <w:rsid w:val="4253256E"/>
    <w:rsid w:val="42613FF3"/>
    <w:rsid w:val="42660D96"/>
    <w:rsid w:val="428667D2"/>
    <w:rsid w:val="42A75855"/>
    <w:rsid w:val="42CD1CE0"/>
    <w:rsid w:val="42D53E10"/>
    <w:rsid w:val="42E1381E"/>
    <w:rsid w:val="42E1743E"/>
    <w:rsid w:val="42ED6459"/>
    <w:rsid w:val="42FE58DD"/>
    <w:rsid w:val="43174B3D"/>
    <w:rsid w:val="43180FE2"/>
    <w:rsid w:val="433F0E43"/>
    <w:rsid w:val="434B790E"/>
    <w:rsid w:val="4360274F"/>
    <w:rsid w:val="437628F7"/>
    <w:rsid w:val="43977AB6"/>
    <w:rsid w:val="43A3342B"/>
    <w:rsid w:val="43C77C27"/>
    <w:rsid w:val="43DE09EE"/>
    <w:rsid w:val="43FB0E0F"/>
    <w:rsid w:val="44002FAD"/>
    <w:rsid w:val="44157B04"/>
    <w:rsid w:val="442A0493"/>
    <w:rsid w:val="4430589B"/>
    <w:rsid w:val="44356927"/>
    <w:rsid w:val="44555BCC"/>
    <w:rsid w:val="449101DD"/>
    <w:rsid w:val="449D00C3"/>
    <w:rsid w:val="44DE1391"/>
    <w:rsid w:val="44E72961"/>
    <w:rsid w:val="451B225C"/>
    <w:rsid w:val="45212A9B"/>
    <w:rsid w:val="452410C9"/>
    <w:rsid w:val="452E1696"/>
    <w:rsid w:val="45317DFB"/>
    <w:rsid w:val="456D3CE4"/>
    <w:rsid w:val="4579042C"/>
    <w:rsid w:val="457F0571"/>
    <w:rsid w:val="45851176"/>
    <w:rsid w:val="458E1F11"/>
    <w:rsid w:val="45C63B94"/>
    <w:rsid w:val="45F134FD"/>
    <w:rsid w:val="460E2187"/>
    <w:rsid w:val="460E7DA5"/>
    <w:rsid w:val="46266035"/>
    <w:rsid w:val="462F0F3E"/>
    <w:rsid w:val="46300F72"/>
    <w:rsid w:val="463F677A"/>
    <w:rsid w:val="46422483"/>
    <w:rsid w:val="4659254A"/>
    <w:rsid w:val="465B0637"/>
    <w:rsid w:val="465E3F0D"/>
    <w:rsid w:val="466A16E6"/>
    <w:rsid w:val="46825A1E"/>
    <w:rsid w:val="46893F2B"/>
    <w:rsid w:val="46C4686E"/>
    <w:rsid w:val="471F4AE0"/>
    <w:rsid w:val="473D0E4D"/>
    <w:rsid w:val="477B778F"/>
    <w:rsid w:val="478203EC"/>
    <w:rsid w:val="479F54CE"/>
    <w:rsid w:val="47B025FA"/>
    <w:rsid w:val="4809698F"/>
    <w:rsid w:val="48097DF4"/>
    <w:rsid w:val="480C2553"/>
    <w:rsid w:val="4811697D"/>
    <w:rsid w:val="4842797E"/>
    <w:rsid w:val="486D267B"/>
    <w:rsid w:val="487A3E25"/>
    <w:rsid w:val="487B0FC2"/>
    <w:rsid w:val="48833F78"/>
    <w:rsid w:val="488B5503"/>
    <w:rsid w:val="48937E21"/>
    <w:rsid w:val="48975AF1"/>
    <w:rsid w:val="489A0361"/>
    <w:rsid w:val="48AA4D31"/>
    <w:rsid w:val="48B70E45"/>
    <w:rsid w:val="48B94FF3"/>
    <w:rsid w:val="48E37AAB"/>
    <w:rsid w:val="48FD4B4C"/>
    <w:rsid w:val="490606C8"/>
    <w:rsid w:val="490A68E0"/>
    <w:rsid w:val="491055FE"/>
    <w:rsid w:val="494C6EA1"/>
    <w:rsid w:val="494D4D8B"/>
    <w:rsid w:val="495F5B3E"/>
    <w:rsid w:val="496F77D7"/>
    <w:rsid w:val="497654FD"/>
    <w:rsid w:val="49982747"/>
    <w:rsid w:val="49B64211"/>
    <w:rsid w:val="49CA02F8"/>
    <w:rsid w:val="49F6167F"/>
    <w:rsid w:val="4A0540B3"/>
    <w:rsid w:val="4A064FA0"/>
    <w:rsid w:val="4A0C644A"/>
    <w:rsid w:val="4A16615C"/>
    <w:rsid w:val="4A4424D7"/>
    <w:rsid w:val="4A6E0CA4"/>
    <w:rsid w:val="4A83134F"/>
    <w:rsid w:val="4AA26E66"/>
    <w:rsid w:val="4AAD78F7"/>
    <w:rsid w:val="4AB82D0F"/>
    <w:rsid w:val="4AEB7664"/>
    <w:rsid w:val="4AFD7C19"/>
    <w:rsid w:val="4B0567D1"/>
    <w:rsid w:val="4B236AAE"/>
    <w:rsid w:val="4B555D27"/>
    <w:rsid w:val="4B707271"/>
    <w:rsid w:val="4B7C4951"/>
    <w:rsid w:val="4B9739F7"/>
    <w:rsid w:val="4B9C1FA2"/>
    <w:rsid w:val="4BE96C25"/>
    <w:rsid w:val="4BEE2503"/>
    <w:rsid w:val="4C245A30"/>
    <w:rsid w:val="4C5D53ED"/>
    <w:rsid w:val="4C676029"/>
    <w:rsid w:val="4CAF7256"/>
    <w:rsid w:val="4CB6685F"/>
    <w:rsid w:val="4CC367FE"/>
    <w:rsid w:val="4D0371EF"/>
    <w:rsid w:val="4D077F3C"/>
    <w:rsid w:val="4D123355"/>
    <w:rsid w:val="4D1A2B68"/>
    <w:rsid w:val="4D2A3B31"/>
    <w:rsid w:val="4D312C52"/>
    <w:rsid w:val="4D4B0F25"/>
    <w:rsid w:val="4D7D1873"/>
    <w:rsid w:val="4D905305"/>
    <w:rsid w:val="4D964A72"/>
    <w:rsid w:val="4D9C1254"/>
    <w:rsid w:val="4DB772A1"/>
    <w:rsid w:val="4DF36225"/>
    <w:rsid w:val="4E1B2133"/>
    <w:rsid w:val="4E526455"/>
    <w:rsid w:val="4E6B79BE"/>
    <w:rsid w:val="4E79371D"/>
    <w:rsid w:val="4E793892"/>
    <w:rsid w:val="4E800872"/>
    <w:rsid w:val="4E9A20A5"/>
    <w:rsid w:val="4EC569ED"/>
    <w:rsid w:val="4ED24695"/>
    <w:rsid w:val="4ED50EA1"/>
    <w:rsid w:val="4EEC050C"/>
    <w:rsid w:val="4F104EC3"/>
    <w:rsid w:val="4F47354A"/>
    <w:rsid w:val="4F911C54"/>
    <w:rsid w:val="4FE625E0"/>
    <w:rsid w:val="5021480F"/>
    <w:rsid w:val="505D15FC"/>
    <w:rsid w:val="50755E1B"/>
    <w:rsid w:val="509436EB"/>
    <w:rsid w:val="50962ECB"/>
    <w:rsid w:val="50A42E38"/>
    <w:rsid w:val="50A4577F"/>
    <w:rsid w:val="50B73D1F"/>
    <w:rsid w:val="50B8331B"/>
    <w:rsid w:val="50BD5BC9"/>
    <w:rsid w:val="50C11EEE"/>
    <w:rsid w:val="50D73351"/>
    <w:rsid w:val="50E97CFC"/>
    <w:rsid w:val="50F1399D"/>
    <w:rsid w:val="50F21543"/>
    <w:rsid w:val="50FA4028"/>
    <w:rsid w:val="50FE434C"/>
    <w:rsid w:val="510D65B7"/>
    <w:rsid w:val="511157AB"/>
    <w:rsid w:val="5142540C"/>
    <w:rsid w:val="5160281C"/>
    <w:rsid w:val="518832C8"/>
    <w:rsid w:val="51A0432A"/>
    <w:rsid w:val="51A86090"/>
    <w:rsid w:val="51B7396D"/>
    <w:rsid w:val="51CC6849"/>
    <w:rsid w:val="52175326"/>
    <w:rsid w:val="522E4CC3"/>
    <w:rsid w:val="522F3CD0"/>
    <w:rsid w:val="5244713B"/>
    <w:rsid w:val="52615633"/>
    <w:rsid w:val="52923265"/>
    <w:rsid w:val="52977FD4"/>
    <w:rsid w:val="52A25790"/>
    <w:rsid w:val="52A96B6F"/>
    <w:rsid w:val="52B45975"/>
    <w:rsid w:val="52BA27FA"/>
    <w:rsid w:val="52D94AA4"/>
    <w:rsid w:val="52EA3A62"/>
    <w:rsid w:val="52F50BB8"/>
    <w:rsid w:val="53097272"/>
    <w:rsid w:val="53544462"/>
    <w:rsid w:val="53962412"/>
    <w:rsid w:val="5397158E"/>
    <w:rsid w:val="54013861"/>
    <w:rsid w:val="5412674C"/>
    <w:rsid w:val="541862A5"/>
    <w:rsid w:val="54487265"/>
    <w:rsid w:val="544D6070"/>
    <w:rsid w:val="54605E1E"/>
    <w:rsid w:val="54824BF3"/>
    <w:rsid w:val="54B3506A"/>
    <w:rsid w:val="54CA0D16"/>
    <w:rsid w:val="54DD4057"/>
    <w:rsid w:val="54E7490F"/>
    <w:rsid w:val="54FD5080"/>
    <w:rsid w:val="55061018"/>
    <w:rsid w:val="55067154"/>
    <w:rsid w:val="550764A4"/>
    <w:rsid w:val="550B2BF6"/>
    <w:rsid w:val="55214EB5"/>
    <w:rsid w:val="55364EFD"/>
    <w:rsid w:val="555D4828"/>
    <w:rsid w:val="557A4C8B"/>
    <w:rsid w:val="558931E1"/>
    <w:rsid w:val="55923347"/>
    <w:rsid w:val="55925180"/>
    <w:rsid w:val="55983B1B"/>
    <w:rsid w:val="55A8376B"/>
    <w:rsid w:val="55C248FD"/>
    <w:rsid w:val="55DC29B6"/>
    <w:rsid w:val="55DD4241"/>
    <w:rsid w:val="55EF1A7B"/>
    <w:rsid w:val="561C1BE8"/>
    <w:rsid w:val="566B6D1E"/>
    <w:rsid w:val="569E129D"/>
    <w:rsid w:val="57032A2C"/>
    <w:rsid w:val="570F5219"/>
    <w:rsid w:val="57453A0B"/>
    <w:rsid w:val="574C2932"/>
    <w:rsid w:val="575D12B5"/>
    <w:rsid w:val="575D3482"/>
    <w:rsid w:val="57610A87"/>
    <w:rsid w:val="577B1140"/>
    <w:rsid w:val="577B7F21"/>
    <w:rsid w:val="577F181B"/>
    <w:rsid w:val="57921984"/>
    <w:rsid w:val="579737F0"/>
    <w:rsid w:val="57AB7B30"/>
    <w:rsid w:val="57AF5251"/>
    <w:rsid w:val="57B26373"/>
    <w:rsid w:val="57B3517E"/>
    <w:rsid w:val="57B63F04"/>
    <w:rsid w:val="57BE5435"/>
    <w:rsid w:val="57CD20C2"/>
    <w:rsid w:val="57D675AB"/>
    <w:rsid w:val="57D95FDD"/>
    <w:rsid w:val="581813F7"/>
    <w:rsid w:val="58917D2F"/>
    <w:rsid w:val="5894085C"/>
    <w:rsid w:val="58AE4F0C"/>
    <w:rsid w:val="58B85899"/>
    <w:rsid w:val="58C0702C"/>
    <w:rsid w:val="58E363A9"/>
    <w:rsid w:val="58E93A96"/>
    <w:rsid w:val="59272ECB"/>
    <w:rsid w:val="595E1678"/>
    <w:rsid w:val="596D5BD4"/>
    <w:rsid w:val="596F4FF6"/>
    <w:rsid w:val="597E3DD8"/>
    <w:rsid w:val="599D5F95"/>
    <w:rsid w:val="59AB1AC0"/>
    <w:rsid w:val="59B31026"/>
    <w:rsid w:val="59F80043"/>
    <w:rsid w:val="5A09252F"/>
    <w:rsid w:val="5A0B2778"/>
    <w:rsid w:val="5A2A7C7B"/>
    <w:rsid w:val="5A3E2560"/>
    <w:rsid w:val="5A5D3B6E"/>
    <w:rsid w:val="5A637A76"/>
    <w:rsid w:val="5A6D33BA"/>
    <w:rsid w:val="5A792B1F"/>
    <w:rsid w:val="5A874767"/>
    <w:rsid w:val="5AA85BE2"/>
    <w:rsid w:val="5AAD6F28"/>
    <w:rsid w:val="5AD63A24"/>
    <w:rsid w:val="5AE51FB6"/>
    <w:rsid w:val="5B0166F4"/>
    <w:rsid w:val="5B2E1A1D"/>
    <w:rsid w:val="5B437E3E"/>
    <w:rsid w:val="5B843A1C"/>
    <w:rsid w:val="5B873E3F"/>
    <w:rsid w:val="5BC74DAB"/>
    <w:rsid w:val="5BE33F13"/>
    <w:rsid w:val="5BFA3FAA"/>
    <w:rsid w:val="5C02690E"/>
    <w:rsid w:val="5C196DA7"/>
    <w:rsid w:val="5C2A048C"/>
    <w:rsid w:val="5C2B67FD"/>
    <w:rsid w:val="5C6C6FC9"/>
    <w:rsid w:val="5C7422AE"/>
    <w:rsid w:val="5C7C5DB3"/>
    <w:rsid w:val="5C80234E"/>
    <w:rsid w:val="5C8A680C"/>
    <w:rsid w:val="5CC56A17"/>
    <w:rsid w:val="5CE45C2B"/>
    <w:rsid w:val="5D0C4701"/>
    <w:rsid w:val="5D0F0395"/>
    <w:rsid w:val="5D221076"/>
    <w:rsid w:val="5D397964"/>
    <w:rsid w:val="5D5A391C"/>
    <w:rsid w:val="5D5F10C0"/>
    <w:rsid w:val="5D891B7B"/>
    <w:rsid w:val="5D8A5E82"/>
    <w:rsid w:val="5DA27AD5"/>
    <w:rsid w:val="5DAD38EE"/>
    <w:rsid w:val="5E006862"/>
    <w:rsid w:val="5E0207B9"/>
    <w:rsid w:val="5E093CEF"/>
    <w:rsid w:val="5E1834A1"/>
    <w:rsid w:val="5E261785"/>
    <w:rsid w:val="5E383E35"/>
    <w:rsid w:val="5E4A7017"/>
    <w:rsid w:val="5E4E4446"/>
    <w:rsid w:val="5E552BBA"/>
    <w:rsid w:val="5E611C10"/>
    <w:rsid w:val="5E626095"/>
    <w:rsid w:val="5E637AC3"/>
    <w:rsid w:val="5E74631F"/>
    <w:rsid w:val="5E7A0F3F"/>
    <w:rsid w:val="5EA36E9C"/>
    <w:rsid w:val="5EA3775D"/>
    <w:rsid w:val="5EF50A1B"/>
    <w:rsid w:val="5EFC7377"/>
    <w:rsid w:val="5F012A1A"/>
    <w:rsid w:val="5F035234"/>
    <w:rsid w:val="5F06174D"/>
    <w:rsid w:val="5F3A3602"/>
    <w:rsid w:val="5F45733B"/>
    <w:rsid w:val="5F5C4CC1"/>
    <w:rsid w:val="5F6277C6"/>
    <w:rsid w:val="5F6D0B1D"/>
    <w:rsid w:val="5F8D0B82"/>
    <w:rsid w:val="5FCC5339"/>
    <w:rsid w:val="5FE34A5B"/>
    <w:rsid w:val="5FEF6613"/>
    <w:rsid w:val="5FFE1E36"/>
    <w:rsid w:val="60232584"/>
    <w:rsid w:val="605864BB"/>
    <w:rsid w:val="607330CE"/>
    <w:rsid w:val="60825176"/>
    <w:rsid w:val="609F2AC4"/>
    <w:rsid w:val="60C413D5"/>
    <w:rsid w:val="60FA2EE8"/>
    <w:rsid w:val="61054A27"/>
    <w:rsid w:val="610A52BC"/>
    <w:rsid w:val="610E5DAB"/>
    <w:rsid w:val="611D2366"/>
    <w:rsid w:val="61421856"/>
    <w:rsid w:val="615227C4"/>
    <w:rsid w:val="61654E3F"/>
    <w:rsid w:val="6182292A"/>
    <w:rsid w:val="61985864"/>
    <w:rsid w:val="619F7F92"/>
    <w:rsid w:val="61DB5AE0"/>
    <w:rsid w:val="61DC44D4"/>
    <w:rsid w:val="61F94C26"/>
    <w:rsid w:val="62000E56"/>
    <w:rsid w:val="620411DD"/>
    <w:rsid w:val="62244584"/>
    <w:rsid w:val="623401D6"/>
    <w:rsid w:val="624F3E49"/>
    <w:rsid w:val="62580329"/>
    <w:rsid w:val="62632286"/>
    <w:rsid w:val="62775066"/>
    <w:rsid w:val="62885958"/>
    <w:rsid w:val="628903DB"/>
    <w:rsid w:val="62C268D5"/>
    <w:rsid w:val="62F40B65"/>
    <w:rsid w:val="62FC2CFE"/>
    <w:rsid w:val="63024505"/>
    <w:rsid w:val="63540CCD"/>
    <w:rsid w:val="635B1DB5"/>
    <w:rsid w:val="63711FED"/>
    <w:rsid w:val="63880DDC"/>
    <w:rsid w:val="638D750D"/>
    <w:rsid w:val="63AC52D2"/>
    <w:rsid w:val="63AC6CC0"/>
    <w:rsid w:val="63F877A4"/>
    <w:rsid w:val="64055776"/>
    <w:rsid w:val="64175397"/>
    <w:rsid w:val="64240056"/>
    <w:rsid w:val="643E143A"/>
    <w:rsid w:val="64623595"/>
    <w:rsid w:val="648B6EEF"/>
    <w:rsid w:val="64C158BF"/>
    <w:rsid w:val="64CE2EAA"/>
    <w:rsid w:val="653C3090"/>
    <w:rsid w:val="65854376"/>
    <w:rsid w:val="658767BE"/>
    <w:rsid w:val="65882CD5"/>
    <w:rsid w:val="65892531"/>
    <w:rsid w:val="65BA6D04"/>
    <w:rsid w:val="65CB16E4"/>
    <w:rsid w:val="6610729E"/>
    <w:rsid w:val="66153939"/>
    <w:rsid w:val="66195831"/>
    <w:rsid w:val="662E75B1"/>
    <w:rsid w:val="66342C2E"/>
    <w:rsid w:val="663E4C59"/>
    <w:rsid w:val="663E784C"/>
    <w:rsid w:val="66551A38"/>
    <w:rsid w:val="665D4E2A"/>
    <w:rsid w:val="666D1F69"/>
    <w:rsid w:val="667133EA"/>
    <w:rsid w:val="668B6A45"/>
    <w:rsid w:val="66CB2BA7"/>
    <w:rsid w:val="66ED0F5A"/>
    <w:rsid w:val="671E7365"/>
    <w:rsid w:val="67250593"/>
    <w:rsid w:val="672F3F24"/>
    <w:rsid w:val="6730465A"/>
    <w:rsid w:val="673E055F"/>
    <w:rsid w:val="67551CE3"/>
    <w:rsid w:val="6760185E"/>
    <w:rsid w:val="67A22552"/>
    <w:rsid w:val="67A530AB"/>
    <w:rsid w:val="67B22DCC"/>
    <w:rsid w:val="67BE71AA"/>
    <w:rsid w:val="67D90273"/>
    <w:rsid w:val="67DE5875"/>
    <w:rsid w:val="67E55852"/>
    <w:rsid w:val="67EB1AB4"/>
    <w:rsid w:val="67FA1285"/>
    <w:rsid w:val="68551F4F"/>
    <w:rsid w:val="686A210F"/>
    <w:rsid w:val="68742607"/>
    <w:rsid w:val="687C10C9"/>
    <w:rsid w:val="68840C16"/>
    <w:rsid w:val="68876EFB"/>
    <w:rsid w:val="68884654"/>
    <w:rsid w:val="689F444F"/>
    <w:rsid w:val="68B96DBB"/>
    <w:rsid w:val="68CA2805"/>
    <w:rsid w:val="68E85AE5"/>
    <w:rsid w:val="68E937A3"/>
    <w:rsid w:val="693E15D3"/>
    <w:rsid w:val="694B39EE"/>
    <w:rsid w:val="69627681"/>
    <w:rsid w:val="6977531D"/>
    <w:rsid w:val="69A556BD"/>
    <w:rsid w:val="69B51747"/>
    <w:rsid w:val="69BD2A69"/>
    <w:rsid w:val="69CC2BFF"/>
    <w:rsid w:val="69D327F2"/>
    <w:rsid w:val="69FD55B8"/>
    <w:rsid w:val="6A0B1C62"/>
    <w:rsid w:val="6A0D3F4C"/>
    <w:rsid w:val="6A2406C8"/>
    <w:rsid w:val="6A2B7525"/>
    <w:rsid w:val="6A4B0631"/>
    <w:rsid w:val="6A4B328A"/>
    <w:rsid w:val="6A8F2B46"/>
    <w:rsid w:val="6ABA3454"/>
    <w:rsid w:val="6ADE0BD1"/>
    <w:rsid w:val="6AE96859"/>
    <w:rsid w:val="6B103FC7"/>
    <w:rsid w:val="6B147746"/>
    <w:rsid w:val="6B24787C"/>
    <w:rsid w:val="6B573233"/>
    <w:rsid w:val="6B5B6274"/>
    <w:rsid w:val="6B694FD4"/>
    <w:rsid w:val="6B935D53"/>
    <w:rsid w:val="6B9B2CE4"/>
    <w:rsid w:val="6C0F33DB"/>
    <w:rsid w:val="6C196F71"/>
    <w:rsid w:val="6C226FCB"/>
    <w:rsid w:val="6C31226F"/>
    <w:rsid w:val="6C390C24"/>
    <w:rsid w:val="6C3B3108"/>
    <w:rsid w:val="6C552F0B"/>
    <w:rsid w:val="6C8C67B7"/>
    <w:rsid w:val="6C9D5D00"/>
    <w:rsid w:val="6C9D744C"/>
    <w:rsid w:val="6CED7AAE"/>
    <w:rsid w:val="6CFE67A8"/>
    <w:rsid w:val="6D024C06"/>
    <w:rsid w:val="6D167928"/>
    <w:rsid w:val="6D261515"/>
    <w:rsid w:val="6D26299B"/>
    <w:rsid w:val="6D4772EC"/>
    <w:rsid w:val="6D8007DE"/>
    <w:rsid w:val="6D9078AF"/>
    <w:rsid w:val="6DAA3FEF"/>
    <w:rsid w:val="6DC0172B"/>
    <w:rsid w:val="6DCB690C"/>
    <w:rsid w:val="6DD41A5B"/>
    <w:rsid w:val="6DF43C2E"/>
    <w:rsid w:val="6DF51CA3"/>
    <w:rsid w:val="6E8335BD"/>
    <w:rsid w:val="6E8E12EF"/>
    <w:rsid w:val="6E9045AA"/>
    <w:rsid w:val="6E972936"/>
    <w:rsid w:val="6EB74327"/>
    <w:rsid w:val="6ECB23C1"/>
    <w:rsid w:val="6ED446C5"/>
    <w:rsid w:val="6EE404FF"/>
    <w:rsid w:val="6F2A7D94"/>
    <w:rsid w:val="6F32398A"/>
    <w:rsid w:val="6F8331F1"/>
    <w:rsid w:val="6FAE1A09"/>
    <w:rsid w:val="6FD75BF8"/>
    <w:rsid w:val="70442A53"/>
    <w:rsid w:val="705515F3"/>
    <w:rsid w:val="707723D0"/>
    <w:rsid w:val="709D39A5"/>
    <w:rsid w:val="70DB77AC"/>
    <w:rsid w:val="70F23FA1"/>
    <w:rsid w:val="70F5661B"/>
    <w:rsid w:val="70FF0D7D"/>
    <w:rsid w:val="7115437A"/>
    <w:rsid w:val="71360107"/>
    <w:rsid w:val="713B688E"/>
    <w:rsid w:val="71D43752"/>
    <w:rsid w:val="71D7083C"/>
    <w:rsid w:val="71F1796A"/>
    <w:rsid w:val="72154626"/>
    <w:rsid w:val="72262B5D"/>
    <w:rsid w:val="72283FF7"/>
    <w:rsid w:val="722E7212"/>
    <w:rsid w:val="723A0474"/>
    <w:rsid w:val="72564FB8"/>
    <w:rsid w:val="725923E4"/>
    <w:rsid w:val="72864BF7"/>
    <w:rsid w:val="729023FC"/>
    <w:rsid w:val="73C0646E"/>
    <w:rsid w:val="742222F5"/>
    <w:rsid w:val="74273B85"/>
    <w:rsid w:val="74476126"/>
    <w:rsid w:val="74706664"/>
    <w:rsid w:val="747F3682"/>
    <w:rsid w:val="74970E5B"/>
    <w:rsid w:val="749C4185"/>
    <w:rsid w:val="74BD37EB"/>
    <w:rsid w:val="74BE006A"/>
    <w:rsid w:val="74D47BE1"/>
    <w:rsid w:val="75067759"/>
    <w:rsid w:val="752E6DCD"/>
    <w:rsid w:val="7551380D"/>
    <w:rsid w:val="75600BE5"/>
    <w:rsid w:val="7564475C"/>
    <w:rsid w:val="7583797F"/>
    <w:rsid w:val="75D20F1D"/>
    <w:rsid w:val="75DA2C18"/>
    <w:rsid w:val="75F54412"/>
    <w:rsid w:val="761969BC"/>
    <w:rsid w:val="761D08E0"/>
    <w:rsid w:val="765D347C"/>
    <w:rsid w:val="76826699"/>
    <w:rsid w:val="76844C5A"/>
    <w:rsid w:val="76852C06"/>
    <w:rsid w:val="76C87133"/>
    <w:rsid w:val="76CD08D5"/>
    <w:rsid w:val="76DB4B92"/>
    <w:rsid w:val="76F5082F"/>
    <w:rsid w:val="76FF4961"/>
    <w:rsid w:val="77052AA4"/>
    <w:rsid w:val="77136511"/>
    <w:rsid w:val="77340A39"/>
    <w:rsid w:val="77351FD0"/>
    <w:rsid w:val="77472422"/>
    <w:rsid w:val="7759272D"/>
    <w:rsid w:val="777F31F2"/>
    <w:rsid w:val="77BC4C63"/>
    <w:rsid w:val="77D1700D"/>
    <w:rsid w:val="77E4568D"/>
    <w:rsid w:val="77EC04CC"/>
    <w:rsid w:val="781F5A42"/>
    <w:rsid w:val="78775729"/>
    <w:rsid w:val="78A42DB0"/>
    <w:rsid w:val="78A656AB"/>
    <w:rsid w:val="78B2245C"/>
    <w:rsid w:val="78E172CC"/>
    <w:rsid w:val="78EA1D1F"/>
    <w:rsid w:val="7904172F"/>
    <w:rsid w:val="79062AD2"/>
    <w:rsid w:val="790F7E27"/>
    <w:rsid w:val="792A231A"/>
    <w:rsid w:val="79316829"/>
    <w:rsid w:val="79400AA2"/>
    <w:rsid w:val="796B592A"/>
    <w:rsid w:val="797E66A9"/>
    <w:rsid w:val="79A97383"/>
    <w:rsid w:val="79E27E8B"/>
    <w:rsid w:val="79F850CE"/>
    <w:rsid w:val="79FD443C"/>
    <w:rsid w:val="7A127DB7"/>
    <w:rsid w:val="7A1D1975"/>
    <w:rsid w:val="7A3902E6"/>
    <w:rsid w:val="7A3E5150"/>
    <w:rsid w:val="7A4670D6"/>
    <w:rsid w:val="7A534B63"/>
    <w:rsid w:val="7A5E579E"/>
    <w:rsid w:val="7A615382"/>
    <w:rsid w:val="7A653600"/>
    <w:rsid w:val="7A67303B"/>
    <w:rsid w:val="7A8F4B52"/>
    <w:rsid w:val="7AAB1D04"/>
    <w:rsid w:val="7ABA4368"/>
    <w:rsid w:val="7AD05746"/>
    <w:rsid w:val="7B257FFD"/>
    <w:rsid w:val="7B343476"/>
    <w:rsid w:val="7B345DFB"/>
    <w:rsid w:val="7B5A2978"/>
    <w:rsid w:val="7B5A7E4C"/>
    <w:rsid w:val="7B667AF9"/>
    <w:rsid w:val="7B7468F8"/>
    <w:rsid w:val="7B8E0E59"/>
    <w:rsid w:val="7BCC7563"/>
    <w:rsid w:val="7BEE0103"/>
    <w:rsid w:val="7C0A0FE4"/>
    <w:rsid w:val="7C254906"/>
    <w:rsid w:val="7C353F2C"/>
    <w:rsid w:val="7C5022FF"/>
    <w:rsid w:val="7C590818"/>
    <w:rsid w:val="7C6E0182"/>
    <w:rsid w:val="7C7C10F6"/>
    <w:rsid w:val="7C853BEA"/>
    <w:rsid w:val="7C881368"/>
    <w:rsid w:val="7CAD379D"/>
    <w:rsid w:val="7CB947D1"/>
    <w:rsid w:val="7CDF5BE5"/>
    <w:rsid w:val="7CE27788"/>
    <w:rsid w:val="7CEE4BA4"/>
    <w:rsid w:val="7CFF4760"/>
    <w:rsid w:val="7D0357E5"/>
    <w:rsid w:val="7D094A63"/>
    <w:rsid w:val="7D0C32F1"/>
    <w:rsid w:val="7D0F408D"/>
    <w:rsid w:val="7D491C6C"/>
    <w:rsid w:val="7D5429C0"/>
    <w:rsid w:val="7D6E6D43"/>
    <w:rsid w:val="7D6F0F0C"/>
    <w:rsid w:val="7D7069D2"/>
    <w:rsid w:val="7DAD6DD7"/>
    <w:rsid w:val="7DB57A34"/>
    <w:rsid w:val="7DBD5AF8"/>
    <w:rsid w:val="7DDB10A1"/>
    <w:rsid w:val="7DE60973"/>
    <w:rsid w:val="7DEF0916"/>
    <w:rsid w:val="7E1E5218"/>
    <w:rsid w:val="7E7514D4"/>
    <w:rsid w:val="7E9A4E1F"/>
    <w:rsid w:val="7EA7723A"/>
    <w:rsid w:val="7EA92482"/>
    <w:rsid w:val="7EEA166D"/>
    <w:rsid w:val="7EF56FBB"/>
    <w:rsid w:val="7F067E4D"/>
    <w:rsid w:val="7F0768EB"/>
    <w:rsid w:val="7F143BEC"/>
    <w:rsid w:val="7F6137FA"/>
    <w:rsid w:val="7F715AF2"/>
    <w:rsid w:val="7F793597"/>
    <w:rsid w:val="7F886E69"/>
    <w:rsid w:val="7FAF1F03"/>
    <w:rsid w:val="7FC82D27"/>
    <w:rsid w:val="7FEF2A43"/>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967"/>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0"/>
    <w:pPr>
      <w:shd w:val="clear" w:color="auto" w:fill="000080"/>
    </w:pPr>
  </w:style>
  <w:style w:type="paragraph" w:styleId="19">
    <w:name w:val="annotation text"/>
    <w:basedOn w:val="1"/>
    <w:link w:val="345"/>
    <w:qFormat/>
    <w:uiPriority w:val="99"/>
    <w:pPr>
      <w:jc w:val="left"/>
    </w:pPr>
  </w:style>
  <w:style w:type="paragraph" w:styleId="20">
    <w:name w:val="Salutation"/>
    <w:basedOn w:val="1"/>
    <w:next w:val="1"/>
    <w:link w:val="299"/>
    <w:qFormat/>
    <w:uiPriority w:val="0"/>
    <w:rPr>
      <w:rFonts w:ascii="仿宋_GB2312" w:eastAsia="仿宋_GB2312"/>
      <w:sz w:val="28"/>
      <w:szCs w:val="20"/>
    </w:rPr>
  </w:style>
  <w:style w:type="paragraph" w:styleId="21">
    <w:name w:val="Body Text 3"/>
    <w:basedOn w:val="1"/>
    <w:link w:val="331"/>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1"/>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2"/>
    <w:qFormat/>
    <w:uiPriority w:val="0"/>
    <w:pPr>
      <w:ind w:firstLine="420"/>
    </w:pPr>
    <w:rPr>
      <w:rFonts w:hAnsi="Calibri" w:cs="Times New Roman"/>
      <w:snapToGrid/>
      <w:szCs w:val="20"/>
    </w:rPr>
  </w:style>
  <w:style w:type="paragraph" w:styleId="25">
    <w:name w:val="toc 6"/>
    <w:basedOn w:val="1"/>
    <w:next w:val="1"/>
    <w:qFormat/>
    <w:uiPriority w:val="0"/>
    <w:pPr>
      <w:ind w:left="2100" w:leftChars="1000"/>
    </w:pPr>
  </w:style>
  <w:style w:type="paragraph" w:styleId="26">
    <w:name w:val="Body Text Indent"/>
    <w:basedOn w:val="1"/>
    <w:next w:val="2"/>
    <w:link w:val="266"/>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6"/>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2"/>
    <w:qFormat/>
    <w:uiPriority w:val="0"/>
    <w:pPr>
      <w:ind w:left="100" w:leftChars="2500"/>
    </w:pPr>
    <w:rPr>
      <w:rFonts w:ascii="宋体"/>
      <w:sz w:val="24"/>
      <w:szCs w:val="21"/>
      <w:lang w:val="zh-CN"/>
    </w:rPr>
  </w:style>
  <w:style w:type="paragraph" w:styleId="38">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Balloon Text"/>
    <w:basedOn w:val="1"/>
    <w:link w:val="189"/>
    <w:qFormat/>
    <w:uiPriority w:val="0"/>
    <w:rPr>
      <w:sz w:val="18"/>
      <w:szCs w:val="18"/>
    </w:rPr>
  </w:style>
  <w:style w:type="paragraph" w:styleId="41">
    <w:name w:val="footer"/>
    <w:basedOn w:val="1"/>
    <w:link w:val="384"/>
    <w:qFormat/>
    <w:uiPriority w:val="99"/>
    <w:pPr>
      <w:tabs>
        <w:tab w:val="center" w:pos="4153"/>
        <w:tab w:val="right" w:pos="8306"/>
      </w:tabs>
      <w:snapToGrid w:val="0"/>
      <w:jc w:val="left"/>
    </w:pPr>
    <w:rPr>
      <w:sz w:val="18"/>
      <w:szCs w:val="18"/>
    </w:rPr>
  </w:style>
  <w:style w:type="paragraph" w:styleId="42">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2"/>
    <w:link w:val="311"/>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7"/>
    <w:qFormat/>
    <w:uiPriority w:val="0"/>
    <w:rPr>
      <w:b/>
      <w:bCs/>
    </w:rPr>
  </w:style>
  <w:style w:type="paragraph" w:styleId="61">
    <w:name w:val="Body Text First Indent 2"/>
    <w:basedOn w:val="26"/>
    <w:link w:val="12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2"/>
    <w:basedOn w:val="1"/>
    <w:next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80">
    <w:name w:val="[Normal]"/>
    <w:qFormat/>
    <w:uiPriority w:val="0"/>
    <w:rPr>
      <w:rFonts w:ascii="宋体" w:hAnsi="宋体" w:eastAsia="宋体" w:cs="Times New Roman"/>
      <w:sz w:val="24"/>
      <w:lang w:val="zh-CN" w:eastAsia="zh-CN" w:bidi="ar-SA"/>
    </w:rPr>
  </w:style>
  <w:style w:type="paragraph" w:styleId="81">
    <w:name w:val="List Paragraph"/>
    <w:basedOn w:val="1"/>
    <w:qFormat/>
    <w:uiPriority w:val="34"/>
    <w:pPr>
      <w:spacing w:line="360" w:lineRule="auto"/>
      <w:ind w:firstLine="200" w:firstLineChars="200"/>
    </w:pPr>
    <w:rPr>
      <w:rFonts w:eastAsia="楷体_GB2312" w:cs="Lucida Sans"/>
      <w:sz w:val="24"/>
    </w:rPr>
  </w:style>
  <w:style w:type="paragraph" w:customStyle="1" w:styleId="82">
    <w:name w:val="正文文本首行缩进 21"/>
    <w:basedOn w:val="26"/>
    <w:qFormat/>
    <w:uiPriority w:val="99"/>
    <w:pPr>
      <w:spacing w:line="200" w:lineRule="atLeast"/>
      <w:ind w:firstLine="420"/>
    </w:pPr>
    <w:rPr>
      <w:rFonts w:hAnsi="Courier New"/>
      <w:spacing w:val="-4"/>
      <w:sz w:val="18"/>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1"/>
    <w:qFormat/>
    <w:uiPriority w:val="0"/>
    <w:rPr>
      <w:rFonts w:ascii="宋体" w:hAnsi="宋体"/>
      <w:kern w:val="2"/>
      <w:sz w:val="21"/>
      <w:szCs w:val="24"/>
    </w:rPr>
  </w:style>
  <w:style w:type="character" w:customStyle="1" w:styleId="123">
    <w:name w:val="font11"/>
    <w:basedOn w:val="69"/>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8"/>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4"/>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7"/>
    <w:qFormat/>
    <w:uiPriority w:val="0"/>
    <w:rPr>
      <w:rFonts w:ascii="宋体"/>
      <w:kern w:val="2"/>
      <w:sz w:val="24"/>
      <w:szCs w:val="21"/>
      <w:lang w:val="zh-CN"/>
    </w:rPr>
  </w:style>
  <w:style w:type="character" w:customStyle="1" w:styleId="183">
    <w:name w:val="标题 9 Char"/>
    <w:link w:val="11"/>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40"/>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2"/>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69"/>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1"/>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6"/>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next w:val="237"/>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7">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81"/>
    <w:link w:val="258"/>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6"/>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3"/>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59"/>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7"/>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0"/>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7"/>
    <w:qFormat/>
    <w:uiPriority w:val="0"/>
    <w:rPr>
      <w:rFonts w:ascii="黑体" w:hAnsi="Courier New" w:eastAsia="黑体"/>
    </w:rPr>
  </w:style>
  <w:style w:type="character" w:customStyle="1" w:styleId="303">
    <w:name w:val="正文文本 2 Char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6"/>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9"/>
    <w:qFormat/>
    <w:uiPriority w:val="0"/>
    <w:rPr>
      <w:b/>
      <w:bCs/>
      <w:kern w:val="2"/>
      <w:sz w:val="24"/>
      <w:szCs w:val="24"/>
    </w:rPr>
  </w:style>
  <w:style w:type="character" w:customStyle="1" w:styleId="309">
    <w:name w:val="正文文本缩进 2 Char"/>
    <w:link w:val="38"/>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1"/>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24"/>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6"/>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1"/>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19"/>
    <w:qFormat/>
    <w:uiPriority w:val="0"/>
    <w:rPr>
      <w:kern w:val="2"/>
      <w:sz w:val="21"/>
      <w:szCs w:val="24"/>
    </w:rPr>
  </w:style>
  <w:style w:type="character" w:customStyle="1" w:styleId="346">
    <w:name w:val="签名 Char"/>
    <w:link w:val="43"/>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3"/>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1"/>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2"/>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69"/>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2"/>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69"/>
    <w:qFormat/>
    <w:uiPriority w:val="0"/>
    <w:rPr>
      <w:rFonts w:ascii="Arial" w:hAnsi="Arial" w:eastAsia="黑体" w:cs="Arial"/>
      <w:snapToGrid w:val="0"/>
      <w:kern w:val="0"/>
      <w:szCs w:val="21"/>
    </w:rPr>
  </w:style>
  <w:style w:type="character" w:customStyle="1" w:styleId="433">
    <w:name w:val="hui"/>
    <w:basedOn w:val="69"/>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79"/>
    <w:qFormat/>
    <w:uiPriority w:val="0"/>
    <w:pPr>
      <w:spacing w:before="312" w:beforeLines="100"/>
      <w:jc w:val="left"/>
    </w:p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8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2"/>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6"/>
    <w:next w:val="236"/>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6"/>
    <w:next w:val="236"/>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2"/>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7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2"/>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81"/>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4"/>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9"/>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81"/>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Body text|1"/>
    <w:basedOn w:val="1"/>
    <w:qFormat/>
    <w:uiPriority w:val="0"/>
    <w:pPr>
      <w:widowControl w:val="0"/>
      <w:shd w:val="clear" w:color="auto" w:fill="auto"/>
      <w:spacing w:line="391" w:lineRule="auto"/>
      <w:ind w:firstLine="400"/>
    </w:pPr>
    <w:rPr>
      <w:rFonts w:ascii="宋体" w:hAnsi="宋体" w:eastAsia="宋体" w:cs="宋体"/>
      <w:u w:val="none"/>
      <w:shd w:val="clear" w:color="auto" w:fill="auto"/>
      <w:lang w:val="zh-TW" w:eastAsia="zh-TW" w:bidi="zh-TW"/>
    </w:rPr>
  </w:style>
  <w:style w:type="character" w:customStyle="1" w:styleId="965">
    <w:name w:val="font101"/>
    <w:basedOn w:val="69"/>
    <w:qFormat/>
    <w:uiPriority w:val="0"/>
    <w:rPr>
      <w:rFonts w:hint="eastAsia" w:ascii="宋体" w:hAnsi="宋体" w:eastAsia="宋体" w:cs="宋体"/>
      <w:color w:val="FF0000"/>
      <w:sz w:val="20"/>
      <w:szCs w:val="20"/>
      <w:u w:val="none"/>
    </w:rPr>
  </w:style>
  <w:style w:type="paragraph" w:customStyle="1" w:styleId="966">
    <w:name w:val="封面编号"/>
    <w:basedOn w:val="1"/>
    <w:qFormat/>
    <w:uiPriority w:val="0"/>
    <w:pPr>
      <w:spacing w:line="360" w:lineRule="auto"/>
      <w:jc w:val="center"/>
    </w:pPr>
    <w:rPr>
      <w:rFonts w:ascii="黑体" w:hAnsi="宋体" w:eastAsia="黑体" w:cs="宋体"/>
      <w:b/>
      <w:bCs/>
      <w:sz w:val="38"/>
      <w:szCs w:val="20"/>
    </w:rPr>
  </w:style>
  <w:style w:type="character" w:customStyle="1" w:styleId="967">
    <w:name w:val="NormalCharacter"/>
    <w:link w:val="1"/>
    <w:qFormat/>
    <w:uiPriority w:val="0"/>
    <w:rPr>
      <w:rFonts w:ascii="Times New Roman" w:hAnsi="Times New Roman" w:eastAsia="宋体" w:cs="Times New Roman"/>
      <w:kern w:val="2"/>
      <w:sz w:val="21"/>
      <w:szCs w:val="24"/>
      <w:lang w:val="en-US" w:eastAsia="zh-CN" w:bidi="ar-SA"/>
    </w:rPr>
  </w:style>
  <w:style w:type="character" w:customStyle="1" w:styleId="968">
    <w:name w:val="fontstyle11"/>
    <w:basedOn w:val="69"/>
    <w:qFormat/>
    <w:uiPriority w:val="0"/>
    <w:rPr>
      <w:rFonts w:ascii="宋体" w:hAnsi="宋体" w:eastAsia="宋体" w:cs="宋体"/>
      <w:color w:val="000000"/>
      <w:sz w:val="32"/>
      <w:szCs w:val="32"/>
    </w:rPr>
  </w:style>
  <w:style w:type="character" w:customStyle="1" w:styleId="969">
    <w:name w:val="line"/>
    <w:basedOn w:val="69"/>
    <w:qFormat/>
    <w:uiPriority w:val="0"/>
    <w:rPr>
      <w:sz w:val="19"/>
      <w:szCs w:val="19"/>
    </w:rPr>
  </w:style>
  <w:style w:type="character" w:customStyle="1" w:styleId="970">
    <w:name w:val="header-title"/>
    <w:basedOn w:val="69"/>
    <w:qFormat/>
    <w:uiPriority w:val="0"/>
    <w:rPr>
      <w:b/>
      <w:bCs/>
      <w:color w:val="D71D21"/>
      <w:sz w:val="37"/>
      <w:szCs w:val="37"/>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D2E4DD-CC59-4F12-BC75-1F204CB91537}">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53</Pages>
  <Words>9193</Words>
  <Characters>10192</Characters>
  <Lines>293</Lines>
  <Paragraphs>82</Paragraphs>
  <TotalTime>8</TotalTime>
  <ScaleCrop>false</ScaleCrop>
  <LinksUpToDate>false</LinksUpToDate>
  <CharactersWithSpaces>10310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Mrs12</cp:lastModifiedBy>
  <cp:lastPrinted>2025-03-11T01:30:00Z</cp:lastPrinted>
  <dcterms:modified xsi:type="dcterms:W3CDTF">2025-03-19T04:40:29Z</dcterms:modified>
  <dc:title>杭州市市民卡扩大发卡工程</dc:title>
  <cp:revision>205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F9D54C64025D4BFF97E5BACCBAAB2445_13</vt:lpwstr>
  </property>
  <property fmtid="{D5CDD505-2E9C-101B-9397-08002B2CF9AE}" pid="5" name="commondata">
    <vt:lpwstr>eyJoZGlkIjoiMzdkYTNjODAzOWEyZTBjZWI2OWE0Y2U2MTNhOGNiNmUifQ==</vt:lpwstr>
  </property>
  <property fmtid="{D5CDD505-2E9C-101B-9397-08002B2CF9AE}" pid="6" name="KSOTemplateDocerSaveRecord">
    <vt:lpwstr>eyJoZGlkIjoiNjkyMzdhNDdjMTFhNmRhZDI2MGY1OGU1NjgwNjZkYmMiLCJ1c2VySWQiOiI0MDY1NDE2MzkifQ==</vt:lpwstr>
  </property>
</Properties>
</file>