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203BB">
      <w:pPr>
        <w:tabs>
          <w:tab w:val="left" w:pos="720"/>
          <w:tab w:val="left" w:pos="2160"/>
          <w:tab w:val="left" w:pos="2880"/>
          <w:tab w:val="left" w:pos="3600"/>
          <w:tab w:val="left" w:pos="4320"/>
          <w:tab w:val="left" w:pos="5040"/>
          <w:tab w:val="left" w:pos="5760"/>
        </w:tabs>
        <w:spacing w:line="360" w:lineRule="auto"/>
        <w:ind w:right="-88"/>
        <w:rPr>
          <w:rFonts w:ascii="宋体" w:cs="宋体"/>
          <w:b/>
          <w:bCs/>
          <w:sz w:val="40"/>
          <w:szCs w:val="40"/>
        </w:rPr>
      </w:pPr>
    </w:p>
    <w:p w14:paraId="3AE60F46">
      <w:pPr>
        <w:tabs>
          <w:tab w:val="left" w:pos="720"/>
          <w:tab w:val="left" w:pos="2160"/>
          <w:tab w:val="left" w:pos="2880"/>
          <w:tab w:val="left" w:pos="3600"/>
          <w:tab w:val="left" w:pos="4320"/>
          <w:tab w:val="left" w:pos="5040"/>
          <w:tab w:val="left" w:pos="5760"/>
        </w:tabs>
        <w:spacing w:line="360" w:lineRule="auto"/>
        <w:ind w:right="-88"/>
        <w:jc w:val="center"/>
        <w:rPr>
          <w:rFonts w:hint="eastAsia" w:ascii="宋体" w:eastAsia="宋体" w:cs="宋体"/>
          <w:b/>
          <w:bCs/>
          <w:sz w:val="40"/>
          <w:szCs w:val="40"/>
          <w:lang w:eastAsia="zh-CN"/>
        </w:rPr>
      </w:pPr>
      <w:r>
        <w:rPr>
          <w:rFonts w:hint="eastAsia" w:ascii="宋体" w:cs="宋体"/>
          <w:b/>
          <w:bCs/>
          <w:sz w:val="40"/>
          <w:szCs w:val="40"/>
          <w:lang w:eastAsia="zh-CN"/>
        </w:rPr>
        <w:t>温岭市供水有限公司二次供水泵房运维服务采购</w:t>
      </w:r>
    </w:p>
    <w:p w14:paraId="26E4D150">
      <w:pPr>
        <w:tabs>
          <w:tab w:val="left" w:pos="720"/>
          <w:tab w:val="left" w:pos="2160"/>
          <w:tab w:val="left" w:pos="2880"/>
          <w:tab w:val="left" w:pos="3600"/>
          <w:tab w:val="left" w:pos="4320"/>
          <w:tab w:val="left" w:pos="5040"/>
          <w:tab w:val="left" w:pos="5760"/>
        </w:tabs>
        <w:spacing w:line="360" w:lineRule="auto"/>
        <w:ind w:right="-88"/>
        <w:jc w:val="center"/>
        <w:rPr>
          <w:rFonts w:ascii="宋体" w:cs="宋体"/>
          <w:b/>
          <w:bCs/>
          <w:sz w:val="48"/>
          <w:szCs w:val="48"/>
        </w:rPr>
      </w:pPr>
      <w:r>
        <w:rPr>
          <w:rFonts w:hint="eastAsia" w:ascii="宋体" w:cs="宋体"/>
          <w:b/>
          <w:bCs/>
          <w:sz w:val="36"/>
          <w:szCs w:val="36"/>
        </w:rPr>
        <w:t>（国企采购）</w:t>
      </w:r>
    </w:p>
    <w:p w14:paraId="333EBE95">
      <w:pPr>
        <w:tabs>
          <w:tab w:val="left" w:pos="720"/>
          <w:tab w:val="left" w:pos="2160"/>
          <w:tab w:val="left" w:pos="2880"/>
          <w:tab w:val="left" w:pos="3600"/>
          <w:tab w:val="left" w:pos="4320"/>
          <w:tab w:val="left" w:pos="5040"/>
          <w:tab w:val="left" w:pos="5760"/>
        </w:tabs>
        <w:spacing w:line="360" w:lineRule="auto"/>
        <w:ind w:left="540" w:right="924" w:firstLine="355"/>
        <w:jc w:val="center"/>
        <w:rPr>
          <w:rFonts w:ascii="宋体" w:cs="宋体"/>
          <w:b/>
          <w:bCs/>
          <w:sz w:val="52"/>
          <w:szCs w:val="52"/>
        </w:rPr>
      </w:pPr>
    </w:p>
    <w:p w14:paraId="09222FC7">
      <w:pPr>
        <w:tabs>
          <w:tab w:val="left" w:pos="720"/>
          <w:tab w:val="left" w:pos="2160"/>
          <w:tab w:val="left" w:pos="2880"/>
          <w:tab w:val="left" w:pos="3600"/>
          <w:tab w:val="left" w:pos="4320"/>
          <w:tab w:val="left" w:pos="5040"/>
          <w:tab w:val="left" w:pos="5760"/>
        </w:tabs>
        <w:spacing w:line="360" w:lineRule="auto"/>
        <w:ind w:left="540" w:right="924" w:firstLine="355"/>
        <w:jc w:val="center"/>
        <w:rPr>
          <w:rFonts w:ascii="宋体"/>
          <w:b/>
          <w:bCs/>
          <w:sz w:val="96"/>
          <w:szCs w:val="96"/>
        </w:rPr>
      </w:pPr>
      <w:r>
        <w:rPr>
          <w:rFonts w:hint="eastAsia" w:ascii="宋体" w:cs="宋体"/>
          <w:b/>
          <w:bCs/>
          <w:sz w:val="96"/>
          <w:szCs w:val="96"/>
        </w:rPr>
        <w:t>招标文件</w:t>
      </w:r>
    </w:p>
    <w:p w14:paraId="7F8F8A01">
      <w:pPr>
        <w:tabs>
          <w:tab w:val="left" w:pos="720"/>
          <w:tab w:val="left" w:pos="1440"/>
          <w:tab w:val="left" w:pos="2160"/>
          <w:tab w:val="left" w:pos="2880"/>
          <w:tab w:val="left" w:pos="3600"/>
          <w:tab w:val="left" w:pos="4320"/>
          <w:tab w:val="left" w:pos="5040"/>
          <w:tab w:val="left" w:pos="5760"/>
        </w:tabs>
        <w:spacing w:line="360" w:lineRule="auto"/>
        <w:ind w:left="1440" w:right="1800"/>
        <w:jc w:val="center"/>
        <w:rPr>
          <w:rFonts w:ascii="宋体"/>
          <w:sz w:val="24"/>
          <w:szCs w:val="24"/>
        </w:rPr>
      </w:pPr>
      <w:r>
        <w:rPr>
          <w:rFonts w:hint="eastAsia" w:ascii="宋体" w:hAnsi="宋体"/>
          <w:b/>
          <w:sz w:val="36"/>
        </w:rPr>
        <w:t>（线上电子招投标）</w:t>
      </w:r>
    </w:p>
    <w:p w14:paraId="40AE48B7">
      <w:pPr>
        <w:tabs>
          <w:tab w:val="left" w:pos="720"/>
          <w:tab w:val="left" w:pos="1440"/>
          <w:tab w:val="left" w:pos="2160"/>
          <w:tab w:val="left" w:pos="2880"/>
          <w:tab w:val="left" w:pos="3600"/>
          <w:tab w:val="left" w:pos="4320"/>
          <w:tab w:val="left" w:pos="5040"/>
          <w:tab w:val="left" w:pos="5760"/>
        </w:tabs>
        <w:spacing w:line="360" w:lineRule="auto"/>
        <w:ind w:left="1440" w:right="1800"/>
        <w:jc w:val="left"/>
        <w:rPr>
          <w:rFonts w:ascii="宋体" w:cs="宋体"/>
          <w:sz w:val="32"/>
          <w:szCs w:val="32"/>
        </w:rPr>
      </w:pPr>
    </w:p>
    <w:p w14:paraId="79287429">
      <w:pPr>
        <w:pStyle w:val="209"/>
      </w:pPr>
    </w:p>
    <w:p w14:paraId="1FFD4760">
      <w:pPr>
        <w:tabs>
          <w:tab w:val="left" w:pos="720"/>
          <w:tab w:val="left" w:pos="1440"/>
          <w:tab w:val="left" w:pos="2160"/>
          <w:tab w:val="left" w:pos="2880"/>
          <w:tab w:val="left" w:pos="3600"/>
          <w:tab w:val="left" w:pos="4320"/>
          <w:tab w:val="left" w:pos="5040"/>
          <w:tab w:val="left" w:pos="5760"/>
        </w:tabs>
        <w:spacing w:line="360" w:lineRule="auto"/>
        <w:ind w:right="1800"/>
        <w:jc w:val="center"/>
        <w:rPr>
          <w:rFonts w:hint="eastAsia" w:ascii="宋体" w:eastAsia="宋体"/>
          <w:sz w:val="32"/>
          <w:szCs w:val="32"/>
          <w:lang w:eastAsia="zh-CN"/>
        </w:rPr>
      </w:pPr>
      <w:r>
        <w:rPr>
          <w:rFonts w:hint="eastAsia" w:ascii="宋体" w:cs="宋体"/>
          <w:sz w:val="32"/>
          <w:szCs w:val="32"/>
        </w:rPr>
        <w:t xml:space="preserve">           项目编号：</w:t>
      </w:r>
      <w:r>
        <w:rPr>
          <w:rFonts w:hint="eastAsia" w:ascii="宋体" w:hAnsi="宋体" w:cs="宋体"/>
          <w:sz w:val="32"/>
          <w:szCs w:val="32"/>
          <w:lang w:eastAsia="zh-CN" w:bidi="ar"/>
        </w:rPr>
        <w:t>JJWL25031748</w:t>
      </w:r>
    </w:p>
    <w:p w14:paraId="52A7F8BA">
      <w:pPr>
        <w:tabs>
          <w:tab w:val="left" w:pos="720"/>
          <w:tab w:val="left" w:pos="1440"/>
          <w:tab w:val="left" w:pos="2160"/>
          <w:tab w:val="left" w:pos="2880"/>
          <w:tab w:val="left" w:pos="3600"/>
          <w:tab w:val="left" w:pos="4320"/>
          <w:tab w:val="left" w:pos="5040"/>
          <w:tab w:val="left" w:pos="5760"/>
        </w:tabs>
        <w:spacing w:line="360" w:lineRule="auto"/>
        <w:ind w:left="1440" w:right="1800"/>
        <w:jc w:val="center"/>
        <w:rPr>
          <w:rFonts w:ascii="宋体"/>
          <w:sz w:val="24"/>
          <w:szCs w:val="24"/>
        </w:rPr>
      </w:pPr>
    </w:p>
    <w:p w14:paraId="10FDE305">
      <w:pPr>
        <w:spacing w:line="360" w:lineRule="auto"/>
        <w:jc w:val="left"/>
        <w:rPr>
          <w:rFonts w:ascii="宋体"/>
          <w:sz w:val="32"/>
          <w:szCs w:val="32"/>
        </w:rPr>
      </w:pPr>
    </w:p>
    <w:tbl>
      <w:tblPr>
        <w:tblStyle w:val="44"/>
        <w:tblW w:w="6750" w:type="dxa"/>
        <w:tblInd w:w="1276" w:type="dxa"/>
        <w:tblLayout w:type="fixed"/>
        <w:tblCellMar>
          <w:top w:w="0" w:type="dxa"/>
          <w:left w:w="108" w:type="dxa"/>
          <w:bottom w:w="0" w:type="dxa"/>
          <w:right w:w="108" w:type="dxa"/>
        </w:tblCellMar>
      </w:tblPr>
      <w:tblGrid>
        <w:gridCol w:w="2625"/>
        <w:gridCol w:w="4125"/>
      </w:tblGrid>
      <w:tr w14:paraId="0354FA4E">
        <w:tblPrEx>
          <w:tblCellMar>
            <w:top w:w="0" w:type="dxa"/>
            <w:left w:w="108" w:type="dxa"/>
            <w:bottom w:w="0" w:type="dxa"/>
            <w:right w:w="108" w:type="dxa"/>
          </w:tblCellMar>
        </w:tblPrEx>
        <w:tc>
          <w:tcPr>
            <w:tcW w:w="2625" w:type="dxa"/>
          </w:tcPr>
          <w:p w14:paraId="76FAFC6C">
            <w:pPr>
              <w:widowControl/>
              <w:spacing w:line="500" w:lineRule="exact"/>
              <w:jc w:val="distribute"/>
              <w:rPr>
                <w:rFonts w:ascii="宋体" w:hAnsi="宋体" w:cs="宋体"/>
                <w:sz w:val="32"/>
                <w:szCs w:val="32"/>
              </w:rPr>
            </w:pPr>
            <w:r>
              <w:rPr>
                <w:rFonts w:hint="eastAsia" w:ascii="宋体" w:hAnsi="宋体" w:cs="宋体"/>
                <w:sz w:val="32"/>
                <w:szCs w:val="32"/>
                <w:lang w:bidi="ar"/>
              </w:rPr>
              <w:t>采购人：</w:t>
            </w:r>
          </w:p>
        </w:tc>
        <w:tc>
          <w:tcPr>
            <w:tcW w:w="4125" w:type="dxa"/>
          </w:tcPr>
          <w:p w14:paraId="15B2B1A0">
            <w:pPr>
              <w:widowControl/>
              <w:spacing w:line="500" w:lineRule="exact"/>
              <w:rPr>
                <w:rFonts w:ascii="宋体" w:hAnsi="宋体" w:cs="宋体"/>
                <w:sz w:val="32"/>
                <w:szCs w:val="32"/>
              </w:rPr>
            </w:pPr>
            <w:r>
              <w:rPr>
                <w:rFonts w:hint="eastAsia" w:ascii="宋体" w:hAnsi="宋体" w:cs="宋体"/>
                <w:sz w:val="32"/>
                <w:szCs w:val="32"/>
                <w:lang w:bidi="ar"/>
              </w:rPr>
              <w:t xml:space="preserve">温岭市供水有限公司         </w:t>
            </w:r>
          </w:p>
        </w:tc>
      </w:tr>
      <w:tr w14:paraId="025B46CE">
        <w:tblPrEx>
          <w:tblCellMar>
            <w:top w:w="0" w:type="dxa"/>
            <w:left w:w="108" w:type="dxa"/>
            <w:bottom w:w="0" w:type="dxa"/>
            <w:right w:w="108" w:type="dxa"/>
          </w:tblCellMar>
        </w:tblPrEx>
        <w:trPr>
          <w:trHeight w:val="516" w:hRule="atLeast"/>
        </w:trPr>
        <w:tc>
          <w:tcPr>
            <w:tcW w:w="2625" w:type="dxa"/>
          </w:tcPr>
          <w:p w14:paraId="6E133822">
            <w:pPr>
              <w:widowControl/>
              <w:spacing w:line="500" w:lineRule="exact"/>
              <w:jc w:val="distribute"/>
              <w:rPr>
                <w:rFonts w:ascii="宋体" w:hAnsi="宋体" w:cs="宋体"/>
                <w:sz w:val="32"/>
                <w:szCs w:val="32"/>
              </w:rPr>
            </w:pPr>
            <w:r>
              <w:rPr>
                <w:rFonts w:hint="eastAsia" w:ascii="宋体" w:hAnsi="宋体" w:cs="宋体"/>
                <w:sz w:val="32"/>
                <w:szCs w:val="32"/>
                <w:lang w:bidi="ar"/>
              </w:rPr>
              <w:t>采购代理机构：</w:t>
            </w:r>
          </w:p>
        </w:tc>
        <w:tc>
          <w:tcPr>
            <w:tcW w:w="4125" w:type="dxa"/>
          </w:tcPr>
          <w:p w14:paraId="725D5A3A">
            <w:pPr>
              <w:widowControl/>
              <w:spacing w:line="500" w:lineRule="exact"/>
              <w:rPr>
                <w:rFonts w:ascii="宋体" w:hAnsi="宋体" w:cs="宋体"/>
                <w:b/>
                <w:sz w:val="32"/>
                <w:szCs w:val="32"/>
              </w:rPr>
            </w:pPr>
            <w:r>
              <w:rPr>
                <w:rFonts w:hint="eastAsia" w:ascii="宋体" w:hAnsi="宋体" w:cs="宋体"/>
                <w:sz w:val="32"/>
                <w:szCs w:val="32"/>
                <w:lang w:bidi="ar"/>
              </w:rPr>
              <w:t>建经投资咨询有限公司</w:t>
            </w:r>
          </w:p>
        </w:tc>
      </w:tr>
      <w:tr w14:paraId="6697DE41">
        <w:tblPrEx>
          <w:tblCellMar>
            <w:top w:w="0" w:type="dxa"/>
            <w:left w:w="108" w:type="dxa"/>
            <w:bottom w:w="0" w:type="dxa"/>
            <w:right w:w="108" w:type="dxa"/>
          </w:tblCellMar>
        </w:tblPrEx>
        <w:trPr>
          <w:trHeight w:val="716" w:hRule="atLeast"/>
        </w:trPr>
        <w:tc>
          <w:tcPr>
            <w:tcW w:w="6750" w:type="dxa"/>
            <w:gridSpan w:val="2"/>
          </w:tcPr>
          <w:p w14:paraId="02B7F753">
            <w:pPr>
              <w:widowControl/>
              <w:spacing w:before="156" w:line="500" w:lineRule="exact"/>
              <w:jc w:val="center"/>
              <w:rPr>
                <w:rFonts w:ascii="宋体" w:hAnsi="宋体" w:cs="宋体"/>
                <w:spacing w:val="24"/>
                <w:sz w:val="32"/>
                <w:szCs w:val="32"/>
              </w:rPr>
            </w:pPr>
            <w:r>
              <w:rPr>
                <w:rFonts w:hint="eastAsia" w:ascii="宋体" w:hAnsi="宋体" w:cs="宋体"/>
                <w:spacing w:val="24"/>
                <w:sz w:val="32"/>
                <w:szCs w:val="32"/>
                <w:lang w:bidi="ar"/>
              </w:rPr>
              <w:t>二○二五年三月</w:t>
            </w:r>
          </w:p>
        </w:tc>
      </w:tr>
    </w:tbl>
    <w:p w14:paraId="6B364FCE">
      <w:pPr>
        <w:tabs>
          <w:tab w:val="left" w:pos="720"/>
          <w:tab w:val="left" w:pos="1440"/>
          <w:tab w:val="left" w:pos="2160"/>
          <w:tab w:val="left" w:pos="2880"/>
          <w:tab w:val="left" w:pos="3600"/>
          <w:tab w:val="left" w:pos="4320"/>
          <w:tab w:val="left" w:pos="5040"/>
          <w:tab w:val="left" w:pos="5760"/>
        </w:tabs>
        <w:spacing w:line="360" w:lineRule="auto"/>
        <w:ind w:left="1440" w:right="1800" w:firstLine="640"/>
        <w:jc w:val="center"/>
        <w:rPr>
          <w:rFonts w:ascii="宋体"/>
          <w:sz w:val="32"/>
          <w:szCs w:val="32"/>
        </w:rPr>
        <w:sectPr>
          <w:headerReference r:id="rId3" w:type="default"/>
          <w:pgSz w:w="11906" w:h="16838"/>
          <w:pgMar w:top="1588" w:right="1489" w:bottom="1304" w:left="1797" w:header="851" w:footer="992" w:gutter="0"/>
          <w:pgNumType w:start="1"/>
          <w:cols w:space="720" w:num="1"/>
          <w:docGrid w:linePitch="360" w:charSpace="0"/>
        </w:sectPr>
      </w:pPr>
    </w:p>
    <w:p w14:paraId="1DA06F20">
      <w:pPr>
        <w:pStyle w:val="23"/>
        <w:rPr>
          <w:sz w:val="40"/>
          <w:szCs w:val="40"/>
        </w:rPr>
      </w:pPr>
    </w:p>
    <w:sdt>
      <w:sdtPr>
        <w:rPr>
          <w:rFonts w:ascii="宋体" w:hAnsi="宋体"/>
          <w:sz w:val="52"/>
          <w:szCs w:val="52"/>
        </w:rPr>
        <w:id w:val="147475312"/>
        <w15:color w:val="DBDBDB"/>
        <w:docPartObj>
          <w:docPartGallery w:val="Table of Contents"/>
          <w:docPartUnique/>
        </w:docPartObj>
      </w:sdtPr>
      <w:sdtEndPr>
        <w:rPr>
          <w:rFonts w:ascii="宋体" w:hAnsi="宋体"/>
          <w:sz w:val="40"/>
          <w:szCs w:val="40"/>
        </w:rPr>
      </w:sdtEndPr>
      <w:sdtContent>
        <w:p w14:paraId="2ED3D7A6">
          <w:pPr>
            <w:jc w:val="center"/>
            <w:rPr>
              <w:sz w:val="44"/>
              <w:szCs w:val="44"/>
            </w:rPr>
          </w:pPr>
          <w:r>
            <w:rPr>
              <w:rFonts w:ascii="宋体" w:hAnsi="宋体"/>
              <w:sz w:val="44"/>
              <w:szCs w:val="44"/>
            </w:rPr>
            <w:t>目录</w:t>
          </w:r>
        </w:p>
        <w:p w14:paraId="1004B78D">
          <w:pPr>
            <w:pStyle w:val="246"/>
            <w:tabs>
              <w:tab w:val="right" w:leader="dot" w:pos="9076"/>
            </w:tabs>
            <w:spacing w:line="360" w:lineRule="auto"/>
            <w:rPr>
              <w:sz w:val="28"/>
              <w:szCs w:val="28"/>
            </w:rPr>
          </w:pPr>
          <w:r>
            <w:rPr>
              <w:sz w:val="28"/>
              <w:szCs w:val="28"/>
            </w:rPr>
            <w:fldChar w:fldCharType="begin"/>
          </w:r>
          <w:r>
            <w:rPr>
              <w:sz w:val="28"/>
              <w:szCs w:val="28"/>
            </w:rPr>
            <w:instrText xml:space="preserve">TOC \o "1-1" \h \u </w:instrText>
          </w:r>
          <w:r>
            <w:rPr>
              <w:sz w:val="28"/>
              <w:szCs w:val="28"/>
            </w:rPr>
            <w:fldChar w:fldCharType="separate"/>
          </w:r>
          <w:r>
            <w:fldChar w:fldCharType="begin"/>
          </w:r>
          <w:r>
            <w:instrText xml:space="preserve"> HYPERLINK \l "_Toc16793" </w:instrText>
          </w:r>
          <w:r>
            <w:fldChar w:fldCharType="separate"/>
          </w:r>
          <w:r>
            <w:rPr>
              <w:rFonts w:hint="eastAsia" w:ascii="宋体" w:hAnsi="宋体" w:cs="宋体"/>
              <w:bCs/>
              <w:sz w:val="28"/>
              <w:szCs w:val="52"/>
            </w:rPr>
            <w:t>第一章</w:t>
          </w:r>
          <w:r>
            <w:rPr>
              <w:rFonts w:ascii="宋体" w:hAnsi="宋体" w:cs="宋体"/>
              <w:bCs/>
              <w:sz w:val="28"/>
              <w:szCs w:val="52"/>
            </w:rPr>
            <w:t xml:space="preserve"> </w:t>
          </w:r>
          <w:r>
            <w:rPr>
              <w:rFonts w:hint="eastAsia" w:ascii="宋体" w:hAnsi="宋体" w:cs="宋体"/>
              <w:bCs/>
              <w:sz w:val="28"/>
              <w:szCs w:val="52"/>
            </w:rPr>
            <w:t>招标公告</w:t>
          </w:r>
          <w:r>
            <w:rPr>
              <w:sz w:val="28"/>
              <w:szCs w:val="28"/>
            </w:rPr>
            <w:tab/>
          </w:r>
          <w:r>
            <w:rPr>
              <w:rFonts w:hint="eastAsia"/>
              <w:sz w:val="28"/>
              <w:szCs w:val="28"/>
            </w:rPr>
            <w:t>2</w:t>
          </w:r>
          <w:r>
            <w:rPr>
              <w:rFonts w:hint="eastAsia"/>
              <w:sz w:val="28"/>
              <w:szCs w:val="28"/>
            </w:rPr>
            <w:fldChar w:fldCharType="end"/>
          </w:r>
        </w:p>
        <w:p w14:paraId="20025133">
          <w:pPr>
            <w:pStyle w:val="246"/>
            <w:tabs>
              <w:tab w:val="right" w:leader="dot" w:pos="9076"/>
            </w:tabs>
            <w:spacing w:line="360" w:lineRule="auto"/>
            <w:rPr>
              <w:sz w:val="28"/>
              <w:szCs w:val="28"/>
            </w:rPr>
          </w:pPr>
          <w:r>
            <w:fldChar w:fldCharType="begin"/>
          </w:r>
          <w:r>
            <w:instrText xml:space="preserve"> HYPERLINK \l "_Toc13592" </w:instrText>
          </w:r>
          <w:r>
            <w:fldChar w:fldCharType="separate"/>
          </w:r>
          <w:r>
            <w:rPr>
              <w:rFonts w:hint="eastAsia" w:ascii="宋体" w:hAnsi="宋体" w:cs="宋体"/>
              <w:bCs/>
              <w:sz w:val="28"/>
              <w:szCs w:val="52"/>
            </w:rPr>
            <w:t>第二章 投标人须知</w:t>
          </w:r>
          <w:r>
            <w:rPr>
              <w:sz w:val="28"/>
              <w:szCs w:val="28"/>
            </w:rPr>
            <w:tab/>
          </w:r>
          <w:r>
            <w:rPr>
              <w:rFonts w:hint="eastAsia"/>
              <w:sz w:val="28"/>
              <w:szCs w:val="28"/>
            </w:rPr>
            <w:t>5</w:t>
          </w:r>
          <w:r>
            <w:rPr>
              <w:rFonts w:hint="eastAsia"/>
              <w:sz w:val="28"/>
              <w:szCs w:val="28"/>
            </w:rPr>
            <w:fldChar w:fldCharType="end"/>
          </w:r>
        </w:p>
        <w:p w14:paraId="13F1D51E">
          <w:pPr>
            <w:pStyle w:val="246"/>
            <w:tabs>
              <w:tab w:val="right" w:leader="dot" w:pos="9076"/>
            </w:tabs>
            <w:spacing w:line="360" w:lineRule="auto"/>
            <w:rPr>
              <w:sz w:val="28"/>
              <w:szCs w:val="28"/>
            </w:rPr>
          </w:pPr>
          <w:r>
            <w:fldChar w:fldCharType="begin"/>
          </w:r>
          <w:r>
            <w:instrText xml:space="preserve"> HYPERLINK \l "_Toc17780" </w:instrText>
          </w:r>
          <w:r>
            <w:fldChar w:fldCharType="separate"/>
          </w:r>
          <w:r>
            <w:rPr>
              <w:rFonts w:hint="eastAsia" w:ascii="宋体" w:hAnsi="宋体" w:cs="宋体"/>
              <w:bCs/>
              <w:sz w:val="28"/>
              <w:szCs w:val="52"/>
            </w:rPr>
            <w:t>第三章 评标办法及评分标准</w:t>
          </w:r>
          <w:r>
            <w:rPr>
              <w:sz w:val="28"/>
              <w:szCs w:val="28"/>
            </w:rPr>
            <w:tab/>
          </w:r>
          <w:r>
            <w:rPr>
              <w:rFonts w:hint="eastAsia"/>
              <w:sz w:val="28"/>
              <w:szCs w:val="28"/>
            </w:rPr>
            <w:t>2</w:t>
          </w:r>
          <w:r>
            <w:rPr>
              <w:rFonts w:hint="eastAsia"/>
              <w:sz w:val="28"/>
              <w:szCs w:val="28"/>
            </w:rPr>
            <w:fldChar w:fldCharType="end"/>
          </w:r>
          <w:r>
            <w:rPr>
              <w:rFonts w:hint="eastAsia"/>
              <w:sz w:val="28"/>
              <w:szCs w:val="28"/>
            </w:rPr>
            <w:t>1</w:t>
          </w:r>
        </w:p>
        <w:p w14:paraId="3F898D3B">
          <w:pPr>
            <w:pStyle w:val="246"/>
            <w:tabs>
              <w:tab w:val="right" w:leader="dot" w:pos="9076"/>
            </w:tabs>
            <w:spacing w:line="360" w:lineRule="auto"/>
            <w:rPr>
              <w:rFonts w:hint="eastAsia" w:eastAsia="宋体"/>
              <w:sz w:val="28"/>
              <w:szCs w:val="28"/>
              <w:lang w:eastAsia="zh-CN"/>
            </w:rPr>
          </w:pPr>
          <w:r>
            <w:fldChar w:fldCharType="begin"/>
          </w:r>
          <w:r>
            <w:instrText xml:space="preserve"> HYPERLINK \l "_Toc4091" </w:instrText>
          </w:r>
          <w:r>
            <w:fldChar w:fldCharType="separate"/>
          </w:r>
          <w:r>
            <w:rPr>
              <w:rFonts w:hint="eastAsia" w:ascii="宋体" w:hAnsi="宋体" w:cs="宋体"/>
              <w:bCs/>
              <w:sz w:val="28"/>
              <w:szCs w:val="52"/>
            </w:rPr>
            <w:t>第四章 采购需求</w:t>
          </w:r>
          <w:r>
            <w:rPr>
              <w:sz w:val="28"/>
              <w:szCs w:val="28"/>
            </w:rPr>
            <w:tab/>
          </w:r>
          <w:r>
            <w:rPr>
              <w:rFonts w:hint="eastAsia"/>
              <w:sz w:val="28"/>
              <w:szCs w:val="28"/>
            </w:rPr>
            <w:t>2</w:t>
          </w:r>
          <w:r>
            <w:rPr>
              <w:rFonts w:hint="eastAsia"/>
              <w:sz w:val="28"/>
              <w:szCs w:val="28"/>
            </w:rPr>
            <w:fldChar w:fldCharType="end"/>
          </w:r>
          <w:r>
            <w:rPr>
              <w:rFonts w:hint="eastAsia"/>
              <w:sz w:val="28"/>
              <w:szCs w:val="28"/>
              <w:lang w:val="en-US" w:eastAsia="zh-CN"/>
            </w:rPr>
            <w:t>6</w:t>
          </w:r>
        </w:p>
        <w:p w14:paraId="1AFBE627">
          <w:pPr>
            <w:pStyle w:val="246"/>
            <w:tabs>
              <w:tab w:val="right" w:leader="dot" w:pos="9076"/>
            </w:tabs>
            <w:spacing w:line="360" w:lineRule="auto"/>
            <w:rPr>
              <w:rFonts w:hint="eastAsia" w:eastAsia="宋体"/>
              <w:sz w:val="28"/>
              <w:szCs w:val="28"/>
              <w:lang w:eastAsia="zh-CN"/>
            </w:rPr>
          </w:pPr>
          <w:r>
            <w:fldChar w:fldCharType="begin"/>
          </w:r>
          <w:r>
            <w:instrText xml:space="preserve"> HYPERLINK \l "_Toc7354" </w:instrText>
          </w:r>
          <w:r>
            <w:fldChar w:fldCharType="separate"/>
          </w:r>
          <w:r>
            <w:rPr>
              <w:rFonts w:hint="eastAsia" w:ascii="宋体" w:hAnsi="宋体" w:cs="宋体"/>
              <w:bCs/>
              <w:sz w:val="28"/>
              <w:szCs w:val="52"/>
            </w:rPr>
            <w:t>第五章 合同文本（草拟）</w:t>
          </w:r>
          <w:r>
            <w:rPr>
              <w:sz w:val="28"/>
              <w:szCs w:val="28"/>
            </w:rPr>
            <w:tab/>
          </w:r>
          <w:r>
            <w:rPr>
              <w:rFonts w:hint="eastAsia"/>
              <w:sz w:val="28"/>
              <w:szCs w:val="28"/>
              <w:lang w:val="en-US" w:eastAsia="zh-CN"/>
            </w:rPr>
            <w:t>3</w:t>
          </w:r>
          <w:r>
            <w:rPr>
              <w:rFonts w:hint="eastAsia"/>
              <w:sz w:val="28"/>
              <w:szCs w:val="28"/>
            </w:rPr>
            <w:fldChar w:fldCharType="end"/>
          </w:r>
          <w:r>
            <w:rPr>
              <w:rFonts w:hint="eastAsia"/>
              <w:sz w:val="28"/>
              <w:szCs w:val="28"/>
              <w:lang w:val="en-US" w:eastAsia="zh-CN"/>
            </w:rPr>
            <w:t>8</w:t>
          </w:r>
        </w:p>
        <w:p w14:paraId="4CB93837">
          <w:pPr>
            <w:pStyle w:val="246"/>
            <w:tabs>
              <w:tab w:val="right" w:leader="dot" w:pos="9076"/>
            </w:tabs>
            <w:spacing w:line="360" w:lineRule="auto"/>
            <w:rPr>
              <w:rFonts w:hint="eastAsia" w:eastAsia="宋体"/>
              <w:sz w:val="28"/>
              <w:szCs w:val="28"/>
              <w:lang w:eastAsia="zh-CN"/>
            </w:rPr>
          </w:pPr>
          <w:r>
            <w:fldChar w:fldCharType="begin"/>
          </w:r>
          <w:r>
            <w:instrText xml:space="preserve"> HYPERLINK \l "_Toc10409" </w:instrText>
          </w:r>
          <w:r>
            <w:fldChar w:fldCharType="separate"/>
          </w:r>
          <w:r>
            <w:rPr>
              <w:rFonts w:hint="eastAsia" w:ascii="宋体" w:hAnsi="宋体" w:cs="宋体"/>
              <w:bCs/>
              <w:sz w:val="28"/>
              <w:szCs w:val="52"/>
            </w:rPr>
            <w:t>第六章</w:t>
          </w:r>
          <w:r>
            <w:rPr>
              <w:rFonts w:ascii="宋体" w:hAnsi="宋体" w:cs="宋体"/>
              <w:bCs/>
              <w:sz w:val="28"/>
              <w:szCs w:val="52"/>
            </w:rPr>
            <w:t xml:space="preserve"> </w:t>
          </w:r>
          <w:r>
            <w:rPr>
              <w:rFonts w:hint="eastAsia" w:ascii="宋体" w:hAnsi="宋体" w:cs="宋体"/>
              <w:bCs/>
              <w:sz w:val="28"/>
              <w:szCs w:val="52"/>
            </w:rPr>
            <w:t>投标文件格式附件</w:t>
          </w:r>
          <w:r>
            <w:rPr>
              <w:sz w:val="28"/>
              <w:szCs w:val="28"/>
            </w:rPr>
            <w:tab/>
          </w:r>
          <w:r>
            <w:rPr>
              <w:rFonts w:hint="eastAsia"/>
              <w:sz w:val="28"/>
              <w:szCs w:val="28"/>
              <w:lang w:val="en-US" w:eastAsia="zh-CN"/>
            </w:rPr>
            <w:t>4</w:t>
          </w:r>
          <w:r>
            <w:rPr>
              <w:rFonts w:hint="eastAsia"/>
              <w:sz w:val="28"/>
              <w:szCs w:val="28"/>
            </w:rPr>
            <w:fldChar w:fldCharType="end"/>
          </w:r>
          <w:r>
            <w:rPr>
              <w:rFonts w:hint="eastAsia"/>
              <w:sz w:val="28"/>
              <w:szCs w:val="28"/>
              <w:lang w:val="en-US" w:eastAsia="zh-CN"/>
            </w:rPr>
            <w:t>7</w:t>
          </w:r>
        </w:p>
        <w:p w14:paraId="78AE6BD8">
          <w:pPr>
            <w:spacing w:line="360" w:lineRule="auto"/>
          </w:pPr>
          <w:r>
            <w:rPr>
              <w:sz w:val="28"/>
              <w:szCs w:val="28"/>
            </w:rPr>
            <w:fldChar w:fldCharType="end"/>
          </w:r>
        </w:p>
      </w:sdtContent>
    </w:sdt>
    <w:p w14:paraId="566C43D0">
      <w:pPr>
        <w:rPr>
          <w:rFonts w:ascii="宋体" w:hAnsi="宋体" w:cs="宋体"/>
          <w:b/>
          <w:bCs/>
          <w:sz w:val="36"/>
          <w:szCs w:val="36"/>
        </w:rPr>
      </w:pPr>
      <w:bookmarkStart w:id="0" w:name="_Toc13604"/>
      <w:bookmarkStart w:id="1" w:name="_Toc321"/>
      <w:bookmarkStart w:id="2" w:name="_Toc1584"/>
      <w:bookmarkStart w:id="3" w:name="_Toc16793"/>
      <w:bookmarkStart w:id="4" w:name="_Toc22963"/>
      <w:r>
        <w:rPr>
          <w:rFonts w:hint="eastAsia" w:ascii="宋体" w:hAnsi="宋体" w:cs="宋体"/>
          <w:b/>
          <w:bCs/>
          <w:sz w:val="36"/>
          <w:szCs w:val="36"/>
        </w:rPr>
        <w:br w:type="page"/>
      </w:r>
    </w:p>
    <w:p w14:paraId="127276A1">
      <w:pPr>
        <w:widowControl/>
        <w:jc w:val="center"/>
        <w:outlineLvl w:val="0"/>
        <w:rPr>
          <w:rFonts w:ascii="宋体" w:cs="宋体"/>
          <w:sz w:val="24"/>
          <w:szCs w:val="24"/>
        </w:rPr>
      </w:pPr>
      <w:r>
        <w:rPr>
          <w:rFonts w:hint="eastAsia" w:ascii="宋体" w:hAnsi="宋体" w:cs="宋体"/>
          <w:b/>
          <w:bCs/>
          <w:sz w:val="36"/>
          <w:szCs w:val="36"/>
        </w:rPr>
        <w:t>第一章</w:t>
      </w:r>
      <w:r>
        <w:rPr>
          <w:rFonts w:ascii="宋体" w:hAnsi="宋体" w:cs="宋体"/>
          <w:b/>
          <w:bCs/>
          <w:sz w:val="36"/>
          <w:szCs w:val="36"/>
        </w:rPr>
        <w:t xml:space="preserve"> </w:t>
      </w:r>
      <w:r>
        <w:rPr>
          <w:rFonts w:hint="eastAsia" w:ascii="宋体" w:hAnsi="宋体" w:cs="宋体"/>
          <w:b/>
          <w:bCs/>
          <w:sz w:val="36"/>
          <w:szCs w:val="36"/>
        </w:rPr>
        <w:t>招标公告</w:t>
      </w:r>
      <w:bookmarkEnd w:id="0"/>
      <w:bookmarkEnd w:id="1"/>
      <w:bookmarkEnd w:id="2"/>
      <w:bookmarkEnd w:id="3"/>
      <w:bookmarkEnd w:id="4"/>
    </w:p>
    <w:tbl>
      <w:tblPr>
        <w:tblStyle w:val="45"/>
        <w:tblpPr w:leftFromText="180" w:rightFromText="180" w:vertAnchor="text" w:horzAnchor="page" w:tblpX="2001" w:tblpY="127"/>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0"/>
      </w:tblGrid>
      <w:tr w14:paraId="09D42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8980" w:type="dxa"/>
          </w:tcPr>
          <w:p w14:paraId="4C3DBFD3">
            <w:pPr>
              <w:tabs>
                <w:tab w:val="left" w:pos="180"/>
                <w:tab w:val="left" w:pos="360"/>
                <w:tab w:val="left" w:pos="540"/>
                <w:tab w:val="left" w:pos="8280"/>
              </w:tabs>
              <w:spacing w:line="440" w:lineRule="exact"/>
              <w:jc w:val="left"/>
              <w:rPr>
                <w:rFonts w:ascii="宋体" w:hAnsi="宋体" w:cs="宋体"/>
                <w:sz w:val="24"/>
                <w:szCs w:val="24"/>
              </w:rPr>
            </w:pPr>
            <w:r>
              <w:rPr>
                <w:rFonts w:hint="eastAsia" w:ascii="宋体" w:hAnsi="宋体" w:cs="宋体"/>
                <w:sz w:val="24"/>
                <w:szCs w:val="24"/>
              </w:rPr>
              <w:t>项目概况</w:t>
            </w:r>
          </w:p>
          <w:p w14:paraId="77F4EA79">
            <w:pPr>
              <w:pStyle w:val="209"/>
              <w:ind w:firstLine="480"/>
              <w:rPr>
                <w:lang w:val="en-US"/>
              </w:rPr>
            </w:pPr>
            <w:r>
              <w:rPr>
                <w:rFonts w:hint="eastAsia" w:cs="宋体"/>
                <w:szCs w:val="24"/>
                <w:lang w:val="en-US" w:eastAsia="zh-CN"/>
              </w:rPr>
              <w:t>温岭市供水有限公司二次供水泵房运维服务采购</w:t>
            </w:r>
            <w:r>
              <w:rPr>
                <w:rFonts w:hint="eastAsia" w:cs="宋体"/>
                <w:szCs w:val="24"/>
                <w:lang w:val="en-US"/>
              </w:rPr>
              <w:t>招标项目的潜在投标人应在浙江政府采购网本项目公告附件获取（下载）招标文件，并于2025年</w:t>
            </w:r>
            <w:r>
              <w:rPr>
                <w:rFonts w:hint="eastAsia" w:cs="宋体"/>
                <w:szCs w:val="24"/>
                <w:lang w:val="en-US" w:eastAsia="zh-CN"/>
              </w:rPr>
              <w:t>4</w:t>
            </w:r>
            <w:r>
              <w:rPr>
                <w:rFonts w:hint="eastAsia" w:cs="宋体"/>
                <w:szCs w:val="24"/>
                <w:lang w:val="en-US"/>
              </w:rPr>
              <w:t>月</w:t>
            </w:r>
            <w:r>
              <w:rPr>
                <w:rFonts w:hint="eastAsia" w:cs="宋体"/>
                <w:szCs w:val="24"/>
                <w:lang w:val="en-US" w:eastAsia="zh-CN"/>
              </w:rPr>
              <w:t>17</w:t>
            </w:r>
            <w:r>
              <w:rPr>
                <w:rFonts w:hint="eastAsia" w:cs="宋体"/>
                <w:szCs w:val="24"/>
                <w:lang w:val="en-US"/>
              </w:rPr>
              <w:t xml:space="preserve">日14：00（北京时间）前递交（上传）投标文件。    </w:t>
            </w:r>
          </w:p>
        </w:tc>
      </w:tr>
    </w:tbl>
    <w:p w14:paraId="2B25A2F0">
      <w:pPr>
        <w:spacing w:line="440" w:lineRule="exact"/>
        <w:ind w:firstLine="480"/>
        <w:rPr>
          <w:rFonts w:ascii="宋体" w:hAnsi="宋体" w:cs="宋体"/>
          <w:b/>
          <w:bCs/>
          <w:sz w:val="24"/>
          <w:szCs w:val="24"/>
        </w:rPr>
      </w:pPr>
      <w:r>
        <w:rPr>
          <w:rFonts w:hint="eastAsia" w:ascii="宋体" w:hAnsi="宋体" w:cs="宋体"/>
          <w:b/>
          <w:bCs/>
          <w:sz w:val="24"/>
          <w:szCs w:val="24"/>
        </w:rPr>
        <w:t>一、项目基本情况：</w:t>
      </w:r>
    </w:p>
    <w:p w14:paraId="5DE89D9D">
      <w:pPr>
        <w:spacing w:line="440" w:lineRule="exact"/>
        <w:ind w:firstLine="480"/>
        <w:rPr>
          <w:rFonts w:ascii="宋体" w:hAnsi="宋体" w:cs="宋体"/>
          <w:sz w:val="24"/>
          <w:szCs w:val="24"/>
        </w:rPr>
      </w:pPr>
      <w:r>
        <w:rPr>
          <w:rFonts w:hint="eastAsia" w:ascii="宋体" w:hAnsi="宋体" w:cs="宋体"/>
          <w:sz w:val="24"/>
          <w:szCs w:val="24"/>
        </w:rPr>
        <w:t>项目编号：</w:t>
      </w:r>
      <w:r>
        <w:rPr>
          <w:rFonts w:hint="eastAsia" w:ascii="宋体" w:hAnsi="宋体" w:cs="宋体"/>
          <w:sz w:val="24"/>
          <w:szCs w:val="24"/>
          <w:lang w:eastAsia="zh-CN"/>
        </w:rPr>
        <w:t>JJWL25031748</w:t>
      </w:r>
      <w:r>
        <w:rPr>
          <w:rFonts w:hint="eastAsia" w:ascii="宋体" w:hAnsi="宋体" w:cs="宋体"/>
          <w:sz w:val="24"/>
          <w:szCs w:val="24"/>
        </w:rPr>
        <w:t> </w:t>
      </w:r>
    </w:p>
    <w:p w14:paraId="3FF3745D">
      <w:pPr>
        <w:spacing w:line="440" w:lineRule="exact"/>
        <w:ind w:firstLine="480"/>
        <w:rPr>
          <w:rFonts w:hint="eastAsia" w:ascii="宋体" w:hAnsi="宋体" w:eastAsia="宋体" w:cs="宋体"/>
          <w:sz w:val="24"/>
          <w:szCs w:val="24"/>
          <w:lang w:eastAsia="zh-CN"/>
        </w:rPr>
      </w:pPr>
      <w:r>
        <w:rPr>
          <w:rFonts w:hint="eastAsia" w:ascii="宋体" w:hAnsi="宋体" w:cs="宋体"/>
          <w:sz w:val="24"/>
          <w:szCs w:val="24"/>
        </w:rPr>
        <w:t>项目名称：</w:t>
      </w:r>
      <w:r>
        <w:rPr>
          <w:rFonts w:hint="eastAsia" w:ascii="宋体" w:hAnsi="宋体" w:cs="宋体"/>
          <w:sz w:val="24"/>
          <w:szCs w:val="24"/>
          <w:lang w:eastAsia="zh-CN"/>
        </w:rPr>
        <w:t>温岭市供水有限公司二次供水泵房运维服务采购</w:t>
      </w:r>
    </w:p>
    <w:p w14:paraId="79C3F5F0">
      <w:pPr>
        <w:shd w:val="clear"/>
        <w:spacing w:line="440" w:lineRule="exact"/>
        <w:ind w:firstLine="480"/>
        <w:rPr>
          <w:rFonts w:hint="eastAsia" w:ascii="宋体" w:hAnsi="宋体" w:cs="宋体"/>
          <w:sz w:val="24"/>
          <w:szCs w:val="24"/>
          <w:lang w:eastAsia="zh-CN"/>
        </w:rPr>
      </w:pPr>
      <w:r>
        <w:rPr>
          <w:rFonts w:hint="eastAsia" w:ascii="宋体" w:hAnsi="宋体" w:cs="宋体"/>
          <w:sz w:val="24"/>
          <w:szCs w:val="24"/>
          <w:lang w:eastAsia="zh-CN"/>
        </w:rPr>
        <w:t>预算金额（元）：2</w:t>
      </w:r>
      <w:r>
        <w:rPr>
          <w:rFonts w:hint="eastAsia" w:ascii="宋体" w:hAnsi="宋体" w:cs="宋体"/>
          <w:sz w:val="24"/>
          <w:szCs w:val="24"/>
          <w:lang w:val="en-US" w:eastAsia="zh-CN"/>
        </w:rPr>
        <w:t>49</w:t>
      </w:r>
      <w:r>
        <w:rPr>
          <w:rFonts w:hint="eastAsia" w:ascii="宋体" w:hAnsi="宋体" w:cs="宋体"/>
          <w:sz w:val="24"/>
          <w:szCs w:val="24"/>
          <w:lang w:eastAsia="zh-CN"/>
        </w:rPr>
        <w:t>0000（</w:t>
      </w:r>
      <w:r>
        <w:rPr>
          <w:rFonts w:hint="eastAsia" w:ascii="宋体" w:hAnsi="宋体" w:cs="宋体"/>
          <w:sz w:val="24"/>
          <w:szCs w:val="24"/>
          <w:lang w:val="en-US" w:eastAsia="zh-CN"/>
        </w:rPr>
        <w:t>830000元/年</w:t>
      </w:r>
      <w:r>
        <w:rPr>
          <w:rFonts w:hint="eastAsia" w:ascii="宋体" w:hAnsi="宋体" w:cs="宋体"/>
          <w:sz w:val="24"/>
          <w:szCs w:val="24"/>
          <w:lang w:eastAsia="zh-CN"/>
        </w:rPr>
        <w:t>）</w:t>
      </w:r>
    </w:p>
    <w:p w14:paraId="6DBEF670">
      <w:pPr>
        <w:spacing w:line="440" w:lineRule="exact"/>
        <w:ind w:firstLine="480"/>
        <w:rPr>
          <w:rFonts w:hint="eastAsia" w:ascii="宋体" w:hAnsi="宋体" w:cs="宋体"/>
          <w:sz w:val="24"/>
          <w:szCs w:val="24"/>
          <w:lang w:eastAsia="zh-CN"/>
        </w:rPr>
      </w:pPr>
      <w:r>
        <w:rPr>
          <w:rFonts w:hint="eastAsia" w:ascii="宋体" w:hAnsi="宋体" w:cs="宋体"/>
          <w:sz w:val="24"/>
          <w:szCs w:val="24"/>
          <w:lang w:eastAsia="zh-CN"/>
        </w:rPr>
        <w:t>最高上限单价：8000元/小区</w:t>
      </w:r>
    </w:p>
    <w:p w14:paraId="52012970">
      <w:pPr>
        <w:spacing w:line="440" w:lineRule="exact"/>
        <w:ind w:firstLine="480"/>
        <w:rPr>
          <w:rFonts w:ascii="宋体" w:hAnsi="宋体" w:cs="宋体"/>
          <w:sz w:val="24"/>
          <w:szCs w:val="24"/>
        </w:rPr>
      </w:pPr>
      <w:r>
        <w:rPr>
          <w:rFonts w:hint="eastAsia" w:ascii="宋体" w:hAnsi="宋体" w:cs="宋体"/>
          <w:sz w:val="24"/>
          <w:szCs w:val="24"/>
          <w:lang w:eastAsia="zh-CN"/>
        </w:rPr>
        <w:t>数量：1 </w:t>
      </w:r>
      <w:r>
        <w:rPr>
          <w:rFonts w:hint="eastAsia" w:ascii="宋体" w:hAnsi="宋体" w:cs="宋体"/>
          <w:sz w:val="24"/>
          <w:szCs w:val="24"/>
        </w:rPr>
        <w:t>  </w:t>
      </w:r>
    </w:p>
    <w:p w14:paraId="119F862E">
      <w:pPr>
        <w:spacing w:line="440" w:lineRule="exact"/>
        <w:ind w:firstLine="480"/>
        <w:rPr>
          <w:rFonts w:ascii="宋体" w:hAnsi="宋体" w:cs="宋体"/>
          <w:sz w:val="24"/>
          <w:szCs w:val="24"/>
        </w:rPr>
      </w:pPr>
      <w:r>
        <w:rPr>
          <w:rFonts w:hint="eastAsia" w:ascii="宋体" w:hAnsi="宋体" w:cs="宋体"/>
          <w:sz w:val="24"/>
          <w:szCs w:val="24"/>
        </w:rPr>
        <w:t>简要规格描述或项目基本概况介绍、用途：</w:t>
      </w:r>
      <w:r>
        <w:rPr>
          <w:rFonts w:hint="eastAsia" w:ascii="宋体" w:hAnsi="宋体" w:cs="宋体"/>
          <w:sz w:val="24"/>
        </w:rPr>
        <w:t>二次供水泵房设备巡检养护主要工作内容包含泵房内二次供水成套设备、管道、阀门、水箱(池)、排水系统及泵房附属设施的巡检、养护、水箱清洗等其他技术服务，按养护周期定期开展养护工作，确保泵房安全正常供水。详见第三章采购需求。</w:t>
      </w:r>
      <w:r>
        <w:rPr>
          <w:rFonts w:hint="eastAsia" w:ascii="宋体" w:hAnsi="宋体" w:cs="宋体"/>
          <w:sz w:val="24"/>
          <w:szCs w:val="24"/>
        </w:rPr>
        <w:t>  </w:t>
      </w:r>
    </w:p>
    <w:p w14:paraId="2FEB5A0B">
      <w:pPr>
        <w:spacing w:line="440" w:lineRule="exact"/>
        <w:ind w:firstLine="480"/>
        <w:rPr>
          <w:i/>
          <w:iCs/>
          <w:color w:val="000000"/>
          <w:sz w:val="24"/>
          <w:shd w:val="clear" w:color="auto" w:fill="FFFF00"/>
        </w:rPr>
      </w:pPr>
      <w:r>
        <w:rPr>
          <w:rFonts w:hint="eastAsia"/>
          <w:color w:val="000000"/>
          <w:sz w:val="24"/>
        </w:rPr>
        <w:t>合同履行期限：</w:t>
      </w:r>
      <w:r>
        <w:rPr>
          <w:rFonts w:hint="eastAsia" w:ascii="宋体" w:hAnsi="宋体" w:cs="宋体"/>
          <w:bCs/>
          <w:color w:val="000000"/>
          <w:sz w:val="24"/>
        </w:rPr>
        <w:t>本项目采用1+1+1（即3年）模式，合同一年一签，即服务期1年满后采购人根据中标供应商上一年度的合同履约及考核情况决定是否续签合同。</w:t>
      </w:r>
    </w:p>
    <w:p w14:paraId="72EA2ED6">
      <w:pPr>
        <w:spacing w:line="440" w:lineRule="exact"/>
        <w:ind w:firstLine="480"/>
        <w:rPr>
          <w:rFonts w:ascii="宋体" w:hAnsi="宋体" w:cs="宋体"/>
          <w:color w:val="000000" w:themeColor="text1"/>
          <w:sz w:val="24"/>
          <w:szCs w:val="24"/>
          <w14:textFill>
            <w14:solidFill>
              <w14:schemeClr w14:val="tx1"/>
            </w14:solidFill>
          </w14:textFill>
        </w:rPr>
      </w:pPr>
      <w:bookmarkStart w:id="125" w:name="_GoBack"/>
      <w:r>
        <w:rPr>
          <w:rFonts w:hint="eastAsia" w:ascii="宋体" w:hAnsi="宋体" w:cs="宋体"/>
          <w:b/>
          <w:bCs/>
          <w:color w:val="000000" w:themeColor="text1"/>
          <w:sz w:val="24"/>
          <w:szCs w:val="24"/>
          <w:u w:val="single"/>
          <w14:textFill>
            <w14:solidFill>
              <w14:schemeClr w14:val="tx1"/>
            </w14:solidFill>
          </w14:textFill>
        </w:rPr>
        <w:t>本项目（否）接受联合体投标。</w:t>
      </w:r>
    </w:p>
    <w:bookmarkEnd w:id="125"/>
    <w:p w14:paraId="1D13B597">
      <w:pPr>
        <w:tabs>
          <w:tab w:val="left" w:pos="180"/>
          <w:tab w:val="left" w:pos="360"/>
          <w:tab w:val="left" w:pos="540"/>
          <w:tab w:val="left" w:pos="8280"/>
        </w:tabs>
        <w:spacing w:line="440" w:lineRule="exact"/>
        <w:ind w:firstLine="482"/>
        <w:jc w:val="left"/>
        <w:rPr>
          <w:rFonts w:ascii="宋体" w:cs="宋体"/>
          <w:b/>
          <w:bCs/>
          <w:sz w:val="24"/>
          <w:szCs w:val="24"/>
        </w:rPr>
      </w:pPr>
      <w:r>
        <w:rPr>
          <w:rFonts w:hint="eastAsia" w:ascii="宋体" w:hAnsi="宋体" w:cs="宋体"/>
          <w:b/>
          <w:bCs/>
          <w:sz w:val="24"/>
          <w:szCs w:val="24"/>
        </w:rPr>
        <w:t>二、申请人的资格要求：</w:t>
      </w:r>
    </w:p>
    <w:p w14:paraId="182A2046">
      <w:pPr>
        <w:tabs>
          <w:tab w:val="left" w:pos="180"/>
          <w:tab w:val="left" w:pos="360"/>
          <w:tab w:val="left" w:pos="540"/>
          <w:tab w:val="left" w:pos="8280"/>
        </w:tabs>
        <w:spacing w:line="440" w:lineRule="exact"/>
        <w:ind w:firstLine="480"/>
        <w:jc w:val="left"/>
        <w:rPr>
          <w:rFonts w:ascii="宋体" w:hAnsi="宋体" w:cs="宋体"/>
          <w:sz w:val="24"/>
          <w:szCs w:val="24"/>
        </w:rPr>
      </w:pPr>
      <w:r>
        <w:rPr>
          <w:rFonts w:hint="eastAsia" w:ascii="宋体" w:hAnsi="宋体" w:cs="宋体"/>
          <w:sz w:val="24"/>
          <w:szCs w:val="24"/>
        </w:rPr>
        <w:t>（1）具有独立承担民事责任的能力；</w:t>
      </w:r>
    </w:p>
    <w:p w14:paraId="2324DCAC">
      <w:pPr>
        <w:tabs>
          <w:tab w:val="left" w:pos="180"/>
          <w:tab w:val="left" w:pos="360"/>
          <w:tab w:val="left" w:pos="540"/>
          <w:tab w:val="left" w:pos="8280"/>
        </w:tabs>
        <w:spacing w:line="440" w:lineRule="exact"/>
        <w:ind w:firstLine="480"/>
        <w:jc w:val="left"/>
        <w:rPr>
          <w:rFonts w:ascii="宋体" w:hAnsi="宋体" w:cs="宋体"/>
          <w:sz w:val="24"/>
          <w:szCs w:val="24"/>
        </w:rPr>
      </w:pPr>
      <w:r>
        <w:rPr>
          <w:rFonts w:hint="eastAsia" w:ascii="宋体" w:hAnsi="宋体" w:cs="宋体"/>
          <w:sz w:val="24"/>
          <w:szCs w:val="24"/>
        </w:rPr>
        <w:t>（2）具有良好的商业信誉和健全的财务会计制度；</w:t>
      </w:r>
    </w:p>
    <w:p w14:paraId="583271A6">
      <w:pPr>
        <w:tabs>
          <w:tab w:val="left" w:pos="180"/>
          <w:tab w:val="left" w:pos="360"/>
          <w:tab w:val="left" w:pos="540"/>
          <w:tab w:val="left" w:pos="8280"/>
        </w:tabs>
        <w:spacing w:line="440" w:lineRule="exact"/>
        <w:ind w:firstLine="480"/>
        <w:jc w:val="left"/>
        <w:rPr>
          <w:rFonts w:ascii="宋体" w:hAnsi="宋体" w:cs="宋体"/>
          <w:sz w:val="24"/>
          <w:szCs w:val="24"/>
        </w:rPr>
      </w:pPr>
      <w:r>
        <w:rPr>
          <w:rFonts w:hint="eastAsia" w:ascii="宋体" w:hAnsi="宋体" w:cs="宋体"/>
          <w:sz w:val="24"/>
          <w:szCs w:val="24"/>
        </w:rPr>
        <w:t>（3）具有履行合同所必需的设备和专业技术能力；</w:t>
      </w:r>
    </w:p>
    <w:p w14:paraId="223ECBDE">
      <w:pPr>
        <w:tabs>
          <w:tab w:val="left" w:pos="180"/>
          <w:tab w:val="left" w:pos="360"/>
          <w:tab w:val="left" w:pos="540"/>
          <w:tab w:val="left" w:pos="8280"/>
        </w:tabs>
        <w:spacing w:line="440" w:lineRule="exact"/>
        <w:ind w:firstLine="480"/>
        <w:jc w:val="left"/>
        <w:rPr>
          <w:rFonts w:ascii="宋体" w:hAnsi="宋体" w:cs="宋体"/>
          <w:sz w:val="24"/>
          <w:szCs w:val="24"/>
        </w:rPr>
      </w:pPr>
      <w:r>
        <w:rPr>
          <w:rFonts w:hint="eastAsia" w:ascii="宋体" w:hAnsi="宋体" w:cs="宋体"/>
          <w:sz w:val="24"/>
          <w:szCs w:val="24"/>
        </w:rPr>
        <w:t>（4）有依法缴纳税收和社会保障资金的良好记录；</w:t>
      </w:r>
    </w:p>
    <w:p w14:paraId="5E1FBFF7">
      <w:pPr>
        <w:tabs>
          <w:tab w:val="left" w:pos="180"/>
          <w:tab w:val="left" w:pos="360"/>
          <w:tab w:val="left" w:pos="540"/>
          <w:tab w:val="left" w:pos="8280"/>
        </w:tabs>
        <w:spacing w:line="440" w:lineRule="exact"/>
        <w:ind w:firstLine="480"/>
        <w:jc w:val="left"/>
        <w:rPr>
          <w:rFonts w:ascii="宋体" w:hAnsi="宋体" w:cs="宋体"/>
          <w:sz w:val="24"/>
          <w:szCs w:val="24"/>
        </w:rPr>
      </w:pPr>
      <w:r>
        <w:rPr>
          <w:rFonts w:hint="eastAsia" w:ascii="宋体" w:hAnsi="宋体" w:cs="宋体"/>
          <w:sz w:val="24"/>
          <w:szCs w:val="24"/>
        </w:rPr>
        <w:t>（5）参加采购活动前三年内，在经营活动中没有重大违法记录；</w:t>
      </w:r>
    </w:p>
    <w:p w14:paraId="0314490A">
      <w:pPr>
        <w:tabs>
          <w:tab w:val="left" w:pos="180"/>
          <w:tab w:val="left" w:pos="360"/>
          <w:tab w:val="left" w:pos="540"/>
          <w:tab w:val="left" w:pos="8280"/>
        </w:tabs>
        <w:spacing w:line="440" w:lineRule="exact"/>
        <w:ind w:firstLine="480"/>
        <w:jc w:val="left"/>
        <w:rPr>
          <w:rFonts w:ascii="宋体" w:hAnsi="宋体" w:cs="宋体"/>
          <w:sz w:val="24"/>
          <w:szCs w:val="24"/>
        </w:rPr>
      </w:pPr>
      <w:r>
        <w:rPr>
          <w:rFonts w:hint="eastAsia" w:ascii="宋体" w:hAnsi="宋体" w:cs="宋体"/>
          <w:sz w:val="24"/>
          <w:szCs w:val="24"/>
        </w:rPr>
        <w:t>（6）未被“信用中国”（www.creditchina.gov.cn）列入失信被执行人、重大税收违法失信主体、政府采购严重违法失信行为记录名单。</w:t>
      </w:r>
    </w:p>
    <w:p w14:paraId="3C42C419">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cs="宋体"/>
          <w:sz w:val="24"/>
          <w:szCs w:val="24"/>
        </w:rPr>
      </w:pPr>
      <w:r>
        <w:rPr>
          <w:rFonts w:hint="eastAsia" w:ascii="宋体" w:hAnsi="宋体" w:cs="宋体"/>
          <w:sz w:val="24"/>
          <w:szCs w:val="24"/>
        </w:rPr>
        <w:t>（7）单位负责人为同一人或者存在直接控股、管理关系的不同供应商，不得参加同一合同项下的国企采购活动。</w:t>
      </w:r>
    </w:p>
    <w:p w14:paraId="6869C727">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cs="宋体"/>
          <w:sz w:val="24"/>
          <w:szCs w:val="24"/>
        </w:rPr>
      </w:pPr>
      <w:r>
        <w:rPr>
          <w:rFonts w:hint="eastAsia" w:ascii="宋体" w:hAnsi="宋体" w:cs="宋体"/>
          <w:sz w:val="24"/>
          <w:szCs w:val="24"/>
        </w:rPr>
        <w:t>（8）为采购项目提供整体设计、规范编制或者项目管理、监理、检测等服务的供应商，不得再参加该采购项目的其他采购活动。</w:t>
      </w:r>
    </w:p>
    <w:p w14:paraId="3D0A0C5E">
      <w:pPr>
        <w:tabs>
          <w:tab w:val="left" w:pos="180"/>
          <w:tab w:val="left" w:pos="360"/>
          <w:tab w:val="left" w:pos="540"/>
          <w:tab w:val="left" w:pos="8280"/>
        </w:tabs>
        <w:spacing w:line="440" w:lineRule="exact"/>
        <w:ind w:firstLine="480" w:firstLineChars="200"/>
        <w:jc w:val="left"/>
        <w:rPr>
          <w:rFonts w:ascii="宋体" w:cs="宋体"/>
          <w:b/>
          <w:bCs/>
          <w:sz w:val="24"/>
          <w:szCs w:val="24"/>
        </w:rPr>
      </w:pPr>
      <w:r>
        <w:rPr>
          <w:rFonts w:hint="eastAsia" w:ascii="宋体" w:hAnsi="宋体" w:cs="宋体"/>
          <w:b/>
          <w:bCs/>
          <w:sz w:val="24"/>
          <w:szCs w:val="24"/>
        </w:rPr>
        <w:t>三、获取招标文件：</w:t>
      </w:r>
      <w:r>
        <w:rPr>
          <w:rFonts w:ascii="宋体" w:hAnsi="宋体" w:cs="宋体"/>
          <w:b/>
          <w:bCs/>
          <w:sz w:val="24"/>
          <w:szCs w:val="24"/>
        </w:rPr>
        <w:t xml:space="preserve"> </w:t>
      </w:r>
    </w:p>
    <w:p w14:paraId="45894CE3">
      <w:pPr>
        <w:spacing w:line="440" w:lineRule="exact"/>
        <w:ind w:firstLine="480"/>
        <w:rPr>
          <w:rFonts w:ascii="宋体" w:cs="宋体"/>
          <w:sz w:val="24"/>
          <w:szCs w:val="24"/>
        </w:rPr>
      </w:pPr>
      <w:r>
        <w:rPr>
          <w:rFonts w:hint="eastAsia" w:ascii="宋体" w:hAnsi="宋体" w:cs="宋体"/>
          <w:sz w:val="24"/>
          <w:szCs w:val="24"/>
        </w:rPr>
        <w:t>（一）获取时间：公告发布之日起至2025年</w:t>
      </w:r>
      <w:r>
        <w:rPr>
          <w:rFonts w:hint="eastAsia" w:ascii="宋体" w:hAnsi="宋体" w:cs="宋体"/>
          <w:sz w:val="24"/>
          <w:szCs w:val="24"/>
          <w:lang w:val="en-US" w:eastAsia="zh-CN"/>
        </w:rPr>
        <w:t>4</w:t>
      </w:r>
      <w:r>
        <w:rPr>
          <w:rFonts w:hint="eastAsia" w:ascii="宋体" w:hAnsi="宋体" w:cs="宋体"/>
          <w:sz w:val="24"/>
          <w:szCs w:val="24"/>
        </w:rPr>
        <w:t>月</w:t>
      </w:r>
      <w:r>
        <w:rPr>
          <w:rFonts w:hint="eastAsia" w:ascii="宋体" w:hAnsi="宋体" w:cs="宋体"/>
          <w:sz w:val="24"/>
          <w:szCs w:val="24"/>
          <w:lang w:val="en-US" w:eastAsia="zh-CN"/>
        </w:rPr>
        <w:t>17</w:t>
      </w:r>
      <w:r>
        <w:rPr>
          <w:rFonts w:hint="eastAsia" w:ascii="宋体" w:hAnsi="宋体" w:cs="宋体"/>
          <w:sz w:val="24"/>
          <w:szCs w:val="24"/>
        </w:rPr>
        <w:t>日，每天上午</w:t>
      </w:r>
      <w:r>
        <w:rPr>
          <w:rFonts w:ascii="宋体" w:hAnsi="宋体" w:cs="宋体"/>
          <w:sz w:val="24"/>
          <w:szCs w:val="24"/>
        </w:rPr>
        <w:t>00:00</w:t>
      </w:r>
      <w:r>
        <w:rPr>
          <w:rFonts w:hint="eastAsia" w:ascii="宋体" w:hAnsi="宋体" w:cs="宋体"/>
          <w:sz w:val="24"/>
          <w:szCs w:val="24"/>
        </w:rPr>
        <w:t>至</w:t>
      </w:r>
      <w:r>
        <w:rPr>
          <w:rFonts w:ascii="宋体" w:hAnsi="宋体" w:cs="宋体"/>
          <w:sz w:val="24"/>
          <w:szCs w:val="24"/>
        </w:rPr>
        <w:t>12:00</w:t>
      </w:r>
      <w:r>
        <w:rPr>
          <w:rFonts w:hint="eastAsia" w:ascii="宋体" w:hAnsi="宋体" w:cs="宋体"/>
          <w:sz w:val="24"/>
          <w:szCs w:val="24"/>
        </w:rPr>
        <w:t>，下午</w:t>
      </w:r>
      <w:r>
        <w:rPr>
          <w:rFonts w:ascii="宋体" w:hAnsi="宋体" w:cs="宋体"/>
          <w:sz w:val="24"/>
          <w:szCs w:val="24"/>
        </w:rPr>
        <w:t>12:00</w:t>
      </w:r>
      <w:r>
        <w:rPr>
          <w:rFonts w:hint="eastAsia" w:ascii="宋体" w:hAnsi="宋体" w:cs="宋体"/>
          <w:sz w:val="24"/>
          <w:szCs w:val="24"/>
        </w:rPr>
        <w:t>至</w:t>
      </w:r>
      <w:r>
        <w:rPr>
          <w:rFonts w:ascii="宋体" w:hAnsi="宋体" w:cs="宋体"/>
          <w:sz w:val="24"/>
          <w:szCs w:val="24"/>
        </w:rPr>
        <w:t>23:59</w:t>
      </w:r>
      <w:r>
        <w:rPr>
          <w:rFonts w:hint="eastAsia" w:ascii="宋体" w:hAnsi="宋体" w:cs="宋体"/>
          <w:sz w:val="24"/>
          <w:szCs w:val="24"/>
        </w:rPr>
        <w:t>（北京时间，线上获取法定节假日均可）</w:t>
      </w:r>
    </w:p>
    <w:p w14:paraId="3F577908">
      <w:pPr>
        <w:snapToGrid w:val="0"/>
        <w:spacing w:line="440" w:lineRule="exact"/>
        <w:ind w:firstLine="480" w:firstLineChars="200"/>
        <w:rPr>
          <w:rFonts w:ascii="宋体" w:cs="宋体"/>
          <w:sz w:val="24"/>
          <w:szCs w:val="24"/>
        </w:rPr>
      </w:pPr>
      <w:r>
        <w:rPr>
          <w:rFonts w:hint="eastAsia" w:ascii="宋体" w:hAnsi="宋体" w:cs="宋体"/>
          <w:sz w:val="24"/>
          <w:szCs w:val="24"/>
        </w:rPr>
        <w:t>（二）获取地址：乐采云平台（https://www.lecaiyun.com）</w:t>
      </w:r>
    </w:p>
    <w:p w14:paraId="19CAF635">
      <w:pPr>
        <w:snapToGrid w:val="0"/>
        <w:spacing w:line="440" w:lineRule="exact"/>
        <w:ind w:firstLine="480" w:firstLineChars="200"/>
        <w:rPr>
          <w:rFonts w:ascii="宋体" w:cs="宋体"/>
          <w:sz w:val="24"/>
          <w:szCs w:val="24"/>
        </w:rPr>
      </w:pPr>
      <w:r>
        <w:rPr>
          <w:rFonts w:hint="eastAsia" w:ascii="宋体" w:hAnsi="宋体" w:cs="宋体"/>
          <w:sz w:val="24"/>
          <w:szCs w:val="24"/>
        </w:rPr>
        <w:t>（三）获取方式：</w:t>
      </w:r>
    </w:p>
    <w:p w14:paraId="1A5421FA">
      <w:pPr>
        <w:snapToGrid w:val="0"/>
        <w:spacing w:line="440" w:lineRule="exact"/>
        <w:ind w:firstLine="720" w:firstLineChars="300"/>
        <w:rPr>
          <w:rFonts w:ascii="宋体" w:hAnsi="宋体" w:cs="宋体"/>
          <w:sz w:val="24"/>
          <w:szCs w:val="24"/>
        </w:rPr>
      </w:pPr>
      <w:r>
        <w:rPr>
          <w:rFonts w:hint="eastAsia" w:ascii="宋体" w:hAnsi="宋体" w:cs="宋体"/>
          <w:sz w:val="24"/>
          <w:szCs w:val="24"/>
        </w:rPr>
        <w:t>投标人直接登录“乐采云平台”进行网上报名并下载招标文件（进入“项目采购”应用，在获取采购文件菜单中选择对应项目，申请获取采购文件）。</w:t>
      </w:r>
    </w:p>
    <w:p w14:paraId="28A83BAE">
      <w:pPr>
        <w:snapToGrid w:val="0"/>
        <w:spacing w:line="440" w:lineRule="exact"/>
        <w:ind w:firstLine="480" w:firstLineChars="200"/>
        <w:rPr>
          <w:rFonts w:ascii="宋体" w:hAnsi="宋体" w:cs="宋体"/>
          <w:sz w:val="24"/>
          <w:szCs w:val="24"/>
        </w:rPr>
      </w:pPr>
      <w:r>
        <w:rPr>
          <w:rFonts w:hint="eastAsia" w:ascii="宋体" w:hAnsi="宋体" w:cs="宋体"/>
          <w:sz w:val="24"/>
          <w:szCs w:val="24"/>
        </w:rPr>
        <w:t>（四）售价（元）：0 </w:t>
      </w:r>
    </w:p>
    <w:p w14:paraId="59063D1A">
      <w:pPr>
        <w:spacing w:line="440" w:lineRule="exact"/>
        <w:ind w:firstLine="482"/>
        <w:rPr>
          <w:rFonts w:ascii="宋体" w:cs="宋体"/>
          <w:b/>
          <w:bCs/>
          <w:sz w:val="24"/>
          <w:szCs w:val="24"/>
        </w:rPr>
      </w:pPr>
      <w:r>
        <w:rPr>
          <w:rFonts w:hint="eastAsia" w:ascii="宋体" w:hAnsi="宋体" w:cs="宋体"/>
          <w:b/>
          <w:bCs/>
          <w:sz w:val="24"/>
          <w:szCs w:val="24"/>
        </w:rPr>
        <w:t>四、提交投标文件截止时间、开标时间和地点</w:t>
      </w:r>
    </w:p>
    <w:p w14:paraId="5F6305CE">
      <w:pPr>
        <w:snapToGrid w:val="0"/>
        <w:spacing w:line="440" w:lineRule="exact"/>
        <w:ind w:firstLine="480" w:firstLineChars="200"/>
        <w:rPr>
          <w:rFonts w:ascii="宋体" w:cs="宋体"/>
          <w:sz w:val="24"/>
          <w:szCs w:val="24"/>
        </w:rPr>
      </w:pPr>
      <w:r>
        <w:rPr>
          <w:rFonts w:hint="eastAsia" w:ascii="宋体" w:hAnsi="宋体" w:cs="宋体"/>
          <w:sz w:val="24"/>
          <w:szCs w:val="24"/>
        </w:rPr>
        <w:t>提交投标文件截止时间：2025年</w:t>
      </w:r>
      <w:r>
        <w:rPr>
          <w:rFonts w:hint="eastAsia" w:ascii="宋体" w:hAnsi="宋体" w:cs="宋体"/>
          <w:sz w:val="24"/>
          <w:szCs w:val="24"/>
          <w:lang w:val="en-US" w:eastAsia="zh-CN"/>
        </w:rPr>
        <w:t>4</w:t>
      </w:r>
      <w:r>
        <w:rPr>
          <w:rFonts w:hint="eastAsia" w:ascii="宋体" w:hAnsi="宋体" w:cs="宋体"/>
          <w:sz w:val="24"/>
          <w:szCs w:val="24"/>
        </w:rPr>
        <w:t>月</w:t>
      </w:r>
      <w:r>
        <w:rPr>
          <w:rFonts w:hint="eastAsia" w:ascii="宋体" w:hAnsi="宋体" w:cs="宋体"/>
          <w:sz w:val="24"/>
          <w:szCs w:val="24"/>
          <w:lang w:val="en-US" w:eastAsia="zh-CN"/>
        </w:rPr>
        <w:t>17</w:t>
      </w:r>
      <w:r>
        <w:rPr>
          <w:rFonts w:hint="eastAsia" w:ascii="宋体" w:hAnsi="宋体" w:cs="宋体"/>
          <w:sz w:val="24"/>
          <w:szCs w:val="24"/>
        </w:rPr>
        <w:t>日   14：00：00分（北京时间）</w:t>
      </w:r>
    </w:p>
    <w:p w14:paraId="74E2973C">
      <w:pPr>
        <w:snapToGrid w:val="0"/>
        <w:spacing w:line="440" w:lineRule="exact"/>
        <w:ind w:firstLine="480" w:firstLineChars="200"/>
        <w:rPr>
          <w:rFonts w:ascii="宋体" w:cs="宋体"/>
          <w:sz w:val="24"/>
          <w:szCs w:val="24"/>
        </w:rPr>
      </w:pPr>
      <w:r>
        <w:rPr>
          <w:rFonts w:hint="eastAsia" w:ascii="宋体" w:hAnsi="宋体" w:cs="宋体"/>
          <w:sz w:val="24"/>
          <w:szCs w:val="24"/>
        </w:rPr>
        <w:t>投标地点（网址）：“乐采云投标客户端”（下载链接：https://b.zhengcaiyun.cn/luban/category?parentId=550045&amp;childrenCode=qicaiCategory17&amp;utm=luban.luban-PC-39026.959-pc-websitegroup-navBar-front.8.c8789bc0520b11efb86dbfa49a87be0d）线上上传</w:t>
      </w:r>
    </w:p>
    <w:p w14:paraId="33D0CC1D">
      <w:pPr>
        <w:snapToGrid w:val="0"/>
        <w:spacing w:line="440" w:lineRule="exact"/>
        <w:ind w:firstLine="480" w:firstLineChars="200"/>
        <w:rPr>
          <w:rFonts w:ascii="宋体" w:cs="宋体"/>
          <w:sz w:val="24"/>
          <w:szCs w:val="24"/>
        </w:rPr>
      </w:pPr>
      <w:r>
        <w:rPr>
          <w:rFonts w:hint="eastAsia" w:ascii="宋体" w:hAnsi="宋体" w:cs="宋体"/>
          <w:sz w:val="24"/>
          <w:szCs w:val="24"/>
        </w:rPr>
        <w:t>开标时间：2025年</w:t>
      </w:r>
      <w:r>
        <w:rPr>
          <w:rFonts w:hint="eastAsia" w:ascii="宋体" w:hAnsi="宋体" w:cs="宋体"/>
          <w:sz w:val="24"/>
          <w:szCs w:val="24"/>
          <w:lang w:val="en-US" w:eastAsia="zh-CN"/>
        </w:rPr>
        <w:t>4</w:t>
      </w:r>
      <w:r>
        <w:rPr>
          <w:rFonts w:hint="eastAsia" w:ascii="宋体" w:hAnsi="宋体" w:cs="宋体"/>
          <w:sz w:val="24"/>
          <w:szCs w:val="24"/>
        </w:rPr>
        <w:t>月</w:t>
      </w:r>
      <w:r>
        <w:rPr>
          <w:rFonts w:hint="eastAsia" w:ascii="宋体" w:hAnsi="宋体" w:cs="宋体"/>
          <w:sz w:val="24"/>
          <w:szCs w:val="24"/>
          <w:lang w:val="en-US" w:eastAsia="zh-CN"/>
        </w:rPr>
        <w:t>17</w:t>
      </w:r>
      <w:r>
        <w:rPr>
          <w:rFonts w:hint="eastAsia" w:ascii="宋体" w:hAnsi="宋体" w:cs="宋体"/>
          <w:sz w:val="24"/>
          <w:szCs w:val="24"/>
        </w:rPr>
        <w:t>日   14：00：00分（北京时间）</w:t>
      </w:r>
    </w:p>
    <w:p w14:paraId="6C333CFD">
      <w:pPr>
        <w:snapToGrid w:val="0"/>
        <w:spacing w:line="440" w:lineRule="exact"/>
        <w:ind w:firstLine="480" w:firstLineChars="200"/>
        <w:rPr>
          <w:rFonts w:ascii="宋体" w:cs="宋体"/>
          <w:sz w:val="24"/>
          <w:szCs w:val="24"/>
        </w:rPr>
      </w:pPr>
      <w:r>
        <w:rPr>
          <w:rFonts w:hint="eastAsia" w:ascii="宋体" w:hAnsi="宋体" w:cs="宋体"/>
          <w:sz w:val="24"/>
          <w:szCs w:val="24"/>
        </w:rPr>
        <w:t>开标地点（网址）：“乐采云平台”线上开标</w:t>
      </w:r>
    </w:p>
    <w:p w14:paraId="04B7A88E">
      <w:pPr>
        <w:spacing w:line="440" w:lineRule="exact"/>
        <w:ind w:firstLine="482"/>
        <w:rPr>
          <w:rFonts w:ascii="宋体" w:cs="宋体"/>
          <w:b/>
          <w:bCs/>
          <w:sz w:val="24"/>
          <w:szCs w:val="24"/>
        </w:rPr>
      </w:pPr>
      <w:r>
        <w:rPr>
          <w:rFonts w:hint="eastAsia" w:ascii="宋体" w:hAnsi="宋体" w:cs="宋体"/>
          <w:b/>
          <w:bCs/>
          <w:sz w:val="24"/>
          <w:szCs w:val="24"/>
        </w:rPr>
        <w:t>五、公告期限</w:t>
      </w:r>
      <w:r>
        <w:rPr>
          <w:rFonts w:ascii="宋体" w:cs="宋体"/>
          <w:b/>
          <w:bCs/>
          <w:sz w:val="24"/>
          <w:szCs w:val="24"/>
        </w:rPr>
        <w:t> </w:t>
      </w:r>
    </w:p>
    <w:p w14:paraId="14C9FF9E">
      <w:pPr>
        <w:spacing w:line="440" w:lineRule="exact"/>
        <w:ind w:firstLine="480"/>
        <w:rPr>
          <w:rFonts w:ascii="宋体" w:cs="宋体"/>
          <w:sz w:val="24"/>
          <w:szCs w:val="24"/>
        </w:rPr>
      </w:pPr>
      <w:r>
        <w:rPr>
          <w:rFonts w:hint="eastAsia" w:ascii="宋体" w:hAnsi="宋体" w:cs="宋体"/>
          <w:sz w:val="24"/>
          <w:szCs w:val="24"/>
        </w:rPr>
        <w:t>自本公告发布之日起</w:t>
      </w:r>
      <w:r>
        <w:rPr>
          <w:rFonts w:ascii="宋体" w:hAnsi="宋体" w:cs="宋体"/>
          <w:sz w:val="24"/>
          <w:szCs w:val="24"/>
        </w:rPr>
        <w:t>5</w:t>
      </w:r>
      <w:r>
        <w:rPr>
          <w:rFonts w:hint="eastAsia" w:ascii="宋体" w:hAnsi="宋体" w:cs="宋体"/>
          <w:sz w:val="24"/>
          <w:szCs w:val="24"/>
        </w:rPr>
        <w:t>个工作日。</w:t>
      </w:r>
    </w:p>
    <w:p w14:paraId="2460146F">
      <w:pPr>
        <w:spacing w:line="440" w:lineRule="exact"/>
        <w:ind w:firstLine="482"/>
        <w:rPr>
          <w:rFonts w:ascii="宋体" w:cs="宋体"/>
          <w:b/>
          <w:bCs/>
          <w:sz w:val="24"/>
          <w:szCs w:val="24"/>
        </w:rPr>
      </w:pPr>
      <w:r>
        <w:rPr>
          <w:rFonts w:hint="eastAsia" w:ascii="宋体" w:hAnsi="宋体" w:cs="宋体"/>
          <w:b/>
          <w:bCs/>
          <w:sz w:val="24"/>
          <w:szCs w:val="24"/>
        </w:rPr>
        <w:t>六、其他补充事宜：</w:t>
      </w:r>
      <w:r>
        <w:rPr>
          <w:rFonts w:ascii="宋体" w:hAnsi="宋体" w:cs="宋体"/>
          <w:b/>
          <w:bCs/>
          <w:sz w:val="24"/>
          <w:szCs w:val="24"/>
        </w:rPr>
        <w:t xml:space="preserve"> </w:t>
      </w:r>
    </w:p>
    <w:p w14:paraId="14FCBD78">
      <w:pPr>
        <w:spacing w:line="440" w:lineRule="exact"/>
        <w:ind w:firstLine="480"/>
        <w:rPr>
          <w:rFonts w:ascii="宋体"/>
          <w:sz w:val="24"/>
          <w:szCs w:val="24"/>
        </w:rPr>
      </w:pPr>
      <w:r>
        <w:rPr>
          <w:rFonts w:ascii="宋体" w:hAnsi="宋体" w:cs="宋体"/>
          <w:sz w:val="24"/>
          <w:szCs w:val="24"/>
        </w:rPr>
        <w:t>1</w:t>
      </w:r>
      <w:r>
        <w:rPr>
          <w:rFonts w:hint="eastAsia" w:ascii="宋体" w:hAnsi="宋体" w:cs="宋体"/>
          <w:sz w:val="24"/>
          <w:szCs w:val="24"/>
        </w:rPr>
        <w:t>、</w:t>
      </w:r>
      <w:r>
        <w:rPr>
          <w:rFonts w:hint="eastAsia" w:hAnsi="宋体" w:cs="仿宋_GB2312"/>
          <w:sz w:val="24"/>
          <w:szCs w:val="22"/>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w:t>
      </w:r>
      <w:r>
        <w:rPr>
          <w:rFonts w:hint="eastAsia" w:ascii="宋体" w:hAnsi="宋体" w:cs="宋体"/>
          <w:sz w:val="24"/>
          <w:szCs w:val="24"/>
        </w:rPr>
        <w:t>。</w:t>
      </w:r>
    </w:p>
    <w:p w14:paraId="3EFD6196">
      <w:pPr>
        <w:spacing w:line="440" w:lineRule="exact"/>
        <w:ind w:firstLine="482"/>
        <w:rPr>
          <w:rFonts w:ascii="宋体" w:cs="宋体"/>
          <w:sz w:val="24"/>
          <w:szCs w:val="24"/>
        </w:rPr>
      </w:pPr>
      <w:r>
        <w:rPr>
          <w:rFonts w:ascii="宋体" w:hAnsi="宋体" w:cs="宋体"/>
          <w:b/>
          <w:bCs/>
          <w:sz w:val="24"/>
          <w:szCs w:val="24"/>
        </w:rPr>
        <w:t>2</w:t>
      </w:r>
      <w:r>
        <w:rPr>
          <w:rFonts w:hint="eastAsia" w:ascii="宋体" w:hAnsi="宋体" w:cs="宋体"/>
          <w:b/>
          <w:bCs/>
          <w:sz w:val="24"/>
          <w:szCs w:val="24"/>
        </w:rPr>
        <w:t>、公告发布媒体：</w:t>
      </w:r>
      <w:r>
        <w:rPr>
          <w:rFonts w:hint="eastAsia" w:hAnsi="宋体" w:cs="仿宋_GB2312"/>
          <w:sz w:val="24"/>
          <w:szCs w:val="22"/>
          <w:u w:val="single"/>
        </w:rPr>
        <w:t xml:space="preserve">乐采云平台（http:// </w:t>
      </w:r>
      <w:r>
        <w:fldChar w:fldCharType="begin"/>
      </w:r>
      <w:r>
        <w:instrText xml:space="preserve"> HYPERLINK "http://www.zjzfcg.gov.cn）和温岭市公共资源交易中心网（http:/new.wl.gov.cn/col/col1402172/index.html）。" </w:instrText>
      </w:r>
      <w:r>
        <w:fldChar w:fldCharType="separate"/>
      </w:r>
      <w:r>
        <w:rPr>
          <w:rFonts w:hint="eastAsia" w:hAnsi="宋体" w:cs="仿宋_GB2312"/>
          <w:sz w:val="24"/>
          <w:szCs w:val="22"/>
          <w:u w:val="single"/>
        </w:rPr>
        <w:t>www.lecaiyun.com）和温岭市公共资源交易中心网（https://www.wl.gov.cn/col/col1402172/index.html）。</w:t>
      </w:r>
      <w:r>
        <w:rPr>
          <w:rFonts w:hint="eastAsia" w:hAnsi="宋体" w:cs="仿宋_GB2312"/>
          <w:sz w:val="24"/>
          <w:szCs w:val="22"/>
          <w:u w:val="single"/>
        </w:rPr>
        <w:fldChar w:fldCharType="end"/>
      </w:r>
    </w:p>
    <w:p w14:paraId="19958BCA">
      <w:pPr>
        <w:tabs>
          <w:tab w:val="left" w:pos="180"/>
          <w:tab w:val="left" w:pos="360"/>
          <w:tab w:val="left" w:pos="540"/>
          <w:tab w:val="left" w:pos="8280"/>
        </w:tabs>
        <w:spacing w:line="440" w:lineRule="exact"/>
        <w:ind w:firstLine="482"/>
        <w:jc w:val="left"/>
        <w:rPr>
          <w:rFonts w:ascii="宋体" w:cs="宋体"/>
          <w:b/>
          <w:bCs/>
          <w:sz w:val="24"/>
          <w:szCs w:val="24"/>
        </w:rPr>
      </w:pPr>
      <w:r>
        <w:rPr>
          <w:rFonts w:hint="eastAsia" w:ascii="宋体" w:hAnsi="宋体" w:cs="宋体"/>
          <w:b/>
          <w:bCs/>
          <w:sz w:val="24"/>
          <w:szCs w:val="24"/>
        </w:rPr>
        <w:t>3、在线投标响应（电子投标）相关说明：</w:t>
      </w:r>
    </w:p>
    <w:p w14:paraId="19208520">
      <w:pPr>
        <w:snapToGrid w:val="0"/>
        <w:spacing w:line="440" w:lineRule="exact"/>
        <w:ind w:firstLine="480" w:firstLineChars="200"/>
        <w:rPr>
          <w:rFonts w:ascii="宋体" w:cs="宋体"/>
          <w:sz w:val="24"/>
          <w:szCs w:val="24"/>
        </w:rPr>
      </w:pPr>
      <w:r>
        <w:rPr>
          <w:rFonts w:ascii="宋体" w:hAnsi="宋体" w:cs="宋体"/>
          <w:sz w:val="24"/>
          <w:szCs w:val="24"/>
        </w:rPr>
        <w:t>①</w:t>
      </w:r>
      <w:r>
        <w:rPr>
          <w:rFonts w:hint="eastAsia" w:ascii="宋体" w:hAnsi="宋体" w:cs="宋体"/>
          <w:sz w:val="24"/>
          <w:szCs w:val="24"/>
        </w:rPr>
        <w:t>标前准备（</w:t>
      </w:r>
      <w:r>
        <w:rPr>
          <w:rFonts w:ascii="宋体" w:hAnsi="宋体" w:cs="宋体"/>
          <w:sz w:val="24"/>
          <w:szCs w:val="24"/>
        </w:rPr>
        <w:t>CA</w:t>
      </w:r>
      <w:r>
        <w:rPr>
          <w:rFonts w:hint="eastAsia" w:ascii="宋体" w:hAnsi="宋体" w:cs="宋体"/>
          <w:sz w:val="24"/>
          <w:szCs w:val="24"/>
        </w:rPr>
        <w:t>驱动及乐采云投标客户端的下载）：本项目通过“乐采云平台”实行线上电子招投标，各潜在供应商应在投标截止时间前注册成为正式供应商，并完成</w:t>
      </w:r>
      <w:r>
        <w:rPr>
          <w:rFonts w:ascii="宋体" w:hAnsi="宋体" w:cs="宋体"/>
          <w:sz w:val="24"/>
          <w:szCs w:val="24"/>
        </w:rPr>
        <w:t>CA</w:t>
      </w:r>
      <w:r>
        <w:rPr>
          <w:rFonts w:hint="eastAsia" w:ascii="宋体" w:hAnsi="宋体" w:cs="宋体"/>
          <w:sz w:val="24"/>
          <w:szCs w:val="24"/>
        </w:rPr>
        <w:t>数字证书办理及电子交易客户端的下载。因未注册入库、未办理</w:t>
      </w:r>
      <w:r>
        <w:rPr>
          <w:rFonts w:ascii="宋体" w:hAnsi="宋体" w:cs="宋体"/>
          <w:sz w:val="24"/>
          <w:szCs w:val="24"/>
        </w:rPr>
        <w:t>CA</w:t>
      </w:r>
      <w:r>
        <w:rPr>
          <w:rFonts w:hint="eastAsia" w:ascii="宋体" w:hAnsi="宋体" w:cs="宋体"/>
          <w:sz w:val="24"/>
          <w:szCs w:val="24"/>
        </w:rPr>
        <w:t>数字证书等原因造成无法投标或投标失败等后果由投标人自行承担。</w:t>
      </w:r>
    </w:p>
    <w:p w14:paraId="0F9FCDB5">
      <w:pPr>
        <w:snapToGrid w:val="0"/>
        <w:spacing w:line="440" w:lineRule="exact"/>
        <w:ind w:firstLine="480" w:firstLineChars="200"/>
        <w:rPr>
          <w:rFonts w:ascii="宋体" w:cs="宋体"/>
          <w:sz w:val="24"/>
          <w:szCs w:val="24"/>
        </w:rPr>
      </w:pPr>
      <w:r>
        <w:rPr>
          <w:rFonts w:ascii="宋体" w:hAnsi="宋体" w:cs="宋体"/>
          <w:sz w:val="24"/>
          <w:szCs w:val="24"/>
        </w:rPr>
        <w:t>②</w:t>
      </w:r>
      <w:r>
        <w:rPr>
          <w:rFonts w:hint="eastAsia" w:ascii="宋体" w:hAnsi="宋体" w:cs="宋体"/>
          <w:sz w:val="24"/>
          <w:szCs w:val="24"/>
        </w:rPr>
        <w:t>为确保网上操作合法、有效和安全，投标人应当在投标截止时间前完成在“乐采云平台”的身份认证，确保在电子投标过程中能够对相关数据电文进行加密和使用电子签章。</w:t>
      </w:r>
    </w:p>
    <w:p w14:paraId="00A34B43">
      <w:pPr>
        <w:snapToGrid w:val="0"/>
        <w:spacing w:line="440" w:lineRule="exact"/>
        <w:ind w:firstLine="480" w:firstLineChars="200"/>
        <w:rPr>
          <w:rFonts w:ascii="宋体" w:cs="宋体"/>
          <w:sz w:val="24"/>
          <w:szCs w:val="24"/>
        </w:rPr>
      </w:pPr>
      <w:r>
        <w:rPr>
          <w:rFonts w:ascii="宋体" w:hAnsi="宋体" w:cs="宋体"/>
          <w:sz w:val="24"/>
          <w:szCs w:val="24"/>
        </w:rPr>
        <w:t>③</w:t>
      </w:r>
      <w:r>
        <w:rPr>
          <w:rFonts w:hint="eastAsia" w:ascii="宋体" w:hAnsi="宋体" w:cs="宋体"/>
          <w:sz w:val="24"/>
          <w:szCs w:val="24"/>
        </w:rPr>
        <w:t>投标文件的递交：（</w:t>
      </w:r>
      <w:r>
        <w:rPr>
          <w:rFonts w:ascii="宋体" w:hAnsi="宋体" w:cs="宋体"/>
          <w:sz w:val="24"/>
          <w:szCs w:val="24"/>
        </w:rPr>
        <w:t>1</w:t>
      </w:r>
      <w:r>
        <w:rPr>
          <w:rFonts w:hint="eastAsia" w:ascii="宋体" w:hAnsi="宋体" w:cs="宋体"/>
          <w:sz w:val="24"/>
          <w:szCs w:val="24"/>
        </w:rPr>
        <w:t>）电子加密投标文件：应按“乐采云平台”及本招标文件要求进行编制、加密并递交，供应商应于投标截止时间前将电子加密投标文件上传到“乐采云平台”中（不准时上传视为撤回投标文件）。（</w:t>
      </w:r>
      <w:r>
        <w:rPr>
          <w:rFonts w:ascii="宋体" w:hAnsi="宋体" w:cs="宋体"/>
          <w:sz w:val="24"/>
          <w:szCs w:val="24"/>
        </w:rPr>
        <w:t>2</w:t>
      </w:r>
      <w:r>
        <w:rPr>
          <w:rFonts w:hint="eastAsia" w:ascii="宋体" w:hAnsi="宋体" w:cs="宋体"/>
          <w:sz w:val="24"/>
          <w:szCs w:val="24"/>
        </w:rPr>
        <w:t>）备份投标文件：投标截止时间前以压缩文件形式加密发送至采购代理机构邮箱，并在接到在线解密通知后</w:t>
      </w:r>
      <w:r>
        <w:rPr>
          <w:rFonts w:ascii="宋体" w:hAnsi="宋体" w:cs="宋体"/>
          <w:sz w:val="24"/>
          <w:szCs w:val="24"/>
        </w:rPr>
        <w:t>30</w:t>
      </w:r>
      <w:r>
        <w:rPr>
          <w:rFonts w:hint="eastAsia" w:ascii="宋体" w:hAnsi="宋体" w:cs="宋体"/>
          <w:sz w:val="24"/>
          <w:szCs w:val="24"/>
        </w:rPr>
        <w:t>分钟内发送压缩文件密码至采购代理机构邮箱。（邮箱号码：1187271673@qq.com）。</w:t>
      </w:r>
    </w:p>
    <w:p w14:paraId="138AE6CA">
      <w:pPr>
        <w:snapToGrid w:val="0"/>
        <w:spacing w:line="440" w:lineRule="exact"/>
        <w:ind w:firstLine="480" w:firstLineChars="200"/>
        <w:rPr>
          <w:rFonts w:ascii="宋体" w:cs="宋体"/>
          <w:sz w:val="24"/>
          <w:szCs w:val="24"/>
        </w:rPr>
      </w:pPr>
      <w:r>
        <w:rPr>
          <w:rFonts w:hint="eastAsia" w:ascii="宋体" w:hAnsi="宋体" w:cs="宋体"/>
          <w:sz w:val="24"/>
          <w:szCs w:val="24"/>
        </w:rPr>
        <w:t>④投标文件的解密：投标人须在开标时间前准备好电脑与本单位制作电子加密投标文件同一个的</w:t>
      </w:r>
      <w:r>
        <w:rPr>
          <w:rFonts w:ascii="宋体" w:hAnsi="宋体" w:cs="宋体"/>
          <w:sz w:val="24"/>
          <w:szCs w:val="24"/>
        </w:rPr>
        <w:t>CA</w:t>
      </w:r>
      <w:r>
        <w:rPr>
          <w:rFonts w:hint="eastAsia" w:ascii="宋体" w:hAnsi="宋体" w:cs="宋体"/>
          <w:sz w:val="24"/>
          <w:szCs w:val="24"/>
        </w:rPr>
        <w:t>锁，并在线等候解密，解密时间为投标截止时间（或开标时间）开始后</w:t>
      </w:r>
      <w:r>
        <w:rPr>
          <w:rFonts w:ascii="宋体" w:hAnsi="宋体" w:cs="宋体"/>
          <w:b/>
          <w:bCs/>
          <w:color w:val="FF0000"/>
          <w:sz w:val="24"/>
          <w:szCs w:val="24"/>
        </w:rPr>
        <w:t>30</w:t>
      </w:r>
      <w:r>
        <w:rPr>
          <w:rFonts w:hint="eastAsia" w:ascii="宋体" w:hAnsi="宋体" w:cs="宋体"/>
          <w:b/>
          <w:bCs/>
          <w:color w:val="FF0000"/>
          <w:sz w:val="24"/>
          <w:szCs w:val="24"/>
        </w:rPr>
        <w:t>分钟</w:t>
      </w:r>
      <w:r>
        <w:rPr>
          <w:rFonts w:hint="eastAsia" w:ascii="宋体" w:hAnsi="宋体" w:cs="宋体"/>
          <w:sz w:val="24"/>
          <w:szCs w:val="24"/>
        </w:rPr>
        <w:t>内。</w:t>
      </w:r>
    </w:p>
    <w:p w14:paraId="52C4959F">
      <w:pPr>
        <w:snapToGrid w:val="0"/>
        <w:spacing w:line="440" w:lineRule="exact"/>
        <w:ind w:firstLine="480" w:firstLineChars="200"/>
        <w:rPr>
          <w:b/>
          <w:bCs/>
          <w:color w:val="FF0000"/>
        </w:rPr>
      </w:pPr>
      <w:r>
        <w:rPr>
          <w:rFonts w:hint="eastAsia" w:ascii="宋体" w:hAnsi="宋体" w:cs="宋体"/>
          <w:b/>
          <w:bCs/>
          <w:color w:val="FF0000"/>
          <w:sz w:val="24"/>
          <w:szCs w:val="24"/>
        </w:rPr>
        <w:t>注：本次招标采用电子招投标，实行网上投标（非现场方式实施）。投标文件应当通过“乐采云投标客户端”上传，在项目开、评标活动过程中，投标人需保持联系渠道畅通。</w:t>
      </w:r>
    </w:p>
    <w:p w14:paraId="5AACC99E">
      <w:pPr>
        <w:spacing w:line="440" w:lineRule="exact"/>
        <w:ind w:firstLine="482"/>
        <w:rPr>
          <w:rFonts w:ascii="宋体" w:hAnsi="宋体" w:cs="宋体"/>
          <w:b/>
          <w:bCs/>
          <w:sz w:val="24"/>
          <w:szCs w:val="24"/>
        </w:rPr>
      </w:pPr>
      <w:r>
        <w:rPr>
          <w:rFonts w:hint="eastAsia" w:ascii="宋体" w:hAnsi="宋体" w:cs="宋体"/>
          <w:b/>
          <w:bCs/>
          <w:sz w:val="24"/>
          <w:szCs w:val="24"/>
        </w:rPr>
        <w:t>七、对本次采购提出询问、质疑，请按以下方式联系</w:t>
      </w:r>
    </w:p>
    <w:p w14:paraId="31BF9442">
      <w:pPr>
        <w:spacing w:line="440" w:lineRule="exact"/>
        <w:ind w:firstLine="602"/>
        <w:rPr>
          <w:rFonts w:ascii="宋体" w:cs="宋体"/>
          <w:b/>
          <w:bCs/>
          <w:sz w:val="24"/>
          <w:szCs w:val="24"/>
        </w:rPr>
      </w:pPr>
      <w:r>
        <w:rPr>
          <w:rFonts w:hint="eastAsia" w:ascii="宋体" w:cs="宋体"/>
          <w:b/>
          <w:bCs/>
          <w:sz w:val="24"/>
          <w:szCs w:val="24"/>
        </w:rPr>
        <w:t>1、采购人信息：</w:t>
      </w:r>
    </w:p>
    <w:p w14:paraId="1DA763FF">
      <w:pPr>
        <w:spacing w:line="440" w:lineRule="exact"/>
        <w:ind w:firstLine="600"/>
        <w:rPr>
          <w:rFonts w:ascii="宋体" w:cs="宋体"/>
          <w:sz w:val="24"/>
          <w:szCs w:val="24"/>
        </w:rPr>
      </w:pPr>
      <w:r>
        <w:rPr>
          <w:rFonts w:hint="eastAsia" w:ascii="宋体" w:cs="宋体"/>
          <w:sz w:val="24"/>
          <w:szCs w:val="24"/>
        </w:rPr>
        <w:t>名 称：温岭市供水有限公司</w:t>
      </w:r>
    </w:p>
    <w:p w14:paraId="39B3F412">
      <w:pPr>
        <w:spacing w:line="440" w:lineRule="exact"/>
        <w:ind w:firstLine="600"/>
        <w:rPr>
          <w:rFonts w:ascii="宋体" w:cs="宋体"/>
          <w:sz w:val="24"/>
          <w:szCs w:val="24"/>
        </w:rPr>
      </w:pPr>
      <w:r>
        <w:rPr>
          <w:rFonts w:hint="eastAsia" w:ascii="宋体" w:cs="宋体"/>
          <w:sz w:val="24"/>
          <w:szCs w:val="24"/>
        </w:rPr>
        <w:t>项目联系人（询问）：林先生</w:t>
      </w:r>
    </w:p>
    <w:p w14:paraId="47A7267D">
      <w:pPr>
        <w:spacing w:line="440" w:lineRule="exact"/>
        <w:ind w:firstLine="600"/>
        <w:rPr>
          <w:rFonts w:ascii="宋体" w:cs="宋体"/>
          <w:sz w:val="24"/>
          <w:szCs w:val="24"/>
        </w:rPr>
      </w:pPr>
      <w:r>
        <w:rPr>
          <w:rFonts w:hint="eastAsia" w:ascii="宋体" w:cs="宋体"/>
          <w:sz w:val="24"/>
          <w:szCs w:val="24"/>
        </w:rPr>
        <w:t>项目联系方式（询问）：</w:t>
      </w:r>
      <w:r>
        <w:rPr>
          <w:rFonts w:ascii="宋体" w:cs="宋体"/>
          <w:sz w:val="24"/>
          <w:szCs w:val="24"/>
        </w:rPr>
        <w:t>0576-</w:t>
      </w:r>
      <w:r>
        <w:rPr>
          <w:rFonts w:hint="eastAsia" w:ascii="宋体" w:cs="宋体"/>
          <w:sz w:val="24"/>
        </w:rPr>
        <w:t>86210825</w:t>
      </w:r>
    </w:p>
    <w:p w14:paraId="727C5BFA">
      <w:pPr>
        <w:spacing w:line="440" w:lineRule="exact"/>
        <w:ind w:firstLine="600"/>
        <w:rPr>
          <w:rFonts w:ascii="宋体" w:cs="宋体"/>
          <w:b/>
          <w:bCs/>
          <w:sz w:val="24"/>
          <w:szCs w:val="24"/>
        </w:rPr>
      </w:pPr>
      <w:r>
        <w:rPr>
          <w:rFonts w:hint="eastAsia" w:ascii="宋体" w:cs="宋体"/>
          <w:b/>
          <w:bCs/>
          <w:sz w:val="24"/>
          <w:szCs w:val="24"/>
        </w:rPr>
        <w:t>2、招标代理信息：</w:t>
      </w:r>
    </w:p>
    <w:p w14:paraId="27E18C78">
      <w:pPr>
        <w:spacing w:line="440" w:lineRule="exact"/>
        <w:ind w:firstLine="600"/>
        <w:rPr>
          <w:rFonts w:ascii="宋体" w:cs="宋体"/>
          <w:sz w:val="24"/>
          <w:szCs w:val="24"/>
        </w:rPr>
      </w:pPr>
      <w:r>
        <w:rPr>
          <w:rFonts w:hint="eastAsia" w:ascii="宋体" w:cs="宋体"/>
          <w:sz w:val="24"/>
          <w:szCs w:val="24"/>
        </w:rPr>
        <w:t>名    称：建经投资咨询有限公司             </w:t>
      </w:r>
    </w:p>
    <w:p w14:paraId="12D69ACF">
      <w:pPr>
        <w:spacing w:line="440" w:lineRule="exact"/>
        <w:ind w:firstLine="600"/>
        <w:rPr>
          <w:rFonts w:ascii="宋体" w:cs="宋体"/>
          <w:sz w:val="24"/>
          <w:szCs w:val="24"/>
        </w:rPr>
      </w:pPr>
      <w:r>
        <w:rPr>
          <w:rFonts w:hint="eastAsia" w:ascii="宋体" w:cs="宋体"/>
          <w:sz w:val="24"/>
          <w:szCs w:val="24"/>
        </w:rPr>
        <w:t>地    址：浙江省温岭市万昌路服务业大厦8楼             </w:t>
      </w:r>
    </w:p>
    <w:p w14:paraId="4DFDA80D">
      <w:pPr>
        <w:spacing w:line="440" w:lineRule="exact"/>
        <w:ind w:firstLine="600"/>
        <w:rPr>
          <w:rFonts w:ascii="宋体" w:cs="宋体"/>
          <w:sz w:val="24"/>
          <w:szCs w:val="24"/>
        </w:rPr>
      </w:pPr>
      <w:r>
        <w:rPr>
          <w:rFonts w:hint="eastAsia" w:ascii="宋体" w:cs="宋体"/>
          <w:sz w:val="24"/>
          <w:szCs w:val="24"/>
        </w:rPr>
        <w:t>传    真：0576-86087802             </w:t>
      </w:r>
    </w:p>
    <w:p w14:paraId="1724E50C">
      <w:pPr>
        <w:spacing w:line="440" w:lineRule="exact"/>
        <w:ind w:firstLine="600"/>
        <w:rPr>
          <w:rFonts w:ascii="宋体" w:cs="宋体"/>
          <w:sz w:val="24"/>
          <w:szCs w:val="24"/>
        </w:rPr>
      </w:pPr>
      <w:r>
        <w:rPr>
          <w:rFonts w:hint="eastAsia" w:ascii="宋体" w:cs="宋体"/>
          <w:sz w:val="24"/>
          <w:szCs w:val="24"/>
        </w:rPr>
        <w:t>项目联系人（询问）：夏汾汾、韩金伊              </w:t>
      </w:r>
    </w:p>
    <w:p w14:paraId="7D73CD87">
      <w:pPr>
        <w:spacing w:line="440" w:lineRule="exact"/>
        <w:ind w:firstLine="600"/>
        <w:rPr>
          <w:rFonts w:ascii="宋体" w:cs="宋体"/>
          <w:sz w:val="24"/>
          <w:szCs w:val="24"/>
        </w:rPr>
      </w:pPr>
      <w:r>
        <w:rPr>
          <w:rFonts w:hint="eastAsia" w:ascii="宋体" w:cs="宋体"/>
          <w:sz w:val="24"/>
          <w:szCs w:val="24"/>
        </w:rPr>
        <w:t>项目联系方式（询问）：0576-81761099、0576-81761087 </w:t>
      </w:r>
    </w:p>
    <w:p w14:paraId="5EA0C1E1">
      <w:pPr>
        <w:spacing w:line="440" w:lineRule="exact"/>
        <w:ind w:firstLine="600"/>
        <w:rPr>
          <w:rFonts w:ascii="宋体" w:cs="宋体"/>
          <w:sz w:val="24"/>
          <w:szCs w:val="24"/>
        </w:rPr>
      </w:pPr>
      <w:r>
        <w:rPr>
          <w:rFonts w:hint="eastAsia" w:ascii="宋体" w:cs="宋体"/>
          <w:sz w:val="24"/>
          <w:szCs w:val="24"/>
        </w:rPr>
        <w:t>质疑联系人：吕玉平             </w:t>
      </w:r>
    </w:p>
    <w:p w14:paraId="583ACF18">
      <w:pPr>
        <w:spacing w:line="440" w:lineRule="exact"/>
        <w:ind w:firstLine="600"/>
        <w:rPr>
          <w:rFonts w:ascii="宋体" w:cs="宋体"/>
          <w:sz w:val="24"/>
          <w:szCs w:val="24"/>
        </w:rPr>
      </w:pPr>
      <w:r>
        <w:rPr>
          <w:rFonts w:hint="eastAsia" w:ascii="宋体" w:cs="宋体"/>
          <w:sz w:val="24"/>
          <w:szCs w:val="24"/>
        </w:rPr>
        <w:t>质疑联系方式：0576-81761088</w:t>
      </w:r>
    </w:p>
    <w:p w14:paraId="6327BD4F">
      <w:pPr>
        <w:spacing w:line="440" w:lineRule="exact"/>
        <w:ind w:left="62" w:right="62" w:firstLine="539"/>
        <w:rPr>
          <w:rFonts w:ascii="宋体" w:cs="宋体"/>
          <w:sz w:val="24"/>
          <w:szCs w:val="24"/>
        </w:rPr>
      </w:pPr>
      <w:r>
        <w:rPr>
          <w:rFonts w:hint="eastAsia" w:ascii="宋体" w:cs="宋体"/>
          <w:sz w:val="24"/>
          <w:szCs w:val="24"/>
        </w:rPr>
        <w:t>       </w:t>
      </w:r>
    </w:p>
    <w:p w14:paraId="069667A1">
      <w:pPr>
        <w:spacing w:line="440" w:lineRule="exact"/>
        <w:ind w:firstLine="525"/>
        <w:rPr>
          <w:rFonts w:ascii="宋体" w:cs="宋体"/>
        </w:rPr>
      </w:pPr>
      <w:r>
        <w:rPr>
          <w:rFonts w:hint="eastAsia" w:ascii="宋体" w:cs="宋体"/>
        </w:rPr>
        <w:t>若对项目采购电子交易系统操作有疑问，可登录“乐采云平台”（https://www.lecaiyun.com），点击右侧咨询小采，获取采小蜜智能服务管家帮助，或拨打服务热线95763获取热线服务帮助。        </w:t>
      </w:r>
    </w:p>
    <w:p w14:paraId="53123C7E">
      <w:pPr>
        <w:spacing w:line="440" w:lineRule="exact"/>
        <w:ind w:firstLine="525"/>
        <w:rPr>
          <w:rFonts w:ascii="宋体" w:cs="宋体"/>
        </w:rPr>
      </w:pPr>
      <w:r>
        <w:rPr>
          <w:rFonts w:hint="eastAsia" w:ascii="宋体" w:cs="宋体"/>
        </w:rPr>
        <w:t>CA问题联系电话（人工）：汇信CA 400-888-4636；天谷CA 400-087-8198。</w:t>
      </w:r>
    </w:p>
    <w:p w14:paraId="7DA77FAB">
      <w:pPr>
        <w:rPr>
          <w:rFonts w:ascii="宋体" w:hAnsi="宋体" w:cs="宋体"/>
          <w:b/>
          <w:bCs/>
          <w:sz w:val="36"/>
          <w:szCs w:val="36"/>
        </w:rPr>
      </w:pPr>
      <w:bookmarkStart w:id="5" w:name="_Toc13592"/>
      <w:bookmarkStart w:id="6" w:name="_Toc7282"/>
      <w:r>
        <w:rPr>
          <w:rFonts w:hint="eastAsia" w:ascii="宋体" w:hAnsi="宋体" w:cs="宋体"/>
          <w:b/>
          <w:bCs/>
          <w:sz w:val="36"/>
          <w:szCs w:val="36"/>
        </w:rPr>
        <w:br w:type="page"/>
      </w:r>
    </w:p>
    <w:p w14:paraId="1DD9B16B">
      <w:pPr>
        <w:spacing w:line="360" w:lineRule="auto"/>
        <w:jc w:val="center"/>
        <w:outlineLvl w:val="0"/>
        <w:rPr>
          <w:rFonts w:ascii="宋体" w:cs="宋体"/>
          <w:b/>
          <w:bCs/>
          <w:sz w:val="36"/>
          <w:szCs w:val="36"/>
        </w:rPr>
      </w:pPr>
      <w:r>
        <w:rPr>
          <w:rFonts w:hint="eastAsia" w:ascii="宋体" w:hAnsi="宋体" w:cs="宋体"/>
          <w:b/>
          <w:bCs/>
          <w:sz w:val="36"/>
          <w:szCs w:val="36"/>
        </w:rPr>
        <w:t>第二章 投标人须知</w:t>
      </w:r>
      <w:bookmarkEnd w:id="5"/>
    </w:p>
    <w:p w14:paraId="437817BC">
      <w:pPr>
        <w:spacing w:line="360" w:lineRule="auto"/>
        <w:jc w:val="center"/>
        <w:rPr>
          <w:rFonts w:ascii="宋体" w:hAnsi="宋体" w:cs="宋体"/>
          <w:b/>
          <w:bCs/>
          <w:sz w:val="28"/>
          <w:szCs w:val="28"/>
        </w:rPr>
      </w:pPr>
      <w:r>
        <w:rPr>
          <w:rFonts w:hint="eastAsia" w:ascii="宋体" w:hAnsi="宋体" w:cs="宋体"/>
          <w:b/>
          <w:bCs/>
          <w:sz w:val="28"/>
          <w:szCs w:val="28"/>
        </w:rPr>
        <w:t>前附表</w:t>
      </w:r>
    </w:p>
    <w:tbl>
      <w:tblPr>
        <w:tblStyle w:val="44"/>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699"/>
        <w:gridCol w:w="6625"/>
      </w:tblGrid>
      <w:tr w14:paraId="295B2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715" w:type="dxa"/>
            <w:vAlign w:val="center"/>
          </w:tcPr>
          <w:p w14:paraId="7133542C">
            <w:pPr>
              <w:spacing w:line="360" w:lineRule="exact"/>
              <w:jc w:val="center"/>
              <w:rPr>
                <w:rFonts w:ascii="宋体" w:hAnsi="宋体" w:cs="宋体"/>
                <w:b/>
                <w:bCs/>
                <w:sz w:val="24"/>
                <w:szCs w:val="24"/>
              </w:rPr>
            </w:pPr>
            <w:r>
              <w:rPr>
                <w:rFonts w:hint="eastAsia" w:ascii="宋体" w:hAnsi="宋体" w:cs="宋体"/>
                <w:b/>
                <w:bCs/>
                <w:sz w:val="24"/>
                <w:szCs w:val="24"/>
              </w:rPr>
              <w:t>序号</w:t>
            </w:r>
          </w:p>
        </w:tc>
        <w:tc>
          <w:tcPr>
            <w:tcW w:w="1699" w:type="dxa"/>
            <w:vAlign w:val="center"/>
          </w:tcPr>
          <w:p w14:paraId="593103C2">
            <w:pPr>
              <w:spacing w:line="360" w:lineRule="exact"/>
              <w:jc w:val="center"/>
              <w:rPr>
                <w:rFonts w:ascii="宋体" w:hAnsi="宋体" w:cs="宋体"/>
                <w:b/>
                <w:bCs/>
                <w:sz w:val="24"/>
                <w:szCs w:val="24"/>
              </w:rPr>
            </w:pPr>
            <w:r>
              <w:rPr>
                <w:rFonts w:hint="eastAsia" w:ascii="宋体" w:hAnsi="宋体" w:cs="宋体"/>
                <w:b/>
                <w:bCs/>
                <w:sz w:val="24"/>
                <w:szCs w:val="24"/>
              </w:rPr>
              <w:t>项    目</w:t>
            </w:r>
          </w:p>
        </w:tc>
        <w:tc>
          <w:tcPr>
            <w:tcW w:w="6625" w:type="dxa"/>
            <w:vAlign w:val="center"/>
          </w:tcPr>
          <w:p w14:paraId="486A1958">
            <w:pPr>
              <w:spacing w:line="360" w:lineRule="exact"/>
              <w:jc w:val="center"/>
              <w:rPr>
                <w:rFonts w:ascii="宋体" w:hAnsi="宋体" w:cs="宋体"/>
                <w:b/>
                <w:bCs/>
                <w:sz w:val="24"/>
                <w:szCs w:val="24"/>
              </w:rPr>
            </w:pPr>
            <w:r>
              <w:rPr>
                <w:rFonts w:hint="eastAsia" w:ascii="宋体" w:hAnsi="宋体" w:cs="宋体"/>
                <w:b/>
                <w:bCs/>
                <w:sz w:val="24"/>
                <w:szCs w:val="24"/>
              </w:rPr>
              <w:t>内                 容</w:t>
            </w:r>
          </w:p>
        </w:tc>
      </w:tr>
      <w:tr w14:paraId="57290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5" w:type="dxa"/>
            <w:vAlign w:val="center"/>
          </w:tcPr>
          <w:p w14:paraId="28D09054">
            <w:pPr>
              <w:spacing w:line="360" w:lineRule="exact"/>
              <w:jc w:val="center"/>
              <w:rPr>
                <w:rFonts w:ascii="宋体" w:hAnsi="宋体" w:cs="宋体"/>
                <w:sz w:val="24"/>
                <w:szCs w:val="24"/>
              </w:rPr>
            </w:pPr>
            <w:r>
              <w:rPr>
                <w:rFonts w:hint="eastAsia" w:ascii="宋体" w:hAnsi="宋体" w:cs="宋体"/>
                <w:sz w:val="24"/>
                <w:szCs w:val="24"/>
              </w:rPr>
              <w:t>1</w:t>
            </w:r>
          </w:p>
        </w:tc>
        <w:tc>
          <w:tcPr>
            <w:tcW w:w="1699" w:type="dxa"/>
            <w:vAlign w:val="center"/>
          </w:tcPr>
          <w:p w14:paraId="643DAFCB">
            <w:pPr>
              <w:spacing w:line="360" w:lineRule="exact"/>
              <w:jc w:val="center"/>
              <w:rPr>
                <w:rFonts w:ascii="宋体" w:hAnsi="宋体" w:cs="宋体"/>
                <w:sz w:val="24"/>
                <w:szCs w:val="24"/>
              </w:rPr>
            </w:pPr>
            <w:r>
              <w:rPr>
                <w:rFonts w:hint="eastAsia" w:ascii="宋体" w:hAnsi="宋体" w:cs="宋体"/>
                <w:sz w:val="24"/>
                <w:szCs w:val="24"/>
              </w:rPr>
              <w:t>采购项目</w:t>
            </w:r>
          </w:p>
        </w:tc>
        <w:tc>
          <w:tcPr>
            <w:tcW w:w="6625" w:type="dxa"/>
            <w:vAlign w:val="center"/>
          </w:tcPr>
          <w:p w14:paraId="2D8DF150">
            <w:pPr>
              <w:pStyle w:val="40"/>
              <w:tabs>
                <w:tab w:val="left" w:pos="6930"/>
              </w:tabs>
              <w:spacing w:before="0" w:beforeAutospacing="0" w:after="0" w:afterAutospacing="0" w:line="360" w:lineRule="exact"/>
              <w:rPr>
                <w:lang w:val="zh-CN"/>
              </w:rPr>
            </w:pPr>
            <w:r>
              <w:rPr>
                <w:rFonts w:hint="eastAsia"/>
                <w:lang w:val="zh-CN"/>
              </w:rPr>
              <w:t>项目名称：温岭市供水有限公司二次供水泵房运维服务采购</w:t>
            </w:r>
          </w:p>
          <w:p w14:paraId="396F597D">
            <w:pPr>
              <w:pStyle w:val="40"/>
              <w:tabs>
                <w:tab w:val="left" w:pos="6930"/>
              </w:tabs>
              <w:spacing w:before="0" w:beforeAutospacing="0" w:after="0" w:afterAutospacing="0" w:line="360" w:lineRule="exact"/>
              <w:rPr>
                <w:lang w:val="zh-CN"/>
              </w:rPr>
            </w:pPr>
            <w:r>
              <w:rPr>
                <w:rFonts w:hint="eastAsia"/>
                <w:lang w:val="zh-CN"/>
              </w:rPr>
              <w:t xml:space="preserve">项目编号：JJWL25031748 </w:t>
            </w:r>
          </w:p>
          <w:p w14:paraId="7FC8D890">
            <w:pPr>
              <w:pStyle w:val="40"/>
              <w:tabs>
                <w:tab w:val="left" w:pos="6930"/>
              </w:tabs>
              <w:spacing w:before="0" w:beforeAutospacing="0" w:after="0" w:afterAutospacing="0" w:line="360" w:lineRule="exact"/>
            </w:pPr>
            <w:r>
              <w:rPr>
                <w:rFonts w:hint="eastAsia"/>
                <w:lang w:val="zh-CN"/>
              </w:rPr>
              <w:t>项目内容：详见第</w:t>
            </w:r>
            <w:r>
              <w:rPr>
                <w:rFonts w:hint="eastAsia"/>
              </w:rPr>
              <w:t>四</w:t>
            </w:r>
            <w:r>
              <w:rPr>
                <w:rFonts w:hint="eastAsia"/>
                <w:lang w:val="zh-CN"/>
              </w:rPr>
              <w:t>章“采购需求”</w:t>
            </w:r>
          </w:p>
        </w:tc>
      </w:tr>
      <w:tr w14:paraId="6F9E2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715" w:type="dxa"/>
            <w:vAlign w:val="center"/>
          </w:tcPr>
          <w:p w14:paraId="5C5C1AED">
            <w:pPr>
              <w:spacing w:line="360" w:lineRule="exact"/>
              <w:jc w:val="center"/>
              <w:rPr>
                <w:rFonts w:ascii="宋体" w:hAnsi="宋体" w:cs="宋体"/>
                <w:sz w:val="24"/>
                <w:szCs w:val="24"/>
              </w:rPr>
            </w:pPr>
            <w:r>
              <w:rPr>
                <w:rFonts w:hint="eastAsia" w:ascii="宋体" w:hAnsi="宋体" w:cs="宋体"/>
                <w:sz w:val="24"/>
                <w:szCs w:val="24"/>
              </w:rPr>
              <w:t>2</w:t>
            </w:r>
          </w:p>
        </w:tc>
        <w:tc>
          <w:tcPr>
            <w:tcW w:w="1699" w:type="dxa"/>
            <w:vAlign w:val="center"/>
          </w:tcPr>
          <w:p w14:paraId="5481DEFF">
            <w:pPr>
              <w:spacing w:line="360" w:lineRule="exact"/>
              <w:jc w:val="center"/>
              <w:rPr>
                <w:rFonts w:ascii="宋体" w:hAnsi="宋体" w:cs="宋体"/>
                <w:sz w:val="24"/>
                <w:szCs w:val="24"/>
              </w:rPr>
            </w:pPr>
            <w:r>
              <w:rPr>
                <w:rFonts w:hint="eastAsia" w:ascii="宋体" w:hAnsi="宋体" w:cs="宋体"/>
                <w:sz w:val="24"/>
                <w:szCs w:val="24"/>
              </w:rPr>
              <w:t>采购方式</w:t>
            </w:r>
          </w:p>
        </w:tc>
        <w:tc>
          <w:tcPr>
            <w:tcW w:w="6625" w:type="dxa"/>
            <w:vAlign w:val="center"/>
          </w:tcPr>
          <w:p w14:paraId="1554C1DE">
            <w:pPr>
              <w:spacing w:line="360" w:lineRule="exact"/>
              <w:rPr>
                <w:rFonts w:ascii="宋体" w:hAnsi="宋体" w:cs="宋体"/>
                <w:sz w:val="24"/>
                <w:szCs w:val="24"/>
              </w:rPr>
            </w:pPr>
            <w:r>
              <w:rPr>
                <w:rFonts w:hint="eastAsia" w:ascii="宋体" w:hAnsi="宋体" w:cs="宋体"/>
                <w:sz w:val="24"/>
                <w:szCs w:val="24"/>
              </w:rPr>
              <w:t>公开招标</w:t>
            </w:r>
          </w:p>
        </w:tc>
      </w:tr>
      <w:tr w14:paraId="46660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1" w:hRule="atLeast"/>
          <w:jc w:val="center"/>
        </w:trPr>
        <w:tc>
          <w:tcPr>
            <w:tcW w:w="715" w:type="dxa"/>
            <w:vAlign w:val="center"/>
          </w:tcPr>
          <w:p w14:paraId="20E4C40C">
            <w:pPr>
              <w:spacing w:line="360" w:lineRule="exact"/>
              <w:jc w:val="center"/>
              <w:rPr>
                <w:rFonts w:ascii="宋体" w:hAnsi="宋体" w:cs="宋体"/>
                <w:sz w:val="24"/>
                <w:szCs w:val="24"/>
              </w:rPr>
            </w:pPr>
            <w:r>
              <w:rPr>
                <w:rFonts w:hint="eastAsia" w:ascii="宋体" w:hAnsi="宋体" w:cs="宋体"/>
                <w:sz w:val="24"/>
                <w:szCs w:val="24"/>
              </w:rPr>
              <w:t>3</w:t>
            </w:r>
          </w:p>
        </w:tc>
        <w:tc>
          <w:tcPr>
            <w:tcW w:w="1699" w:type="dxa"/>
            <w:vAlign w:val="center"/>
          </w:tcPr>
          <w:p w14:paraId="0341BAE2">
            <w:pPr>
              <w:pStyle w:val="40"/>
              <w:tabs>
                <w:tab w:val="left" w:pos="6930"/>
              </w:tabs>
              <w:spacing w:before="0" w:beforeAutospacing="0" w:after="0" w:afterAutospacing="0" w:line="360" w:lineRule="exact"/>
              <w:jc w:val="center"/>
              <w:rPr>
                <w:kern w:val="2"/>
              </w:rPr>
            </w:pPr>
            <w:r>
              <w:rPr>
                <w:rFonts w:hint="eastAsia"/>
                <w:kern w:val="2"/>
              </w:rPr>
              <w:t>投标文件形式、组成及制作</w:t>
            </w:r>
          </w:p>
          <w:p w14:paraId="0BAB1E43">
            <w:pPr>
              <w:pStyle w:val="40"/>
              <w:tabs>
                <w:tab w:val="left" w:pos="6930"/>
              </w:tabs>
              <w:spacing w:before="0" w:beforeAutospacing="0" w:after="0" w:afterAutospacing="0" w:line="360" w:lineRule="exact"/>
            </w:pPr>
          </w:p>
        </w:tc>
        <w:tc>
          <w:tcPr>
            <w:tcW w:w="6625" w:type="dxa"/>
            <w:vAlign w:val="center"/>
          </w:tcPr>
          <w:p w14:paraId="3EB49F9F">
            <w:pPr>
              <w:numPr>
                <w:ilvl w:val="0"/>
                <w:numId w:val="3"/>
              </w:numPr>
              <w:rPr>
                <w:rFonts w:ascii="宋体" w:hAnsi="宋体" w:cs="宋体"/>
                <w:kern w:val="2"/>
                <w:sz w:val="24"/>
                <w:szCs w:val="24"/>
                <w:lang w:val="zh-CN"/>
              </w:rPr>
            </w:pPr>
            <w:r>
              <w:rPr>
                <w:rFonts w:hint="eastAsia" w:ascii="宋体" w:hAnsi="宋体" w:cs="宋体"/>
                <w:kern w:val="2"/>
                <w:sz w:val="24"/>
                <w:szCs w:val="24"/>
                <w:lang w:val="zh-CN"/>
              </w:rPr>
              <w:t>投标文件的形式：电子投标文件（包括“电子加密投标文件”和“备份投标文件”，在投标文件编制完成后同时生成）；</w:t>
            </w:r>
          </w:p>
          <w:p w14:paraId="325C78D6">
            <w:pPr>
              <w:pStyle w:val="40"/>
              <w:tabs>
                <w:tab w:val="left" w:pos="6930"/>
              </w:tabs>
              <w:spacing w:before="0" w:beforeAutospacing="0" w:after="0" w:afterAutospacing="0" w:line="360" w:lineRule="exact"/>
              <w:ind w:firstLine="480" w:firstLineChars="200"/>
              <w:rPr>
                <w:kern w:val="2"/>
                <w:lang w:val="zh-CN"/>
              </w:rPr>
            </w:pPr>
            <w:r>
              <w:rPr>
                <w:rFonts w:hint="eastAsia"/>
                <w:kern w:val="2"/>
                <w:lang w:val="zh-CN"/>
              </w:rPr>
              <w:t>1）“电子加密投标文件”是指通过“乐采云投标客户端”完成投标文件编制后生成并加密的数据电文形式的投标文件。</w:t>
            </w:r>
          </w:p>
          <w:p w14:paraId="20946B62">
            <w:pPr>
              <w:pStyle w:val="40"/>
              <w:tabs>
                <w:tab w:val="left" w:pos="6930"/>
              </w:tabs>
              <w:spacing w:before="0" w:beforeAutospacing="0" w:after="0" w:afterAutospacing="0" w:line="360" w:lineRule="exact"/>
              <w:ind w:firstLine="480" w:firstLineChars="200"/>
              <w:rPr>
                <w:kern w:val="2"/>
                <w:lang w:val="zh-CN"/>
              </w:rPr>
            </w:pPr>
            <w:r>
              <w:rPr>
                <w:rFonts w:hint="eastAsia"/>
                <w:kern w:val="2"/>
                <w:lang w:val="zh-CN"/>
              </w:rPr>
              <w:t>2）“备份投标文件”是指与“电子加密投标文件”同时生成的数据电文形式的电子文件（备份标书），其他方式编制的“备份投标文件”视为无效“备份投标文件”。</w:t>
            </w:r>
          </w:p>
          <w:p w14:paraId="78E84692">
            <w:pPr>
              <w:numPr>
                <w:ilvl w:val="0"/>
                <w:numId w:val="3"/>
              </w:numPr>
              <w:rPr>
                <w:rFonts w:ascii="宋体" w:hAnsi="宋体" w:cs="宋体"/>
                <w:kern w:val="2"/>
                <w:sz w:val="24"/>
                <w:szCs w:val="24"/>
                <w:lang w:val="zh-CN"/>
              </w:rPr>
            </w:pPr>
            <w:r>
              <w:rPr>
                <w:rFonts w:hint="eastAsia" w:ascii="宋体" w:hAnsi="宋体" w:cs="宋体"/>
                <w:kern w:val="2"/>
                <w:sz w:val="24"/>
                <w:szCs w:val="24"/>
                <w:lang w:val="zh-CN"/>
              </w:rPr>
              <w:t>投标文件的组成：资格证明文件、商务技术文件、报价文件；</w:t>
            </w:r>
          </w:p>
          <w:p w14:paraId="01E8432F">
            <w:pPr>
              <w:numPr>
                <w:ilvl w:val="0"/>
                <w:numId w:val="3"/>
              </w:numPr>
              <w:rPr>
                <w:rFonts w:ascii="宋体" w:hAnsi="宋体" w:cs="宋体"/>
                <w:sz w:val="24"/>
                <w:szCs w:val="24"/>
                <w:lang w:val="zh-CN"/>
              </w:rPr>
            </w:pPr>
            <w:r>
              <w:rPr>
                <w:rFonts w:hint="eastAsia" w:ascii="宋体" w:hAnsi="宋体" w:cs="宋体"/>
                <w:kern w:val="2"/>
                <w:sz w:val="24"/>
                <w:szCs w:val="24"/>
                <w:lang w:val="zh-CN"/>
              </w:rPr>
              <w:t>电子加密投标文件制作：应按“</w:t>
            </w:r>
            <w:r>
              <w:rPr>
                <w:rFonts w:hint="eastAsia" w:ascii="宋体" w:hAnsi="宋体" w:cs="宋体"/>
                <w:sz w:val="24"/>
                <w:szCs w:val="24"/>
                <w:lang w:val="zh-CN"/>
              </w:rPr>
              <w:fldChar w:fldCharType="begin"/>
            </w:r>
            <w:r>
              <w:rPr>
                <w:rFonts w:hint="eastAsia" w:ascii="宋体" w:hAnsi="宋体" w:cs="宋体"/>
                <w:sz w:val="24"/>
                <w:szCs w:val="24"/>
                <w:lang w:val="zh-CN"/>
              </w:rPr>
              <w:instrText xml:space="preserve"> HYPERLINK "https://help.zcy.gov.cn/web/site_2/2018/12-28/2573.html）及本采购文件要求制作" </w:instrText>
            </w:r>
            <w:r>
              <w:rPr>
                <w:rFonts w:hint="eastAsia" w:ascii="宋体" w:hAnsi="宋体" w:cs="宋体"/>
                <w:sz w:val="24"/>
                <w:szCs w:val="24"/>
                <w:lang w:val="zh-CN"/>
              </w:rPr>
              <w:fldChar w:fldCharType="separate"/>
            </w:r>
            <w:r>
              <w:rPr>
                <w:rFonts w:hint="eastAsia" w:ascii="宋体" w:hAnsi="宋体" w:cs="宋体"/>
                <w:sz w:val="24"/>
                <w:szCs w:val="24"/>
                <w:lang w:val="zh-CN"/>
              </w:rPr>
              <w:t>乐采云平台</w:t>
            </w:r>
            <w:r>
              <w:rPr>
                <w:rFonts w:hint="eastAsia" w:ascii="宋体" w:hAnsi="宋体" w:cs="宋体"/>
                <w:kern w:val="2"/>
                <w:sz w:val="24"/>
                <w:szCs w:val="24"/>
                <w:lang w:val="zh-CN"/>
              </w:rPr>
              <w:t>”及本招标文件要求制作</w:t>
            </w:r>
            <w:r>
              <w:rPr>
                <w:rFonts w:hint="eastAsia" w:ascii="宋体" w:hAnsi="宋体" w:cs="宋体"/>
                <w:kern w:val="2"/>
                <w:sz w:val="24"/>
                <w:szCs w:val="24"/>
                <w:lang w:val="zh-CN"/>
              </w:rPr>
              <w:fldChar w:fldCharType="end"/>
            </w:r>
            <w:r>
              <w:rPr>
                <w:rFonts w:hint="eastAsia" w:ascii="宋体" w:hAnsi="宋体" w:cs="宋体"/>
                <w:kern w:val="2"/>
                <w:sz w:val="24"/>
                <w:szCs w:val="24"/>
                <w:lang w:val="zh-CN"/>
              </w:rPr>
              <w:t>、加密并递交。</w:t>
            </w:r>
          </w:p>
        </w:tc>
      </w:tr>
      <w:tr w14:paraId="30EED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15" w:type="dxa"/>
            <w:vAlign w:val="center"/>
          </w:tcPr>
          <w:p w14:paraId="52B4F229">
            <w:pPr>
              <w:spacing w:line="360" w:lineRule="exact"/>
              <w:jc w:val="center"/>
              <w:rPr>
                <w:rFonts w:ascii="宋体" w:hAnsi="宋体" w:cs="宋体"/>
                <w:sz w:val="24"/>
                <w:szCs w:val="24"/>
              </w:rPr>
            </w:pPr>
            <w:r>
              <w:rPr>
                <w:rFonts w:hint="eastAsia" w:ascii="宋体" w:hAnsi="宋体" w:cs="宋体"/>
                <w:sz w:val="24"/>
                <w:szCs w:val="24"/>
              </w:rPr>
              <w:t>4</w:t>
            </w:r>
          </w:p>
        </w:tc>
        <w:tc>
          <w:tcPr>
            <w:tcW w:w="1699" w:type="dxa"/>
            <w:vAlign w:val="center"/>
          </w:tcPr>
          <w:p w14:paraId="02BADE2C">
            <w:pPr>
              <w:pStyle w:val="40"/>
              <w:tabs>
                <w:tab w:val="left" w:pos="6930"/>
              </w:tabs>
              <w:spacing w:before="0" w:beforeAutospacing="0" w:after="0" w:afterAutospacing="0" w:line="360" w:lineRule="exact"/>
              <w:jc w:val="center"/>
            </w:pPr>
            <w:r>
              <w:rPr>
                <w:rFonts w:hint="eastAsia"/>
              </w:rPr>
              <w:t>投标文件的</w:t>
            </w:r>
          </w:p>
          <w:p w14:paraId="55E9F834">
            <w:pPr>
              <w:pStyle w:val="40"/>
              <w:tabs>
                <w:tab w:val="left" w:pos="6930"/>
              </w:tabs>
              <w:spacing w:before="0" w:beforeAutospacing="0" w:after="0" w:afterAutospacing="0" w:line="360" w:lineRule="exact"/>
              <w:jc w:val="center"/>
            </w:pPr>
            <w:r>
              <w:rPr>
                <w:rFonts w:hint="eastAsia"/>
              </w:rPr>
              <w:t>递交</w:t>
            </w:r>
          </w:p>
        </w:tc>
        <w:tc>
          <w:tcPr>
            <w:tcW w:w="6625" w:type="dxa"/>
            <w:vAlign w:val="center"/>
          </w:tcPr>
          <w:p w14:paraId="0BE3C1E8">
            <w:pPr>
              <w:numPr>
                <w:ilvl w:val="0"/>
                <w:numId w:val="4"/>
              </w:numPr>
              <w:spacing w:line="360" w:lineRule="exact"/>
              <w:rPr>
                <w:rFonts w:ascii="宋体" w:hAnsi="宋体" w:cs="宋体"/>
                <w:sz w:val="24"/>
                <w:szCs w:val="24"/>
                <w:lang w:val="zh-CN"/>
              </w:rPr>
            </w:pPr>
            <w:r>
              <w:rPr>
                <w:rFonts w:hint="eastAsia" w:ascii="宋体" w:hAnsi="宋体" w:cs="宋体"/>
                <w:sz w:val="24"/>
                <w:szCs w:val="24"/>
                <w:lang w:val="zh-CN"/>
              </w:rPr>
              <w:t>“电子加密投标文件”的递交：投标人应于投标截止时间前将“电子加密投标文件”上传至“乐采云平台”，逾期未上传的，视为投标文件撤回。</w:t>
            </w:r>
          </w:p>
          <w:p w14:paraId="3B9291AF">
            <w:pPr>
              <w:numPr>
                <w:ilvl w:val="0"/>
                <w:numId w:val="4"/>
              </w:numPr>
              <w:spacing w:line="360" w:lineRule="exact"/>
              <w:rPr>
                <w:rFonts w:ascii="宋体" w:hAnsi="宋体" w:cs="宋体"/>
                <w:sz w:val="24"/>
                <w:szCs w:val="24"/>
                <w:lang w:val="zh-CN"/>
              </w:rPr>
            </w:pPr>
            <w:r>
              <w:rPr>
                <w:rFonts w:hint="eastAsia" w:ascii="宋体" w:hAnsi="宋体" w:cs="宋体"/>
                <w:sz w:val="24"/>
                <w:szCs w:val="24"/>
                <w:lang w:val="zh-CN"/>
              </w:rPr>
              <w:fldChar w:fldCharType="begin"/>
            </w:r>
            <w:r>
              <w:rPr>
                <w:rFonts w:hint="eastAsia" w:ascii="宋体" w:hAnsi="宋体" w:cs="宋体"/>
                <w:sz w:val="24"/>
                <w:szCs w:val="24"/>
                <w:lang w:val="zh-CN"/>
              </w:rPr>
              <w:instrText xml:space="preserve"> HYPERLINK "mailto:2.备份投标文件在开标时间后15分钟内以电子邮件形式递交至采购代理机构邮箱（103874679@qq.com）。" </w:instrText>
            </w:r>
            <w:r>
              <w:rPr>
                <w:rFonts w:hint="eastAsia" w:ascii="宋体" w:hAnsi="宋体" w:cs="宋体"/>
                <w:sz w:val="24"/>
                <w:szCs w:val="24"/>
                <w:lang w:val="zh-CN"/>
              </w:rPr>
              <w:fldChar w:fldCharType="separate"/>
            </w:r>
            <w:r>
              <w:rPr>
                <w:rFonts w:hint="eastAsia" w:ascii="宋体" w:hAnsi="宋体" w:cs="宋体"/>
                <w:sz w:val="24"/>
                <w:szCs w:val="24"/>
                <w:lang w:val="zh-CN"/>
              </w:rPr>
              <w:t>“备份投标文件”的递交：</w:t>
            </w:r>
          </w:p>
          <w:p w14:paraId="00EBCD74">
            <w:pPr>
              <w:spacing w:line="360" w:lineRule="exact"/>
              <w:ind w:firstLine="480" w:firstLineChars="200"/>
              <w:rPr>
                <w:rFonts w:ascii="宋体" w:hAnsi="宋体" w:cs="宋体"/>
                <w:sz w:val="24"/>
                <w:szCs w:val="24"/>
                <w:lang w:val="zh-CN"/>
              </w:rPr>
            </w:pPr>
            <w:r>
              <w:rPr>
                <w:rFonts w:hint="eastAsia" w:ascii="宋体" w:hAnsi="宋体" w:cs="宋体"/>
                <w:sz w:val="24"/>
                <w:szCs w:val="24"/>
                <w:lang w:val="zh-CN"/>
              </w:rPr>
              <w:t>投标人在“乐采云平台”完成“电子加密投标文件”的上传递交后，自主选择是否递交备份投标文件，若递交可采取以下形式：</w:t>
            </w:r>
          </w:p>
          <w:p w14:paraId="71359DAD">
            <w:pPr>
              <w:pStyle w:val="40"/>
              <w:tabs>
                <w:tab w:val="left" w:pos="6930"/>
              </w:tabs>
              <w:spacing w:before="0" w:beforeAutospacing="0" w:after="0" w:afterAutospacing="0" w:line="360" w:lineRule="exact"/>
              <w:ind w:firstLine="480" w:firstLineChars="200"/>
            </w:pPr>
            <w:r>
              <w:rPr>
                <w:rFonts w:hint="eastAsia"/>
                <w:b/>
                <w:bCs/>
                <w:lang w:val="zh-CN"/>
              </w:rPr>
              <w:t>以压缩文件形式</w:t>
            </w:r>
            <w:r>
              <w:rPr>
                <w:rFonts w:hint="eastAsia"/>
                <w:b/>
                <w:bCs/>
              </w:rPr>
              <w:t>在投标截止时间前</w:t>
            </w:r>
            <w:r>
              <w:rPr>
                <w:rFonts w:hint="eastAsia"/>
                <w:b/>
                <w:bCs/>
                <w:lang w:val="zh-CN"/>
              </w:rPr>
              <w:t>加密发送至采购代理机构邮箱，压缩文件命名为：项目编号和投标单位简称。接到在线解密通知后</w:t>
            </w:r>
            <w:r>
              <w:rPr>
                <w:rFonts w:hint="eastAsia"/>
                <w:b/>
                <w:bCs/>
              </w:rPr>
              <w:t>30分钟</w:t>
            </w:r>
            <w:r>
              <w:rPr>
                <w:rFonts w:hint="eastAsia"/>
                <w:b/>
                <w:bCs/>
                <w:lang w:val="zh-CN"/>
              </w:rPr>
              <w:t>内发送压缩文件密码至采购代理机构邮箱（邮箱：</w:t>
            </w:r>
            <w:r>
              <w:rPr>
                <w:rFonts w:hint="eastAsia"/>
                <w:b/>
                <w:bCs/>
              </w:rPr>
              <w:t>1187271673@qq.com</w:t>
            </w:r>
            <w:r>
              <w:rPr>
                <w:rFonts w:hint="eastAsia"/>
                <w:b/>
                <w:bCs/>
                <w:lang w:val="zh-CN"/>
              </w:rPr>
              <w:t>）。</w:t>
            </w:r>
            <w:r>
              <w:rPr>
                <w:rFonts w:hint="eastAsia"/>
                <w:b/>
                <w:bCs/>
                <w:lang w:bidi="ar"/>
              </w:rPr>
              <w:t>逾期发送的“备份投标文件”将视为未提供。</w:t>
            </w:r>
            <w:r>
              <w:rPr>
                <w:rFonts w:hint="eastAsia"/>
                <w:lang w:val="zh-CN"/>
              </w:rPr>
              <w:fldChar w:fldCharType="end"/>
            </w:r>
          </w:p>
        </w:tc>
      </w:tr>
      <w:tr w14:paraId="5772C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715" w:type="dxa"/>
            <w:vAlign w:val="center"/>
          </w:tcPr>
          <w:p w14:paraId="56575C6A">
            <w:pPr>
              <w:spacing w:line="360" w:lineRule="exact"/>
              <w:jc w:val="center"/>
              <w:rPr>
                <w:rFonts w:ascii="宋体" w:hAnsi="宋体" w:cs="宋体"/>
                <w:sz w:val="24"/>
                <w:szCs w:val="24"/>
              </w:rPr>
            </w:pPr>
            <w:r>
              <w:rPr>
                <w:rFonts w:hint="eastAsia" w:ascii="宋体" w:hAnsi="宋体" w:cs="宋体"/>
                <w:sz w:val="24"/>
                <w:szCs w:val="24"/>
              </w:rPr>
              <w:t>5</w:t>
            </w:r>
          </w:p>
        </w:tc>
        <w:tc>
          <w:tcPr>
            <w:tcW w:w="1699" w:type="dxa"/>
            <w:vAlign w:val="center"/>
          </w:tcPr>
          <w:p w14:paraId="708139A7">
            <w:pPr>
              <w:snapToGrid w:val="0"/>
              <w:spacing w:line="360" w:lineRule="exact"/>
              <w:jc w:val="center"/>
              <w:rPr>
                <w:rFonts w:ascii="宋体" w:hAnsi="宋体" w:cs="宋体"/>
                <w:sz w:val="24"/>
                <w:szCs w:val="24"/>
              </w:rPr>
            </w:pPr>
            <w:r>
              <w:rPr>
                <w:rFonts w:hint="eastAsia" w:ascii="宋体" w:hAnsi="宋体" w:cs="宋体"/>
                <w:sz w:val="24"/>
                <w:szCs w:val="24"/>
              </w:rPr>
              <w:t>投标文件递交截止时间（开标时间）及地点</w:t>
            </w:r>
          </w:p>
        </w:tc>
        <w:tc>
          <w:tcPr>
            <w:tcW w:w="6625" w:type="dxa"/>
            <w:vAlign w:val="center"/>
          </w:tcPr>
          <w:p w14:paraId="288DB222">
            <w:pPr>
              <w:spacing w:line="360" w:lineRule="exact"/>
              <w:rPr>
                <w:rFonts w:ascii="宋体" w:hAnsi="宋体" w:cs="宋体"/>
                <w:b/>
                <w:bCs/>
                <w:sz w:val="24"/>
                <w:szCs w:val="24"/>
              </w:rPr>
            </w:pPr>
            <w:r>
              <w:rPr>
                <w:rFonts w:hint="eastAsia" w:ascii="宋体" w:hAnsi="宋体" w:cs="宋体"/>
                <w:b/>
                <w:bCs/>
                <w:sz w:val="24"/>
                <w:szCs w:val="24"/>
              </w:rPr>
              <w:t>截止时间（开标时间）：详见采购公告</w:t>
            </w:r>
          </w:p>
          <w:p w14:paraId="5EF77C92">
            <w:pPr>
              <w:rPr>
                <w:rFonts w:ascii="宋体" w:hAnsi="宋体" w:cs="宋体"/>
                <w:b/>
                <w:sz w:val="24"/>
                <w:szCs w:val="24"/>
              </w:rPr>
            </w:pPr>
            <w:r>
              <w:rPr>
                <w:rFonts w:hint="eastAsia" w:ascii="宋体" w:hAnsi="宋体" w:cs="宋体"/>
                <w:b/>
                <w:bCs/>
                <w:sz w:val="24"/>
                <w:szCs w:val="24"/>
              </w:rPr>
              <w:t>地点（网址）：详见采购公告</w:t>
            </w:r>
          </w:p>
        </w:tc>
      </w:tr>
      <w:tr w14:paraId="431C0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715" w:type="dxa"/>
            <w:vAlign w:val="center"/>
          </w:tcPr>
          <w:p w14:paraId="6A0ACE7C">
            <w:pPr>
              <w:spacing w:line="360" w:lineRule="exact"/>
              <w:jc w:val="center"/>
              <w:rPr>
                <w:rFonts w:ascii="宋体" w:hAnsi="宋体" w:cs="宋体"/>
                <w:sz w:val="24"/>
                <w:szCs w:val="24"/>
              </w:rPr>
            </w:pPr>
            <w:r>
              <w:rPr>
                <w:rFonts w:hint="eastAsia" w:ascii="宋体" w:hAnsi="宋体" w:cs="宋体"/>
                <w:color w:val="000000"/>
                <w:sz w:val="24"/>
                <w:szCs w:val="24"/>
              </w:rPr>
              <w:t>6</w:t>
            </w:r>
          </w:p>
        </w:tc>
        <w:tc>
          <w:tcPr>
            <w:tcW w:w="1699" w:type="dxa"/>
            <w:vAlign w:val="center"/>
          </w:tcPr>
          <w:p w14:paraId="3BA05AFE">
            <w:pPr>
              <w:pStyle w:val="40"/>
              <w:tabs>
                <w:tab w:val="left" w:pos="6930"/>
              </w:tabs>
              <w:spacing w:before="0" w:beforeAutospacing="0" w:after="0" w:afterAutospacing="0" w:line="360" w:lineRule="exact"/>
              <w:jc w:val="center"/>
            </w:pPr>
            <w:r>
              <w:rPr>
                <w:rFonts w:hint="eastAsia"/>
                <w:color w:val="000000"/>
                <w:kern w:val="2"/>
              </w:rPr>
              <w:t>投标文件的修改（补充）和撤回</w:t>
            </w:r>
          </w:p>
        </w:tc>
        <w:tc>
          <w:tcPr>
            <w:tcW w:w="6625" w:type="dxa"/>
            <w:vAlign w:val="center"/>
          </w:tcPr>
          <w:p w14:paraId="11CF83FD">
            <w:pPr>
              <w:pStyle w:val="40"/>
              <w:tabs>
                <w:tab w:val="left" w:pos="6930"/>
              </w:tabs>
              <w:spacing w:before="0" w:beforeAutospacing="0" w:after="0" w:afterAutospacing="0" w:line="360" w:lineRule="exact"/>
              <w:rPr>
                <w:color w:val="000000"/>
                <w:kern w:val="2"/>
                <w:lang w:val="zh-CN"/>
              </w:rPr>
            </w:pPr>
            <w:r>
              <w:rPr>
                <w:rFonts w:hint="eastAsia"/>
                <w:color w:val="000000"/>
                <w:kern w:val="2"/>
                <w:lang w:val="zh-CN"/>
              </w:rPr>
              <w:t>1.修改（补充）和撤回：</w:t>
            </w:r>
          </w:p>
          <w:p w14:paraId="61073FD9">
            <w:pPr>
              <w:pStyle w:val="40"/>
              <w:tabs>
                <w:tab w:val="left" w:pos="6930"/>
              </w:tabs>
              <w:spacing w:before="0" w:beforeAutospacing="0" w:after="0" w:afterAutospacing="0" w:line="360" w:lineRule="exact"/>
              <w:rPr>
                <w:color w:val="000000"/>
                <w:kern w:val="2"/>
                <w:lang w:val="zh-CN"/>
              </w:rPr>
            </w:pPr>
            <w:r>
              <w:rPr>
                <w:rFonts w:hint="eastAsia"/>
                <w:color w:val="000000"/>
                <w:kern w:val="2"/>
              </w:rPr>
              <w:t>1）</w:t>
            </w:r>
            <w:r>
              <w:rPr>
                <w:rFonts w:hint="eastAsia"/>
                <w:color w:val="000000"/>
                <w:kern w:val="2"/>
                <w:lang w:val="zh-CN"/>
              </w:rPr>
              <w:t>投标截止时间前可以修改（补充）或撤回“电子加密投标文件”。补充或者修改“电子加密投标文件”的，应当先行撤回原文件，补充、修改后重新传输递交。投标截止时间前未完成传输递交的，视为投标文件撤回。</w:t>
            </w:r>
          </w:p>
          <w:p w14:paraId="6E2957D9">
            <w:pPr>
              <w:pStyle w:val="40"/>
              <w:tabs>
                <w:tab w:val="left" w:pos="6930"/>
              </w:tabs>
              <w:spacing w:before="0" w:beforeAutospacing="0" w:after="0" w:afterAutospacing="0" w:line="360" w:lineRule="exact"/>
            </w:pPr>
            <w:r>
              <w:rPr>
                <w:rFonts w:hint="eastAsia"/>
                <w:color w:val="000000"/>
                <w:kern w:val="2"/>
              </w:rPr>
              <w:t>2）</w:t>
            </w:r>
            <w:r>
              <w:rPr>
                <w:rFonts w:hint="eastAsia"/>
                <w:color w:val="000000"/>
                <w:kern w:val="2"/>
                <w:lang w:val="zh-CN"/>
              </w:rPr>
              <w:t>投标截止时间后，投标人不得修改（补充）或撤回其投标文件。</w:t>
            </w:r>
          </w:p>
        </w:tc>
      </w:tr>
      <w:tr w14:paraId="71905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715" w:type="dxa"/>
            <w:shd w:val="clear" w:color="auto" w:fill="auto"/>
            <w:vAlign w:val="center"/>
          </w:tcPr>
          <w:p w14:paraId="2673888F">
            <w:pPr>
              <w:spacing w:line="360" w:lineRule="exact"/>
              <w:jc w:val="center"/>
              <w:rPr>
                <w:rFonts w:ascii="宋体" w:hAnsi="宋体" w:cs="宋体"/>
                <w:color w:val="000000"/>
                <w:kern w:val="2"/>
                <w:sz w:val="24"/>
                <w:szCs w:val="24"/>
              </w:rPr>
            </w:pPr>
            <w:r>
              <w:rPr>
                <w:rFonts w:hint="eastAsia" w:ascii="宋体" w:hAnsi="宋体" w:cs="宋体"/>
                <w:color w:val="000000"/>
                <w:sz w:val="24"/>
                <w:szCs w:val="24"/>
              </w:rPr>
              <w:t>7</w:t>
            </w:r>
          </w:p>
        </w:tc>
        <w:tc>
          <w:tcPr>
            <w:tcW w:w="1699" w:type="dxa"/>
            <w:shd w:val="clear" w:color="auto" w:fill="auto"/>
            <w:vAlign w:val="center"/>
          </w:tcPr>
          <w:p w14:paraId="394A9FFB">
            <w:pPr>
              <w:snapToGrid w:val="0"/>
              <w:spacing w:line="360" w:lineRule="exact"/>
              <w:jc w:val="center"/>
              <w:rPr>
                <w:rFonts w:ascii="宋体" w:hAnsi="宋体" w:cs="宋体"/>
                <w:color w:val="000000"/>
                <w:kern w:val="2"/>
                <w:sz w:val="24"/>
                <w:szCs w:val="24"/>
              </w:rPr>
            </w:pPr>
            <w:r>
              <w:rPr>
                <w:rFonts w:hint="eastAsia" w:ascii="宋体" w:hAnsi="宋体" w:cs="宋体"/>
                <w:color w:val="000000"/>
                <w:kern w:val="2"/>
                <w:sz w:val="24"/>
                <w:szCs w:val="24"/>
              </w:rPr>
              <w:t>投标文件、流</w:t>
            </w:r>
          </w:p>
          <w:p w14:paraId="7EE82557">
            <w:pPr>
              <w:snapToGrid w:val="0"/>
              <w:spacing w:line="360" w:lineRule="exact"/>
              <w:jc w:val="center"/>
              <w:rPr>
                <w:rFonts w:ascii="宋体" w:hAnsi="宋体" w:cs="宋体"/>
                <w:color w:val="000000"/>
                <w:kern w:val="2"/>
                <w:sz w:val="24"/>
                <w:szCs w:val="24"/>
              </w:rPr>
            </w:pPr>
            <w:r>
              <w:rPr>
                <w:rFonts w:hint="eastAsia" w:ascii="宋体" w:hAnsi="宋体" w:cs="宋体"/>
                <w:color w:val="000000"/>
                <w:kern w:val="2"/>
                <w:sz w:val="24"/>
                <w:szCs w:val="24"/>
              </w:rPr>
              <w:t>程文件签章</w:t>
            </w:r>
          </w:p>
        </w:tc>
        <w:tc>
          <w:tcPr>
            <w:tcW w:w="6625" w:type="dxa"/>
            <w:shd w:val="clear" w:color="auto" w:fill="auto"/>
            <w:vAlign w:val="center"/>
          </w:tcPr>
          <w:p w14:paraId="2AED6D8C">
            <w:pPr>
              <w:pStyle w:val="40"/>
              <w:tabs>
                <w:tab w:val="left" w:pos="6930"/>
              </w:tabs>
              <w:spacing w:before="0" w:beforeAutospacing="0" w:after="0" w:afterAutospacing="0" w:line="360" w:lineRule="exact"/>
              <w:rPr>
                <w:color w:val="000000"/>
                <w:kern w:val="2"/>
              </w:rPr>
            </w:pPr>
            <w:r>
              <w:rPr>
                <w:rFonts w:hint="eastAsia"/>
                <w:color w:val="000000"/>
                <w:kern w:val="2"/>
                <w:lang w:val="zh-CN"/>
              </w:rPr>
              <w:t>电子投标文件必须有电子签章；开标后，相关信息记录确认、澄清说明、回复等内容，电子签章，或者签章后上传相关文件，均认可；“乐采云平台”有新的操作流程的，按其规定。</w:t>
            </w:r>
          </w:p>
        </w:tc>
      </w:tr>
      <w:tr w14:paraId="78FE5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5" w:type="dxa"/>
            <w:shd w:val="clear" w:color="auto" w:fill="auto"/>
            <w:vAlign w:val="center"/>
          </w:tcPr>
          <w:p w14:paraId="4AB695C1">
            <w:pPr>
              <w:spacing w:line="360" w:lineRule="exact"/>
              <w:jc w:val="center"/>
              <w:rPr>
                <w:rFonts w:ascii="宋体" w:hAnsi="宋体" w:cs="宋体"/>
                <w:sz w:val="24"/>
                <w:szCs w:val="24"/>
              </w:rPr>
            </w:pPr>
            <w:r>
              <w:rPr>
                <w:rFonts w:hint="eastAsia" w:ascii="宋体" w:hAnsi="宋体" w:cs="宋体"/>
                <w:sz w:val="24"/>
                <w:szCs w:val="24"/>
              </w:rPr>
              <w:t>8</w:t>
            </w:r>
          </w:p>
        </w:tc>
        <w:tc>
          <w:tcPr>
            <w:tcW w:w="1699" w:type="dxa"/>
            <w:vAlign w:val="center"/>
          </w:tcPr>
          <w:p w14:paraId="599BE5C1">
            <w:pPr>
              <w:spacing w:line="360" w:lineRule="exact"/>
              <w:jc w:val="center"/>
              <w:rPr>
                <w:rFonts w:ascii="宋体" w:hAnsi="宋体" w:cs="宋体"/>
                <w:sz w:val="24"/>
                <w:szCs w:val="24"/>
              </w:rPr>
            </w:pPr>
            <w:r>
              <w:rPr>
                <w:rFonts w:hint="eastAsia" w:ascii="宋体" w:hAnsi="宋体" w:cs="宋体"/>
                <w:sz w:val="24"/>
                <w:szCs w:val="24"/>
              </w:rPr>
              <w:t>投标报价</w:t>
            </w:r>
          </w:p>
        </w:tc>
        <w:tc>
          <w:tcPr>
            <w:tcW w:w="6625" w:type="dxa"/>
            <w:vAlign w:val="center"/>
          </w:tcPr>
          <w:p w14:paraId="4CC9F262">
            <w:pPr>
              <w:numPr>
                <w:ilvl w:val="0"/>
                <w:numId w:val="5"/>
              </w:numPr>
              <w:spacing w:line="360" w:lineRule="exact"/>
              <w:rPr>
                <w:rFonts w:ascii="宋体" w:hAnsi="宋体" w:cs="宋体"/>
                <w:sz w:val="24"/>
                <w:szCs w:val="24"/>
              </w:rPr>
            </w:pPr>
            <w:r>
              <w:rPr>
                <w:rFonts w:hint="eastAsia" w:ascii="宋体" w:hAnsi="宋体" w:cs="宋体"/>
                <w:sz w:val="24"/>
                <w:szCs w:val="24"/>
              </w:rPr>
              <w:t>本项目投标应以人民币报价；</w:t>
            </w:r>
          </w:p>
          <w:p w14:paraId="7A646833">
            <w:pPr>
              <w:numPr>
                <w:ilvl w:val="0"/>
                <w:numId w:val="5"/>
              </w:numPr>
              <w:spacing w:line="360" w:lineRule="exact"/>
              <w:rPr>
                <w:rFonts w:ascii="宋体" w:hAnsi="宋体" w:cs="宋体"/>
                <w:sz w:val="24"/>
                <w:szCs w:val="24"/>
              </w:rPr>
            </w:pPr>
            <w:r>
              <w:rPr>
                <w:rFonts w:hint="eastAsia" w:ascii="宋体" w:hAnsi="宋体" w:cs="宋体"/>
                <w:sz w:val="24"/>
                <w:szCs w:val="24"/>
              </w:rPr>
              <w:t>不论投标结果如何，投标人均应自行承担所有与投标有关的全部费用。</w:t>
            </w:r>
          </w:p>
        </w:tc>
      </w:tr>
      <w:tr w14:paraId="2846D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shd w:val="clear" w:color="auto" w:fill="auto"/>
            <w:vAlign w:val="center"/>
          </w:tcPr>
          <w:p w14:paraId="50FA91FF">
            <w:pPr>
              <w:spacing w:line="360" w:lineRule="exact"/>
              <w:jc w:val="center"/>
              <w:rPr>
                <w:rFonts w:ascii="宋体" w:hAnsi="宋体" w:cs="宋体"/>
                <w:sz w:val="24"/>
                <w:szCs w:val="24"/>
              </w:rPr>
            </w:pPr>
            <w:r>
              <w:rPr>
                <w:rFonts w:hint="eastAsia" w:ascii="宋体" w:hAnsi="宋体" w:cs="宋体"/>
                <w:sz w:val="24"/>
                <w:szCs w:val="24"/>
              </w:rPr>
              <w:t>9</w:t>
            </w:r>
          </w:p>
        </w:tc>
        <w:tc>
          <w:tcPr>
            <w:tcW w:w="1699" w:type="dxa"/>
            <w:vAlign w:val="center"/>
          </w:tcPr>
          <w:p w14:paraId="37BFC678">
            <w:pPr>
              <w:spacing w:line="360" w:lineRule="exact"/>
              <w:jc w:val="center"/>
              <w:rPr>
                <w:rFonts w:ascii="宋体" w:hAnsi="宋体" w:cs="宋体"/>
                <w:sz w:val="24"/>
                <w:szCs w:val="24"/>
              </w:rPr>
            </w:pPr>
            <w:r>
              <w:rPr>
                <w:rFonts w:hint="eastAsia" w:ascii="宋体" w:hAnsi="宋体" w:cs="宋体"/>
                <w:sz w:val="24"/>
                <w:szCs w:val="24"/>
              </w:rPr>
              <w:t>踏勘现场</w:t>
            </w:r>
          </w:p>
        </w:tc>
        <w:tc>
          <w:tcPr>
            <w:tcW w:w="6625" w:type="dxa"/>
            <w:vAlign w:val="center"/>
          </w:tcPr>
          <w:p w14:paraId="532DB379">
            <w:pPr>
              <w:spacing w:line="360" w:lineRule="exact"/>
              <w:rPr>
                <w:rFonts w:ascii="宋体" w:hAnsi="宋体" w:cs="宋体"/>
                <w:sz w:val="24"/>
                <w:szCs w:val="24"/>
              </w:rPr>
            </w:pPr>
            <w:r>
              <w:rPr>
                <w:rFonts w:hint="eastAsia" w:ascii="宋体" w:hAnsi="宋体" w:cs="宋体"/>
                <w:sz w:val="24"/>
                <w:szCs w:val="24"/>
              </w:rPr>
              <w:t>□ 组织（详细内容）</w:t>
            </w:r>
          </w:p>
          <w:p w14:paraId="1B4B068C">
            <w:pPr>
              <w:spacing w:line="360" w:lineRule="exact"/>
              <w:rPr>
                <w:rFonts w:ascii="宋体" w:hAnsi="宋体" w:cs="宋体"/>
                <w:sz w:val="24"/>
                <w:szCs w:val="24"/>
              </w:rPr>
            </w:pPr>
            <w:r>
              <w:rPr>
                <w:rFonts w:hint="eastAsia" w:ascii="宋体" w:hAnsi="宋体" w:cs="宋体"/>
                <w:sz w:val="24"/>
                <w:szCs w:val="24"/>
              </w:rPr>
              <w:t>☑ 不组织</w:t>
            </w:r>
          </w:p>
        </w:tc>
      </w:tr>
      <w:tr w14:paraId="56787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5" w:type="dxa"/>
            <w:shd w:val="clear" w:color="auto" w:fill="auto"/>
            <w:vAlign w:val="center"/>
          </w:tcPr>
          <w:p w14:paraId="40BF0994">
            <w:pPr>
              <w:spacing w:line="360" w:lineRule="exact"/>
              <w:jc w:val="center"/>
              <w:rPr>
                <w:rFonts w:ascii="宋体" w:hAnsi="宋体" w:cs="宋体"/>
                <w:sz w:val="24"/>
                <w:szCs w:val="24"/>
              </w:rPr>
            </w:pPr>
            <w:r>
              <w:rPr>
                <w:rFonts w:hint="eastAsia" w:ascii="宋体" w:hAnsi="宋体" w:cs="宋体"/>
                <w:sz w:val="24"/>
                <w:szCs w:val="24"/>
              </w:rPr>
              <w:t>10</w:t>
            </w:r>
          </w:p>
        </w:tc>
        <w:tc>
          <w:tcPr>
            <w:tcW w:w="1699" w:type="dxa"/>
            <w:vAlign w:val="center"/>
          </w:tcPr>
          <w:p w14:paraId="7BDF53B8">
            <w:pPr>
              <w:spacing w:line="360" w:lineRule="exact"/>
              <w:jc w:val="center"/>
              <w:rPr>
                <w:rFonts w:ascii="宋体" w:hAnsi="宋体" w:cs="宋体"/>
                <w:sz w:val="24"/>
                <w:szCs w:val="24"/>
              </w:rPr>
            </w:pPr>
            <w:r>
              <w:rPr>
                <w:rFonts w:hint="eastAsia" w:ascii="宋体" w:hAnsi="宋体" w:cs="宋体"/>
                <w:sz w:val="24"/>
                <w:szCs w:val="24"/>
              </w:rPr>
              <w:t>样品</w:t>
            </w:r>
          </w:p>
        </w:tc>
        <w:tc>
          <w:tcPr>
            <w:tcW w:w="6625" w:type="dxa"/>
            <w:vAlign w:val="center"/>
          </w:tcPr>
          <w:p w14:paraId="419BBBB2">
            <w:pPr>
              <w:spacing w:line="360" w:lineRule="exact"/>
              <w:rPr>
                <w:rFonts w:ascii="宋体" w:hAnsi="宋体" w:cs="宋体"/>
                <w:sz w:val="24"/>
                <w:szCs w:val="24"/>
              </w:rPr>
            </w:pPr>
            <w:r>
              <w:rPr>
                <w:rFonts w:hint="eastAsia" w:ascii="宋体" w:hAnsi="宋体" w:cs="宋体"/>
                <w:sz w:val="24"/>
                <w:szCs w:val="24"/>
              </w:rPr>
              <w:t>□ 提供，具体详见招标文件，中标人提供的样品将由采购人保管、封存并作为履约验收的参考</w:t>
            </w:r>
          </w:p>
          <w:p w14:paraId="0E7C6D44">
            <w:pPr>
              <w:spacing w:line="360" w:lineRule="exact"/>
              <w:rPr>
                <w:rFonts w:ascii="宋体" w:hAnsi="宋体" w:cs="宋体"/>
                <w:sz w:val="24"/>
                <w:szCs w:val="24"/>
              </w:rPr>
            </w:pPr>
            <w:r>
              <w:rPr>
                <w:rFonts w:hint="eastAsia" w:ascii="宋体" w:hAnsi="宋体" w:cs="宋体"/>
                <w:sz w:val="24"/>
                <w:szCs w:val="24"/>
              </w:rPr>
              <w:t>☑不提供</w:t>
            </w:r>
          </w:p>
        </w:tc>
      </w:tr>
      <w:tr w14:paraId="2A8DC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shd w:val="clear" w:color="auto" w:fill="auto"/>
            <w:vAlign w:val="center"/>
          </w:tcPr>
          <w:p w14:paraId="664A8C2F">
            <w:pPr>
              <w:spacing w:line="360" w:lineRule="exact"/>
              <w:jc w:val="center"/>
              <w:rPr>
                <w:rFonts w:ascii="宋体" w:hAnsi="宋体" w:cs="宋体"/>
                <w:sz w:val="24"/>
                <w:szCs w:val="24"/>
              </w:rPr>
            </w:pPr>
            <w:r>
              <w:rPr>
                <w:rFonts w:hint="eastAsia" w:ascii="宋体" w:hAnsi="宋体" w:cs="宋体"/>
                <w:sz w:val="24"/>
                <w:szCs w:val="24"/>
              </w:rPr>
              <w:t>11</w:t>
            </w:r>
          </w:p>
        </w:tc>
        <w:tc>
          <w:tcPr>
            <w:tcW w:w="1699" w:type="dxa"/>
            <w:vAlign w:val="center"/>
          </w:tcPr>
          <w:p w14:paraId="54F0D8D0">
            <w:pPr>
              <w:spacing w:line="360" w:lineRule="exact"/>
              <w:jc w:val="center"/>
              <w:rPr>
                <w:rFonts w:ascii="宋体" w:hAnsi="宋体" w:cs="宋体"/>
                <w:sz w:val="24"/>
                <w:szCs w:val="24"/>
              </w:rPr>
            </w:pPr>
            <w:r>
              <w:rPr>
                <w:rFonts w:hint="eastAsia" w:ascii="宋体" w:hAnsi="宋体" w:cs="宋体"/>
                <w:sz w:val="24"/>
                <w:szCs w:val="24"/>
              </w:rPr>
              <w:t>演示</w:t>
            </w:r>
          </w:p>
        </w:tc>
        <w:tc>
          <w:tcPr>
            <w:tcW w:w="6625" w:type="dxa"/>
            <w:vAlign w:val="center"/>
          </w:tcPr>
          <w:p w14:paraId="36BA996D">
            <w:pPr>
              <w:spacing w:line="360" w:lineRule="exac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 xml:space="preserve"> </w:t>
            </w:r>
            <w:r>
              <w:rPr>
                <w:rFonts w:hint="eastAsia" w:ascii="宋体" w:hAnsi="宋体" w:cs="宋体"/>
                <w:sz w:val="24"/>
                <w:szCs w:val="24"/>
              </w:rPr>
              <w:t>要求，具体详见招标文件</w:t>
            </w:r>
          </w:p>
          <w:p w14:paraId="2F9CB9B9">
            <w:pPr>
              <w:spacing w:line="360" w:lineRule="exact"/>
              <w:rPr>
                <w:rFonts w:ascii="宋体" w:hAnsi="宋体" w:cs="宋体"/>
                <w:sz w:val="24"/>
                <w:szCs w:val="24"/>
              </w:rPr>
            </w:pPr>
            <w:r>
              <w:rPr>
                <w:rFonts w:hint="eastAsia" w:ascii="宋体" w:hAnsi="宋体" w:cs="宋体"/>
                <w:sz w:val="24"/>
                <w:szCs w:val="24"/>
              </w:rPr>
              <w:t>☑不要求</w:t>
            </w:r>
          </w:p>
        </w:tc>
      </w:tr>
      <w:tr w14:paraId="3F55E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shd w:val="clear" w:color="auto" w:fill="auto"/>
            <w:vAlign w:val="center"/>
          </w:tcPr>
          <w:p w14:paraId="1B2C5273">
            <w:pPr>
              <w:spacing w:line="360" w:lineRule="exact"/>
              <w:jc w:val="center"/>
              <w:rPr>
                <w:rFonts w:ascii="宋体" w:hAnsi="宋体" w:cs="宋体"/>
                <w:sz w:val="24"/>
                <w:szCs w:val="24"/>
              </w:rPr>
            </w:pPr>
            <w:r>
              <w:rPr>
                <w:rFonts w:hint="eastAsia" w:ascii="宋体" w:hAnsi="宋体" w:cs="宋体"/>
                <w:sz w:val="24"/>
                <w:szCs w:val="24"/>
              </w:rPr>
              <w:t>12</w:t>
            </w:r>
          </w:p>
        </w:tc>
        <w:tc>
          <w:tcPr>
            <w:tcW w:w="1699" w:type="dxa"/>
            <w:vAlign w:val="center"/>
          </w:tcPr>
          <w:p w14:paraId="0E63C4CC">
            <w:pPr>
              <w:spacing w:line="276" w:lineRule="auto"/>
              <w:jc w:val="center"/>
              <w:rPr>
                <w:rFonts w:ascii="宋体" w:hAnsi="宋体" w:cs="宋体"/>
                <w:sz w:val="24"/>
                <w:szCs w:val="24"/>
              </w:rPr>
            </w:pPr>
            <w:r>
              <w:rPr>
                <w:rFonts w:hint="eastAsia" w:ascii="宋体" w:hAnsi="宋体" w:cs="宋体"/>
                <w:position w:val="-3"/>
                <w:sz w:val="24"/>
                <w:szCs w:val="24"/>
              </w:rPr>
              <w:t>是否</w:t>
            </w:r>
            <w:r>
              <w:rPr>
                <w:rFonts w:hint="eastAsia" w:ascii="宋体" w:hAnsi="宋体" w:cs="宋体"/>
                <w:spacing w:val="-2"/>
                <w:position w:val="-3"/>
                <w:sz w:val="24"/>
                <w:szCs w:val="24"/>
              </w:rPr>
              <w:t>接</w:t>
            </w:r>
            <w:r>
              <w:rPr>
                <w:rFonts w:hint="eastAsia" w:ascii="宋体" w:hAnsi="宋体" w:cs="宋体"/>
                <w:position w:val="-3"/>
                <w:sz w:val="24"/>
                <w:szCs w:val="24"/>
              </w:rPr>
              <w:t>受</w:t>
            </w:r>
            <w:r>
              <w:rPr>
                <w:rFonts w:hint="eastAsia" w:ascii="宋体" w:hAnsi="宋体" w:cs="宋体"/>
                <w:spacing w:val="-2"/>
                <w:position w:val="-3"/>
                <w:sz w:val="24"/>
                <w:szCs w:val="24"/>
              </w:rPr>
              <w:t>联</w:t>
            </w:r>
            <w:r>
              <w:rPr>
                <w:rFonts w:hint="eastAsia" w:ascii="宋体" w:hAnsi="宋体" w:cs="宋体"/>
                <w:position w:val="-3"/>
                <w:sz w:val="24"/>
                <w:szCs w:val="24"/>
              </w:rPr>
              <w:t>合</w:t>
            </w:r>
            <w:r>
              <w:rPr>
                <w:rFonts w:hint="eastAsia" w:ascii="宋体" w:hAnsi="宋体" w:cs="宋体"/>
                <w:spacing w:val="-2"/>
                <w:position w:val="-3"/>
                <w:sz w:val="24"/>
                <w:szCs w:val="24"/>
              </w:rPr>
              <w:t>体</w:t>
            </w:r>
            <w:r>
              <w:rPr>
                <w:rFonts w:hint="eastAsia" w:ascii="宋体" w:hAnsi="宋体" w:cs="宋体"/>
                <w:position w:val="-3"/>
                <w:sz w:val="24"/>
                <w:szCs w:val="24"/>
              </w:rPr>
              <w:t>投标</w:t>
            </w:r>
          </w:p>
        </w:tc>
        <w:tc>
          <w:tcPr>
            <w:tcW w:w="6625" w:type="dxa"/>
            <w:vAlign w:val="center"/>
          </w:tcPr>
          <w:p w14:paraId="2481705F">
            <w:pPr>
              <w:spacing w:line="276" w:lineRule="auto"/>
              <w:ind w:right="-20"/>
              <w:rPr>
                <w:rFonts w:ascii="宋体" w:hAnsi="宋体" w:cs="宋体"/>
                <w:sz w:val="24"/>
                <w:szCs w:val="24"/>
                <w:lang w:val="zh-CN"/>
              </w:rPr>
            </w:pPr>
            <w:r>
              <w:rPr>
                <w:rFonts w:hint="eastAsia" w:ascii="宋体" w:hAnsi="宋体" w:cs="宋体"/>
                <w:sz w:val="24"/>
                <w:szCs w:val="24"/>
              </w:rPr>
              <w:t>☑</w:t>
            </w:r>
            <w:r>
              <w:rPr>
                <w:rFonts w:hint="eastAsia" w:ascii="宋体" w:hAnsi="宋体" w:cs="宋体"/>
                <w:sz w:val="24"/>
                <w:szCs w:val="24"/>
                <w:lang w:val="zh-CN"/>
              </w:rPr>
              <w:t>否</w:t>
            </w:r>
          </w:p>
          <w:p w14:paraId="14C0B113">
            <w:pPr>
              <w:spacing w:line="276" w:lineRule="auto"/>
              <w:rPr>
                <w:rFonts w:ascii="宋体" w:hAnsi="宋体" w:cs="宋体"/>
                <w:sz w:val="24"/>
                <w:szCs w:val="24"/>
              </w:rPr>
            </w:pPr>
            <w:r>
              <w:rPr>
                <w:rFonts w:hint="eastAsia" w:ascii="宋体" w:hAnsi="宋体" w:cs="宋体"/>
                <w:sz w:val="24"/>
                <w:szCs w:val="24"/>
              </w:rPr>
              <w:sym w:font="Wingdings" w:char="00A8"/>
            </w:r>
            <w:r>
              <w:rPr>
                <w:rFonts w:hint="eastAsia" w:ascii="宋体" w:hAnsi="宋体" w:cs="宋体"/>
                <w:sz w:val="24"/>
                <w:szCs w:val="24"/>
              </w:rPr>
              <w:t>是。</w:t>
            </w:r>
          </w:p>
        </w:tc>
      </w:tr>
      <w:tr w14:paraId="0D8C5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shd w:val="clear" w:color="auto" w:fill="auto"/>
            <w:vAlign w:val="center"/>
          </w:tcPr>
          <w:p w14:paraId="5CA94297">
            <w:pPr>
              <w:spacing w:line="360" w:lineRule="exact"/>
              <w:jc w:val="center"/>
              <w:rPr>
                <w:rFonts w:ascii="宋体" w:hAnsi="宋体" w:cs="宋体"/>
                <w:sz w:val="24"/>
                <w:szCs w:val="24"/>
              </w:rPr>
            </w:pPr>
            <w:r>
              <w:rPr>
                <w:rFonts w:hint="eastAsia" w:ascii="宋体" w:hAnsi="宋体" w:cs="宋体"/>
                <w:sz w:val="24"/>
                <w:szCs w:val="24"/>
              </w:rPr>
              <w:t>13</w:t>
            </w:r>
          </w:p>
        </w:tc>
        <w:tc>
          <w:tcPr>
            <w:tcW w:w="1699" w:type="dxa"/>
            <w:vAlign w:val="center"/>
          </w:tcPr>
          <w:p w14:paraId="646C71C5">
            <w:pPr>
              <w:spacing w:line="360" w:lineRule="exact"/>
              <w:jc w:val="center"/>
              <w:rPr>
                <w:rFonts w:ascii="宋体" w:hAnsi="宋体" w:cs="宋体"/>
                <w:sz w:val="24"/>
                <w:szCs w:val="24"/>
              </w:rPr>
            </w:pPr>
            <w:r>
              <w:rPr>
                <w:rFonts w:hint="eastAsia" w:ascii="宋体" w:hAnsi="宋体" w:cs="宋体"/>
                <w:sz w:val="24"/>
                <w:szCs w:val="24"/>
              </w:rPr>
              <w:t>评标办法</w:t>
            </w:r>
          </w:p>
        </w:tc>
        <w:tc>
          <w:tcPr>
            <w:tcW w:w="6625" w:type="dxa"/>
            <w:vAlign w:val="center"/>
          </w:tcPr>
          <w:p w14:paraId="2F558762">
            <w:pPr>
              <w:spacing w:line="360" w:lineRule="exact"/>
              <w:rPr>
                <w:rFonts w:ascii="宋体" w:hAnsi="宋体" w:cs="宋体"/>
                <w:sz w:val="24"/>
                <w:szCs w:val="24"/>
              </w:rPr>
            </w:pPr>
            <w:r>
              <w:rPr>
                <w:rFonts w:hint="eastAsia" w:ascii="宋体" w:hAnsi="宋体" w:cs="宋体"/>
                <w:sz w:val="24"/>
                <w:szCs w:val="24"/>
              </w:rPr>
              <w:t>☑  综合评分法</w:t>
            </w:r>
          </w:p>
          <w:p w14:paraId="7F3774E4">
            <w:pPr>
              <w:spacing w:line="360" w:lineRule="exact"/>
              <w:rPr>
                <w:rFonts w:ascii="宋体" w:hAnsi="宋体" w:cs="宋体"/>
                <w:sz w:val="24"/>
                <w:szCs w:val="24"/>
              </w:rPr>
            </w:pPr>
            <w:r>
              <w:rPr>
                <w:rFonts w:hint="eastAsia" w:ascii="宋体" w:hAnsi="宋体" w:cs="宋体"/>
                <w:sz w:val="24"/>
                <w:szCs w:val="24"/>
              </w:rPr>
              <w:t>□ 最低评标价法</w:t>
            </w:r>
          </w:p>
        </w:tc>
      </w:tr>
      <w:tr w14:paraId="7DC1A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715" w:type="dxa"/>
            <w:shd w:val="clear" w:color="auto" w:fill="auto"/>
            <w:vAlign w:val="center"/>
          </w:tcPr>
          <w:p w14:paraId="5C9262B3">
            <w:pPr>
              <w:spacing w:line="360" w:lineRule="exact"/>
              <w:jc w:val="center"/>
              <w:rPr>
                <w:rFonts w:ascii="宋体" w:hAnsi="宋体" w:cs="宋体"/>
                <w:sz w:val="24"/>
                <w:szCs w:val="24"/>
              </w:rPr>
            </w:pPr>
            <w:r>
              <w:rPr>
                <w:rFonts w:hint="eastAsia" w:ascii="宋体" w:hAnsi="宋体" w:cs="宋体"/>
                <w:sz w:val="24"/>
                <w:szCs w:val="24"/>
              </w:rPr>
              <w:t>14</w:t>
            </w:r>
          </w:p>
        </w:tc>
        <w:tc>
          <w:tcPr>
            <w:tcW w:w="1699" w:type="dxa"/>
            <w:vAlign w:val="center"/>
          </w:tcPr>
          <w:p w14:paraId="76E1644F">
            <w:pPr>
              <w:spacing w:line="360" w:lineRule="exact"/>
              <w:jc w:val="center"/>
              <w:rPr>
                <w:rFonts w:ascii="宋体" w:hAnsi="宋体" w:cs="宋体"/>
                <w:sz w:val="24"/>
                <w:szCs w:val="24"/>
              </w:rPr>
            </w:pPr>
            <w:r>
              <w:rPr>
                <w:rFonts w:hint="eastAsia" w:ascii="宋体" w:hAnsi="宋体" w:cs="宋体"/>
                <w:sz w:val="24"/>
                <w:szCs w:val="24"/>
              </w:rPr>
              <w:t>合同签订</w:t>
            </w:r>
          </w:p>
        </w:tc>
        <w:tc>
          <w:tcPr>
            <w:tcW w:w="6625" w:type="dxa"/>
            <w:vAlign w:val="center"/>
          </w:tcPr>
          <w:p w14:paraId="3FD2317F">
            <w:pPr>
              <w:rPr>
                <w:rFonts w:ascii="宋体" w:hAnsi="宋体" w:cs="宋体"/>
                <w:sz w:val="24"/>
                <w:szCs w:val="24"/>
              </w:rPr>
            </w:pPr>
            <w:r>
              <w:rPr>
                <w:rFonts w:hint="eastAsia" w:ascii="宋体" w:hAnsi="宋体" w:cs="宋体"/>
                <w:sz w:val="24"/>
                <w:szCs w:val="24"/>
              </w:rPr>
              <w:t>采购人与中标人应当在《中标通知书》发出之日起30日内签订国企采购合同。同时，采购代理机构对合同内容进行审查，如发现与采购结果和投标承诺内容不一致的，应予以纠正。中标人拖延、拒签合同的，将被取消中标资格。</w:t>
            </w:r>
          </w:p>
        </w:tc>
      </w:tr>
      <w:tr w14:paraId="2C632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5" w:type="dxa"/>
            <w:vAlign w:val="center"/>
          </w:tcPr>
          <w:p w14:paraId="09150D7F">
            <w:pPr>
              <w:spacing w:line="360" w:lineRule="exact"/>
              <w:jc w:val="center"/>
              <w:rPr>
                <w:rFonts w:ascii="宋体" w:hAnsi="宋体" w:cs="宋体"/>
                <w:sz w:val="24"/>
                <w:szCs w:val="24"/>
              </w:rPr>
            </w:pPr>
            <w:r>
              <w:rPr>
                <w:rFonts w:hint="eastAsia" w:ascii="宋体" w:hAnsi="宋体" w:cs="宋体"/>
                <w:sz w:val="24"/>
                <w:szCs w:val="24"/>
              </w:rPr>
              <w:t>15</w:t>
            </w:r>
          </w:p>
        </w:tc>
        <w:tc>
          <w:tcPr>
            <w:tcW w:w="1699" w:type="dxa"/>
            <w:vAlign w:val="center"/>
          </w:tcPr>
          <w:p w14:paraId="07B385DA">
            <w:pPr>
              <w:spacing w:line="360" w:lineRule="exact"/>
              <w:jc w:val="center"/>
              <w:rPr>
                <w:rFonts w:ascii="宋体" w:hAnsi="宋体" w:cs="宋体"/>
                <w:sz w:val="24"/>
                <w:szCs w:val="24"/>
              </w:rPr>
            </w:pPr>
            <w:r>
              <w:rPr>
                <w:rFonts w:hint="eastAsia" w:ascii="宋体" w:hAnsi="宋体" w:cs="宋体"/>
                <w:sz w:val="24"/>
                <w:szCs w:val="24"/>
              </w:rPr>
              <w:t>履约保证金</w:t>
            </w:r>
          </w:p>
        </w:tc>
        <w:tc>
          <w:tcPr>
            <w:tcW w:w="6625" w:type="dxa"/>
            <w:vAlign w:val="center"/>
          </w:tcPr>
          <w:p w14:paraId="0D229EF7">
            <w:pPr>
              <w:rPr>
                <w:rFonts w:ascii="宋体" w:hAnsi="宋体" w:cs="宋体"/>
                <w:sz w:val="24"/>
                <w:szCs w:val="24"/>
              </w:rPr>
            </w:pPr>
            <w:r>
              <w:rPr>
                <w:rFonts w:hint="eastAsia" w:ascii="宋体" w:hAnsi="宋体" w:cs="宋体"/>
                <w:sz w:val="24"/>
                <w:szCs w:val="24"/>
              </w:rPr>
              <w:t>1.金额：签约合同价的1%。</w:t>
            </w:r>
          </w:p>
          <w:p w14:paraId="04392800">
            <w:pPr>
              <w:rPr>
                <w:rFonts w:ascii="宋体" w:hAnsi="宋体" w:cs="宋体"/>
                <w:sz w:val="24"/>
                <w:szCs w:val="24"/>
              </w:rPr>
            </w:pPr>
            <w:r>
              <w:rPr>
                <w:rFonts w:hint="eastAsia" w:ascii="宋体" w:hAnsi="宋体" w:cs="宋体"/>
                <w:sz w:val="24"/>
                <w:szCs w:val="24"/>
              </w:rPr>
              <w:t>2.收取方式：网银、汇票、电汇、转账支付或银行保函、保险公司保单形式（具体形式由双方协商后确定）；</w:t>
            </w:r>
          </w:p>
          <w:p w14:paraId="1FC0394E">
            <w:pPr>
              <w:rPr>
                <w:rFonts w:ascii="宋体" w:hAnsi="宋体" w:cs="宋体"/>
                <w:sz w:val="24"/>
                <w:szCs w:val="24"/>
              </w:rPr>
            </w:pPr>
            <w:r>
              <w:rPr>
                <w:rFonts w:hint="eastAsia" w:ascii="宋体" w:hAnsi="宋体" w:cs="宋体"/>
                <w:sz w:val="24"/>
                <w:szCs w:val="24"/>
              </w:rPr>
              <w:t>3.履约保证金的退还：详见合同文本对应条款。</w:t>
            </w:r>
          </w:p>
        </w:tc>
      </w:tr>
      <w:tr w14:paraId="2159E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715" w:type="dxa"/>
            <w:vAlign w:val="center"/>
          </w:tcPr>
          <w:p w14:paraId="73B852D5">
            <w:pPr>
              <w:spacing w:line="360" w:lineRule="exact"/>
              <w:jc w:val="center"/>
              <w:rPr>
                <w:rFonts w:ascii="宋体" w:hAnsi="宋体" w:cs="宋体"/>
                <w:sz w:val="24"/>
                <w:szCs w:val="24"/>
              </w:rPr>
            </w:pPr>
            <w:r>
              <w:rPr>
                <w:rFonts w:hint="eastAsia" w:ascii="宋体" w:hAnsi="宋体" w:cs="宋体"/>
                <w:sz w:val="24"/>
                <w:szCs w:val="24"/>
              </w:rPr>
              <w:t>16</w:t>
            </w:r>
          </w:p>
        </w:tc>
        <w:tc>
          <w:tcPr>
            <w:tcW w:w="1699" w:type="dxa"/>
            <w:vAlign w:val="center"/>
          </w:tcPr>
          <w:p w14:paraId="014E9F1B">
            <w:pPr>
              <w:spacing w:line="360" w:lineRule="exact"/>
              <w:jc w:val="center"/>
              <w:rPr>
                <w:rFonts w:ascii="宋体" w:hAnsi="宋体" w:cs="宋体"/>
                <w:sz w:val="24"/>
                <w:szCs w:val="24"/>
              </w:rPr>
            </w:pPr>
            <w:r>
              <w:rPr>
                <w:rFonts w:hint="eastAsia" w:ascii="宋体" w:hAnsi="宋体" w:cs="宋体"/>
                <w:sz w:val="24"/>
                <w:szCs w:val="24"/>
              </w:rPr>
              <w:t>代理服务费</w:t>
            </w:r>
          </w:p>
        </w:tc>
        <w:tc>
          <w:tcPr>
            <w:tcW w:w="6625" w:type="dxa"/>
            <w:vAlign w:val="center"/>
          </w:tcPr>
          <w:p w14:paraId="403A8DAC">
            <w:pPr>
              <w:rPr>
                <w:rFonts w:ascii="宋体" w:hAnsi="宋体" w:cs="宋体"/>
                <w:sz w:val="24"/>
                <w:szCs w:val="24"/>
              </w:rPr>
            </w:pPr>
            <w:r>
              <w:rPr>
                <w:rFonts w:hint="eastAsia" w:ascii="宋体" w:hAnsi="宋体" w:cs="宋体"/>
                <w:sz w:val="24"/>
                <w:szCs w:val="24"/>
              </w:rPr>
              <w:t>本项目采购代理服务费参照发改价格〔2011〕534号文的收费标准（见附表）计取；采购代理服务费须包含在总报价中，由采购代理机构在签发中标通知书时向中标人收取；本项目按服务招标类型的60%收费，不足捌仟元按捌仟元计取。</w:t>
            </w:r>
          </w:p>
        </w:tc>
      </w:tr>
      <w:tr w14:paraId="1E1BA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5" w:type="dxa"/>
            <w:vAlign w:val="center"/>
          </w:tcPr>
          <w:p w14:paraId="113AA80A">
            <w:pPr>
              <w:spacing w:line="360" w:lineRule="exact"/>
              <w:jc w:val="center"/>
              <w:rPr>
                <w:rFonts w:ascii="宋体" w:hAnsi="宋体" w:cs="宋体"/>
                <w:sz w:val="24"/>
                <w:szCs w:val="24"/>
              </w:rPr>
            </w:pPr>
            <w:r>
              <w:rPr>
                <w:rFonts w:hint="eastAsia" w:ascii="宋体" w:hAnsi="宋体" w:cs="宋体"/>
                <w:sz w:val="24"/>
                <w:szCs w:val="24"/>
              </w:rPr>
              <w:t>17</w:t>
            </w:r>
          </w:p>
        </w:tc>
        <w:tc>
          <w:tcPr>
            <w:tcW w:w="1699" w:type="dxa"/>
            <w:vAlign w:val="center"/>
          </w:tcPr>
          <w:p w14:paraId="124D3A10">
            <w:pPr>
              <w:spacing w:line="360" w:lineRule="exact"/>
              <w:jc w:val="center"/>
              <w:rPr>
                <w:rFonts w:ascii="宋体" w:hAnsi="宋体" w:cs="宋体"/>
                <w:sz w:val="24"/>
                <w:szCs w:val="24"/>
              </w:rPr>
            </w:pPr>
            <w:r>
              <w:rPr>
                <w:rFonts w:hint="eastAsia" w:ascii="宋体" w:hAnsi="宋体" w:cs="宋体"/>
                <w:sz w:val="24"/>
                <w:szCs w:val="24"/>
              </w:rPr>
              <w:t>解释权</w:t>
            </w:r>
          </w:p>
        </w:tc>
        <w:tc>
          <w:tcPr>
            <w:tcW w:w="6625" w:type="dxa"/>
            <w:vAlign w:val="center"/>
          </w:tcPr>
          <w:p w14:paraId="37B934A8">
            <w:pPr>
              <w:pStyle w:val="25"/>
              <w:spacing w:line="360" w:lineRule="exact"/>
              <w:ind w:left="0"/>
              <w:jc w:val="left"/>
              <w:rPr>
                <w:rFonts w:ascii="宋体" w:hAnsi="宋体" w:eastAsia="宋体" w:cs="宋体"/>
                <w:sz w:val="24"/>
                <w:szCs w:val="24"/>
              </w:rPr>
            </w:pPr>
            <w:r>
              <w:rPr>
                <w:rFonts w:hint="eastAsia" w:ascii="宋体" w:hAnsi="宋体" w:eastAsia="宋体" w:cs="宋体"/>
                <w:sz w:val="24"/>
                <w:szCs w:val="24"/>
              </w:rPr>
              <w:t>1.构成本采购文件的各个组成文件应互为解释，互为说明；</w:t>
            </w:r>
          </w:p>
          <w:p w14:paraId="5725D763">
            <w:pPr>
              <w:pStyle w:val="25"/>
              <w:spacing w:line="360" w:lineRule="exact"/>
              <w:ind w:left="0"/>
              <w:jc w:val="left"/>
              <w:rPr>
                <w:rFonts w:ascii="宋体" w:hAnsi="宋体" w:eastAsia="宋体" w:cs="宋体"/>
                <w:sz w:val="24"/>
                <w:szCs w:val="24"/>
              </w:rPr>
            </w:pPr>
            <w:r>
              <w:rPr>
                <w:rFonts w:hint="eastAsia" w:ascii="宋体" w:hAnsi="宋体" w:eastAsia="宋体" w:cs="宋体"/>
                <w:sz w:val="24"/>
                <w:szCs w:val="24"/>
              </w:rPr>
              <w:t>2.如有不明确或不一致，构成合同文件组成内容的，以合同文件约定内容为准，且以专用合同条款约定的合同文件优先顺序解释；</w:t>
            </w:r>
          </w:p>
          <w:p w14:paraId="61C4E04E">
            <w:pPr>
              <w:pStyle w:val="25"/>
              <w:spacing w:line="360" w:lineRule="exact"/>
              <w:ind w:left="0"/>
              <w:jc w:val="left"/>
              <w:rPr>
                <w:rFonts w:ascii="宋体" w:hAnsi="宋体" w:eastAsia="宋体" w:cs="宋体"/>
                <w:sz w:val="24"/>
                <w:szCs w:val="24"/>
              </w:rPr>
            </w:pPr>
            <w:r>
              <w:rPr>
                <w:rFonts w:hint="eastAsia" w:ascii="宋体" w:hAnsi="宋体" w:eastAsia="宋体" w:cs="宋体"/>
                <w:sz w:val="24"/>
                <w:szCs w:val="24"/>
              </w:rPr>
              <w:t>3.仅适用于招标投标阶段的约定，按招标公告、投标人须知、评标办法及评分标准、投标文件格式的先后顺序解释；</w:t>
            </w:r>
          </w:p>
          <w:p w14:paraId="58DE0D64">
            <w:pPr>
              <w:pStyle w:val="25"/>
              <w:spacing w:line="360" w:lineRule="exact"/>
              <w:ind w:left="0"/>
              <w:jc w:val="left"/>
              <w:rPr>
                <w:rFonts w:ascii="宋体" w:hAnsi="宋体" w:eastAsia="宋体" w:cs="宋体"/>
                <w:sz w:val="24"/>
                <w:szCs w:val="24"/>
              </w:rPr>
            </w:pPr>
            <w:r>
              <w:rPr>
                <w:rFonts w:hint="eastAsia" w:ascii="宋体" w:hAnsi="宋体" w:eastAsia="宋体" w:cs="宋体"/>
                <w:sz w:val="24"/>
                <w:szCs w:val="24"/>
              </w:rPr>
              <w:t>4.同一文件中就同一事项的约定不一致的，以逻辑顺序在后者为准；</w:t>
            </w:r>
          </w:p>
          <w:p w14:paraId="59B4953C">
            <w:pPr>
              <w:pStyle w:val="25"/>
              <w:spacing w:line="360" w:lineRule="exact"/>
              <w:ind w:left="0"/>
              <w:jc w:val="left"/>
              <w:rPr>
                <w:rFonts w:ascii="宋体" w:hAnsi="宋体" w:eastAsia="宋体" w:cs="宋体"/>
                <w:sz w:val="24"/>
                <w:szCs w:val="24"/>
              </w:rPr>
            </w:pPr>
            <w:r>
              <w:rPr>
                <w:rFonts w:hint="eastAsia" w:ascii="宋体" w:hAnsi="宋体" w:eastAsia="宋体" w:cs="宋体"/>
                <w:sz w:val="24"/>
                <w:szCs w:val="24"/>
              </w:rPr>
              <w:t>5.同一文件不同版本之间有不一致的，以形成时间在后者为准；</w:t>
            </w:r>
          </w:p>
          <w:p w14:paraId="7FCE0BD0">
            <w:pPr>
              <w:pStyle w:val="25"/>
              <w:spacing w:line="360" w:lineRule="exact"/>
              <w:ind w:left="0"/>
              <w:jc w:val="left"/>
              <w:rPr>
                <w:rFonts w:ascii="宋体" w:hAnsi="宋体" w:eastAsia="宋体" w:cs="宋体"/>
                <w:sz w:val="24"/>
                <w:szCs w:val="24"/>
              </w:rPr>
            </w:pPr>
            <w:r>
              <w:rPr>
                <w:rFonts w:hint="eastAsia" w:ascii="宋体" w:hAnsi="宋体" w:eastAsia="宋体" w:cs="宋体"/>
                <w:sz w:val="24"/>
                <w:szCs w:val="24"/>
              </w:rPr>
              <w:t>6.本采购文件中有关时间安排如有不一致的，一律以本“招标公告”为准；</w:t>
            </w:r>
          </w:p>
          <w:p w14:paraId="1EA835C8">
            <w:pPr>
              <w:pStyle w:val="25"/>
              <w:spacing w:line="360" w:lineRule="exact"/>
              <w:ind w:left="0"/>
              <w:jc w:val="left"/>
              <w:rPr>
                <w:rFonts w:ascii="宋体" w:hAnsi="宋体" w:eastAsia="宋体" w:cs="宋体"/>
                <w:sz w:val="24"/>
                <w:szCs w:val="24"/>
              </w:rPr>
            </w:pPr>
            <w:r>
              <w:rPr>
                <w:rFonts w:hint="eastAsia" w:ascii="宋体" w:hAnsi="宋体" w:eastAsia="宋体" w:cs="宋体"/>
                <w:sz w:val="24"/>
                <w:szCs w:val="24"/>
              </w:rPr>
              <w:t>7.本采购文件涉及的时间均为“北京时间”；</w:t>
            </w:r>
          </w:p>
          <w:p w14:paraId="3623FFDD">
            <w:pPr>
              <w:pStyle w:val="25"/>
              <w:spacing w:line="360" w:lineRule="exact"/>
              <w:ind w:left="0"/>
              <w:jc w:val="left"/>
              <w:rPr>
                <w:rFonts w:ascii="宋体" w:hAnsi="宋体" w:eastAsia="宋体" w:cs="宋体"/>
                <w:sz w:val="24"/>
                <w:szCs w:val="24"/>
              </w:rPr>
            </w:pPr>
            <w:r>
              <w:rPr>
                <w:rFonts w:hint="eastAsia" w:ascii="宋体" w:hAnsi="宋体" w:eastAsia="宋体" w:cs="宋体"/>
                <w:sz w:val="24"/>
                <w:szCs w:val="24"/>
              </w:rPr>
              <w:t>8.按本款前述约定仍不能形成结论的，由采购人和采购代理机构负责解释。</w:t>
            </w:r>
          </w:p>
        </w:tc>
      </w:tr>
      <w:tr w14:paraId="24420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5" w:type="dxa"/>
            <w:vAlign w:val="center"/>
          </w:tcPr>
          <w:p w14:paraId="253D3F3D">
            <w:pPr>
              <w:spacing w:line="360" w:lineRule="exact"/>
              <w:jc w:val="center"/>
              <w:rPr>
                <w:rFonts w:ascii="宋体" w:hAnsi="宋体" w:cs="宋体"/>
                <w:sz w:val="24"/>
                <w:szCs w:val="24"/>
              </w:rPr>
            </w:pPr>
            <w:r>
              <w:rPr>
                <w:rFonts w:hint="eastAsia" w:ascii="宋体" w:hAnsi="宋体" w:cs="宋体"/>
                <w:sz w:val="24"/>
                <w:szCs w:val="24"/>
              </w:rPr>
              <w:t>18</w:t>
            </w:r>
          </w:p>
        </w:tc>
        <w:tc>
          <w:tcPr>
            <w:tcW w:w="1699" w:type="dxa"/>
            <w:vAlign w:val="center"/>
          </w:tcPr>
          <w:p w14:paraId="39AFBFF5">
            <w:pPr>
              <w:spacing w:line="360" w:lineRule="exact"/>
              <w:jc w:val="center"/>
              <w:rPr>
                <w:rFonts w:ascii="宋体" w:hAnsi="宋体" w:cs="宋体"/>
                <w:sz w:val="24"/>
                <w:szCs w:val="24"/>
              </w:rPr>
            </w:pPr>
            <w:r>
              <w:rPr>
                <w:rFonts w:hint="eastAsia" w:ascii="宋体" w:hAnsi="宋体" w:cs="宋体"/>
                <w:sz w:val="24"/>
                <w:szCs w:val="24"/>
              </w:rPr>
              <w:t>注意事项</w:t>
            </w:r>
          </w:p>
        </w:tc>
        <w:tc>
          <w:tcPr>
            <w:tcW w:w="6625" w:type="dxa"/>
            <w:vAlign w:val="center"/>
          </w:tcPr>
          <w:p w14:paraId="2663E7B5">
            <w:pPr>
              <w:pStyle w:val="25"/>
              <w:numPr>
                <w:ilvl w:val="0"/>
                <w:numId w:val="6"/>
              </w:numPr>
              <w:spacing w:line="360" w:lineRule="exact"/>
              <w:ind w:left="0"/>
              <w:jc w:val="left"/>
              <w:rPr>
                <w:rFonts w:ascii="宋体" w:hAnsi="宋体" w:eastAsia="宋体" w:cs="宋体"/>
                <w:sz w:val="24"/>
                <w:szCs w:val="24"/>
              </w:rPr>
            </w:pPr>
            <w:r>
              <w:rPr>
                <w:rFonts w:hint="eastAsia" w:ascii="宋体" w:hAnsi="宋体" w:eastAsia="宋体" w:cs="宋体"/>
                <w:sz w:val="24"/>
                <w:szCs w:val="24"/>
              </w:rPr>
              <w:t>投标人应严格按照招标文件及补充文件的规定和要求编制投标文件。在编制投标文件过程中，应严格遵循实事求是、诚信投标的原则，如有偏离，应如实填写响应偏离。</w:t>
            </w:r>
          </w:p>
          <w:p w14:paraId="61BCCC17">
            <w:pPr>
              <w:pStyle w:val="25"/>
              <w:numPr>
                <w:ilvl w:val="0"/>
                <w:numId w:val="6"/>
              </w:numPr>
              <w:spacing w:line="360" w:lineRule="exact"/>
              <w:ind w:left="0"/>
              <w:jc w:val="left"/>
              <w:rPr>
                <w:rFonts w:ascii="宋体" w:hAnsi="宋体" w:eastAsia="宋体" w:cs="宋体"/>
                <w:sz w:val="24"/>
                <w:szCs w:val="24"/>
              </w:rPr>
            </w:pPr>
            <w:r>
              <w:rPr>
                <w:rFonts w:hint="eastAsia" w:ascii="宋体" w:hAnsi="宋体" w:eastAsia="宋体" w:cs="宋体"/>
                <w:sz w:val="24"/>
                <w:szCs w:val="24"/>
              </w:rPr>
              <w:t>如果发现本招标文件中存在歧视性不公正条款或违法违规等内容时，请投标人在获取招标文件后，在采购文件的质疑有效期内及时书面提出。</w:t>
            </w:r>
          </w:p>
          <w:p w14:paraId="22EE772F">
            <w:pPr>
              <w:pStyle w:val="25"/>
              <w:numPr>
                <w:ilvl w:val="0"/>
                <w:numId w:val="6"/>
              </w:numPr>
              <w:spacing w:line="360" w:lineRule="exact"/>
              <w:ind w:left="0"/>
              <w:jc w:val="left"/>
              <w:rPr>
                <w:rFonts w:ascii="宋体" w:hAnsi="宋体" w:eastAsia="宋体" w:cs="宋体"/>
                <w:sz w:val="24"/>
                <w:szCs w:val="24"/>
              </w:rPr>
            </w:pPr>
            <w:r>
              <w:rPr>
                <w:rFonts w:hint="eastAsia" w:ascii="宋体" w:hAnsi="宋体" w:eastAsia="宋体" w:cs="宋体"/>
                <w:sz w:val="24"/>
                <w:szCs w:val="24"/>
              </w:rPr>
              <w:t>采购结果公告期间，投标人不得通过非正当途径获取法律法规规定评标委员会（包括其他相关人员）应当保密的相关内容。</w:t>
            </w:r>
          </w:p>
          <w:p w14:paraId="315EFDF9">
            <w:pPr>
              <w:pStyle w:val="25"/>
              <w:numPr>
                <w:ilvl w:val="0"/>
                <w:numId w:val="6"/>
              </w:numPr>
              <w:spacing w:line="360" w:lineRule="exact"/>
              <w:ind w:left="0"/>
              <w:jc w:val="left"/>
              <w:rPr>
                <w:rFonts w:ascii="宋体" w:hAnsi="宋体" w:eastAsia="宋体" w:cs="宋体"/>
                <w:sz w:val="24"/>
                <w:szCs w:val="24"/>
              </w:rPr>
            </w:pPr>
            <w:r>
              <w:rPr>
                <w:rFonts w:hint="eastAsia" w:ascii="宋体" w:hAnsi="宋体" w:eastAsia="宋体" w:cs="宋体"/>
                <w:sz w:val="24"/>
                <w:szCs w:val="24"/>
              </w:rPr>
              <w:t>若以联合体形式投标的，联合体成员任意一方存在不良信用记录的，视同联合体存在不良信用记录。</w:t>
            </w:r>
          </w:p>
        </w:tc>
      </w:tr>
    </w:tbl>
    <w:p w14:paraId="1310FD22">
      <w:pPr>
        <w:pStyle w:val="23"/>
        <w:spacing w:line="440" w:lineRule="exact"/>
        <w:jc w:val="center"/>
        <w:rPr>
          <w:rFonts w:hAnsi="宋体" w:cs="Times New Roman"/>
          <w:b/>
          <w:bCs/>
          <w:sz w:val="28"/>
          <w:szCs w:val="28"/>
        </w:rPr>
      </w:pPr>
      <w:r>
        <w:rPr>
          <w:rFonts w:hint="eastAsia" w:hAnsi="宋体"/>
          <w:b/>
          <w:bCs/>
          <w:sz w:val="28"/>
          <w:szCs w:val="28"/>
        </w:rPr>
        <w:br w:type="page" w:clear="all"/>
      </w:r>
      <w:r>
        <w:rPr>
          <w:rFonts w:hint="eastAsia" w:hAnsi="宋体"/>
          <w:b/>
          <w:bCs/>
          <w:sz w:val="28"/>
          <w:szCs w:val="28"/>
        </w:rPr>
        <w:t>一、总则</w:t>
      </w:r>
    </w:p>
    <w:p w14:paraId="0DCBBF52">
      <w:pPr>
        <w:spacing w:line="440" w:lineRule="exact"/>
        <w:ind w:firstLine="482"/>
        <w:jc w:val="left"/>
        <w:outlineLvl w:val="1"/>
        <w:rPr>
          <w:rFonts w:ascii="宋体" w:cs="宋体"/>
          <w:b/>
          <w:bCs/>
          <w:sz w:val="24"/>
          <w:szCs w:val="24"/>
        </w:rPr>
      </w:pPr>
      <w:r>
        <w:rPr>
          <w:rFonts w:hint="eastAsia" w:ascii="宋体" w:hAnsi="宋体" w:cs="宋体"/>
          <w:b/>
          <w:bCs/>
          <w:sz w:val="24"/>
          <w:szCs w:val="24"/>
        </w:rPr>
        <w:t>（一）适用范围</w:t>
      </w:r>
    </w:p>
    <w:p w14:paraId="5C776895">
      <w:pPr>
        <w:spacing w:line="440" w:lineRule="exact"/>
        <w:ind w:firstLine="480"/>
        <w:jc w:val="left"/>
        <w:rPr>
          <w:rFonts w:ascii="宋体" w:cs="宋体"/>
          <w:sz w:val="24"/>
          <w:szCs w:val="24"/>
        </w:rPr>
      </w:pPr>
      <w:r>
        <w:rPr>
          <w:rFonts w:hint="eastAsia" w:ascii="宋体" w:hAnsi="宋体" w:cs="宋体"/>
          <w:sz w:val="24"/>
          <w:szCs w:val="24"/>
        </w:rPr>
        <w:t>本招标文件适用于本次项目的招标、投标、评标、定标、验收、合同履约、付款等行为（法律、法规另有规定的，从其规定）。</w:t>
      </w:r>
    </w:p>
    <w:p w14:paraId="6BF3F404">
      <w:pPr>
        <w:spacing w:line="440" w:lineRule="exact"/>
        <w:ind w:firstLine="482"/>
        <w:jc w:val="left"/>
        <w:outlineLvl w:val="1"/>
        <w:rPr>
          <w:rFonts w:ascii="宋体" w:cs="宋体"/>
          <w:b/>
          <w:bCs/>
          <w:sz w:val="24"/>
          <w:szCs w:val="24"/>
        </w:rPr>
      </w:pPr>
      <w:r>
        <w:rPr>
          <w:rFonts w:hint="eastAsia" w:ascii="宋体" w:hAnsi="宋体" w:cs="宋体"/>
          <w:b/>
          <w:bCs/>
          <w:sz w:val="24"/>
          <w:szCs w:val="24"/>
        </w:rPr>
        <w:t>（二）定义</w:t>
      </w:r>
    </w:p>
    <w:p w14:paraId="08E54022">
      <w:pPr>
        <w:spacing w:line="440" w:lineRule="exact"/>
        <w:ind w:firstLine="480"/>
        <w:rPr>
          <w:rFonts w:ascii="宋体" w:hAnsi="宋体" w:cs="宋体"/>
          <w:sz w:val="24"/>
          <w:szCs w:val="24"/>
        </w:rPr>
      </w:pPr>
      <w:r>
        <w:rPr>
          <w:rFonts w:ascii="宋体" w:hAnsi="宋体" w:cs="宋体"/>
          <w:sz w:val="24"/>
          <w:szCs w:val="24"/>
        </w:rPr>
        <w:t>1</w:t>
      </w:r>
      <w:r>
        <w:rPr>
          <w:rFonts w:hint="eastAsia" w:ascii="宋体" w:hAnsi="宋体" w:cs="宋体"/>
          <w:sz w:val="24"/>
          <w:szCs w:val="24"/>
        </w:rPr>
        <w:t>、采购代理机构：是指组织本次招标的机构，即建经投资咨询有限公司。</w:t>
      </w:r>
    </w:p>
    <w:p w14:paraId="5DDA036F">
      <w:pPr>
        <w:spacing w:line="440" w:lineRule="exact"/>
        <w:ind w:firstLine="480"/>
        <w:rPr>
          <w:rFonts w:ascii="宋体" w:cs="宋体"/>
          <w:sz w:val="24"/>
          <w:szCs w:val="24"/>
        </w:rPr>
      </w:pPr>
      <w:r>
        <w:rPr>
          <w:rFonts w:ascii="宋体" w:hAnsi="宋体" w:cs="宋体"/>
          <w:sz w:val="24"/>
          <w:szCs w:val="24"/>
        </w:rPr>
        <w:t>2</w:t>
      </w:r>
      <w:r>
        <w:rPr>
          <w:rFonts w:hint="eastAsia" w:ascii="宋体" w:hAnsi="宋体" w:cs="宋体"/>
          <w:sz w:val="24"/>
          <w:szCs w:val="24"/>
        </w:rPr>
        <w:t>、采购人：是指温岭市供水有限公司。</w:t>
      </w:r>
    </w:p>
    <w:p w14:paraId="0FC2A42D">
      <w:pPr>
        <w:spacing w:line="440" w:lineRule="exact"/>
        <w:ind w:firstLine="480"/>
        <w:jc w:val="left"/>
        <w:rPr>
          <w:rFonts w:ascii="宋体" w:cs="宋体"/>
          <w:sz w:val="24"/>
          <w:szCs w:val="24"/>
        </w:rPr>
      </w:pPr>
      <w:r>
        <w:rPr>
          <w:rFonts w:ascii="宋体" w:hAnsi="宋体" w:cs="宋体"/>
          <w:sz w:val="24"/>
          <w:szCs w:val="24"/>
        </w:rPr>
        <w:t>3</w:t>
      </w:r>
      <w:r>
        <w:rPr>
          <w:rFonts w:hint="eastAsia" w:ascii="宋体" w:hAnsi="宋体" w:cs="宋体"/>
          <w:sz w:val="24"/>
          <w:szCs w:val="24"/>
        </w:rPr>
        <w:t>、投标人：是指参加本国企采购项目投标的供应商。</w:t>
      </w:r>
    </w:p>
    <w:p w14:paraId="39210693">
      <w:pPr>
        <w:spacing w:line="440" w:lineRule="exact"/>
        <w:ind w:firstLine="480"/>
        <w:jc w:val="left"/>
        <w:rPr>
          <w:rFonts w:ascii="宋体" w:cs="宋体"/>
          <w:sz w:val="24"/>
          <w:szCs w:val="24"/>
        </w:rPr>
      </w:pPr>
      <w:r>
        <w:rPr>
          <w:rFonts w:ascii="宋体" w:hAnsi="宋体" w:cs="宋体"/>
          <w:sz w:val="24"/>
          <w:szCs w:val="24"/>
        </w:rPr>
        <w:t>4</w:t>
      </w:r>
      <w:r>
        <w:rPr>
          <w:rFonts w:hint="eastAsia" w:ascii="宋体" w:hAnsi="宋体" w:cs="宋体"/>
          <w:sz w:val="24"/>
          <w:szCs w:val="24"/>
        </w:rPr>
        <w:t>、货物：是指各种形态和种类的物品，包括原材料、燃料、设备、产品等。</w:t>
      </w:r>
    </w:p>
    <w:p w14:paraId="43060008">
      <w:pPr>
        <w:spacing w:line="440" w:lineRule="exact"/>
        <w:ind w:firstLine="480"/>
        <w:jc w:val="left"/>
        <w:rPr>
          <w:rFonts w:ascii="宋体" w:cs="宋体"/>
          <w:sz w:val="24"/>
          <w:szCs w:val="24"/>
        </w:rPr>
      </w:pPr>
      <w:r>
        <w:rPr>
          <w:rFonts w:ascii="宋体" w:hAnsi="宋体" w:cs="宋体"/>
          <w:sz w:val="24"/>
          <w:szCs w:val="24"/>
        </w:rPr>
        <w:t>5</w:t>
      </w:r>
      <w:r>
        <w:rPr>
          <w:rFonts w:hint="eastAsia" w:ascii="宋体" w:hAnsi="宋体" w:cs="宋体"/>
          <w:sz w:val="24"/>
          <w:szCs w:val="24"/>
        </w:rPr>
        <w:t>、服务：是指除货物和工程以外的其他国企采购对象，包括各类专业服务、信息网络开发服务、金融保险服务、运输服务，以及维修与维护服务等。</w:t>
      </w:r>
    </w:p>
    <w:p w14:paraId="583C0973">
      <w:pPr>
        <w:spacing w:line="440" w:lineRule="exact"/>
        <w:ind w:firstLine="480"/>
        <w:jc w:val="left"/>
        <w:rPr>
          <w:rFonts w:ascii="宋体" w:cs="宋体"/>
          <w:sz w:val="24"/>
          <w:szCs w:val="24"/>
        </w:rPr>
      </w:pPr>
      <w:r>
        <w:rPr>
          <w:rFonts w:ascii="宋体" w:hAnsi="宋体" w:cs="宋体"/>
          <w:sz w:val="24"/>
          <w:szCs w:val="24"/>
        </w:rPr>
        <w:t>6</w:t>
      </w:r>
      <w:r>
        <w:rPr>
          <w:rFonts w:hint="eastAsia" w:ascii="宋体" w:hAnsi="宋体" w:cs="宋体"/>
          <w:sz w:val="24"/>
          <w:szCs w:val="24"/>
        </w:rPr>
        <w:t>、“书面形式”包括信函、传真等。</w:t>
      </w:r>
    </w:p>
    <w:p w14:paraId="124352C1">
      <w:pPr>
        <w:spacing w:line="440" w:lineRule="exact"/>
        <w:ind w:firstLine="480"/>
        <w:jc w:val="left"/>
        <w:rPr>
          <w:rFonts w:ascii="宋体" w:cs="宋体"/>
          <w:sz w:val="24"/>
          <w:szCs w:val="24"/>
        </w:rPr>
      </w:pPr>
      <w:r>
        <w:rPr>
          <w:rFonts w:ascii="宋体" w:hAnsi="宋体" w:cs="宋体"/>
          <w:sz w:val="24"/>
          <w:szCs w:val="24"/>
        </w:rPr>
        <w:t>7</w:t>
      </w:r>
      <w:r>
        <w:rPr>
          <w:rFonts w:hint="eastAsia" w:ascii="宋体" w:hAnsi="宋体" w:cs="宋体"/>
          <w:sz w:val="24"/>
          <w:szCs w:val="24"/>
        </w:rPr>
        <w:t>、“▲”系指实质性要求条款。</w:t>
      </w:r>
    </w:p>
    <w:p w14:paraId="3BCA5EA6">
      <w:pPr>
        <w:spacing w:line="440" w:lineRule="exact"/>
        <w:ind w:firstLine="482"/>
        <w:jc w:val="left"/>
        <w:outlineLvl w:val="1"/>
        <w:rPr>
          <w:rFonts w:ascii="宋体" w:cs="宋体"/>
          <w:b/>
          <w:bCs/>
          <w:sz w:val="24"/>
          <w:szCs w:val="24"/>
        </w:rPr>
      </w:pPr>
      <w:r>
        <w:rPr>
          <w:rFonts w:hint="eastAsia" w:ascii="宋体" w:hAnsi="宋体" w:cs="宋体"/>
          <w:b/>
          <w:bCs/>
          <w:sz w:val="24"/>
          <w:szCs w:val="24"/>
        </w:rPr>
        <w:t>（三）投标费用</w:t>
      </w:r>
    </w:p>
    <w:p w14:paraId="5D9DEA68">
      <w:pPr>
        <w:spacing w:line="440" w:lineRule="exact"/>
        <w:ind w:firstLine="480"/>
        <w:jc w:val="left"/>
        <w:rPr>
          <w:rFonts w:ascii="宋体" w:hAnsi="宋体" w:cs="宋体"/>
          <w:sz w:val="24"/>
          <w:szCs w:val="24"/>
        </w:rPr>
      </w:pPr>
      <w:r>
        <w:rPr>
          <w:rFonts w:hint="eastAsia" w:ascii="宋体" w:hAnsi="宋体" w:cs="宋体"/>
          <w:sz w:val="24"/>
          <w:szCs w:val="24"/>
        </w:rPr>
        <w:t>1、不论投标结果如何，投标人均应自行承担所有与投标有关的全部费用（招标文件有相关规定除外）。</w:t>
      </w:r>
    </w:p>
    <w:p w14:paraId="0E368B66">
      <w:pPr>
        <w:spacing w:line="440" w:lineRule="exact"/>
        <w:ind w:firstLine="480"/>
        <w:jc w:val="left"/>
        <w:rPr>
          <w:rFonts w:ascii="宋体" w:hAnsi="宋体" w:cs="宋体"/>
          <w:sz w:val="24"/>
          <w:szCs w:val="24"/>
        </w:rPr>
      </w:pPr>
      <w:r>
        <w:rPr>
          <w:rFonts w:hint="eastAsia" w:ascii="宋体" w:hAnsi="宋体" w:cs="宋体"/>
          <w:sz w:val="24"/>
          <w:szCs w:val="24"/>
        </w:rPr>
        <w:t>2、招标代理服务费</w:t>
      </w:r>
    </w:p>
    <w:p w14:paraId="5D8E85F2">
      <w:pPr>
        <w:widowControl/>
        <w:spacing w:line="340" w:lineRule="exact"/>
        <w:ind w:firstLine="480"/>
        <w:jc w:val="left"/>
        <w:rPr>
          <w:rFonts w:hAnsi="宋体" w:cs="仿宋_GB2312"/>
          <w:b/>
          <w:bCs/>
          <w:sz w:val="24"/>
          <w:u w:val="single"/>
        </w:rPr>
      </w:pPr>
      <w:r>
        <w:rPr>
          <w:rFonts w:hint="eastAsia" w:hAnsi="宋体" w:cs="仿宋_GB2312"/>
          <w:sz w:val="24"/>
          <w:szCs w:val="24"/>
        </w:rPr>
        <w:t>2.1</w:t>
      </w:r>
      <w:r>
        <w:rPr>
          <w:rFonts w:hint="eastAsia" w:hAnsi="宋体" w:cs="仿宋_GB2312"/>
          <w:b/>
          <w:bCs/>
          <w:sz w:val="24"/>
          <w:u w:val="single"/>
        </w:rPr>
        <w:t>本项目采购代理服务费参照发改价格〔2011〕534号文的收费标准（见附表）计取；采购代理服务费须包含在总报价中，由采购代理机构在签发中标通知书时向中标人收取；本项目按服务招标类型的60%收费，不足捌仟元按捌仟元计取。</w:t>
      </w:r>
    </w:p>
    <w:p w14:paraId="3FB5701A">
      <w:pPr>
        <w:jc w:val="center"/>
        <w:rPr>
          <w:rFonts w:hAnsi="宋体" w:cs="仿宋_GB2312"/>
          <w:b/>
          <w:bCs/>
          <w:sz w:val="24"/>
        </w:rPr>
      </w:pPr>
      <w:r>
        <w:rPr>
          <w:b/>
          <w:sz w:val="22"/>
          <w:szCs w:val="22"/>
        </w:rPr>
        <mc:AlternateContent>
          <mc:Choice Requires="wps">
            <w:drawing>
              <wp:anchor distT="0" distB="0" distL="114300" distR="114300" simplePos="0" relativeHeight="251664384" behindDoc="0" locked="0" layoutInCell="0" allowOverlap="1">
                <wp:simplePos x="0" y="0"/>
                <wp:positionH relativeFrom="column">
                  <wp:posOffset>774065</wp:posOffset>
                </wp:positionH>
                <wp:positionV relativeFrom="paragraph">
                  <wp:posOffset>195580</wp:posOffset>
                </wp:positionV>
                <wp:extent cx="865505" cy="777875"/>
                <wp:effectExtent l="3175" t="3810" r="7620" b="18415"/>
                <wp:wrapNone/>
                <wp:docPr id="7" name="直接连接符 8"/>
                <wp:cNvGraphicFramePr/>
                <a:graphic xmlns:a="http://schemas.openxmlformats.org/drawingml/2006/main">
                  <a:graphicData uri="http://schemas.microsoft.com/office/word/2010/wordprocessingShape">
                    <wps:wsp>
                      <wps:cNvCnPr/>
                      <wps:spPr bwMode="auto">
                        <a:xfrm flipH="1" flipV="1">
                          <a:off x="0" y="0"/>
                          <a:ext cx="865505" cy="77787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8" o:spid="_x0000_s1026" o:spt="20" style="position:absolute;left:0pt;flip:x y;margin-left:60.95pt;margin-top:15.4pt;height:61.25pt;width:68.15pt;z-index:251664384;mso-width-relative:page;mso-height-relative:page;" filled="f" stroked="t" coordsize="21600,21600" o:allowincell="f" o:gfxdata="UEsDBAoAAAAAAIdO4kAAAAAAAAAAAAAAAAAEAAAAZHJzL1BLAwQUAAAACACHTuJA4KHye9UAAAAK&#10;AQAADwAAAGRycy9kb3ducmV2LnhtbE2PwW7CMBBE75X6D9ZW6q3YSUQJaRwOSHwAtEIcTbwkUe11&#10;GhtC/77bU3sczWjmTb25eyduOMUhkIZsoUAgtcEO1Gn4eN+9lCBiMmSNC4QavjHCpnl8qE1lw0x7&#10;vB1SJ7iEYmU09CmNlZSx7dGbuAgjEnuXMHmTWE6dtJOZudw7mSv1Kr0ZiBd6M+K2x/bzcPUaXKnK&#10;r+N2NZ/2lld2R9fTKtP6+SlTbyAS3tNfGH7xGR0aZjqHK9koHOs8W3NUQ6H4AgfyZZmDOLOzLAqQ&#10;TS3/X2h+AFBLAwQUAAAACACHTuJAjv7uvgUCAAD+AwAADgAAAGRycy9lMm9Eb2MueG1srVO9jhMx&#10;EO6ReAfLPdlcpFzCKpsrLhwU/JzETz+xvVlL/pPHySYvwQsg0UFFSc/bcDwGY28IcDQpcGGNxzPf&#10;zPd5vLjaW8N2KqL2ruEXozFnygkvtds0/O2bm0dzzjCBk2C8Uw0/KORXy4cPFn2o1cR33kgVGYE4&#10;rPvQ8C6lUFcVik5ZwJEPytFl66OFRMe4qWSEntCtqSbj8WXV+yhD9EIhknc1XPIjYjwH0LetFmrl&#10;xdYqlwbUqAwkooSdDsiXpdu2VSK9altUiZmGE9NUdipC9jrv1XIB9SZC6LQ4tgDntHCPkwXtqOgJ&#10;agUJ2Dbqf6CsFtGjb9NIeFsNRIoixOJifE+b1x0EVbiQ1BhOouP/gxUvd7eRadnwGWcOLD343Yev&#10;399/+vHtI+13Xz6zeRapD1hT7LW7jccTBkpc9y+8pBzYJl/479toWWt0eEazxYv1LltZG2LL9kX6&#10;w0l6tU9MkHN+OZ2Op5wJuprNZvPZNFetoM6AOTlETE+VtywbDTfaZWWght1zTEPor5DsNo71DX88&#10;nWRMoDFtaTzItIGootuUXPRGyxttTM7AuFlfm8h2kEelrGMLf4XlIivAbogrVzkM6k6BfOIkS4dA&#10;gjj6Ozy3YJXkzCj6atkqkQm0OSeS2BtHImTts9rDK6y9PJRHKH4aiyLTcYTz3P15Ltm/v+3y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Ch8nvVAAAACgEAAA8AAAAAAAAAAQAgAAAAIgAAAGRycy9k&#10;b3ducmV2LnhtbFBLAQIUABQAAAAIAIdO4kCO/u6+BQIAAP4DAAAOAAAAAAAAAAEAIAAAACQBAABk&#10;cnMvZTJvRG9jLnhtbFBLBQYAAAAABgAGAFkBAACbBQAAAAA=&#10;">
                <v:fill on="f" focussize="0,0"/>
                <v:stroke color="#000000" joinstyle="round"/>
                <v:imagedata o:title=""/>
                <o:lock v:ext="edit" aspectratio="f"/>
              </v:line>
            </w:pict>
          </mc:Fallback>
        </mc:AlternateContent>
      </w:r>
      <w:r>
        <w:rPr>
          <w:rFonts w:hint="eastAsia" w:hAnsi="宋体" w:cs="仿宋_GB2312"/>
          <w:b/>
          <w:bCs/>
          <w:sz w:val="24"/>
        </w:rPr>
        <w:t>附表：招标代理服务收费标准</w:t>
      </w:r>
    </w:p>
    <w:tbl>
      <w:tblPr>
        <w:tblStyle w:val="4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6"/>
        <w:gridCol w:w="2132"/>
        <w:gridCol w:w="2132"/>
        <w:gridCol w:w="2132"/>
      </w:tblGrid>
      <w:tr w14:paraId="2B3C4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9" w:hRule="atLeast"/>
        </w:trPr>
        <w:tc>
          <w:tcPr>
            <w:tcW w:w="1459" w:type="pct"/>
          </w:tcPr>
          <w:p w14:paraId="2E9A7175">
            <w:pPr>
              <w:ind w:firstLine="1546"/>
              <w:rPr>
                <w:b/>
                <w:sz w:val="22"/>
                <w:szCs w:val="22"/>
              </w:rPr>
            </w:pPr>
            <w:r>
              <w:rPr>
                <w:b/>
                <w:sz w:val="22"/>
                <w:szCs w:val="22"/>
              </w:rPr>
              <mc:AlternateContent>
                <mc:Choice Requires="wps">
                  <w:drawing>
                    <wp:anchor distT="0" distB="0" distL="114300" distR="114300" simplePos="0" relativeHeight="251663360" behindDoc="0" locked="0" layoutInCell="0" allowOverlap="1">
                      <wp:simplePos x="0" y="0"/>
                      <wp:positionH relativeFrom="column">
                        <wp:posOffset>-84455</wp:posOffset>
                      </wp:positionH>
                      <wp:positionV relativeFrom="paragraph">
                        <wp:posOffset>66040</wp:posOffset>
                      </wp:positionV>
                      <wp:extent cx="1724025" cy="717550"/>
                      <wp:effectExtent l="1905" t="4445" r="7620" b="20955"/>
                      <wp:wrapNone/>
                      <wp:docPr id="8" name="直接连接符 9"/>
                      <wp:cNvGraphicFramePr/>
                      <a:graphic xmlns:a="http://schemas.openxmlformats.org/drawingml/2006/main">
                        <a:graphicData uri="http://schemas.microsoft.com/office/word/2010/wordprocessingShape">
                          <wps:wsp>
                            <wps:cNvCnPr/>
                            <wps:spPr bwMode="auto">
                              <a:xfrm flipH="1" flipV="1">
                                <a:off x="0" y="0"/>
                                <a:ext cx="1724025" cy="7175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9" o:spid="_x0000_s1026" o:spt="20" style="position:absolute;left:0pt;flip:x y;margin-left:-6.65pt;margin-top:5.2pt;height:56.5pt;width:135.75pt;z-index:251663360;mso-width-relative:page;mso-height-relative:page;" filled="f" stroked="t" coordsize="21600,21600" o:allowincell="f" o:gfxdata="UEsDBAoAAAAAAIdO4kAAAAAAAAAAAAAAAAAEAAAAZHJzL1BLAwQUAAAACACHTuJABH+qHtUAAAAK&#10;AQAADwAAAGRycy9kb3ducmV2LnhtbE2PTU7DMBCF90jcwZpK7Fo7SaFRiNNFpR6gBVUs3XhIotrj&#10;ELtNuT3DCpYz79P7qbd378QNpzgE0pCtFAikNtiBOg3vb/tlCSImQ9a4QKjhGyNsm8eH2lQ2zHTA&#10;2zF1gk0oVkZDn9JYSRnbHr2JqzAisfYZJm8Sn1Mn7WRmNvdO5kq9SG8G4oTejLjrsb0cr16DK1X5&#10;ddpt5o+D5ZT9yfW0ybR+WmTqFUTCe/qD4bc+V4eGO53DlWwUTsMyKwpGWVBrEAzkz2UO4syPvFiD&#10;bGr5f0LzA1BLAwQUAAAACACHTuJAdqT/8ggCAAD/AwAADgAAAGRycy9lMm9Eb2MueG1srVO9jhMx&#10;EO6ReAfLPdkkIoRbZXPFhYOCn5P46Se2N2vJf/I42eQleAEkOqgo6Xkbjsdg7A0BjiYFLqyxPfPN&#10;fN+MF5d7a9hORdTeNXwyGnOmnPBSu03D3765fvCYM0zgJBjvVMMPCvnl8v69RR9qNfWdN1JFRiAO&#10;6z40vEsp1FWFolMWcOSDcvTY+mgh0TFuKhmhJ3Rrqul4/KjqfZQheqEQ6XY1PPIjYjwH0LetFmrl&#10;xdYqlwbUqAwkooSdDsiXpdq2VSK9altUiZmGE9NUdkpC9jrv1XIB9SZC6LQ4lgDnlHCHkwXtKOkJ&#10;agUJ2Dbqf6CsFtGjb9NIeFsNRIoixGIyvqPN6w6CKlxIagwn0fH/wYqXu5vItGw4td2BpYbffvj6&#10;/f2nH98+0n775TO7yCL1AWvyvXI38XjCQIHr/oWXFAPb5Av/fRsta40Oz2i2eLHeZStrQ2zZvkh/&#10;OEmv9okJupzMpw/H0xlngt7mk/lsVnpTQZ0Rc3SImJ4qb1k2Gm60y9JADbvnmKgmcv3lkq+NY33D&#10;L2YFE2hOW5oPgreBuKLblFj0RstrbUyOwLhZX5nIdpBnpazMnHD/cstJVoDd4FeehinqFMgnTrJ0&#10;CKSIo8/DcwlWSc6Mor+WLQKEOoE253hSauOogix+lntow9rLQ+lCuae5KDUeZzgP3p/nEv373y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R/qh7VAAAACgEAAA8AAAAAAAAAAQAgAAAAIgAAAGRy&#10;cy9kb3ducmV2LnhtbFBLAQIUABQAAAAIAIdO4kB2pP/yCAIAAP8DAAAOAAAAAAAAAAEAIAAAACQB&#10;AABkcnMvZTJvRG9jLnhtbFBLBQYAAAAABgAGAFkBAACeBQAAAAA=&#10;">
                      <v:fill on="f" focussize="0,0"/>
                      <v:stroke color="#000000" joinstyle="round"/>
                      <v:imagedata o:title=""/>
                      <o:lock v:ext="edit" aspectratio="f"/>
                    </v:line>
                  </w:pict>
                </mc:Fallback>
              </mc:AlternateContent>
            </w:r>
            <w:r>
              <w:rPr>
                <w:b/>
                <w:sz w:val="22"/>
                <w:szCs w:val="22"/>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0" r="0" b="0"/>
                      <wp:wrapNone/>
                      <wp:docPr id="9" name="直接连接符 7"/>
                      <wp:cNvGraphicFramePr/>
                      <a:graphic xmlns:a="http://schemas.openxmlformats.org/drawingml/2006/main">
                        <a:graphicData uri="http://schemas.microsoft.com/office/word/2010/wordprocessingShape">
                          <wps:wsp>
                            <wps:cNvCnPr/>
                            <wps:spPr bwMode="auto">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7"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BQCbMvIBAADiAwAADgAAAGRycy9lMm9Eb2MueG1srVNLjhMx&#10;EN0jcQfLe9KZoBmglc4sJgwbPiPBHKBiu7st+SeXk04uwQWQ2MGKJXtuw3CMKbuTAMMmC7ywyuWq&#10;V/Wey/PLrTVsoyJq7xp+NplyppzwUruu4bcfrp885wwTOAnGO9XwnUJ+uXj8aD6EWs18741UkRGI&#10;w3oIDe9TCnVVoeiVBZz4oBxdtj5aSHSMXSUjDIRuTTWbTi+qwUcZohcKkbzL8ZLvEeMpgL5ttVBL&#10;L9ZWuTSiRmUgESXsdUC+KN22rRLpXduiSsw0nJimslMRsld5rxZzqLsIoddi3wKc0sIDTha0o6JH&#10;qCUkYOuo/4GyWkSPvk0T4W01EimKEIuz6QNt3vcQVOFCUmM4io7/D1a83dxEpmXDX3DmwNKD3336&#10;/vPjl18/PtN+9+0re5ZFGgLWFHvlbuL+hIESV8MbLykH1skX/ts22qwDMWPbIvPuKLPaJibIefH0&#10;nDNx8FdQH5JCxPRKecuy0XCjXWYPNWxeY6KyFHoIyW7j2EB9n88yHNAotjQCZNpAdNB1JRe90fJa&#10;G5MzMHarKxPZBvI4lJXJEe5fYbnIErAf48rVOCi9AvnSSZZ2gUg7+h88t2CV5Mwo+k7ZIkCoE2hz&#10;SiSVNo46yPpmRUelV17uitDFT09fetyPaZ6tP88l+/fXXNw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5HTftUAAAAJAQAADwAAAAAAAAABACAAAAAiAAAAZHJzL2Rvd25yZXYueG1sUEsBAhQAFAAA&#10;AAgAh07iQAUAmzLyAQAA4gMAAA4AAAAAAAAAAQAgAAAAJAEAAGRycy9lMm9Eb2MueG1sUEsFBgAA&#10;AAAGAAYAWQEAAIgFAAAAAA==&#10;">
                      <v:fill on="f" focussize="0,0"/>
                      <v:stroke color="#000000" joinstyle="round"/>
                      <v:imagedata o:title=""/>
                      <o:lock v:ext="edit" aspectratio="f"/>
                    </v:line>
                  </w:pict>
                </mc:Fallback>
              </mc:AlternateContent>
            </w:r>
            <w:r>
              <w:rPr>
                <w:rFonts w:hint="eastAsia"/>
                <w:b/>
                <w:sz w:val="22"/>
                <w:szCs w:val="22"/>
              </w:rPr>
              <w:t>服务</w:t>
            </w:r>
          </w:p>
          <w:p w14:paraId="75FF7170">
            <w:pPr>
              <w:ind w:firstLine="1104"/>
              <w:rPr>
                <w:b/>
                <w:sz w:val="22"/>
                <w:szCs w:val="22"/>
              </w:rPr>
            </w:pPr>
            <w:r>
              <w:rPr>
                <w:rFonts w:hint="eastAsia"/>
                <w:b/>
                <w:sz w:val="22"/>
                <w:szCs w:val="22"/>
              </w:rPr>
              <w:t>费　　类型</w:t>
            </w:r>
          </w:p>
          <w:p w14:paraId="63AFD105">
            <w:pPr>
              <w:ind w:firstLine="1546"/>
              <w:rPr>
                <w:b/>
                <w:sz w:val="22"/>
                <w:szCs w:val="22"/>
              </w:rPr>
            </w:pPr>
            <w:r>
              <w:rPr>
                <w:rFonts w:hint="eastAsia"/>
                <w:b/>
                <w:sz w:val="22"/>
                <w:szCs w:val="22"/>
              </w:rPr>
              <w:t>率</w:t>
            </w:r>
          </w:p>
          <w:p w14:paraId="6AF285E7">
            <w:pPr>
              <w:rPr>
                <w:b/>
                <w:sz w:val="22"/>
                <w:szCs w:val="22"/>
              </w:rPr>
            </w:pPr>
            <w:r>
              <w:rPr>
                <w:rFonts w:hint="eastAsia"/>
                <w:b/>
                <w:sz w:val="22"/>
                <w:szCs w:val="22"/>
              </w:rPr>
              <w:t>中标金额（万元）</w:t>
            </w:r>
          </w:p>
        </w:tc>
        <w:tc>
          <w:tcPr>
            <w:tcW w:w="1180" w:type="pct"/>
            <w:vAlign w:val="center"/>
          </w:tcPr>
          <w:p w14:paraId="7507EDFE">
            <w:pPr>
              <w:jc w:val="center"/>
              <w:rPr>
                <w:b/>
                <w:sz w:val="22"/>
                <w:szCs w:val="22"/>
              </w:rPr>
            </w:pPr>
            <w:r>
              <w:rPr>
                <w:rFonts w:hint="eastAsia"/>
                <w:b/>
                <w:sz w:val="22"/>
                <w:szCs w:val="22"/>
              </w:rPr>
              <w:t>货物招标</w:t>
            </w:r>
          </w:p>
        </w:tc>
        <w:tc>
          <w:tcPr>
            <w:tcW w:w="1180" w:type="pct"/>
            <w:vAlign w:val="center"/>
          </w:tcPr>
          <w:p w14:paraId="4C422BDF">
            <w:pPr>
              <w:jc w:val="center"/>
              <w:rPr>
                <w:b/>
                <w:sz w:val="22"/>
                <w:szCs w:val="22"/>
              </w:rPr>
            </w:pPr>
            <w:r>
              <w:rPr>
                <w:rFonts w:hint="eastAsia"/>
                <w:b/>
                <w:sz w:val="22"/>
                <w:szCs w:val="22"/>
              </w:rPr>
              <w:t>服务招标</w:t>
            </w:r>
          </w:p>
        </w:tc>
        <w:tc>
          <w:tcPr>
            <w:tcW w:w="1180" w:type="pct"/>
            <w:vAlign w:val="center"/>
          </w:tcPr>
          <w:p w14:paraId="2199FAEE">
            <w:pPr>
              <w:jc w:val="center"/>
              <w:rPr>
                <w:b/>
                <w:sz w:val="22"/>
                <w:szCs w:val="22"/>
              </w:rPr>
            </w:pPr>
            <w:r>
              <w:rPr>
                <w:rFonts w:hint="eastAsia"/>
                <w:b/>
                <w:sz w:val="22"/>
                <w:szCs w:val="22"/>
              </w:rPr>
              <w:t>工程招标</w:t>
            </w:r>
          </w:p>
        </w:tc>
      </w:tr>
      <w:tr w14:paraId="2A349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pct"/>
          </w:tcPr>
          <w:p w14:paraId="433DCB5D">
            <w:pPr>
              <w:jc w:val="center"/>
              <w:rPr>
                <w:sz w:val="22"/>
                <w:szCs w:val="22"/>
              </w:rPr>
            </w:pPr>
            <w:r>
              <w:rPr>
                <w:rFonts w:hint="eastAsia"/>
                <w:sz w:val="22"/>
                <w:szCs w:val="22"/>
              </w:rPr>
              <w:t>100以下</w:t>
            </w:r>
          </w:p>
        </w:tc>
        <w:tc>
          <w:tcPr>
            <w:tcW w:w="1180" w:type="pct"/>
          </w:tcPr>
          <w:p w14:paraId="34AF7D50">
            <w:pPr>
              <w:jc w:val="center"/>
              <w:rPr>
                <w:sz w:val="22"/>
                <w:szCs w:val="22"/>
              </w:rPr>
            </w:pPr>
            <w:r>
              <w:rPr>
                <w:rFonts w:hint="eastAsia"/>
                <w:sz w:val="22"/>
                <w:szCs w:val="22"/>
              </w:rPr>
              <w:t>1.5%</w:t>
            </w:r>
          </w:p>
        </w:tc>
        <w:tc>
          <w:tcPr>
            <w:tcW w:w="1180" w:type="pct"/>
          </w:tcPr>
          <w:p w14:paraId="4B672753">
            <w:pPr>
              <w:jc w:val="center"/>
              <w:rPr>
                <w:sz w:val="22"/>
                <w:szCs w:val="22"/>
              </w:rPr>
            </w:pPr>
            <w:r>
              <w:rPr>
                <w:rFonts w:hint="eastAsia"/>
                <w:sz w:val="22"/>
                <w:szCs w:val="22"/>
              </w:rPr>
              <w:t>1.5%</w:t>
            </w:r>
          </w:p>
        </w:tc>
        <w:tc>
          <w:tcPr>
            <w:tcW w:w="1180" w:type="pct"/>
          </w:tcPr>
          <w:p w14:paraId="4F5C7D02">
            <w:pPr>
              <w:jc w:val="center"/>
              <w:rPr>
                <w:sz w:val="22"/>
                <w:szCs w:val="22"/>
              </w:rPr>
            </w:pPr>
            <w:r>
              <w:rPr>
                <w:rFonts w:hint="eastAsia"/>
                <w:sz w:val="22"/>
                <w:szCs w:val="22"/>
              </w:rPr>
              <w:t>1.0%</w:t>
            </w:r>
          </w:p>
        </w:tc>
      </w:tr>
      <w:tr w14:paraId="2C8B2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pct"/>
          </w:tcPr>
          <w:p w14:paraId="3EBC309B">
            <w:pPr>
              <w:jc w:val="center"/>
              <w:rPr>
                <w:sz w:val="22"/>
                <w:szCs w:val="22"/>
              </w:rPr>
            </w:pPr>
            <w:r>
              <w:rPr>
                <w:rFonts w:hint="eastAsia"/>
                <w:sz w:val="22"/>
                <w:szCs w:val="22"/>
              </w:rPr>
              <w:t>100-500</w:t>
            </w:r>
          </w:p>
        </w:tc>
        <w:tc>
          <w:tcPr>
            <w:tcW w:w="1180" w:type="pct"/>
          </w:tcPr>
          <w:p w14:paraId="54A17A42">
            <w:pPr>
              <w:jc w:val="center"/>
              <w:rPr>
                <w:sz w:val="22"/>
                <w:szCs w:val="22"/>
              </w:rPr>
            </w:pPr>
            <w:r>
              <w:rPr>
                <w:rFonts w:hint="eastAsia"/>
                <w:sz w:val="22"/>
                <w:szCs w:val="22"/>
              </w:rPr>
              <w:t>1.1%</w:t>
            </w:r>
          </w:p>
        </w:tc>
        <w:tc>
          <w:tcPr>
            <w:tcW w:w="1180" w:type="pct"/>
          </w:tcPr>
          <w:p w14:paraId="51DC088C">
            <w:pPr>
              <w:jc w:val="center"/>
              <w:rPr>
                <w:sz w:val="22"/>
                <w:szCs w:val="22"/>
              </w:rPr>
            </w:pPr>
            <w:r>
              <w:rPr>
                <w:rFonts w:hint="eastAsia"/>
                <w:sz w:val="22"/>
                <w:szCs w:val="22"/>
              </w:rPr>
              <w:t>0.8%</w:t>
            </w:r>
          </w:p>
        </w:tc>
        <w:tc>
          <w:tcPr>
            <w:tcW w:w="1180" w:type="pct"/>
          </w:tcPr>
          <w:p w14:paraId="0140C325">
            <w:pPr>
              <w:jc w:val="center"/>
              <w:rPr>
                <w:sz w:val="22"/>
                <w:szCs w:val="22"/>
              </w:rPr>
            </w:pPr>
            <w:r>
              <w:rPr>
                <w:rFonts w:hint="eastAsia"/>
                <w:sz w:val="22"/>
                <w:szCs w:val="22"/>
              </w:rPr>
              <w:t>0.7%</w:t>
            </w:r>
          </w:p>
        </w:tc>
      </w:tr>
      <w:tr w14:paraId="5BD69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pct"/>
          </w:tcPr>
          <w:p w14:paraId="712D6F03">
            <w:pPr>
              <w:jc w:val="center"/>
              <w:rPr>
                <w:sz w:val="22"/>
                <w:szCs w:val="22"/>
              </w:rPr>
            </w:pPr>
            <w:r>
              <w:rPr>
                <w:rFonts w:hint="eastAsia"/>
                <w:sz w:val="22"/>
                <w:szCs w:val="22"/>
              </w:rPr>
              <w:t>500-1000</w:t>
            </w:r>
          </w:p>
        </w:tc>
        <w:tc>
          <w:tcPr>
            <w:tcW w:w="1180" w:type="pct"/>
          </w:tcPr>
          <w:p w14:paraId="7708C008">
            <w:pPr>
              <w:jc w:val="center"/>
              <w:rPr>
                <w:sz w:val="22"/>
                <w:szCs w:val="22"/>
              </w:rPr>
            </w:pPr>
            <w:r>
              <w:rPr>
                <w:rFonts w:hint="eastAsia"/>
                <w:sz w:val="22"/>
                <w:szCs w:val="22"/>
              </w:rPr>
              <w:t>0.8%</w:t>
            </w:r>
          </w:p>
        </w:tc>
        <w:tc>
          <w:tcPr>
            <w:tcW w:w="1180" w:type="pct"/>
          </w:tcPr>
          <w:p w14:paraId="25BBF7C2">
            <w:pPr>
              <w:jc w:val="center"/>
              <w:rPr>
                <w:sz w:val="22"/>
                <w:szCs w:val="22"/>
              </w:rPr>
            </w:pPr>
            <w:r>
              <w:rPr>
                <w:rFonts w:hint="eastAsia"/>
                <w:sz w:val="22"/>
                <w:szCs w:val="22"/>
              </w:rPr>
              <w:t>0.45%</w:t>
            </w:r>
          </w:p>
        </w:tc>
        <w:tc>
          <w:tcPr>
            <w:tcW w:w="1180" w:type="pct"/>
          </w:tcPr>
          <w:p w14:paraId="371C82E7">
            <w:pPr>
              <w:jc w:val="center"/>
              <w:rPr>
                <w:sz w:val="22"/>
                <w:szCs w:val="22"/>
              </w:rPr>
            </w:pPr>
            <w:r>
              <w:rPr>
                <w:rFonts w:hint="eastAsia"/>
                <w:sz w:val="22"/>
                <w:szCs w:val="22"/>
              </w:rPr>
              <w:t>0.55%</w:t>
            </w:r>
          </w:p>
        </w:tc>
      </w:tr>
      <w:tr w14:paraId="25416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pct"/>
          </w:tcPr>
          <w:p w14:paraId="539CB19C">
            <w:pPr>
              <w:jc w:val="center"/>
              <w:rPr>
                <w:sz w:val="22"/>
                <w:szCs w:val="22"/>
              </w:rPr>
            </w:pPr>
            <w:r>
              <w:rPr>
                <w:rFonts w:hint="eastAsia"/>
                <w:sz w:val="22"/>
                <w:szCs w:val="22"/>
              </w:rPr>
              <w:t>1000-5000</w:t>
            </w:r>
          </w:p>
        </w:tc>
        <w:tc>
          <w:tcPr>
            <w:tcW w:w="1180" w:type="pct"/>
          </w:tcPr>
          <w:p w14:paraId="3D5685A3">
            <w:pPr>
              <w:jc w:val="center"/>
              <w:rPr>
                <w:sz w:val="22"/>
                <w:szCs w:val="22"/>
              </w:rPr>
            </w:pPr>
            <w:r>
              <w:rPr>
                <w:rFonts w:hint="eastAsia"/>
                <w:sz w:val="22"/>
                <w:szCs w:val="22"/>
              </w:rPr>
              <w:t>0.5%</w:t>
            </w:r>
          </w:p>
        </w:tc>
        <w:tc>
          <w:tcPr>
            <w:tcW w:w="1180" w:type="pct"/>
          </w:tcPr>
          <w:p w14:paraId="3B51A17F">
            <w:pPr>
              <w:jc w:val="center"/>
              <w:rPr>
                <w:sz w:val="22"/>
                <w:szCs w:val="22"/>
              </w:rPr>
            </w:pPr>
            <w:r>
              <w:rPr>
                <w:rFonts w:hint="eastAsia"/>
                <w:sz w:val="22"/>
                <w:szCs w:val="22"/>
              </w:rPr>
              <w:t>0.25%</w:t>
            </w:r>
          </w:p>
        </w:tc>
        <w:tc>
          <w:tcPr>
            <w:tcW w:w="1180" w:type="pct"/>
          </w:tcPr>
          <w:p w14:paraId="45AD5276">
            <w:pPr>
              <w:jc w:val="center"/>
              <w:rPr>
                <w:sz w:val="22"/>
                <w:szCs w:val="22"/>
              </w:rPr>
            </w:pPr>
            <w:r>
              <w:rPr>
                <w:rFonts w:hint="eastAsia"/>
                <w:sz w:val="22"/>
                <w:szCs w:val="22"/>
              </w:rPr>
              <w:t>0.35%</w:t>
            </w:r>
          </w:p>
        </w:tc>
      </w:tr>
      <w:tr w14:paraId="1C451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pct"/>
          </w:tcPr>
          <w:p w14:paraId="58A99D6C">
            <w:pPr>
              <w:jc w:val="center"/>
              <w:rPr>
                <w:sz w:val="22"/>
                <w:szCs w:val="22"/>
              </w:rPr>
            </w:pPr>
            <w:r>
              <w:rPr>
                <w:rFonts w:hint="eastAsia"/>
                <w:sz w:val="22"/>
                <w:szCs w:val="22"/>
              </w:rPr>
              <w:t>5000-10000</w:t>
            </w:r>
          </w:p>
        </w:tc>
        <w:tc>
          <w:tcPr>
            <w:tcW w:w="1180" w:type="pct"/>
          </w:tcPr>
          <w:p w14:paraId="7E09149E">
            <w:pPr>
              <w:jc w:val="center"/>
              <w:rPr>
                <w:sz w:val="22"/>
                <w:szCs w:val="22"/>
              </w:rPr>
            </w:pPr>
            <w:r>
              <w:rPr>
                <w:rFonts w:hint="eastAsia"/>
                <w:sz w:val="22"/>
                <w:szCs w:val="22"/>
              </w:rPr>
              <w:t>0.25%</w:t>
            </w:r>
          </w:p>
        </w:tc>
        <w:tc>
          <w:tcPr>
            <w:tcW w:w="1180" w:type="pct"/>
          </w:tcPr>
          <w:p w14:paraId="3D68F02D">
            <w:pPr>
              <w:jc w:val="center"/>
              <w:rPr>
                <w:sz w:val="22"/>
                <w:szCs w:val="22"/>
              </w:rPr>
            </w:pPr>
            <w:r>
              <w:rPr>
                <w:rFonts w:hint="eastAsia"/>
                <w:sz w:val="22"/>
                <w:szCs w:val="22"/>
              </w:rPr>
              <w:t>0.1%</w:t>
            </w:r>
          </w:p>
        </w:tc>
        <w:tc>
          <w:tcPr>
            <w:tcW w:w="1180" w:type="pct"/>
          </w:tcPr>
          <w:p w14:paraId="7DD2D512">
            <w:pPr>
              <w:jc w:val="center"/>
              <w:rPr>
                <w:sz w:val="22"/>
                <w:szCs w:val="22"/>
              </w:rPr>
            </w:pPr>
            <w:r>
              <w:rPr>
                <w:rFonts w:hint="eastAsia"/>
                <w:sz w:val="22"/>
                <w:szCs w:val="22"/>
              </w:rPr>
              <w:t>0.2%</w:t>
            </w:r>
          </w:p>
        </w:tc>
      </w:tr>
      <w:tr w14:paraId="2AF38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pct"/>
          </w:tcPr>
          <w:p w14:paraId="213E4FC2">
            <w:pPr>
              <w:jc w:val="center"/>
              <w:rPr>
                <w:sz w:val="22"/>
                <w:szCs w:val="22"/>
              </w:rPr>
            </w:pPr>
            <w:r>
              <w:rPr>
                <w:rFonts w:hint="eastAsia"/>
                <w:sz w:val="22"/>
                <w:szCs w:val="22"/>
              </w:rPr>
              <w:t>10000-100000</w:t>
            </w:r>
          </w:p>
        </w:tc>
        <w:tc>
          <w:tcPr>
            <w:tcW w:w="1180" w:type="pct"/>
          </w:tcPr>
          <w:p w14:paraId="6E868769">
            <w:pPr>
              <w:jc w:val="center"/>
              <w:rPr>
                <w:sz w:val="22"/>
                <w:szCs w:val="22"/>
              </w:rPr>
            </w:pPr>
            <w:r>
              <w:rPr>
                <w:rFonts w:hint="eastAsia"/>
                <w:sz w:val="22"/>
                <w:szCs w:val="22"/>
              </w:rPr>
              <w:t>0.05%</w:t>
            </w:r>
          </w:p>
        </w:tc>
        <w:tc>
          <w:tcPr>
            <w:tcW w:w="1180" w:type="pct"/>
          </w:tcPr>
          <w:p w14:paraId="3A05C15A">
            <w:pPr>
              <w:jc w:val="center"/>
              <w:rPr>
                <w:sz w:val="22"/>
                <w:szCs w:val="22"/>
              </w:rPr>
            </w:pPr>
            <w:r>
              <w:rPr>
                <w:rFonts w:hint="eastAsia"/>
                <w:sz w:val="22"/>
                <w:szCs w:val="22"/>
              </w:rPr>
              <w:t>0.05%</w:t>
            </w:r>
          </w:p>
        </w:tc>
        <w:tc>
          <w:tcPr>
            <w:tcW w:w="1180" w:type="pct"/>
          </w:tcPr>
          <w:p w14:paraId="09D77D6E">
            <w:pPr>
              <w:jc w:val="center"/>
              <w:rPr>
                <w:sz w:val="22"/>
                <w:szCs w:val="22"/>
              </w:rPr>
            </w:pPr>
            <w:r>
              <w:rPr>
                <w:rFonts w:hint="eastAsia"/>
                <w:sz w:val="22"/>
                <w:szCs w:val="22"/>
              </w:rPr>
              <w:t>0.05%</w:t>
            </w:r>
          </w:p>
        </w:tc>
      </w:tr>
      <w:tr w14:paraId="589CB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pct"/>
          </w:tcPr>
          <w:p w14:paraId="5CD00202">
            <w:pPr>
              <w:jc w:val="center"/>
              <w:rPr>
                <w:sz w:val="22"/>
                <w:szCs w:val="22"/>
              </w:rPr>
            </w:pPr>
            <w:r>
              <w:rPr>
                <w:rFonts w:hint="eastAsia"/>
                <w:sz w:val="22"/>
                <w:szCs w:val="22"/>
              </w:rPr>
              <w:t>100000以上</w:t>
            </w:r>
          </w:p>
        </w:tc>
        <w:tc>
          <w:tcPr>
            <w:tcW w:w="1180" w:type="pct"/>
          </w:tcPr>
          <w:p w14:paraId="32E9E00B">
            <w:pPr>
              <w:jc w:val="center"/>
              <w:rPr>
                <w:sz w:val="22"/>
                <w:szCs w:val="22"/>
              </w:rPr>
            </w:pPr>
            <w:r>
              <w:rPr>
                <w:rFonts w:hint="eastAsia"/>
                <w:sz w:val="22"/>
                <w:szCs w:val="22"/>
              </w:rPr>
              <w:t>0.01%</w:t>
            </w:r>
          </w:p>
        </w:tc>
        <w:tc>
          <w:tcPr>
            <w:tcW w:w="1180" w:type="pct"/>
          </w:tcPr>
          <w:p w14:paraId="5144CD41">
            <w:pPr>
              <w:jc w:val="center"/>
              <w:rPr>
                <w:sz w:val="22"/>
                <w:szCs w:val="22"/>
              </w:rPr>
            </w:pPr>
            <w:r>
              <w:rPr>
                <w:rFonts w:hint="eastAsia"/>
                <w:sz w:val="22"/>
                <w:szCs w:val="22"/>
              </w:rPr>
              <w:t>0.01%</w:t>
            </w:r>
          </w:p>
        </w:tc>
        <w:tc>
          <w:tcPr>
            <w:tcW w:w="1180" w:type="pct"/>
          </w:tcPr>
          <w:p w14:paraId="5783067C">
            <w:pPr>
              <w:jc w:val="center"/>
              <w:rPr>
                <w:sz w:val="22"/>
                <w:szCs w:val="22"/>
              </w:rPr>
            </w:pPr>
            <w:r>
              <w:rPr>
                <w:rFonts w:hint="eastAsia"/>
                <w:sz w:val="22"/>
                <w:szCs w:val="22"/>
              </w:rPr>
              <w:t>0.01%</w:t>
            </w:r>
          </w:p>
        </w:tc>
      </w:tr>
    </w:tbl>
    <w:p w14:paraId="0ED9187F">
      <w:pPr>
        <w:pStyle w:val="23"/>
        <w:spacing w:line="440" w:lineRule="exact"/>
        <w:ind w:firstLine="482"/>
        <w:rPr>
          <w:rFonts w:hAnsi="宋体" w:cs="Times New Roman"/>
          <w:b/>
          <w:bCs/>
          <w:sz w:val="24"/>
          <w:szCs w:val="24"/>
        </w:rPr>
      </w:pPr>
      <w:r>
        <w:rPr>
          <w:rFonts w:hint="eastAsia" w:hAnsi="宋体"/>
          <w:b/>
          <w:bCs/>
          <w:sz w:val="24"/>
          <w:szCs w:val="24"/>
        </w:rPr>
        <w:t>（四）特别说明</w:t>
      </w:r>
    </w:p>
    <w:p w14:paraId="398D82E6">
      <w:pPr>
        <w:pStyle w:val="23"/>
        <w:spacing w:line="440" w:lineRule="exact"/>
        <w:ind w:firstLine="480"/>
        <w:rPr>
          <w:rFonts w:hAnsi="宋体" w:cs="Times New Roman"/>
          <w:sz w:val="24"/>
          <w:szCs w:val="24"/>
        </w:rPr>
      </w:pPr>
      <w:r>
        <w:rPr>
          <w:rFonts w:hAnsi="宋体"/>
          <w:sz w:val="24"/>
          <w:szCs w:val="24"/>
        </w:rPr>
        <w:t>1</w:t>
      </w:r>
      <w:r>
        <w:rPr>
          <w:rFonts w:hint="eastAsia" w:hAnsi="宋体"/>
          <w:sz w:val="24"/>
          <w:szCs w:val="24"/>
        </w:rPr>
        <w:t>、投标人投标所使用的资格、信誉、荣誉、业绩与企业认证必须为本法人所拥有。投标人投标所使用的采购项目实施人员必须为本法人员工（指本法人或控股公司正式员工）。</w:t>
      </w:r>
    </w:p>
    <w:p w14:paraId="04E38554">
      <w:pPr>
        <w:spacing w:line="440" w:lineRule="exact"/>
        <w:ind w:firstLine="480"/>
        <w:rPr>
          <w:rFonts w:ascii="宋体" w:cs="宋体"/>
          <w:sz w:val="24"/>
          <w:szCs w:val="24"/>
        </w:rPr>
      </w:pPr>
      <w:r>
        <w:rPr>
          <w:rFonts w:ascii="宋体" w:hAnsi="宋体" w:cs="宋体"/>
          <w:sz w:val="24"/>
          <w:szCs w:val="24"/>
        </w:rPr>
        <w:t>2</w:t>
      </w:r>
      <w:r>
        <w:rPr>
          <w:rFonts w:hint="eastAsia" w:ascii="宋体" w:hAnsi="宋体" w:cs="宋体"/>
          <w:sz w:val="24"/>
          <w:szCs w:val="24"/>
        </w:rPr>
        <w:t>、投标人所投产品除招标文件中明确规定要求“提供官网截图或相应检测报告的证明材料”以外，所有技术参数描述均以投标文件为准，投标人需在投标文件中说明本次投标产品的技术参数是否与官网上公开的技术参数一致，如不一致，明确哪些参数不一致，不一致的原因以及使用何种技术可以达到投标产品参数。投标人对所投产品技术参数的真实性承担法律责任。项目招标结束后、质疑期限内，如有质疑供应商认为中标人所投产品、投标文件技术参数与采购需求存在重大偏离、错误、甚至造假的情况，应提供具体有效的证明材料。</w:t>
      </w:r>
    </w:p>
    <w:p w14:paraId="277E9DD7">
      <w:pPr>
        <w:pStyle w:val="222"/>
        <w:spacing w:line="440" w:lineRule="exact"/>
        <w:ind w:firstLine="480"/>
        <w:rPr>
          <w:rFonts w:ascii="宋体" w:cs="宋体"/>
          <w:sz w:val="24"/>
          <w:szCs w:val="24"/>
        </w:rPr>
      </w:pPr>
      <w:r>
        <w:rPr>
          <w:rFonts w:ascii="宋体" w:hAnsi="宋体" w:cs="宋体"/>
          <w:sz w:val="24"/>
          <w:szCs w:val="24"/>
        </w:rPr>
        <w:t>3</w:t>
      </w:r>
      <w:r>
        <w:rPr>
          <w:rFonts w:hint="eastAsia" w:ascii="宋体" w:hAnsi="宋体" w:cs="宋体"/>
          <w:sz w:val="24"/>
          <w:szCs w:val="24"/>
        </w:rPr>
        <w:t>、投标人在投标活动中提供任何虚假材料，其投标无效，并报监管部门查处；中标后发现的，处以采购金额千分之五以上千分之十以下的罚款，列入不良行为记录名单，在一至三年内禁止参加采购活动，有违法所得的，并处没收违法所得，情节严重的，由市场监督管理机关吊销营业执照；构成犯罪的，依法追究刑事责任。</w:t>
      </w:r>
    </w:p>
    <w:p w14:paraId="3F7A0F08">
      <w:pPr>
        <w:pStyle w:val="5"/>
        <w:keepNext w:val="0"/>
        <w:keepLines w:val="0"/>
        <w:tabs>
          <w:tab w:val="left" w:pos="851"/>
        </w:tabs>
        <w:spacing w:before="0" w:after="0" w:line="440" w:lineRule="exact"/>
        <w:ind w:firstLine="480"/>
        <w:rPr>
          <w:rFonts w:ascii="宋体" w:cs="宋体"/>
          <w:b w:val="0"/>
          <w:bCs w:val="0"/>
          <w:sz w:val="24"/>
          <w:szCs w:val="24"/>
        </w:rPr>
      </w:pPr>
      <w:r>
        <w:rPr>
          <w:rFonts w:ascii="宋体" w:hAnsi="宋体" w:cs="宋体"/>
          <w:b w:val="0"/>
          <w:bCs w:val="0"/>
          <w:sz w:val="24"/>
          <w:szCs w:val="24"/>
        </w:rPr>
        <w:t>4</w:t>
      </w:r>
      <w:r>
        <w:rPr>
          <w:rFonts w:hint="eastAsia" w:ascii="宋体" w:hAnsi="宋体" w:cs="宋体"/>
          <w:b w:val="0"/>
          <w:bCs w:val="0"/>
          <w:sz w:val="24"/>
          <w:szCs w:val="24"/>
        </w:rPr>
        <w:t>、投标人不得相互串通投标报价，不得妨碍其他投标人的公平竞争，不得损害采购人或其他投标人的合法权益，投标人不得以向采购人、评标委员会成员行贿或者采取其他不正当手段谋取中标。</w:t>
      </w:r>
    </w:p>
    <w:p w14:paraId="489F7C26">
      <w:pPr>
        <w:pStyle w:val="5"/>
        <w:keepNext w:val="0"/>
        <w:keepLines w:val="0"/>
        <w:tabs>
          <w:tab w:val="left" w:pos="851"/>
        </w:tabs>
        <w:spacing w:before="0" w:after="0" w:line="440" w:lineRule="exact"/>
        <w:ind w:firstLine="480"/>
        <w:rPr>
          <w:rFonts w:ascii="宋体" w:cs="宋体"/>
          <w:b w:val="0"/>
          <w:bCs w:val="0"/>
          <w:sz w:val="24"/>
          <w:szCs w:val="24"/>
        </w:rPr>
      </w:pPr>
      <w:r>
        <w:rPr>
          <w:rFonts w:ascii="宋体" w:hAnsi="宋体" w:cs="宋体"/>
          <w:b w:val="0"/>
          <w:bCs w:val="0"/>
          <w:sz w:val="24"/>
          <w:szCs w:val="24"/>
        </w:rPr>
        <w:t>5</w:t>
      </w:r>
      <w:r>
        <w:rPr>
          <w:rFonts w:hint="eastAsia" w:ascii="宋体" w:hAnsi="宋体" w:cs="宋体"/>
          <w:b w:val="0"/>
          <w:bCs w:val="0"/>
          <w:sz w:val="24"/>
          <w:szCs w:val="24"/>
        </w:rPr>
        <w:t>、投标文件格式中的表格式样可以根据项目差别做适当调整，但应当保持表格样式基本形态不变。</w:t>
      </w:r>
    </w:p>
    <w:p w14:paraId="296A9A45">
      <w:pPr>
        <w:pStyle w:val="5"/>
        <w:keepNext w:val="0"/>
        <w:keepLines w:val="0"/>
        <w:tabs>
          <w:tab w:val="left" w:pos="851"/>
        </w:tabs>
        <w:spacing w:before="0" w:after="0" w:line="440" w:lineRule="exact"/>
        <w:ind w:firstLine="480"/>
        <w:rPr>
          <w:rFonts w:ascii="宋体" w:cs="宋体"/>
          <w:b w:val="0"/>
          <w:bCs w:val="0"/>
          <w:sz w:val="24"/>
          <w:szCs w:val="24"/>
        </w:rPr>
      </w:pPr>
      <w:r>
        <w:rPr>
          <w:rFonts w:ascii="宋体" w:hAnsi="宋体" w:cs="宋体"/>
          <w:b w:val="0"/>
          <w:bCs w:val="0"/>
          <w:sz w:val="24"/>
          <w:szCs w:val="24"/>
        </w:rPr>
        <w:t>6</w:t>
      </w:r>
      <w:r>
        <w:rPr>
          <w:rFonts w:hint="eastAsia" w:ascii="宋体" w:hAnsi="宋体" w:cs="宋体"/>
          <w:b w:val="0"/>
          <w:bCs w:val="0"/>
          <w:sz w:val="24"/>
          <w:szCs w:val="24"/>
        </w:rPr>
        <w:t>、本项目不允许分包。</w:t>
      </w:r>
    </w:p>
    <w:p w14:paraId="79AD0215">
      <w:pPr>
        <w:tabs>
          <w:tab w:val="left" w:pos="720"/>
          <w:tab w:val="left" w:pos="1260"/>
          <w:tab w:val="left" w:pos="2160"/>
          <w:tab w:val="left" w:pos="2880"/>
          <w:tab w:val="left" w:pos="3600"/>
          <w:tab w:val="left" w:pos="4320"/>
          <w:tab w:val="left" w:pos="5040"/>
          <w:tab w:val="left" w:pos="5760"/>
        </w:tabs>
        <w:spacing w:line="440" w:lineRule="exact"/>
        <w:jc w:val="center"/>
        <w:rPr>
          <w:rFonts w:ascii="宋体" w:cs="宋体"/>
          <w:b/>
          <w:bCs/>
          <w:sz w:val="28"/>
          <w:szCs w:val="28"/>
        </w:rPr>
      </w:pPr>
    </w:p>
    <w:p w14:paraId="7D35E898">
      <w:pPr>
        <w:tabs>
          <w:tab w:val="left" w:pos="720"/>
          <w:tab w:val="left" w:pos="1260"/>
          <w:tab w:val="left" w:pos="2160"/>
          <w:tab w:val="left" w:pos="2880"/>
          <w:tab w:val="left" w:pos="3600"/>
          <w:tab w:val="left" w:pos="4320"/>
          <w:tab w:val="left" w:pos="5040"/>
          <w:tab w:val="left" w:pos="5760"/>
        </w:tabs>
        <w:spacing w:line="440" w:lineRule="exact"/>
        <w:jc w:val="center"/>
        <w:rPr>
          <w:rFonts w:ascii="宋体" w:cs="宋体"/>
          <w:b/>
          <w:bCs/>
          <w:sz w:val="28"/>
          <w:szCs w:val="28"/>
        </w:rPr>
      </w:pPr>
      <w:r>
        <w:rPr>
          <w:rFonts w:hint="eastAsia" w:ascii="宋体" w:hAnsi="宋体" w:cs="宋体"/>
          <w:b/>
          <w:bCs/>
          <w:sz w:val="28"/>
          <w:szCs w:val="28"/>
        </w:rPr>
        <w:t>二、招标文件</w:t>
      </w:r>
    </w:p>
    <w:p w14:paraId="182910EC">
      <w:pPr>
        <w:spacing w:line="440" w:lineRule="exact"/>
        <w:ind w:firstLine="480"/>
        <w:rPr>
          <w:rFonts w:ascii="宋体" w:cs="宋体"/>
          <w:sz w:val="24"/>
          <w:szCs w:val="24"/>
        </w:rPr>
      </w:pPr>
      <w:r>
        <w:rPr>
          <w:rFonts w:hint="eastAsia" w:ascii="宋体" w:hAnsi="宋体" w:cs="宋体"/>
          <w:sz w:val="24"/>
          <w:szCs w:val="24"/>
        </w:rPr>
        <w:t>（一）招标文件由招标文件总目录所列内容组成。</w:t>
      </w:r>
    </w:p>
    <w:p w14:paraId="7A7AF164">
      <w:pPr>
        <w:spacing w:line="440" w:lineRule="exact"/>
        <w:ind w:firstLine="480"/>
        <w:rPr>
          <w:rFonts w:ascii="宋体" w:hAnsi="宋体" w:cs="宋体"/>
          <w:sz w:val="24"/>
          <w:szCs w:val="24"/>
        </w:rPr>
      </w:pPr>
      <w:r>
        <w:rPr>
          <w:rFonts w:hint="eastAsia" w:ascii="宋体" w:hAnsi="宋体" w:cs="宋体"/>
          <w:sz w:val="24"/>
          <w:szCs w:val="24"/>
        </w:rPr>
        <w:t>（二）招标文件的澄清或修改</w:t>
      </w:r>
      <w:r>
        <w:rPr>
          <w:rFonts w:ascii="宋体" w:hAnsi="宋体" w:cs="宋体"/>
          <w:sz w:val="24"/>
          <w:szCs w:val="24"/>
        </w:rPr>
        <w:t xml:space="preserve"> </w:t>
      </w:r>
    </w:p>
    <w:p w14:paraId="598B8A5A">
      <w:pPr>
        <w:spacing w:line="440" w:lineRule="exact"/>
        <w:ind w:firstLine="480"/>
        <w:rPr>
          <w:rFonts w:ascii="宋体" w:cs="宋体"/>
          <w:sz w:val="24"/>
          <w:szCs w:val="24"/>
        </w:rPr>
      </w:pPr>
      <w:r>
        <w:rPr>
          <w:rFonts w:ascii="宋体" w:hAnsi="宋体" w:cs="宋体"/>
          <w:sz w:val="24"/>
          <w:szCs w:val="24"/>
        </w:rPr>
        <w:t>1</w:t>
      </w:r>
      <w:r>
        <w:rPr>
          <w:rFonts w:hint="eastAsia" w:ascii="宋体" w:hAnsi="宋体" w:cs="宋体"/>
          <w:sz w:val="24"/>
          <w:szCs w:val="24"/>
        </w:rPr>
        <w:t>、采购人或采购代理机构可以对已发出的招标文件进行必要的澄清或者修改，但不得改变采购标的和资格条件。澄清或者修改应当在原公告发布媒体上发布澄清公告。澄清或者修改的内容为招标文件的组成部分。</w:t>
      </w:r>
    </w:p>
    <w:p w14:paraId="594796A7">
      <w:pPr>
        <w:spacing w:line="440" w:lineRule="exact"/>
        <w:ind w:firstLine="480"/>
        <w:rPr>
          <w:rFonts w:ascii="宋体" w:hAnsi="宋体" w:cs="宋体"/>
          <w:sz w:val="24"/>
          <w:szCs w:val="24"/>
        </w:rPr>
      </w:pPr>
      <w:r>
        <w:rPr>
          <w:rFonts w:ascii="宋体" w:hAnsi="宋体" w:cs="宋体"/>
          <w:sz w:val="24"/>
          <w:szCs w:val="24"/>
        </w:rPr>
        <w:t>2</w:t>
      </w:r>
      <w:r>
        <w:rPr>
          <w:rFonts w:hint="eastAsia" w:ascii="宋体" w:hAnsi="宋体" w:cs="宋体"/>
          <w:sz w:val="24"/>
          <w:szCs w:val="24"/>
        </w:rPr>
        <w:t>、澄清或者修改的内容可能影响投标文件编制的，采购人或者采购代理机构应当在投标截止时间至少</w:t>
      </w:r>
      <w:r>
        <w:rPr>
          <w:rFonts w:ascii="宋体" w:hAnsi="宋体" w:cs="宋体"/>
          <w:sz w:val="24"/>
          <w:szCs w:val="24"/>
        </w:rPr>
        <w:t>15</w:t>
      </w:r>
      <w:r>
        <w:rPr>
          <w:rFonts w:hint="eastAsia" w:ascii="宋体" w:hAnsi="宋体" w:cs="宋体"/>
          <w:sz w:val="24"/>
          <w:szCs w:val="24"/>
        </w:rPr>
        <w:t>日前，以书面形式通知所有获取招标文件的潜在投标人；不足</w:t>
      </w:r>
      <w:r>
        <w:rPr>
          <w:rFonts w:ascii="宋体" w:hAnsi="宋体" w:cs="宋体"/>
          <w:sz w:val="24"/>
          <w:szCs w:val="24"/>
        </w:rPr>
        <w:t>15</w:t>
      </w:r>
      <w:r>
        <w:rPr>
          <w:rFonts w:hint="eastAsia" w:ascii="宋体" w:hAnsi="宋体" w:cs="宋体"/>
          <w:sz w:val="24"/>
          <w:szCs w:val="24"/>
        </w:rPr>
        <w:t>日的，采购人或者采购代理机构应当顺延提交投标文件的截止时间。</w:t>
      </w:r>
      <w:r>
        <w:rPr>
          <w:rFonts w:ascii="宋体" w:hAnsi="宋体" w:cs="宋体"/>
          <w:sz w:val="24"/>
          <w:szCs w:val="24"/>
        </w:rPr>
        <w:t xml:space="preserve"> </w:t>
      </w:r>
    </w:p>
    <w:p w14:paraId="2A6B7D74">
      <w:pPr>
        <w:spacing w:line="440" w:lineRule="exact"/>
        <w:ind w:firstLine="480"/>
        <w:rPr>
          <w:rFonts w:ascii="宋体" w:cs="宋体"/>
          <w:sz w:val="24"/>
          <w:szCs w:val="24"/>
        </w:rPr>
      </w:pPr>
      <w:r>
        <w:rPr>
          <w:rFonts w:ascii="宋体" w:hAnsi="宋体" w:cs="宋体"/>
          <w:sz w:val="24"/>
          <w:szCs w:val="24"/>
        </w:rPr>
        <w:t>3</w:t>
      </w:r>
      <w:r>
        <w:rPr>
          <w:rFonts w:hint="eastAsia" w:ascii="宋体" w:hAnsi="宋体" w:cs="宋体"/>
          <w:sz w:val="24"/>
          <w:szCs w:val="24"/>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78B89D7C">
      <w:pPr>
        <w:tabs>
          <w:tab w:val="left" w:pos="1418"/>
        </w:tabs>
        <w:spacing w:line="440" w:lineRule="exact"/>
        <w:ind w:firstLine="562"/>
        <w:jc w:val="center"/>
        <w:rPr>
          <w:rFonts w:ascii="宋体" w:cs="宋体"/>
          <w:b/>
          <w:bCs/>
          <w:sz w:val="28"/>
          <w:szCs w:val="28"/>
        </w:rPr>
      </w:pPr>
    </w:p>
    <w:p w14:paraId="5D7E8FC9">
      <w:pPr>
        <w:tabs>
          <w:tab w:val="left" w:pos="1418"/>
        </w:tabs>
        <w:spacing w:line="440" w:lineRule="exact"/>
        <w:jc w:val="center"/>
        <w:rPr>
          <w:rFonts w:ascii="宋体" w:cs="宋体"/>
          <w:b/>
          <w:bCs/>
          <w:sz w:val="28"/>
          <w:szCs w:val="28"/>
        </w:rPr>
      </w:pPr>
      <w:r>
        <w:rPr>
          <w:rFonts w:hint="eastAsia" w:ascii="宋体" w:hAnsi="宋体" w:cs="宋体"/>
          <w:b/>
          <w:bCs/>
          <w:sz w:val="28"/>
          <w:szCs w:val="28"/>
        </w:rPr>
        <w:t>三、投标文件</w:t>
      </w:r>
    </w:p>
    <w:p w14:paraId="5B5F07E1">
      <w:pPr>
        <w:spacing w:line="440" w:lineRule="exact"/>
        <w:ind w:firstLine="482"/>
        <w:rPr>
          <w:rFonts w:ascii="宋体" w:cs="宋体"/>
          <w:b/>
          <w:bCs/>
          <w:sz w:val="24"/>
          <w:szCs w:val="24"/>
          <w:lang w:val="zh-CN"/>
        </w:rPr>
      </w:pPr>
      <w:r>
        <w:rPr>
          <w:rFonts w:hint="eastAsia" w:ascii="宋体" w:cs="宋体"/>
          <w:b/>
          <w:bCs/>
          <w:sz w:val="24"/>
          <w:szCs w:val="24"/>
          <w:lang w:val="zh-CN"/>
        </w:rPr>
        <w:t>（一）投标文件的形式和效力：</w:t>
      </w:r>
    </w:p>
    <w:p w14:paraId="67BE3839">
      <w:pPr>
        <w:autoSpaceDE w:val="0"/>
        <w:autoSpaceDN w:val="0"/>
        <w:adjustRightInd w:val="0"/>
        <w:spacing w:line="440" w:lineRule="exact"/>
        <w:ind w:firstLine="480" w:firstLineChars="200"/>
        <w:rPr>
          <w:rFonts w:ascii="宋体" w:cs="宋体"/>
          <w:b/>
          <w:bCs/>
          <w:color w:val="000000"/>
          <w:sz w:val="24"/>
          <w:szCs w:val="24"/>
          <w:lang w:val="zh-CN"/>
        </w:rPr>
      </w:pPr>
      <w:r>
        <w:rPr>
          <w:rFonts w:hint="eastAsia" w:ascii="宋体" w:cs="宋体"/>
          <w:b/>
          <w:bCs/>
          <w:color w:val="000000"/>
          <w:sz w:val="24"/>
          <w:szCs w:val="24"/>
          <w:lang w:val="zh-CN"/>
        </w:rPr>
        <w:t>1、投标文件的形式：</w:t>
      </w:r>
    </w:p>
    <w:p w14:paraId="077FDBB8">
      <w:pPr>
        <w:snapToGrid w:val="0"/>
        <w:spacing w:line="440" w:lineRule="exact"/>
        <w:ind w:firstLine="480" w:firstLineChars="200"/>
        <w:rPr>
          <w:rFonts w:ascii="宋体" w:hAnsi="宋体" w:cs="宋体"/>
          <w:color w:val="000000"/>
          <w:sz w:val="24"/>
          <w:szCs w:val="24"/>
          <w:lang w:val="zh-CN"/>
        </w:rPr>
      </w:pPr>
      <w:r>
        <w:rPr>
          <w:rFonts w:hint="eastAsia" w:ascii="宋体" w:hAnsi="宋体" w:cs="宋体"/>
          <w:color w:val="000000"/>
          <w:sz w:val="24"/>
          <w:szCs w:val="24"/>
          <w:lang w:val="zh-CN"/>
        </w:rPr>
        <w:t>电子投标文件（包括“电子加密投标文件”和“备份投标文件”，在投标文件编制完成后同时生成）；</w:t>
      </w:r>
    </w:p>
    <w:p w14:paraId="4F1CE2BB">
      <w:pPr>
        <w:snapToGrid w:val="0"/>
        <w:spacing w:line="440" w:lineRule="exact"/>
        <w:ind w:firstLine="480" w:firstLineChars="200"/>
        <w:rPr>
          <w:rFonts w:ascii="宋体" w:hAns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rPr>
        <w:t>1</w:t>
      </w:r>
      <w:r>
        <w:rPr>
          <w:rFonts w:hint="eastAsia" w:ascii="宋体" w:hAnsi="宋体" w:cs="宋体"/>
          <w:color w:val="000000"/>
          <w:sz w:val="24"/>
          <w:szCs w:val="24"/>
          <w:lang w:val="zh-CN"/>
        </w:rPr>
        <w:t>）“电子加密投标文件”是指通过“乐采云投标客户端”完成投标文件编制后生成并加密的数据电文形式的投标文件。</w:t>
      </w:r>
    </w:p>
    <w:p w14:paraId="22330550">
      <w:pPr>
        <w:snapToGrid w:val="0"/>
        <w:spacing w:line="440" w:lineRule="exact"/>
        <w:ind w:firstLine="480" w:firstLineChars="200"/>
        <w:rPr>
          <w:rFonts w:ascii="宋体" w:hAns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rPr>
        <w:t>2</w:t>
      </w:r>
      <w:r>
        <w:rPr>
          <w:rFonts w:hint="eastAsia" w:ascii="宋体" w:hAnsi="宋体" w:cs="宋体"/>
          <w:color w:val="000000"/>
          <w:sz w:val="24"/>
          <w:szCs w:val="24"/>
          <w:lang w:val="zh-CN"/>
        </w:rPr>
        <w:t>）“备份投标文件”是指与“电子加密投标文件”同时生成的数据电文形式的电子文件（备份标书），其他方式编制的“备份投标文件”视为无效“备份投标文件”。</w:t>
      </w:r>
    </w:p>
    <w:p w14:paraId="1A5F9EB0">
      <w:pPr>
        <w:autoSpaceDE w:val="0"/>
        <w:autoSpaceDN w:val="0"/>
        <w:adjustRightInd w:val="0"/>
        <w:spacing w:line="440" w:lineRule="exact"/>
        <w:ind w:firstLine="480" w:firstLineChars="200"/>
        <w:rPr>
          <w:rFonts w:ascii="宋体" w:cs="宋体"/>
          <w:b/>
          <w:bCs/>
          <w:color w:val="000000"/>
          <w:sz w:val="24"/>
          <w:szCs w:val="24"/>
          <w:lang w:val="zh-CN"/>
        </w:rPr>
      </w:pPr>
      <w:r>
        <w:rPr>
          <w:rFonts w:hint="eastAsia" w:ascii="宋体" w:cs="宋体"/>
          <w:b/>
          <w:bCs/>
          <w:color w:val="000000"/>
          <w:sz w:val="24"/>
          <w:szCs w:val="24"/>
        </w:rPr>
        <w:t>2、</w:t>
      </w:r>
      <w:r>
        <w:rPr>
          <w:rFonts w:hint="eastAsia" w:ascii="宋体" w:cs="宋体"/>
          <w:b/>
          <w:bCs/>
          <w:color w:val="000000"/>
          <w:sz w:val="24"/>
          <w:szCs w:val="24"/>
          <w:lang w:val="zh-CN"/>
        </w:rPr>
        <w:t>投标文件的效力：</w:t>
      </w:r>
    </w:p>
    <w:p w14:paraId="61578A7F">
      <w:pPr>
        <w:snapToGrid w:val="0"/>
        <w:spacing w:line="440" w:lineRule="exact"/>
        <w:ind w:firstLine="480" w:firstLineChars="200"/>
        <w:rPr>
          <w:rFonts w:ascii="宋体" w:hAns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rPr>
        <w:t>1</w:t>
      </w:r>
      <w:r>
        <w:rPr>
          <w:rFonts w:hint="eastAsia" w:ascii="宋体" w:hAnsi="宋体" w:cs="宋体"/>
          <w:color w:val="000000"/>
          <w:sz w:val="24"/>
          <w:szCs w:val="24"/>
          <w:lang w:val="zh-CN"/>
        </w:rPr>
        <w:t>）投标文件的启用，按先后顺位分别为“电子加密投标文件”“备份投标文件”。</w:t>
      </w:r>
    </w:p>
    <w:p w14:paraId="76690BB1">
      <w:pPr>
        <w:snapToGrid w:val="0"/>
        <w:spacing w:line="440" w:lineRule="exact"/>
        <w:ind w:firstLine="480" w:firstLineChars="200"/>
        <w:rPr>
          <w:rFonts w:ascii="宋体" w:hAns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rPr>
        <w:t>2</w:t>
      </w:r>
      <w:r>
        <w:rPr>
          <w:rFonts w:hint="eastAsia" w:ascii="宋体" w:hAnsi="宋体" w:cs="宋体"/>
          <w:color w:val="000000"/>
          <w:sz w:val="24"/>
          <w:szCs w:val="24"/>
          <w:lang w:val="zh-CN"/>
        </w:rPr>
        <w:t>）通过“乐采云平台”上传递交的“电子加密投标文件”已按时解密的，“备份投标文件”自动失效。</w:t>
      </w:r>
    </w:p>
    <w:p w14:paraId="36F2722C">
      <w:pPr>
        <w:snapToGrid w:val="0"/>
        <w:spacing w:line="440" w:lineRule="exact"/>
        <w:ind w:firstLine="480" w:firstLineChars="20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3</w:t>
      </w:r>
      <w:r>
        <w:rPr>
          <w:rFonts w:hint="eastAsia" w:ascii="宋体" w:hAnsi="宋体" w:cs="宋体"/>
          <w:sz w:val="24"/>
          <w:szCs w:val="24"/>
          <w:lang w:val="zh-CN"/>
        </w:rPr>
        <w:t>）通过“乐采云平台”上传递交的“电子加密投标文件”无法按时解密，投标人递交了“备份投标文件”的，以“备份投标文件”为依据，由采购代理机构按“乐采云平台”操作规范将“备份投标文件”上传至“乐采云平台”，上传成功后，以“备份投标文件”参与评审，“电子加密投标文件”自动失效；在“乐采云平台”正常运行情况下，“备份投标文件”无法上传至“乐采云平台”的，视为投标文件撤回；未提交“备份投标文件”的，视为投标文件撤回。</w:t>
      </w:r>
    </w:p>
    <w:p w14:paraId="0E12D8FB">
      <w:pPr>
        <w:snapToGrid w:val="0"/>
        <w:spacing w:line="440" w:lineRule="exact"/>
        <w:ind w:firstLine="480" w:firstLineChars="200"/>
        <w:rPr>
          <w:rFonts w:ascii="宋体" w:hAnsi="宋体" w:cs="宋体"/>
          <w:sz w:val="24"/>
          <w:szCs w:val="24"/>
          <w:lang w:val="zh-CN"/>
        </w:rPr>
      </w:pPr>
      <w:r>
        <w:rPr>
          <w:rFonts w:hint="eastAsia" w:ascii="宋体" w:hAnsi="宋体" w:cs="宋体"/>
          <w:sz w:val="24"/>
          <w:szCs w:val="24"/>
          <w:lang w:val="zh-CN"/>
        </w:rPr>
        <w:t>▲（4）投标人仅递交“备份投标文件”，未递交“电子加密投标文件”的，响应无效。</w:t>
      </w:r>
    </w:p>
    <w:p w14:paraId="041AC43E">
      <w:pPr>
        <w:spacing w:line="440" w:lineRule="exact"/>
        <w:ind w:firstLine="482"/>
        <w:rPr>
          <w:rFonts w:ascii="宋体" w:cs="宋体"/>
          <w:b/>
          <w:bCs/>
          <w:sz w:val="24"/>
          <w:szCs w:val="24"/>
        </w:rPr>
      </w:pPr>
      <w:r>
        <w:rPr>
          <w:rFonts w:hint="eastAsia" w:ascii="宋体" w:cs="宋体"/>
          <w:b/>
          <w:bCs/>
          <w:sz w:val="24"/>
          <w:szCs w:val="24"/>
          <w:lang w:val="zh-CN"/>
        </w:rPr>
        <w:t>（二）</w:t>
      </w:r>
      <w:r>
        <w:rPr>
          <w:rFonts w:hint="eastAsia" w:ascii="宋体" w:hAnsi="宋体" w:cs="宋体"/>
          <w:b/>
          <w:bCs/>
          <w:sz w:val="24"/>
          <w:szCs w:val="24"/>
        </w:rPr>
        <w:t>投标文件的组成</w:t>
      </w:r>
    </w:p>
    <w:p w14:paraId="11E734B3">
      <w:pPr>
        <w:spacing w:line="440" w:lineRule="exact"/>
        <w:ind w:firstLine="480"/>
        <w:rPr>
          <w:rFonts w:ascii="仿宋_GB2312" w:hAnsi="仿宋_GB2312" w:eastAsia="仿宋_GB2312"/>
          <w:sz w:val="24"/>
          <w:szCs w:val="24"/>
          <w:lang w:val="zh-CN"/>
        </w:rPr>
      </w:pPr>
      <w:r>
        <w:rPr>
          <w:rFonts w:hint="eastAsia" w:ascii="宋体" w:hAnsi="宋体" w:cs="宋体"/>
          <w:sz w:val="24"/>
          <w:szCs w:val="24"/>
        </w:rPr>
        <w:t>投标人获取招标文件后，按照招标文件的要求提供：资格证明文件、商务技术文件和报价文件。</w:t>
      </w:r>
    </w:p>
    <w:p w14:paraId="6DDD7703">
      <w:pPr>
        <w:widowControl/>
        <w:spacing w:line="440" w:lineRule="exact"/>
        <w:jc w:val="left"/>
        <w:rPr>
          <w:rFonts w:ascii="宋体"/>
          <w:b/>
          <w:bCs/>
          <w:sz w:val="24"/>
          <w:szCs w:val="24"/>
        </w:rPr>
      </w:pPr>
      <w:r>
        <w:rPr>
          <w:rFonts w:ascii="宋体" w:hAnsi="宋体" w:cs="宋体"/>
          <w:b/>
          <w:bCs/>
          <w:color w:val="FF0000"/>
          <w:sz w:val="24"/>
          <w:szCs w:val="24"/>
        </w:rPr>
        <w:t>1</w:t>
      </w:r>
      <w:r>
        <w:rPr>
          <w:rFonts w:hint="eastAsia" w:ascii="宋体" w:hAnsi="宋体" w:cs="宋体"/>
          <w:b/>
          <w:bCs/>
          <w:color w:val="FF0000"/>
          <w:sz w:val="24"/>
          <w:szCs w:val="24"/>
        </w:rPr>
        <w:t>、资格证明文件的组成：</w:t>
      </w:r>
      <w:r>
        <w:rPr>
          <w:rFonts w:hint="eastAsia" w:ascii="宋体" w:hAnsi="宋体" w:cs="宋体"/>
          <w:b/>
          <w:color w:val="FF0000"/>
          <w:sz w:val="24"/>
        </w:rPr>
        <w:t>（未提供下列标注“</w:t>
      </w:r>
      <w:r>
        <w:rPr>
          <w:rFonts w:hint="eastAsia" w:ascii="宋体" w:hAnsi="宋体" w:cs="宋体"/>
          <w:b/>
          <w:bCs/>
          <w:color w:val="FF0000"/>
          <w:sz w:val="24"/>
          <w:szCs w:val="24"/>
        </w:rPr>
        <w:t>▲</w:t>
      </w:r>
      <w:r>
        <w:rPr>
          <w:rFonts w:hint="eastAsia" w:ascii="宋体" w:hAnsi="宋体" w:cs="宋体"/>
          <w:b/>
          <w:color w:val="FF0000"/>
          <w:sz w:val="24"/>
        </w:rPr>
        <w:t>”材料的资格审查认定为无效）</w:t>
      </w:r>
    </w:p>
    <w:tbl>
      <w:tblPr>
        <w:tblStyle w:val="44"/>
        <w:tblW w:w="94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3574"/>
        <w:gridCol w:w="5040"/>
      </w:tblGrid>
      <w:tr w14:paraId="51C51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blHeader/>
        </w:trPr>
        <w:tc>
          <w:tcPr>
            <w:tcW w:w="807" w:type="dxa"/>
            <w:vAlign w:val="center"/>
          </w:tcPr>
          <w:p w14:paraId="642BB2F0">
            <w:pPr>
              <w:widowControl/>
              <w:spacing w:line="340" w:lineRule="exact"/>
              <w:jc w:val="center"/>
              <w:rPr>
                <w:rFonts w:ascii="宋体" w:cs="宋体"/>
                <w:b/>
                <w:bCs/>
                <w:sz w:val="24"/>
                <w:szCs w:val="24"/>
              </w:rPr>
            </w:pPr>
            <w:r>
              <w:rPr>
                <w:rFonts w:hint="eastAsia" w:ascii="宋体" w:hAnsi="宋体" w:cs="宋体"/>
                <w:b/>
                <w:bCs/>
                <w:sz w:val="24"/>
                <w:szCs w:val="24"/>
              </w:rPr>
              <w:t>序号</w:t>
            </w:r>
          </w:p>
        </w:tc>
        <w:tc>
          <w:tcPr>
            <w:tcW w:w="3574" w:type="dxa"/>
            <w:vAlign w:val="center"/>
          </w:tcPr>
          <w:p w14:paraId="7B7C7CF9">
            <w:pPr>
              <w:widowControl/>
              <w:spacing w:line="340" w:lineRule="exact"/>
              <w:jc w:val="center"/>
              <w:rPr>
                <w:rFonts w:ascii="宋体" w:cs="宋体"/>
                <w:b/>
                <w:bCs/>
                <w:sz w:val="24"/>
                <w:szCs w:val="24"/>
              </w:rPr>
            </w:pPr>
            <w:r>
              <w:rPr>
                <w:rFonts w:hint="eastAsia" w:ascii="宋体" w:hAnsi="宋体" w:cs="宋体"/>
                <w:b/>
                <w:bCs/>
                <w:sz w:val="24"/>
                <w:szCs w:val="24"/>
              </w:rPr>
              <w:t>内容</w:t>
            </w:r>
          </w:p>
        </w:tc>
        <w:tc>
          <w:tcPr>
            <w:tcW w:w="5040" w:type="dxa"/>
            <w:vAlign w:val="center"/>
          </w:tcPr>
          <w:p w14:paraId="71D349DA">
            <w:pPr>
              <w:widowControl/>
              <w:spacing w:line="340" w:lineRule="exact"/>
              <w:jc w:val="center"/>
              <w:rPr>
                <w:rFonts w:ascii="宋体" w:cs="宋体"/>
                <w:b/>
                <w:bCs/>
                <w:sz w:val="24"/>
                <w:szCs w:val="24"/>
              </w:rPr>
            </w:pPr>
            <w:r>
              <w:rPr>
                <w:rFonts w:hint="eastAsia" w:ascii="宋体" w:hAnsi="宋体" w:cs="宋体"/>
                <w:b/>
                <w:bCs/>
                <w:sz w:val="24"/>
                <w:szCs w:val="24"/>
              </w:rPr>
              <w:t>备注</w:t>
            </w:r>
          </w:p>
        </w:tc>
      </w:tr>
      <w:tr w14:paraId="60FB9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07" w:type="dxa"/>
            <w:vAlign w:val="center"/>
          </w:tcPr>
          <w:p w14:paraId="103E4016">
            <w:pPr>
              <w:widowControl/>
              <w:spacing w:line="3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p>
        </w:tc>
        <w:tc>
          <w:tcPr>
            <w:tcW w:w="3574" w:type="dxa"/>
            <w:vAlign w:val="center"/>
          </w:tcPr>
          <w:p w14:paraId="3F2D4FE1">
            <w:pPr>
              <w:widowControl/>
              <w:spacing w:line="340" w:lineRule="exact"/>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投标声明书</w:t>
            </w:r>
          </w:p>
        </w:tc>
        <w:tc>
          <w:tcPr>
            <w:tcW w:w="5040" w:type="dxa"/>
            <w:vAlign w:val="center"/>
          </w:tcPr>
          <w:p w14:paraId="485E33F1">
            <w:pPr>
              <w:widowControl/>
              <w:spacing w:line="340" w:lineRule="exact"/>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格式附后</w:t>
            </w:r>
          </w:p>
        </w:tc>
      </w:tr>
      <w:tr w14:paraId="7EE81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07" w:type="dxa"/>
            <w:vAlign w:val="center"/>
          </w:tcPr>
          <w:p w14:paraId="2DD5D55A">
            <w:pPr>
              <w:widowControl/>
              <w:spacing w:line="3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2</w:t>
            </w:r>
          </w:p>
        </w:tc>
        <w:tc>
          <w:tcPr>
            <w:tcW w:w="3574" w:type="dxa"/>
            <w:vAlign w:val="center"/>
          </w:tcPr>
          <w:p w14:paraId="7F66A579">
            <w:pPr>
              <w:widowControl/>
              <w:spacing w:line="34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法定代表人身份证明书（或授权委托书）</w:t>
            </w:r>
          </w:p>
        </w:tc>
        <w:tc>
          <w:tcPr>
            <w:tcW w:w="5040" w:type="dxa"/>
            <w:vAlign w:val="center"/>
          </w:tcPr>
          <w:p w14:paraId="1FE7139C">
            <w:pPr>
              <w:widowControl/>
              <w:spacing w:line="34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如授权委托代理人的则需提供授权委托书，格式附后</w:t>
            </w:r>
          </w:p>
        </w:tc>
      </w:tr>
      <w:tr w14:paraId="403F3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807" w:type="dxa"/>
            <w:vAlign w:val="center"/>
          </w:tcPr>
          <w:p w14:paraId="29A83848">
            <w:pPr>
              <w:widowControl/>
              <w:spacing w:line="3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3</w:t>
            </w:r>
          </w:p>
        </w:tc>
        <w:tc>
          <w:tcPr>
            <w:tcW w:w="3574" w:type="dxa"/>
            <w:vAlign w:val="center"/>
          </w:tcPr>
          <w:p w14:paraId="3583EE82">
            <w:pPr>
              <w:widowControl/>
              <w:spacing w:line="340" w:lineRule="exact"/>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法人或者其他组织的营业执照等证明文件，自然人的身份证明</w:t>
            </w:r>
          </w:p>
        </w:tc>
        <w:tc>
          <w:tcPr>
            <w:tcW w:w="5040" w:type="dxa"/>
            <w:vAlign w:val="center"/>
          </w:tcPr>
          <w:p w14:paraId="2161CE97">
            <w:pPr>
              <w:widowControl/>
              <w:spacing w:line="340" w:lineRule="exact"/>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格式、内容自拟</w:t>
            </w:r>
          </w:p>
        </w:tc>
      </w:tr>
      <w:tr w14:paraId="3759B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07" w:type="dxa"/>
            <w:vAlign w:val="center"/>
          </w:tcPr>
          <w:p w14:paraId="5424FB15">
            <w:pPr>
              <w:widowControl/>
              <w:spacing w:line="3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4</w:t>
            </w:r>
          </w:p>
        </w:tc>
        <w:tc>
          <w:tcPr>
            <w:tcW w:w="3574" w:type="dxa"/>
            <w:vAlign w:val="center"/>
          </w:tcPr>
          <w:p w14:paraId="29C13477">
            <w:pPr>
              <w:widowControl/>
              <w:spacing w:line="340" w:lineRule="exact"/>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具备履行合同所必需的设备和专业技术能力的证明材料</w:t>
            </w:r>
          </w:p>
        </w:tc>
        <w:tc>
          <w:tcPr>
            <w:tcW w:w="5040" w:type="dxa"/>
            <w:vAlign w:val="center"/>
          </w:tcPr>
          <w:p w14:paraId="740678EB">
            <w:pPr>
              <w:widowControl/>
              <w:spacing w:line="340" w:lineRule="exact"/>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格式、内容自拟</w:t>
            </w:r>
            <w:r>
              <w:rPr>
                <w:rFonts w:hint="eastAsia" w:ascii="宋体" w:hAnsi="宋体" w:cs="宋体"/>
                <w:b/>
                <w:bCs/>
                <w:color w:val="0000FF"/>
                <w:sz w:val="24"/>
                <w:szCs w:val="24"/>
              </w:rPr>
              <w:t>（此项不可写“无”，否则按无效投标处理</w:t>
            </w:r>
            <w:r>
              <w:rPr>
                <w:rFonts w:hint="eastAsia" w:ascii="宋体"/>
                <w:sz w:val="24"/>
                <w:szCs w:val="24"/>
              </w:rPr>
              <w:t>）</w:t>
            </w:r>
          </w:p>
        </w:tc>
      </w:tr>
      <w:tr w14:paraId="73926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07" w:type="dxa"/>
            <w:vAlign w:val="center"/>
          </w:tcPr>
          <w:p w14:paraId="0801F43E">
            <w:pPr>
              <w:widowControl/>
              <w:spacing w:line="340" w:lineRule="exact"/>
              <w:jc w:val="center"/>
              <w:rPr>
                <w:rFonts w:ascii="宋体" w:hAnsi="宋体" w:cs="宋体"/>
                <w:sz w:val="24"/>
                <w:szCs w:val="24"/>
              </w:rPr>
            </w:pPr>
            <w:r>
              <w:rPr>
                <w:rFonts w:hint="eastAsia" w:ascii="宋体" w:hAnsi="宋体" w:cs="宋体"/>
                <w:sz w:val="24"/>
                <w:szCs w:val="24"/>
              </w:rPr>
              <w:t>5</w:t>
            </w:r>
          </w:p>
        </w:tc>
        <w:tc>
          <w:tcPr>
            <w:tcW w:w="3574" w:type="dxa"/>
            <w:vAlign w:val="center"/>
          </w:tcPr>
          <w:p w14:paraId="4E03B40E">
            <w:pPr>
              <w:widowControl/>
              <w:spacing w:line="340" w:lineRule="exact"/>
              <w:rPr>
                <w:rFonts w:ascii="宋体" w:cs="宋体"/>
                <w:sz w:val="24"/>
                <w:szCs w:val="24"/>
              </w:rPr>
            </w:pPr>
            <w:r>
              <w:rPr>
                <w:rFonts w:hint="eastAsia" w:ascii="宋体" w:cs="宋体"/>
                <w:sz w:val="24"/>
                <w:szCs w:val="24"/>
              </w:rPr>
              <w:t>投标人认为需要提供的其他文件和资料</w:t>
            </w:r>
          </w:p>
        </w:tc>
        <w:tc>
          <w:tcPr>
            <w:tcW w:w="5040" w:type="dxa"/>
            <w:vAlign w:val="center"/>
          </w:tcPr>
          <w:p w14:paraId="7F1F6C80">
            <w:pPr>
              <w:widowControl/>
              <w:spacing w:line="340" w:lineRule="exact"/>
              <w:rPr>
                <w:rFonts w:ascii="宋体" w:cs="宋体"/>
                <w:sz w:val="24"/>
                <w:szCs w:val="24"/>
              </w:rPr>
            </w:pPr>
            <w:r>
              <w:rPr>
                <w:rFonts w:hint="eastAsia" w:ascii="宋体" w:hAnsi="宋体" w:cs="宋体"/>
                <w:sz w:val="24"/>
                <w:szCs w:val="24"/>
              </w:rPr>
              <w:t>格式、内容自拟</w:t>
            </w:r>
          </w:p>
        </w:tc>
      </w:tr>
    </w:tbl>
    <w:p w14:paraId="53A6E677">
      <w:pPr>
        <w:spacing w:line="440" w:lineRule="exact"/>
        <w:rPr>
          <w:rFonts w:ascii="宋体"/>
          <w:sz w:val="24"/>
          <w:szCs w:val="24"/>
          <w:u w:val="single"/>
        </w:rPr>
      </w:pPr>
      <w:r>
        <w:rPr>
          <w:rFonts w:ascii="宋体" w:hAnsi="宋体" w:cs="宋体"/>
          <w:b/>
          <w:bCs/>
          <w:sz w:val="24"/>
          <w:szCs w:val="24"/>
        </w:rPr>
        <w:t>2</w:t>
      </w:r>
      <w:r>
        <w:rPr>
          <w:rFonts w:hint="eastAsia" w:ascii="宋体" w:hAnsi="宋体" w:cs="宋体"/>
          <w:b/>
          <w:bCs/>
          <w:sz w:val="24"/>
          <w:szCs w:val="24"/>
        </w:rPr>
        <w:t>、商务技术文件的组成：</w:t>
      </w:r>
    </w:p>
    <w:tbl>
      <w:tblPr>
        <w:tblStyle w:val="44"/>
        <w:tblW w:w="93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5131"/>
        <w:gridCol w:w="3453"/>
      </w:tblGrid>
      <w:tr w14:paraId="0C489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trPr>
        <w:tc>
          <w:tcPr>
            <w:tcW w:w="815" w:type="dxa"/>
            <w:vAlign w:val="center"/>
          </w:tcPr>
          <w:p w14:paraId="44E450B3">
            <w:pPr>
              <w:widowControl/>
              <w:spacing w:line="340" w:lineRule="exact"/>
              <w:jc w:val="center"/>
              <w:rPr>
                <w:rFonts w:ascii="宋体" w:cs="宋体"/>
                <w:b/>
                <w:bCs/>
                <w:sz w:val="24"/>
                <w:szCs w:val="24"/>
              </w:rPr>
            </w:pPr>
            <w:r>
              <w:rPr>
                <w:rFonts w:hint="eastAsia" w:ascii="宋体" w:hAnsi="宋体" w:cs="宋体"/>
                <w:b/>
                <w:bCs/>
                <w:sz w:val="24"/>
                <w:szCs w:val="24"/>
              </w:rPr>
              <w:t>序号</w:t>
            </w:r>
          </w:p>
        </w:tc>
        <w:tc>
          <w:tcPr>
            <w:tcW w:w="5131" w:type="dxa"/>
            <w:vAlign w:val="center"/>
          </w:tcPr>
          <w:p w14:paraId="05F8CB55">
            <w:pPr>
              <w:widowControl/>
              <w:spacing w:line="340" w:lineRule="exact"/>
              <w:jc w:val="center"/>
              <w:rPr>
                <w:rFonts w:ascii="宋体" w:cs="宋体"/>
                <w:b/>
                <w:bCs/>
                <w:sz w:val="24"/>
                <w:szCs w:val="24"/>
              </w:rPr>
            </w:pPr>
            <w:r>
              <w:rPr>
                <w:rFonts w:hint="eastAsia" w:ascii="宋体" w:hAnsi="宋体" w:cs="宋体"/>
                <w:b/>
                <w:bCs/>
                <w:sz w:val="24"/>
                <w:szCs w:val="24"/>
              </w:rPr>
              <w:t>内容</w:t>
            </w:r>
          </w:p>
        </w:tc>
        <w:tc>
          <w:tcPr>
            <w:tcW w:w="3453" w:type="dxa"/>
            <w:vAlign w:val="center"/>
          </w:tcPr>
          <w:p w14:paraId="349D295D">
            <w:pPr>
              <w:widowControl/>
              <w:spacing w:line="340" w:lineRule="exact"/>
              <w:jc w:val="center"/>
              <w:rPr>
                <w:rFonts w:ascii="宋体" w:hAnsi="宋体" w:cs="宋体"/>
                <w:b/>
                <w:bCs/>
                <w:sz w:val="24"/>
                <w:szCs w:val="24"/>
              </w:rPr>
            </w:pPr>
            <w:r>
              <w:rPr>
                <w:rFonts w:hint="eastAsia" w:ascii="宋体" w:hAnsi="宋体" w:cs="宋体"/>
                <w:b/>
                <w:bCs/>
                <w:sz w:val="24"/>
                <w:szCs w:val="24"/>
              </w:rPr>
              <w:t>备注</w:t>
            </w:r>
          </w:p>
        </w:tc>
      </w:tr>
      <w:tr w14:paraId="2C8CB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5" w:type="dxa"/>
            <w:vAlign w:val="center"/>
          </w:tcPr>
          <w:p w14:paraId="5718D312">
            <w:pPr>
              <w:widowControl/>
              <w:spacing w:line="340" w:lineRule="exact"/>
              <w:jc w:val="center"/>
              <w:rPr>
                <w:rFonts w:ascii="宋体" w:hAnsi="宋体" w:cs="宋体"/>
                <w:sz w:val="24"/>
                <w:szCs w:val="24"/>
              </w:rPr>
            </w:pPr>
            <w:r>
              <w:rPr>
                <w:rFonts w:hint="eastAsia" w:ascii="宋体" w:hAnsi="宋体" w:cs="宋体"/>
                <w:sz w:val="24"/>
                <w:szCs w:val="24"/>
              </w:rPr>
              <w:t>1</w:t>
            </w:r>
          </w:p>
        </w:tc>
        <w:tc>
          <w:tcPr>
            <w:tcW w:w="5131" w:type="dxa"/>
            <w:vAlign w:val="center"/>
          </w:tcPr>
          <w:p w14:paraId="6E663027">
            <w:pPr>
              <w:widowControl/>
              <w:spacing w:line="340" w:lineRule="exact"/>
              <w:rPr>
                <w:rFonts w:ascii="宋体" w:hAnsi="宋体" w:cs="宋体"/>
                <w:sz w:val="24"/>
                <w:szCs w:val="24"/>
              </w:rPr>
            </w:pPr>
            <w:r>
              <w:rPr>
                <w:rFonts w:hint="eastAsia" w:ascii="宋体" w:hAnsi="宋体" w:cs="宋体"/>
                <w:sz w:val="24"/>
                <w:szCs w:val="24"/>
              </w:rPr>
              <w:t>供应商自评表</w:t>
            </w:r>
          </w:p>
        </w:tc>
        <w:tc>
          <w:tcPr>
            <w:tcW w:w="3453" w:type="dxa"/>
            <w:vAlign w:val="center"/>
          </w:tcPr>
          <w:p w14:paraId="61524778">
            <w:pPr>
              <w:widowControl/>
              <w:spacing w:line="340" w:lineRule="exact"/>
              <w:jc w:val="left"/>
              <w:rPr>
                <w:rFonts w:ascii="宋体" w:hAnsi="宋体" w:cs="宋体"/>
                <w:sz w:val="24"/>
                <w:szCs w:val="24"/>
              </w:rPr>
            </w:pPr>
            <w:r>
              <w:rPr>
                <w:rFonts w:hint="eastAsia" w:ascii="宋体" w:hAnsi="宋体" w:cs="宋体"/>
                <w:sz w:val="24"/>
                <w:szCs w:val="24"/>
              </w:rPr>
              <w:t>格式附后</w:t>
            </w:r>
          </w:p>
        </w:tc>
      </w:tr>
      <w:tr w14:paraId="55166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5" w:type="dxa"/>
            <w:vAlign w:val="center"/>
          </w:tcPr>
          <w:p w14:paraId="2D746BA6">
            <w:pPr>
              <w:widowControl/>
              <w:spacing w:line="340" w:lineRule="exact"/>
              <w:jc w:val="center"/>
              <w:rPr>
                <w:rFonts w:ascii="宋体" w:hAnsi="宋体" w:cs="宋体"/>
                <w:sz w:val="24"/>
                <w:szCs w:val="24"/>
              </w:rPr>
            </w:pPr>
            <w:r>
              <w:rPr>
                <w:rFonts w:hint="eastAsia" w:ascii="宋体" w:hAnsi="宋体" w:cs="宋体"/>
                <w:sz w:val="24"/>
                <w:szCs w:val="24"/>
              </w:rPr>
              <w:t>2</w:t>
            </w:r>
          </w:p>
        </w:tc>
        <w:tc>
          <w:tcPr>
            <w:tcW w:w="5131" w:type="dxa"/>
            <w:vAlign w:val="center"/>
          </w:tcPr>
          <w:p w14:paraId="665284E9">
            <w:pPr>
              <w:widowControl/>
              <w:spacing w:line="340" w:lineRule="exact"/>
              <w:rPr>
                <w:rFonts w:ascii="宋体" w:hAnsi="宋体" w:cs="宋体"/>
                <w:sz w:val="24"/>
                <w:szCs w:val="24"/>
              </w:rPr>
            </w:pPr>
            <w:r>
              <w:rPr>
                <w:rFonts w:hint="eastAsia" w:ascii="宋体" w:hAnsi="宋体" w:cs="宋体"/>
                <w:sz w:val="24"/>
                <w:szCs w:val="24"/>
              </w:rPr>
              <w:t>投标人基本情况表</w:t>
            </w:r>
          </w:p>
        </w:tc>
        <w:tc>
          <w:tcPr>
            <w:tcW w:w="3453" w:type="dxa"/>
            <w:vAlign w:val="center"/>
          </w:tcPr>
          <w:p w14:paraId="06C1D509">
            <w:pPr>
              <w:widowControl/>
              <w:spacing w:line="340" w:lineRule="exact"/>
              <w:rPr>
                <w:rFonts w:ascii="宋体" w:cs="宋体"/>
                <w:sz w:val="24"/>
                <w:szCs w:val="24"/>
              </w:rPr>
            </w:pPr>
            <w:r>
              <w:rPr>
                <w:rFonts w:hint="eastAsia" w:ascii="宋体" w:hAnsi="宋体" w:cs="宋体"/>
                <w:sz w:val="24"/>
                <w:szCs w:val="24"/>
              </w:rPr>
              <w:t>格式附后</w:t>
            </w:r>
          </w:p>
        </w:tc>
      </w:tr>
      <w:tr w14:paraId="02A86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5" w:type="dxa"/>
            <w:vAlign w:val="center"/>
          </w:tcPr>
          <w:p w14:paraId="58718A93">
            <w:pPr>
              <w:widowControl/>
              <w:spacing w:line="340" w:lineRule="exact"/>
              <w:jc w:val="center"/>
              <w:rPr>
                <w:rFonts w:ascii="宋体" w:hAnsi="宋体" w:cs="宋体"/>
                <w:sz w:val="24"/>
                <w:szCs w:val="24"/>
              </w:rPr>
            </w:pPr>
            <w:r>
              <w:rPr>
                <w:rFonts w:hint="eastAsia" w:ascii="宋体" w:hAnsi="宋体" w:cs="宋体"/>
                <w:sz w:val="24"/>
                <w:szCs w:val="24"/>
              </w:rPr>
              <w:t>3</w:t>
            </w:r>
          </w:p>
        </w:tc>
        <w:tc>
          <w:tcPr>
            <w:tcW w:w="5131" w:type="dxa"/>
            <w:vAlign w:val="center"/>
          </w:tcPr>
          <w:p w14:paraId="16DE1347">
            <w:pPr>
              <w:widowControl/>
              <w:spacing w:line="340" w:lineRule="exact"/>
              <w:rPr>
                <w:rFonts w:ascii="宋体" w:hAnsi="宋体" w:cs="宋体"/>
                <w:sz w:val="24"/>
                <w:szCs w:val="24"/>
              </w:rPr>
            </w:pPr>
            <w:r>
              <w:rPr>
                <w:rFonts w:hint="eastAsia" w:ascii="宋体" w:hAnsi="宋体" w:cs="宋体"/>
                <w:sz w:val="24"/>
                <w:szCs w:val="24"/>
              </w:rPr>
              <w:t>证书一览表</w:t>
            </w:r>
          </w:p>
        </w:tc>
        <w:tc>
          <w:tcPr>
            <w:tcW w:w="3453" w:type="dxa"/>
            <w:vAlign w:val="center"/>
          </w:tcPr>
          <w:p w14:paraId="60965785">
            <w:pPr>
              <w:widowControl/>
              <w:spacing w:line="340" w:lineRule="exact"/>
              <w:rPr>
                <w:rFonts w:ascii="宋体" w:hAnsi="宋体" w:cs="宋体"/>
                <w:sz w:val="24"/>
                <w:szCs w:val="24"/>
              </w:rPr>
            </w:pPr>
            <w:r>
              <w:rPr>
                <w:rFonts w:hint="eastAsia" w:ascii="宋体" w:hAnsi="宋体" w:cs="宋体"/>
                <w:sz w:val="24"/>
                <w:szCs w:val="24"/>
              </w:rPr>
              <w:t>格式附后</w:t>
            </w:r>
          </w:p>
        </w:tc>
      </w:tr>
      <w:tr w14:paraId="4824D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5" w:type="dxa"/>
            <w:shd w:val="clear" w:color="auto" w:fill="auto"/>
            <w:vAlign w:val="center"/>
          </w:tcPr>
          <w:p w14:paraId="10F0C735">
            <w:pPr>
              <w:widowControl/>
              <w:spacing w:line="340" w:lineRule="exact"/>
              <w:jc w:val="center"/>
              <w:rPr>
                <w:rFonts w:ascii="宋体" w:hAnsi="宋体" w:cs="宋体"/>
                <w:sz w:val="24"/>
                <w:szCs w:val="24"/>
              </w:rPr>
            </w:pPr>
            <w:r>
              <w:rPr>
                <w:rFonts w:hint="eastAsia" w:ascii="宋体" w:hAnsi="宋体" w:cs="宋体"/>
                <w:sz w:val="24"/>
                <w:szCs w:val="24"/>
              </w:rPr>
              <w:t>4</w:t>
            </w:r>
          </w:p>
        </w:tc>
        <w:tc>
          <w:tcPr>
            <w:tcW w:w="5131" w:type="dxa"/>
            <w:vAlign w:val="center"/>
          </w:tcPr>
          <w:p w14:paraId="0016EF49">
            <w:pPr>
              <w:widowControl/>
              <w:spacing w:line="340" w:lineRule="exact"/>
              <w:rPr>
                <w:rFonts w:ascii="宋体" w:hAnsi="宋体" w:cs="宋体"/>
                <w:sz w:val="24"/>
                <w:szCs w:val="24"/>
              </w:rPr>
            </w:pPr>
            <w:r>
              <w:rPr>
                <w:rFonts w:hint="eastAsia" w:ascii="宋体" w:hAnsi="宋体" w:cs="宋体"/>
                <w:sz w:val="24"/>
                <w:szCs w:val="24"/>
              </w:rPr>
              <w:t>类似业绩一览表</w:t>
            </w:r>
          </w:p>
        </w:tc>
        <w:tc>
          <w:tcPr>
            <w:tcW w:w="3453" w:type="dxa"/>
            <w:vAlign w:val="center"/>
          </w:tcPr>
          <w:p w14:paraId="0AE68263">
            <w:pPr>
              <w:widowControl/>
              <w:spacing w:line="340" w:lineRule="exact"/>
              <w:rPr>
                <w:rFonts w:ascii="宋体" w:hAnsi="宋体" w:cs="宋体"/>
                <w:sz w:val="24"/>
                <w:szCs w:val="24"/>
              </w:rPr>
            </w:pPr>
            <w:r>
              <w:rPr>
                <w:rFonts w:hint="eastAsia" w:ascii="宋体" w:hAnsi="宋体" w:cs="宋体"/>
                <w:sz w:val="24"/>
                <w:szCs w:val="24"/>
              </w:rPr>
              <w:t>格式附后</w:t>
            </w:r>
          </w:p>
        </w:tc>
      </w:tr>
      <w:tr w14:paraId="2EA79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5" w:type="dxa"/>
            <w:shd w:val="clear" w:color="auto" w:fill="auto"/>
            <w:vAlign w:val="center"/>
          </w:tcPr>
          <w:p w14:paraId="47B22B20">
            <w:pPr>
              <w:spacing w:line="340" w:lineRule="exact"/>
              <w:jc w:val="center"/>
              <w:rPr>
                <w:rFonts w:ascii="宋体" w:cs="宋体"/>
                <w:sz w:val="24"/>
                <w:szCs w:val="24"/>
              </w:rPr>
            </w:pPr>
            <w:r>
              <w:rPr>
                <w:rFonts w:hint="eastAsia" w:ascii="宋体" w:cs="宋体"/>
                <w:sz w:val="24"/>
                <w:szCs w:val="24"/>
              </w:rPr>
              <w:t>5</w:t>
            </w:r>
          </w:p>
        </w:tc>
        <w:tc>
          <w:tcPr>
            <w:tcW w:w="5131" w:type="dxa"/>
            <w:shd w:val="clear" w:color="auto" w:fill="auto"/>
            <w:vAlign w:val="center"/>
          </w:tcPr>
          <w:p w14:paraId="192D45D1">
            <w:pPr>
              <w:widowControl/>
              <w:spacing w:line="340" w:lineRule="exact"/>
              <w:rPr>
                <w:rFonts w:ascii="宋体" w:hAnsi="宋体" w:cs="宋体"/>
                <w:sz w:val="24"/>
                <w:szCs w:val="24"/>
              </w:rPr>
            </w:pPr>
            <w:r>
              <w:rPr>
                <w:rFonts w:hint="eastAsia" w:ascii="宋体" w:hAnsi="宋体" w:cs="宋体"/>
                <w:sz w:val="24"/>
                <w:szCs w:val="24"/>
              </w:rPr>
              <w:t>项目负责人资格情况表</w:t>
            </w:r>
          </w:p>
        </w:tc>
        <w:tc>
          <w:tcPr>
            <w:tcW w:w="3453" w:type="dxa"/>
            <w:shd w:val="clear" w:color="auto" w:fill="auto"/>
            <w:vAlign w:val="center"/>
          </w:tcPr>
          <w:p w14:paraId="78DC1892">
            <w:pPr>
              <w:widowControl/>
              <w:spacing w:line="340" w:lineRule="exact"/>
              <w:rPr>
                <w:rFonts w:ascii="宋体" w:cs="宋体"/>
                <w:sz w:val="24"/>
                <w:szCs w:val="24"/>
              </w:rPr>
            </w:pPr>
            <w:r>
              <w:rPr>
                <w:rFonts w:hint="eastAsia" w:ascii="宋体" w:hAnsi="宋体" w:cs="宋体"/>
                <w:sz w:val="24"/>
                <w:szCs w:val="24"/>
              </w:rPr>
              <w:t>格式附后</w:t>
            </w:r>
          </w:p>
        </w:tc>
      </w:tr>
      <w:tr w14:paraId="0C63D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5" w:type="dxa"/>
            <w:shd w:val="clear" w:color="auto" w:fill="auto"/>
            <w:vAlign w:val="center"/>
          </w:tcPr>
          <w:p w14:paraId="6E7E58FD">
            <w:pPr>
              <w:spacing w:line="340" w:lineRule="exact"/>
              <w:jc w:val="center"/>
              <w:rPr>
                <w:rFonts w:hint="eastAsia" w:ascii="宋体" w:hAnsi="Times New Roman" w:eastAsia="宋体" w:cs="宋体"/>
                <w:sz w:val="24"/>
                <w:szCs w:val="24"/>
                <w:lang w:val="en-US" w:eastAsia="zh-CN" w:bidi="ar-SA"/>
              </w:rPr>
            </w:pPr>
            <w:r>
              <w:rPr>
                <w:rFonts w:hint="eastAsia" w:ascii="宋体" w:cs="宋体"/>
                <w:sz w:val="24"/>
                <w:szCs w:val="24"/>
              </w:rPr>
              <w:t>6</w:t>
            </w:r>
          </w:p>
        </w:tc>
        <w:tc>
          <w:tcPr>
            <w:tcW w:w="5131" w:type="dxa"/>
            <w:shd w:val="clear" w:color="auto" w:fill="auto"/>
            <w:vAlign w:val="center"/>
          </w:tcPr>
          <w:p w14:paraId="4178D028">
            <w:pPr>
              <w:widowControl/>
              <w:spacing w:line="340" w:lineRule="exact"/>
              <w:rPr>
                <w:rFonts w:ascii="宋体" w:hAnsi="宋体" w:cs="宋体"/>
                <w:sz w:val="24"/>
                <w:szCs w:val="24"/>
              </w:rPr>
            </w:pPr>
            <w:r>
              <w:rPr>
                <w:rFonts w:hint="eastAsia" w:ascii="宋体" w:hAnsi="宋体" w:cs="宋体"/>
                <w:sz w:val="24"/>
                <w:szCs w:val="24"/>
              </w:rPr>
              <w:t>拟投入人员情况汇总表</w:t>
            </w:r>
          </w:p>
        </w:tc>
        <w:tc>
          <w:tcPr>
            <w:tcW w:w="3453" w:type="dxa"/>
            <w:shd w:val="clear" w:color="auto" w:fill="auto"/>
            <w:vAlign w:val="center"/>
          </w:tcPr>
          <w:p w14:paraId="2ED565E6">
            <w:pPr>
              <w:widowControl/>
              <w:spacing w:line="340" w:lineRule="exact"/>
              <w:rPr>
                <w:rFonts w:hint="eastAsia" w:ascii="宋体" w:hAnsi="宋体" w:cs="宋体"/>
                <w:sz w:val="24"/>
                <w:szCs w:val="24"/>
              </w:rPr>
            </w:pPr>
            <w:r>
              <w:rPr>
                <w:rFonts w:hint="eastAsia" w:ascii="宋体" w:hAnsi="宋体" w:cs="宋体"/>
                <w:sz w:val="24"/>
                <w:szCs w:val="24"/>
              </w:rPr>
              <w:t>格式附后</w:t>
            </w:r>
          </w:p>
        </w:tc>
      </w:tr>
      <w:tr w14:paraId="79743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5" w:type="dxa"/>
            <w:shd w:val="clear" w:color="auto" w:fill="auto"/>
            <w:vAlign w:val="center"/>
          </w:tcPr>
          <w:p w14:paraId="6EFF2DA6">
            <w:pPr>
              <w:spacing w:line="340" w:lineRule="exact"/>
              <w:jc w:val="center"/>
              <w:rPr>
                <w:rFonts w:ascii="宋体" w:hAnsi="Times New Roman" w:eastAsia="宋体" w:cs="宋体"/>
                <w:sz w:val="24"/>
                <w:szCs w:val="24"/>
                <w:lang w:val="en-US" w:eastAsia="zh-CN" w:bidi="ar-SA"/>
              </w:rPr>
            </w:pPr>
            <w:r>
              <w:rPr>
                <w:rFonts w:hint="eastAsia" w:ascii="宋体" w:cs="宋体"/>
                <w:sz w:val="24"/>
                <w:szCs w:val="24"/>
              </w:rPr>
              <w:t>7</w:t>
            </w:r>
          </w:p>
        </w:tc>
        <w:tc>
          <w:tcPr>
            <w:tcW w:w="5131" w:type="dxa"/>
            <w:shd w:val="clear" w:color="auto" w:fill="auto"/>
            <w:vAlign w:val="center"/>
          </w:tcPr>
          <w:p w14:paraId="4E87195D">
            <w:pPr>
              <w:widowControl/>
              <w:spacing w:line="340" w:lineRule="exact"/>
              <w:rPr>
                <w:rFonts w:ascii="宋体" w:hAnsi="宋体" w:cs="宋体"/>
                <w:sz w:val="24"/>
                <w:szCs w:val="24"/>
              </w:rPr>
            </w:pPr>
            <w:r>
              <w:rPr>
                <w:rFonts w:hint="eastAsia" w:ascii="宋体" w:hAnsi="宋体" w:cs="宋体"/>
                <w:sz w:val="24"/>
                <w:szCs w:val="24"/>
              </w:rPr>
              <w:t>技术、商务偏离表</w:t>
            </w:r>
          </w:p>
        </w:tc>
        <w:tc>
          <w:tcPr>
            <w:tcW w:w="3453" w:type="dxa"/>
            <w:shd w:val="clear" w:color="auto" w:fill="auto"/>
            <w:vAlign w:val="center"/>
          </w:tcPr>
          <w:p w14:paraId="2FE4D961">
            <w:pPr>
              <w:widowControl/>
              <w:spacing w:line="340" w:lineRule="exact"/>
              <w:rPr>
                <w:rFonts w:ascii="宋体" w:hAnsi="宋体" w:cs="宋体"/>
                <w:sz w:val="24"/>
                <w:szCs w:val="24"/>
              </w:rPr>
            </w:pPr>
            <w:r>
              <w:rPr>
                <w:rFonts w:hint="eastAsia" w:ascii="宋体" w:hAnsi="宋体" w:cs="宋体"/>
                <w:sz w:val="24"/>
                <w:szCs w:val="24"/>
              </w:rPr>
              <w:t>格式附后</w:t>
            </w:r>
          </w:p>
        </w:tc>
      </w:tr>
      <w:tr w14:paraId="5ACE8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5" w:type="dxa"/>
            <w:shd w:val="clear" w:color="auto" w:fill="auto"/>
            <w:vAlign w:val="center"/>
          </w:tcPr>
          <w:p w14:paraId="7B028426">
            <w:pPr>
              <w:spacing w:line="340" w:lineRule="exact"/>
              <w:jc w:val="center"/>
              <w:rPr>
                <w:rFonts w:hint="eastAsia" w:ascii="宋体" w:eastAsia="宋体" w:cs="宋体"/>
                <w:sz w:val="24"/>
                <w:szCs w:val="24"/>
                <w:lang w:val="en-US" w:eastAsia="zh-CN"/>
              </w:rPr>
            </w:pPr>
            <w:r>
              <w:rPr>
                <w:rFonts w:hint="eastAsia" w:ascii="宋体" w:cs="宋体"/>
                <w:sz w:val="24"/>
                <w:szCs w:val="24"/>
                <w:lang w:val="en-US" w:eastAsia="zh-CN"/>
              </w:rPr>
              <w:t>8</w:t>
            </w:r>
          </w:p>
        </w:tc>
        <w:tc>
          <w:tcPr>
            <w:tcW w:w="5131" w:type="dxa"/>
            <w:shd w:val="clear" w:color="auto" w:fill="auto"/>
            <w:vAlign w:val="center"/>
          </w:tcPr>
          <w:p w14:paraId="2A94A69C">
            <w:pPr>
              <w:widowControl/>
              <w:spacing w:line="340" w:lineRule="exact"/>
              <w:rPr>
                <w:rFonts w:ascii="宋体" w:cs="宋体"/>
                <w:sz w:val="24"/>
                <w:szCs w:val="24"/>
              </w:rPr>
            </w:pPr>
            <w:r>
              <w:rPr>
                <w:rFonts w:hint="eastAsia" w:ascii="宋体" w:hAnsi="宋体" w:cs="宋体"/>
                <w:sz w:val="24"/>
                <w:szCs w:val="24"/>
              </w:rPr>
              <w:t>投标人认为需要提供的其他资料；包括可能影响投标人商务技术文件评分的各类证明材料</w:t>
            </w:r>
          </w:p>
        </w:tc>
        <w:tc>
          <w:tcPr>
            <w:tcW w:w="3453" w:type="dxa"/>
            <w:shd w:val="clear" w:color="auto" w:fill="auto"/>
            <w:vAlign w:val="center"/>
          </w:tcPr>
          <w:p w14:paraId="23C86B71">
            <w:pPr>
              <w:widowControl/>
              <w:spacing w:line="340" w:lineRule="exact"/>
              <w:rPr>
                <w:rFonts w:ascii="宋体" w:hAnsi="宋体" w:cs="宋体"/>
                <w:sz w:val="24"/>
                <w:szCs w:val="24"/>
              </w:rPr>
            </w:pPr>
            <w:r>
              <w:rPr>
                <w:rFonts w:hint="eastAsia" w:ascii="宋体" w:hAnsi="宋体" w:cs="宋体"/>
                <w:sz w:val="24"/>
                <w:szCs w:val="24"/>
              </w:rPr>
              <w:t>格式、内容自拟</w:t>
            </w:r>
          </w:p>
        </w:tc>
      </w:tr>
    </w:tbl>
    <w:p w14:paraId="4114F527">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、报价文件的组成</w:t>
      </w:r>
    </w:p>
    <w:tbl>
      <w:tblPr>
        <w:tblStyle w:val="44"/>
        <w:tblW w:w="9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495"/>
        <w:gridCol w:w="4103"/>
      </w:tblGrid>
      <w:tr w14:paraId="5DEE9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5C0DAF7C">
            <w:pPr>
              <w:widowControl/>
              <w:spacing w:line="340" w:lineRule="exact"/>
              <w:jc w:val="center"/>
              <w:rPr>
                <w:rFonts w:ascii="宋体" w:cs="宋体"/>
                <w:b/>
                <w:bCs/>
                <w:sz w:val="24"/>
                <w:szCs w:val="24"/>
              </w:rPr>
            </w:pPr>
            <w:r>
              <w:rPr>
                <w:rFonts w:hint="eastAsia" w:ascii="宋体" w:hAnsi="宋体" w:cs="宋体"/>
                <w:b/>
                <w:bCs/>
                <w:sz w:val="24"/>
                <w:szCs w:val="24"/>
              </w:rPr>
              <w:t>序号</w:t>
            </w:r>
          </w:p>
        </w:tc>
        <w:tc>
          <w:tcPr>
            <w:tcW w:w="4495" w:type="dxa"/>
            <w:vAlign w:val="center"/>
          </w:tcPr>
          <w:p w14:paraId="14120B7B">
            <w:pPr>
              <w:widowControl/>
              <w:spacing w:line="340" w:lineRule="exact"/>
              <w:jc w:val="center"/>
              <w:rPr>
                <w:rFonts w:ascii="宋体" w:cs="宋体"/>
                <w:b/>
                <w:bCs/>
                <w:sz w:val="24"/>
                <w:szCs w:val="24"/>
              </w:rPr>
            </w:pPr>
            <w:r>
              <w:rPr>
                <w:rFonts w:hint="eastAsia" w:ascii="宋体" w:hAnsi="宋体" w:cs="宋体"/>
                <w:b/>
                <w:bCs/>
                <w:sz w:val="24"/>
                <w:szCs w:val="24"/>
              </w:rPr>
              <w:t>内容</w:t>
            </w:r>
          </w:p>
        </w:tc>
        <w:tc>
          <w:tcPr>
            <w:tcW w:w="4103" w:type="dxa"/>
            <w:vAlign w:val="center"/>
          </w:tcPr>
          <w:p w14:paraId="134F2296">
            <w:pPr>
              <w:widowControl/>
              <w:spacing w:line="340" w:lineRule="exact"/>
              <w:jc w:val="center"/>
              <w:rPr>
                <w:rFonts w:ascii="宋体" w:cs="宋体"/>
                <w:b/>
                <w:bCs/>
                <w:sz w:val="24"/>
                <w:szCs w:val="24"/>
              </w:rPr>
            </w:pPr>
            <w:r>
              <w:rPr>
                <w:rFonts w:hint="eastAsia" w:ascii="宋体" w:hAnsi="宋体" w:cs="宋体"/>
                <w:b/>
                <w:bCs/>
                <w:sz w:val="24"/>
                <w:szCs w:val="24"/>
              </w:rPr>
              <w:t>备注</w:t>
            </w:r>
          </w:p>
        </w:tc>
      </w:tr>
      <w:tr w14:paraId="2C6CB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2441B6FD">
            <w:pPr>
              <w:widowControl/>
              <w:spacing w:line="340" w:lineRule="exact"/>
              <w:jc w:val="center"/>
              <w:rPr>
                <w:rFonts w:ascii="宋体" w:cs="宋体"/>
                <w:sz w:val="24"/>
                <w:szCs w:val="24"/>
              </w:rPr>
            </w:pPr>
            <w:r>
              <w:rPr>
                <w:rFonts w:ascii="宋体" w:hAnsi="宋体" w:cs="宋体"/>
                <w:sz w:val="24"/>
                <w:szCs w:val="24"/>
              </w:rPr>
              <w:t>1</w:t>
            </w:r>
          </w:p>
        </w:tc>
        <w:tc>
          <w:tcPr>
            <w:tcW w:w="4495" w:type="dxa"/>
            <w:vAlign w:val="center"/>
          </w:tcPr>
          <w:p w14:paraId="0815DD42">
            <w:pPr>
              <w:widowControl/>
              <w:spacing w:line="340" w:lineRule="exact"/>
              <w:rPr>
                <w:rFonts w:ascii="宋体" w:cs="宋体"/>
                <w:sz w:val="24"/>
                <w:szCs w:val="24"/>
              </w:rPr>
            </w:pPr>
            <w:r>
              <w:rPr>
                <w:rFonts w:hint="eastAsia" w:ascii="宋体" w:cs="宋体"/>
                <w:sz w:val="24"/>
                <w:szCs w:val="24"/>
              </w:rPr>
              <w:t>投标函</w:t>
            </w:r>
          </w:p>
        </w:tc>
        <w:tc>
          <w:tcPr>
            <w:tcW w:w="4103" w:type="dxa"/>
            <w:vAlign w:val="center"/>
          </w:tcPr>
          <w:p w14:paraId="49D5DC2E">
            <w:pPr>
              <w:widowControl/>
              <w:spacing w:line="340" w:lineRule="exact"/>
              <w:rPr>
                <w:rFonts w:ascii="宋体" w:cs="宋体"/>
                <w:sz w:val="24"/>
                <w:szCs w:val="24"/>
              </w:rPr>
            </w:pPr>
            <w:r>
              <w:rPr>
                <w:rFonts w:hint="eastAsia" w:ascii="宋体" w:hAnsi="宋体" w:cs="宋体"/>
                <w:sz w:val="24"/>
                <w:szCs w:val="24"/>
              </w:rPr>
              <w:t>格式附后</w:t>
            </w:r>
          </w:p>
        </w:tc>
      </w:tr>
      <w:tr w14:paraId="2D450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6255D82F">
            <w:pPr>
              <w:widowControl/>
              <w:spacing w:line="340" w:lineRule="exact"/>
              <w:jc w:val="center"/>
              <w:rPr>
                <w:rFonts w:ascii="宋体" w:cs="宋体"/>
                <w:sz w:val="24"/>
                <w:szCs w:val="24"/>
              </w:rPr>
            </w:pPr>
            <w:r>
              <w:rPr>
                <w:rFonts w:hint="eastAsia" w:ascii="宋体" w:hAnsi="宋体" w:cs="宋体"/>
                <w:sz w:val="24"/>
                <w:szCs w:val="24"/>
              </w:rPr>
              <w:t>2</w:t>
            </w:r>
          </w:p>
        </w:tc>
        <w:tc>
          <w:tcPr>
            <w:tcW w:w="4495" w:type="dxa"/>
            <w:vAlign w:val="center"/>
          </w:tcPr>
          <w:p w14:paraId="12536250">
            <w:pPr>
              <w:widowControl/>
              <w:spacing w:line="340" w:lineRule="exact"/>
              <w:rPr>
                <w:rFonts w:ascii="宋体" w:cs="宋体"/>
                <w:sz w:val="24"/>
                <w:szCs w:val="24"/>
              </w:rPr>
            </w:pPr>
            <w:r>
              <w:rPr>
                <w:rFonts w:hint="eastAsia" w:ascii="宋体" w:hAnsi="宋体" w:cs="宋体"/>
                <w:sz w:val="24"/>
                <w:szCs w:val="24"/>
              </w:rPr>
              <w:t>开标一览表</w:t>
            </w:r>
          </w:p>
        </w:tc>
        <w:tc>
          <w:tcPr>
            <w:tcW w:w="4103" w:type="dxa"/>
            <w:vAlign w:val="center"/>
          </w:tcPr>
          <w:p w14:paraId="23EF455F">
            <w:pPr>
              <w:widowControl/>
              <w:spacing w:line="340" w:lineRule="exact"/>
              <w:rPr>
                <w:rFonts w:ascii="宋体" w:cs="宋体"/>
                <w:sz w:val="24"/>
                <w:szCs w:val="24"/>
              </w:rPr>
            </w:pPr>
            <w:r>
              <w:rPr>
                <w:rFonts w:hint="eastAsia" w:ascii="宋体" w:hAnsi="宋体" w:cs="宋体"/>
                <w:sz w:val="24"/>
                <w:szCs w:val="24"/>
              </w:rPr>
              <w:t>格式附后</w:t>
            </w:r>
          </w:p>
        </w:tc>
      </w:tr>
      <w:tr w14:paraId="0CDD4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4CB96AC5">
            <w:pPr>
              <w:widowControl/>
              <w:spacing w:line="340" w:lineRule="exact"/>
              <w:jc w:val="center"/>
              <w:rPr>
                <w:rFonts w:ascii="宋体" w:hAnsi="宋体" w:cs="宋体"/>
                <w:sz w:val="24"/>
                <w:szCs w:val="24"/>
              </w:rPr>
            </w:pPr>
            <w:r>
              <w:rPr>
                <w:rFonts w:hint="eastAsia" w:ascii="宋体" w:hAnsi="宋体" w:cs="宋体"/>
                <w:sz w:val="24"/>
                <w:szCs w:val="24"/>
              </w:rPr>
              <w:t>3</w:t>
            </w:r>
          </w:p>
        </w:tc>
        <w:tc>
          <w:tcPr>
            <w:tcW w:w="4495" w:type="dxa"/>
            <w:vAlign w:val="center"/>
          </w:tcPr>
          <w:p w14:paraId="0041E24F">
            <w:pPr>
              <w:widowControl/>
              <w:spacing w:line="340" w:lineRule="exact"/>
              <w:rPr>
                <w:rFonts w:ascii="宋体" w:cs="宋体"/>
                <w:sz w:val="24"/>
                <w:szCs w:val="24"/>
              </w:rPr>
            </w:pPr>
            <w:r>
              <w:rPr>
                <w:rFonts w:hint="eastAsia" w:ascii="宋体" w:hAnsi="宋体" w:cs="宋体"/>
                <w:sz w:val="24"/>
                <w:szCs w:val="24"/>
              </w:rPr>
              <w:t>投标人认为需要提供的其他文件和资料</w:t>
            </w:r>
          </w:p>
        </w:tc>
        <w:tc>
          <w:tcPr>
            <w:tcW w:w="4103" w:type="dxa"/>
            <w:vAlign w:val="center"/>
          </w:tcPr>
          <w:p w14:paraId="7A93A2E6">
            <w:pPr>
              <w:widowControl/>
              <w:spacing w:line="340" w:lineRule="exact"/>
              <w:rPr>
                <w:rFonts w:ascii="宋体" w:cs="宋体"/>
                <w:sz w:val="24"/>
                <w:szCs w:val="24"/>
              </w:rPr>
            </w:pPr>
            <w:r>
              <w:rPr>
                <w:rFonts w:hint="eastAsia" w:ascii="宋体" w:hAnsi="宋体" w:cs="宋体"/>
                <w:sz w:val="24"/>
                <w:szCs w:val="24"/>
              </w:rPr>
              <w:t>自行提供</w:t>
            </w:r>
          </w:p>
        </w:tc>
      </w:tr>
    </w:tbl>
    <w:p w14:paraId="1FDBB361">
      <w:pPr>
        <w:spacing w:line="440" w:lineRule="exact"/>
        <w:rPr>
          <w:rFonts w:ascii="宋体" w:cs="宋体"/>
          <w:b/>
          <w:bCs/>
          <w:sz w:val="24"/>
          <w:szCs w:val="24"/>
        </w:rPr>
      </w:pPr>
      <w:r>
        <w:rPr>
          <w:rFonts w:hint="eastAsia" w:ascii="宋体" w:hAnsi="宋体" w:cs="宋体"/>
          <w:b/>
          <w:bCs/>
          <w:sz w:val="24"/>
          <w:szCs w:val="24"/>
        </w:rPr>
        <w:t>（三）投标文件的制作、封装及递交要求</w:t>
      </w:r>
    </w:p>
    <w:p w14:paraId="4A7D4C55">
      <w:pPr>
        <w:autoSpaceDE w:val="0"/>
        <w:autoSpaceDN w:val="0"/>
        <w:adjustRightInd w:val="0"/>
        <w:spacing w:line="440" w:lineRule="exact"/>
        <w:ind w:firstLine="480" w:firstLineChars="200"/>
        <w:rPr>
          <w:rFonts w:ascii="宋体" w:cs="宋体"/>
          <w:b/>
          <w:bCs/>
          <w:sz w:val="24"/>
          <w:szCs w:val="24"/>
        </w:rPr>
      </w:pPr>
      <w:bookmarkStart w:id="7" w:name="_Toc17741"/>
      <w:r>
        <w:rPr>
          <w:rFonts w:ascii="宋体" w:hAnsi="宋体" w:cs="宋体"/>
          <w:b/>
          <w:bCs/>
          <w:sz w:val="24"/>
          <w:szCs w:val="24"/>
        </w:rPr>
        <w:t>1</w:t>
      </w:r>
      <w:r>
        <w:rPr>
          <w:rFonts w:hint="eastAsia" w:ascii="宋体" w:hAnsi="宋体" w:cs="宋体"/>
          <w:b/>
          <w:bCs/>
          <w:sz w:val="24"/>
          <w:szCs w:val="24"/>
        </w:rPr>
        <w:t>、投标文件的制作要求</w:t>
      </w:r>
    </w:p>
    <w:p w14:paraId="43E62648">
      <w:pPr>
        <w:autoSpaceDE w:val="0"/>
        <w:autoSpaceDN w:val="0"/>
        <w:adjustRightInd w:val="0"/>
        <w:spacing w:line="440" w:lineRule="exact"/>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）投标人应按照投标文件组成内容及项目采购需求制作投标文件，不按招标文件要求制作投标文件的将视情处理，责任由投标人自行承担。</w:t>
      </w:r>
    </w:p>
    <w:p w14:paraId="6F5763FB">
      <w:pPr>
        <w:autoSpaceDE w:val="0"/>
        <w:autoSpaceDN w:val="0"/>
        <w:adjustRightInd w:val="0"/>
        <w:spacing w:line="440" w:lineRule="exact"/>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）投标人应对所提供的全部资料的真实性承担法律责任</w:t>
      </w:r>
      <w:r>
        <w:rPr>
          <w:rFonts w:hint="eastAsia" w:ascii="宋体" w:hAnsi="宋体" w:cs="宋体"/>
          <w:sz w:val="24"/>
          <w:szCs w:val="24"/>
          <w:lang w:val="zh-CN"/>
        </w:rPr>
        <w:t>。</w:t>
      </w:r>
      <w:r>
        <w:rPr>
          <w:rFonts w:hint="eastAsia" w:ascii="宋体" w:hAnsi="宋体" w:cs="宋体"/>
          <w:sz w:val="24"/>
          <w:szCs w:val="24"/>
        </w:rPr>
        <w:t xml:space="preserve">     </w:t>
      </w:r>
    </w:p>
    <w:p w14:paraId="06A38D7F">
      <w:pPr>
        <w:snapToGrid w:val="0"/>
        <w:spacing w:line="440" w:lineRule="exact"/>
        <w:ind w:firstLine="480" w:firstLineChars="200"/>
        <w:jc w:val="left"/>
        <w:rPr>
          <w:rFonts w:ascii="宋体" w:cs="宋体"/>
          <w:sz w:val="24"/>
          <w:szCs w:val="24"/>
        </w:rPr>
      </w:pPr>
      <w:r>
        <w:rPr>
          <w:rFonts w:hint="eastAsia" w:ascii="宋体" w:hAnsi="宋体" w:cs="宋体"/>
          <w:sz w:val="24"/>
          <w:szCs w:val="24"/>
          <w:lang w:val="zh-CN"/>
        </w:rPr>
        <w:t>（</w:t>
      </w:r>
      <w:r>
        <w:rPr>
          <w:rFonts w:ascii="宋体" w:hAnsi="宋体" w:cs="宋体"/>
          <w:sz w:val="24"/>
          <w:szCs w:val="24"/>
        </w:rPr>
        <w:t>3</w:t>
      </w:r>
      <w:r>
        <w:rPr>
          <w:rFonts w:hint="eastAsia" w:ascii="宋体" w:hAnsi="宋体" w:cs="宋体"/>
          <w:sz w:val="24"/>
          <w:szCs w:val="24"/>
          <w:lang w:val="zh-CN"/>
        </w:rPr>
        <w:t>）</w:t>
      </w:r>
      <w:r>
        <w:rPr>
          <w:rFonts w:hint="eastAsia" w:ascii="宋体" w:hAnsi="宋体" w:cs="宋体"/>
          <w:sz w:val="24"/>
          <w:szCs w:val="24"/>
        </w:rPr>
        <w:t>投标文件以及投标人与采购代理机构就有关投标事宜的所有来往函电，均应以中文汉语书写。除签字、盖章、专用名称等特殊情形外，以中文汉语以外的文字表述的投标文件视同未提供。</w:t>
      </w:r>
    </w:p>
    <w:p w14:paraId="4B77F79C">
      <w:pPr>
        <w:snapToGrid w:val="0"/>
        <w:spacing w:line="440" w:lineRule="exact"/>
        <w:ind w:firstLine="480" w:firstLineChars="200"/>
        <w:jc w:val="left"/>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）投标计量单位，招标文件已有明确规定的，使用招标文件规定的计量单位；招标文件没有规定的，应采用中华人民共和国法定计量单位（货币单位：人民币元）。</w:t>
      </w:r>
    </w:p>
    <w:p w14:paraId="5462F788">
      <w:pPr>
        <w:autoSpaceDE w:val="0"/>
        <w:autoSpaceDN w:val="0"/>
        <w:adjustRightInd w:val="0"/>
        <w:spacing w:line="440" w:lineRule="exact"/>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）若投标人不按招标文件的要求提供资格审查材料，其责任由投标人自行承担。</w:t>
      </w:r>
    </w:p>
    <w:p w14:paraId="73BF10C4">
      <w:pPr>
        <w:autoSpaceDE w:val="0"/>
        <w:autoSpaceDN w:val="0"/>
        <w:adjustRightInd w:val="0"/>
        <w:spacing w:line="440" w:lineRule="exact"/>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投标人应在认真阅读招标文件所有内容的基础上，按照招标文件的要求编制完整的投标文件。投标文件应按照招标文件中规定的统一格式填写：“电子加密投标文件”按“乐采云平台”及本招标文件要求制作、关联定位、加密。</w:t>
      </w:r>
    </w:p>
    <w:p w14:paraId="03F332C8">
      <w:pPr>
        <w:autoSpaceDE w:val="0"/>
        <w:autoSpaceDN w:val="0"/>
        <w:adjustRightInd w:val="0"/>
        <w:spacing w:line="440" w:lineRule="exact"/>
        <w:ind w:firstLine="480" w:firstLineChars="200"/>
        <w:rPr>
          <w:rFonts w:ascii="宋体" w:hAnsi="宋体" w:cs="宋体"/>
          <w:b/>
          <w:bCs/>
          <w:sz w:val="24"/>
          <w:szCs w:val="24"/>
          <w:lang w:val="zh-CN"/>
        </w:rPr>
      </w:pPr>
      <w:r>
        <w:rPr>
          <w:rFonts w:hint="eastAsia" w:ascii="宋体" w:hAnsi="宋体" w:cs="宋体"/>
          <w:b/>
          <w:bCs/>
          <w:sz w:val="24"/>
          <w:szCs w:val="24"/>
        </w:rPr>
        <w:t>2、</w:t>
      </w:r>
      <w:r>
        <w:rPr>
          <w:rFonts w:hint="eastAsia" w:ascii="宋体" w:hAnsi="宋体" w:cs="宋体"/>
          <w:b/>
          <w:bCs/>
          <w:sz w:val="24"/>
          <w:szCs w:val="24"/>
          <w:lang w:val="zh-CN"/>
        </w:rPr>
        <w:t>投标文件的编制、签署、份数</w:t>
      </w:r>
    </w:p>
    <w:p w14:paraId="23EFD4A3">
      <w:pPr>
        <w:spacing w:line="440" w:lineRule="exact"/>
        <w:ind w:firstLine="48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1</w:t>
      </w:r>
      <w:r>
        <w:rPr>
          <w:rFonts w:hint="eastAsia" w:ascii="宋体" w:hAnsi="宋体" w:cs="宋体"/>
          <w:sz w:val="24"/>
          <w:szCs w:val="24"/>
          <w:lang w:val="zh-CN"/>
        </w:rPr>
        <w:t>）投标文件包括“资格证明文件”“商务技术文件”和“报价文件”三部分。</w:t>
      </w:r>
    </w:p>
    <w:p w14:paraId="42BD2A9C">
      <w:pPr>
        <w:spacing w:line="440" w:lineRule="exact"/>
        <w:ind w:firstLine="482"/>
        <w:rPr>
          <w:rFonts w:ascii="宋体" w:hAnsi="宋体" w:cs="宋体"/>
          <w:b/>
          <w:bCs/>
          <w:color w:val="FF0000"/>
          <w:sz w:val="24"/>
          <w:lang w:val="zh-CN"/>
        </w:rPr>
      </w:pPr>
      <w:r>
        <w:rPr>
          <w:rFonts w:hint="eastAsia" w:ascii="宋体" w:hAnsi="宋体" w:cs="宋体"/>
          <w:b/>
          <w:bCs/>
          <w:color w:val="FF0000"/>
          <w:sz w:val="24"/>
        </w:rPr>
        <w:t>（2）</w:t>
      </w:r>
      <w:r>
        <w:rPr>
          <w:rFonts w:hint="eastAsia" w:ascii="宋体" w:hAnsi="宋体" w:cs="宋体"/>
          <w:b/>
          <w:bCs/>
          <w:color w:val="FF0000"/>
          <w:sz w:val="24"/>
          <w:lang w:val="zh-CN"/>
        </w:rPr>
        <w:t>签署：投标文件中所须加盖公章部分均应当采用CA电子签章功能加盖投标人的单位电子公章，法定代表人和授权代表签字或盖章可书面签字或盖章后扫描至“电子加密投标文件”中上传，也可采用法定代表人的电子章。</w:t>
      </w:r>
    </w:p>
    <w:bookmarkEnd w:id="6"/>
    <w:bookmarkEnd w:id="7"/>
    <w:p w14:paraId="6E1881C1">
      <w:pPr>
        <w:autoSpaceDE w:val="0"/>
        <w:autoSpaceDN w:val="0"/>
        <w:adjustRightInd w:val="0"/>
        <w:spacing w:line="440" w:lineRule="exact"/>
        <w:ind w:firstLine="480" w:firstLineChars="200"/>
        <w:rPr>
          <w:rFonts w:ascii="宋体" w:hAnsi="宋体" w:cs="宋体"/>
          <w:sz w:val="24"/>
          <w:szCs w:val="24"/>
          <w:lang w:val="zh-CN"/>
        </w:rPr>
      </w:pPr>
      <w:r>
        <w:rPr>
          <w:rFonts w:hint="eastAsia" w:ascii="宋体" w:hAnsi="宋体" w:cs="宋体"/>
          <w:sz w:val="24"/>
          <w:szCs w:val="24"/>
        </w:rPr>
        <w:t>3.1</w:t>
      </w:r>
      <w:r>
        <w:rPr>
          <w:rFonts w:hint="eastAsia" w:ascii="宋体" w:hAnsi="宋体" w:cs="宋体"/>
          <w:sz w:val="24"/>
          <w:szCs w:val="24"/>
          <w:lang w:val="zh-CN"/>
        </w:rPr>
        <w:t>“电子加密投标文件”（后缀格式为.jmbs）：在线上传递交一份。</w:t>
      </w:r>
    </w:p>
    <w:p w14:paraId="3D36B636">
      <w:pPr>
        <w:autoSpaceDE w:val="0"/>
        <w:autoSpaceDN w:val="0"/>
        <w:adjustRightInd w:val="0"/>
        <w:spacing w:line="440" w:lineRule="exact"/>
        <w:ind w:firstLine="480" w:firstLineChars="200"/>
        <w:rPr>
          <w:rFonts w:ascii="宋体" w:hAnsi="宋体" w:cs="宋体"/>
          <w:sz w:val="24"/>
          <w:szCs w:val="24"/>
          <w:lang w:val="zh-CN"/>
        </w:rPr>
      </w:pPr>
      <w:r>
        <w:rPr>
          <w:rFonts w:hint="eastAsia" w:ascii="宋体" w:hAnsi="宋体" w:cs="宋体"/>
          <w:sz w:val="24"/>
          <w:szCs w:val="24"/>
        </w:rPr>
        <w:t>3.2</w:t>
      </w:r>
      <w:r>
        <w:rPr>
          <w:rFonts w:hint="eastAsia" w:ascii="宋体" w:hAnsi="宋体" w:cs="宋体"/>
          <w:sz w:val="24"/>
          <w:szCs w:val="24"/>
          <w:lang w:val="zh-CN"/>
        </w:rPr>
        <w:t>“备份投标文件”（后缀格式为.bfbs）：发送一份至邮箱：</w:t>
      </w:r>
      <w:r>
        <w:rPr>
          <w:rFonts w:hint="eastAsia" w:ascii="宋体" w:hAnsi="宋体" w:cs="宋体"/>
          <w:sz w:val="24"/>
          <w:szCs w:val="24"/>
        </w:rPr>
        <w:t>1187271673@qq.com</w:t>
      </w:r>
      <w:r>
        <w:rPr>
          <w:rFonts w:hint="eastAsia" w:ascii="宋体" w:hAnsi="宋体" w:cs="宋体"/>
          <w:sz w:val="24"/>
          <w:szCs w:val="24"/>
          <w:lang w:val="zh-CN"/>
        </w:rPr>
        <w:t>，以接收方邮箱收件箱所显示时间为准。</w:t>
      </w:r>
    </w:p>
    <w:p w14:paraId="76F8FB13">
      <w:pPr>
        <w:autoSpaceDE w:val="0"/>
        <w:autoSpaceDN w:val="0"/>
        <w:adjustRightInd w:val="0"/>
        <w:spacing w:line="440" w:lineRule="exact"/>
        <w:ind w:firstLine="480" w:firstLineChars="200"/>
        <w:rPr>
          <w:rFonts w:ascii="宋体"/>
          <w:b/>
          <w:bCs/>
          <w:sz w:val="24"/>
          <w:szCs w:val="24"/>
        </w:rPr>
      </w:pPr>
      <w:r>
        <w:rPr>
          <w:rFonts w:ascii="宋体" w:hAnsi="宋体" w:cs="宋体"/>
          <w:b/>
          <w:bCs/>
          <w:sz w:val="24"/>
          <w:szCs w:val="24"/>
        </w:rPr>
        <w:t>3</w:t>
      </w:r>
      <w:r>
        <w:rPr>
          <w:rFonts w:hint="eastAsia" w:ascii="宋体" w:hAnsi="宋体" w:cs="宋体"/>
          <w:b/>
          <w:bCs/>
          <w:sz w:val="24"/>
          <w:szCs w:val="24"/>
        </w:rPr>
        <w:t>、投标文件的递交要求</w:t>
      </w:r>
    </w:p>
    <w:p w14:paraId="48C4F05A">
      <w:pPr>
        <w:tabs>
          <w:tab w:val="left" w:pos="1418"/>
        </w:tabs>
        <w:autoSpaceDE w:val="0"/>
        <w:autoSpaceDN w:val="0"/>
        <w:adjustRightInd w:val="0"/>
        <w:spacing w:line="440" w:lineRule="exact"/>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）投标人应当在招标文件规定的截止时间前完成“电子加密投标文件”及“备份投标文件”的递交，截止时间后递交的投标文件，将被拒收。</w:t>
      </w:r>
    </w:p>
    <w:p w14:paraId="46458E7A">
      <w:pPr>
        <w:tabs>
          <w:tab w:val="left" w:pos="1418"/>
        </w:tabs>
        <w:autoSpaceDE w:val="0"/>
        <w:autoSpaceDN w:val="0"/>
        <w:adjustRightInd w:val="0"/>
        <w:spacing w:line="440" w:lineRule="exact"/>
        <w:ind w:firstLine="480" w:firstLineChars="200"/>
        <w:rPr>
          <w:rFonts w:ascii="宋体" w:cs="宋体"/>
          <w:sz w:val="24"/>
          <w:szCs w:val="24"/>
        </w:rPr>
      </w:pPr>
      <w:r>
        <w:rPr>
          <w:rFonts w:hint="eastAsia" w:ascii="宋体" w:hAnsi="宋体" w:cs="宋体"/>
          <w:sz w:val="24"/>
          <w:szCs w:val="24"/>
        </w:rPr>
        <w:t>（2）如有特殊情况，采购代理机构延长截止时间和开标时间，采购代理机构和投标人的权利和义务将受到新的截止时间和开标时间的约束。</w:t>
      </w:r>
    </w:p>
    <w:p w14:paraId="7577B9BB">
      <w:pPr>
        <w:tabs>
          <w:tab w:val="left" w:pos="1898"/>
        </w:tabs>
        <w:autoSpaceDE w:val="0"/>
        <w:autoSpaceDN w:val="0"/>
        <w:adjustRightInd w:val="0"/>
        <w:spacing w:line="440" w:lineRule="exact"/>
        <w:ind w:firstLine="480" w:firstLineChars="200"/>
        <w:rPr>
          <w:rFonts w:ascii="宋体"/>
          <w:b/>
          <w:bCs/>
          <w:sz w:val="24"/>
          <w:szCs w:val="24"/>
        </w:rPr>
      </w:pPr>
      <w:r>
        <w:rPr>
          <w:rFonts w:ascii="宋体" w:hAnsi="宋体" w:cs="宋体"/>
          <w:b/>
          <w:bCs/>
          <w:sz w:val="24"/>
          <w:szCs w:val="24"/>
        </w:rPr>
        <w:t>4</w:t>
      </w:r>
      <w:r>
        <w:rPr>
          <w:rFonts w:hint="eastAsia" w:ascii="宋体" w:hAnsi="宋体" w:cs="宋体"/>
          <w:b/>
          <w:bCs/>
          <w:sz w:val="24"/>
          <w:szCs w:val="24"/>
        </w:rPr>
        <w:t>、投标文件的补充、修改和撤回</w:t>
      </w:r>
    </w:p>
    <w:p w14:paraId="0D1D2BDB">
      <w:pPr>
        <w:tabs>
          <w:tab w:val="left" w:pos="1418"/>
        </w:tabs>
        <w:autoSpaceDE w:val="0"/>
        <w:autoSpaceDN w:val="0"/>
        <w:adjustRightInd w:val="0"/>
        <w:spacing w:line="440" w:lineRule="exact"/>
        <w:ind w:firstLine="480" w:firstLineChars="200"/>
        <w:rPr>
          <w:rFonts w:ascii="宋体" w:hAnsi="宋体" w:cs="宋体"/>
          <w:sz w:val="24"/>
          <w:szCs w:val="24"/>
        </w:rPr>
      </w:pPr>
      <w:r>
        <w:rPr>
          <w:rFonts w:hint="eastAsia" w:ascii="宋体" w:hAnsi="宋体" w:cs="宋体"/>
          <w:sz w:val="24"/>
          <w:szCs w:val="24"/>
        </w:rPr>
        <w:t>（1）投标人在投标截止时间前可以补充、修改或撤回投标文件。补充或者修改投标文件的，应当先行撤回原文件，补充、修改后重新递交。投标截止时间前未完成递交的，视为撤回投标文件。</w:t>
      </w:r>
    </w:p>
    <w:p w14:paraId="332819D8">
      <w:pPr>
        <w:tabs>
          <w:tab w:val="left" w:pos="1418"/>
        </w:tabs>
        <w:autoSpaceDE w:val="0"/>
        <w:autoSpaceDN w:val="0"/>
        <w:adjustRightInd w:val="0"/>
        <w:spacing w:line="440" w:lineRule="exact"/>
        <w:ind w:firstLine="480" w:firstLineChars="200"/>
        <w:rPr>
          <w:rFonts w:ascii="宋体" w:hAnsi="宋体" w:cs="宋体"/>
          <w:sz w:val="24"/>
          <w:szCs w:val="24"/>
        </w:rPr>
      </w:pPr>
      <w:r>
        <w:rPr>
          <w:rFonts w:hint="eastAsia" w:ascii="宋体" w:hAnsi="宋体" w:cs="宋体"/>
          <w:sz w:val="24"/>
          <w:szCs w:val="24"/>
        </w:rPr>
        <w:t>（2）投标截止时间后，投标人不得修改（补充）或撤回其投标文件。</w:t>
      </w:r>
    </w:p>
    <w:p w14:paraId="24745088">
      <w:pPr>
        <w:tabs>
          <w:tab w:val="left" w:pos="1898"/>
        </w:tabs>
        <w:autoSpaceDE w:val="0"/>
        <w:autoSpaceDN w:val="0"/>
        <w:adjustRightInd w:val="0"/>
        <w:spacing w:line="440" w:lineRule="exact"/>
        <w:ind w:firstLine="480" w:firstLineChars="200"/>
        <w:rPr>
          <w:rFonts w:ascii="宋体" w:hAnsi="宋体" w:cs="宋体"/>
          <w:b/>
          <w:bCs/>
          <w:sz w:val="24"/>
          <w:szCs w:val="24"/>
        </w:rPr>
      </w:pPr>
      <w:r>
        <w:rPr>
          <w:rFonts w:hint="eastAsia" w:ascii="宋体" w:hAnsi="宋体" w:cs="宋体"/>
          <w:b/>
          <w:bCs/>
          <w:sz w:val="24"/>
          <w:szCs w:val="24"/>
        </w:rPr>
        <w:t>5、电子加密投标文件的解密及异常情况处理</w:t>
      </w:r>
    </w:p>
    <w:p w14:paraId="1D423BD0">
      <w:pPr>
        <w:autoSpaceDE w:val="0"/>
        <w:autoSpaceDN w:val="0"/>
        <w:adjustRightInd w:val="0"/>
        <w:spacing w:line="440" w:lineRule="exact"/>
        <w:ind w:firstLine="480" w:firstLineChars="200"/>
        <w:rPr>
          <w:rFonts w:ascii="宋体" w:hAnsi="宋体" w:cs="宋体"/>
          <w:sz w:val="24"/>
          <w:szCs w:val="24"/>
          <w:lang w:val="zh-CN"/>
        </w:rPr>
      </w:pPr>
      <w:r>
        <w:rPr>
          <w:rFonts w:hint="eastAsia" w:ascii="宋体" w:hAnsi="宋体" w:cs="宋体"/>
          <w:sz w:val="24"/>
          <w:szCs w:val="24"/>
        </w:rPr>
        <w:t>（1）</w:t>
      </w:r>
      <w:r>
        <w:rPr>
          <w:rFonts w:hint="eastAsia" w:ascii="宋体" w:hAnsi="宋体" w:cs="宋体"/>
          <w:sz w:val="24"/>
          <w:szCs w:val="24"/>
          <w:lang w:val="zh-CN"/>
        </w:rPr>
        <w:t>开标后，采购代理机构将向各投标人发出“电子加密投标文件”的解密通知，各供应商代表应当在接到解密通知后</w:t>
      </w:r>
      <w:r>
        <w:rPr>
          <w:rFonts w:hint="eastAsia" w:ascii="宋体" w:hAnsi="宋体" w:cs="宋体"/>
          <w:sz w:val="24"/>
          <w:szCs w:val="24"/>
        </w:rPr>
        <w:t>30分钟</w:t>
      </w:r>
      <w:r>
        <w:rPr>
          <w:rFonts w:hint="eastAsia" w:ascii="宋体" w:hAnsi="宋体" w:cs="宋体"/>
          <w:sz w:val="24"/>
          <w:szCs w:val="24"/>
          <w:lang w:val="zh-CN"/>
        </w:rPr>
        <w:t>内自行完成“电子加密投标文件”的在线解密。</w:t>
      </w:r>
    </w:p>
    <w:p w14:paraId="10FD5C34">
      <w:pPr>
        <w:autoSpaceDE w:val="0"/>
        <w:autoSpaceDN w:val="0"/>
        <w:adjustRightInd w:val="0"/>
        <w:spacing w:line="440" w:lineRule="exact"/>
        <w:ind w:firstLine="480" w:firstLineChars="20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2</w:t>
      </w:r>
      <w:r>
        <w:rPr>
          <w:rFonts w:hint="eastAsia" w:ascii="宋体" w:hAnsi="宋体" w:cs="宋体"/>
          <w:sz w:val="24"/>
          <w:szCs w:val="24"/>
          <w:lang w:val="zh-CN"/>
        </w:rPr>
        <w:t>）因网络或者其他问题造成“电子加密投标文件”在规定时间内无法正常解密的，投标人提供了“备份投标文件”的，将由采购代理机构按“乐采云平台”操作规范将“备份投标文件”上传至“乐采云平台”，完成解密。</w:t>
      </w:r>
    </w:p>
    <w:p w14:paraId="62C6EEDC">
      <w:pPr>
        <w:autoSpaceDE w:val="0"/>
        <w:autoSpaceDN w:val="0"/>
        <w:adjustRightInd w:val="0"/>
        <w:spacing w:line="440" w:lineRule="exact"/>
        <w:ind w:firstLine="480" w:firstLineChars="200"/>
      </w:pPr>
      <w:r>
        <w:rPr>
          <w:rFonts w:hint="eastAsia" w:ascii="宋体" w:hAnsi="宋体" w:cs="宋体"/>
          <w:sz w:val="24"/>
          <w:szCs w:val="24"/>
          <w:lang w:val="zh-CN"/>
        </w:rPr>
        <w:t>（</w:t>
      </w:r>
      <w:r>
        <w:rPr>
          <w:rFonts w:hint="eastAsia" w:ascii="宋体" w:hAnsi="宋体" w:cs="宋体"/>
          <w:sz w:val="24"/>
          <w:szCs w:val="24"/>
        </w:rPr>
        <w:t>3</w:t>
      </w:r>
      <w:r>
        <w:rPr>
          <w:rFonts w:hint="eastAsia" w:ascii="宋体" w:hAnsi="宋体" w:cs="宋体"/>
          <w:sz w:val="24"/>
          <w:szCs w:val="24"/>
          <w:lang w:val="zh-CN"/>
        </w:rPr>
        <w:t>）投标人未在规定时间内完成解密且未提供“备份投标文件”的，默认投标人自动放弃。</w:t>
      </w:r>
    </w:p>
    <w:p w14:paraId="04C66211">
      <w:pPr>
        <w:tabs>
          <w:tab w:val="left" w:pos="0"/>
        </w:tabs>
        <w:autoSpaceDE w:val="0"/>
        <w:autoSpaceDN w:val="0"/>
        <w:adjustRightInd w:val="0"/>
        <w:spacing w:line="440" w:lineRule="exact"/>
        <w:ind w:firstLine="240" w:firstLineChars="100"/>
        <w:rPr>
          <w:rFonts w:ascii="宋体" w:cs="宋体"/>
          <w:b/>
          <w:bCs/>
          <w:sz w:val="24"/>
          <w:szCs w:val="24"/>
        </w:rPr>
      </w:pPr>
      <w:r>
        <w:rPr>
          <w:rFonts w:hint="eastAsia" w:ascii="宋体" w:hAnsi="宋体" w:cs="宋体"/>
          <w:b/>
          <w:bCs/>
          <w:sz w:val="24"/>
          <w:szCs w:val="24"/>
        </w:rPr>
        <w:t>（四）投标文件的有效期</w:t>
      </w:r>
    </w:p>
    <w:p w14:paraId="49ACC81E">
      <w:pPr>
        <w:pStyle w:val="14"/>
        <w:numPr>
          <w:ilvl w:val="0"/>
          <w:numId w:val="0"/>
        </w:numPr>
        <w:tabs>
          <w:tab w:val="left" w:pos="0"/>
          <w:tab w:val="clear" w:pos="1070"/>
        </w:tabs>
        <w:snapToGrid w:val="0"/>
        <w:spacing w:line="440" w:lineRule="exact"/>
        <w:ind w:firstLine="480" w:firstLineChars="200"/>
        <w:rPr>
          <w:rFonts w:ascii="仿宋_GB2312" w:hAnsi="仿宋_GB2312" w:eastAsia="仿宋_GB2312"/>
          <w:sz w:val="24"/>
          <w:szCs w:val="24"/>
          <w:lang w:val="en-GB"/>
        </w:rPr>
      </w:pPr>
      <w:r>
        <w:rPr>
          <w:rFonts w:ascii="宋体" w:hAnsi="宋体" w:cs="宋体"/>
          <w:sz w:val="24"/>
          <w:szCs w:val="24"/>
          <w:lang w:val="en-GB"/>
        </w:rPr>
        <w:t>1</w:t>
      </w:r>
      <w:r>
        <w:rPr>
          <w:rFonts w:hint="eastAsia" w:ascii="宋体" w:hAnsi="宋体" w:cs="宋体"/>
          <w:sz w:val="24"/>
          <w:szCs w:val="24"/>
          <w:lang w:val="en-GB"/>
        </w:rPr>
        <w:t>、自投标截止日起</w:t>
      </w:r>
      <w:r>
        <w:rPr>
          <w:rFonts w:ascii="宋体" w:hAnsi="宋体" w:cs="宋体"/>
          <w:sz w:val="24"/>
          <w:szCs w:val="24"/>
          <w:lang w:val="en-GB"/>
        </w:rPr>
        <w:t>90</w:t>
      </w:r>
      <w:r>
        <w:rPr>
          <w:rFonts w:hint="eastAsia" w:ascii="宋体" w:hAnsi="宋体" w:cs="宋体"/>
          <w:sz w:val="24"/>
          <w:szCs w:val="24"/>
          <w:lang w:val="en-GB"/>
        </w:rPr>
        <w:t>天投标文件应保持有效。有效期不足的投标文件将被拒绝。</w:t>
      </w:r>
    </w:p>
    <w:p w14:paraId="04860B9B">
      <w:pPr>
        <w:pStyle w:val="14"/>
        <w:numPr>
          <w:ilvl w:val="0"/>
          <w:numId w:val="0"/>
        </w:numPr>
        <w:tabs>
          <w:tab w:val="left" w:pos="0"/>
          <w:tab w:val="clear" w:pos="1070"/>
        </w:tabs>
        <w:snapToGrid w:val="0"/>
        <w:spacing w:line="440" w:lineRule="exact"/>
        <w:ind w:firstLine="480" w:firstLineChars="200"/>
        <w:rPr>
          <w:rFonts w:ascii="宋体" w:hAnsi="宋体" w:cs="宋体"/>
          <w:sz w:val="24"/>
          <w:szCs w:val="24"/>
          <w:lang w:val="en-GB"/>
        </w:rPr>
      </w:pPr>
      <w:r>
        <w:rPr>
          <w:rFonts w:ascii="宋体" w:hAnsi="宋体" w:cs="宋体"/>
          <w:sz w:val="24"/>
          <w:szCs w:val="24"/>
          <w:lang w:val="en-GB"/>
        </w:rPr>
        <w:t>2</w:t>
      </w:r>
      <w:r>
        <w:rPr>
          <w:rFonts w:hint="eastAsia" w:ascii="宋体" w:hAnsi="宋体" w:cs="宋体"/>
          <w:sz w:val="24"/>
          <w:szCs w:val="24"/>
          <w:lang w:val="en-GB"/>
        </w:rPr>
        <w:t>、在特殊情况下，采购人可与投标人协商延长投标文件的有效期，这种要求和答复均以书面形式进行。</w:t>
      </w:r>
    </w:p>
    <w:p w14:paraId="2577F195">
      <w:pPr>
        <w:snapToGrid w:val="0"/>
        <w:spacing w:line="440" w:lineRule="exact"/>
        <w:ind w:firstLine="480" w:firstLineChars="200"/>
        <w:jc w:val="left"/>
        <w:outlineLvl w:val="0"/>
        <w:rPr>
          <w:rFonts w:ascii="宋体" w:cs="宋体"/>
          <w:b/>
          <w:bCs/>
          <w:sz w:val="24"/>
          <w:szCs w:val="24"/>
        </w:rPr>
      </w:pPr>
      <w:bookmarkStart w:id="8" w:name="_Toc26548"/>
      <w:bookmarkStart w:id="9" w:name="_Toc21343"/>
      <w:bookmarkStart w:id="10" w:name="_Toc21858"/>
      <w:bookmarkStart w:id="11" w:name="_Toc18130"/>
      <w:bookmarkStart w:id="12" w:name="_Toc9276"/>
      <w:bookmarkStart w:id="13" w:name="_Toc11280"/>
      <w:r>
        <w:rPr>
          <w:rFonts w:ascii="宋体" w:hAnsi="宋体" w:cs="宋体"/>
          <w:sz w:val="24"/>
          <w:szCs w:val="24"/>
        </w:rPr>
        <w:t>3</w:t>
      </w:r>
      <w:r>
        <w:rPr>
          <w:rFonts w:hint="eastAsia" w:ascii="宋体" w:hAnsi="宋体" w:cs="宋体"/>
          <w:sz w:val="24"/>
          <w:szCs w:val="24"/>
        </w:rPr>
        <w:t>、中标人的投标文件自开标之日起至合同履行完毕均应保持有效。</w:t>
      </w:r>
      <w:bookmarkEnd w:id="8"/>
      <w:bookmarkEnd w:id="9"/>
      <w:bookmarkEnd w:id="10"/>
      <w:bookmarkEnd w:id="11"/>
      <w:bookmarkEnd w:id="12"/>
      <w:bookmarkEnd w:id="13"/>
    </w:p>
    <w:p w14:paraId="057BA46B">
      <w:pPr>
        <w:snapToGrid w:val="0"/>
        <w:spacing w:line="440" w:lineRule="exact"/>
        <w:jc w:val="center"/>
        <w:rPr>
          <w:rFonts w:ascii="宋体" w:hAnsi="宋体" w:cs="宋体"/>
          <w:b/>
          <w:bCs/>
          <w:sz w:val="28"/>
          <w:szCs w:val="28"/>
        </w:rPr>
      </w:pPr>
    </w:p>
    <w:p w14:paraId="735F54B1">
      <w:pPr>
        <w:snapToGrid w:val="0"/>
        <w:spacing w:line="360" w:lineRule="auto"/>
        <w:jc w:val="center"/>
        <w:rPr>
          <w:rFonts w:ascii="宋体" w:cs="宋体"/>
          <w:b/>
          <w:bCs/>
          <w:sz w:val="28"/>
          <w:szCs w:val="28"/>
        </w:rPr>
      </w:pPr>
      <w:r>
        <w:rPr>
          <w:rFonts w:hint="eastAsia" w:ascii="宋体" w:hAnsi="宋体" w:cs="宋体"/>
          <w:b/>
          <w:bCs/>
          <w:sz w:val="28"/>
          <w:szCs w:val="28"/>
        </w:rPr>
        <w:t>四、开标</w:t>
      </w:r>
    </w:p>
    <w:p w14:paraId="2B40F081">
      <w:pPr>
        <w:numPr>
          <w:ilvl w:val="0"/>
          <w:numId w:val="7"/>
        </w:numPr>
        <w:autoSpaceDE w:val="0"/>
        <w:autoSpaceDN w:val="0"/>
        <w:adjustRightInd w:val="0"/>
        <w:spacing w:line="440" w:lineRule="exact"/>
        <w:ind w:firstLine="480" w:firstLineChars="200"/>
        <w:rPr>
          <w:rFonts w:ascii="宋体" w:hAnsi="宋体" w:cs="宋体"/>
          <w:b/>
          <w:bCs/>
          <w:sz w:val="24"/>
          <w:szCs w:val="24"/>
        </w:rPr>
      </w:pPr>
      <w:r>
        <w:rPr>
          <w:rFonts w:hint="eastAsia" w:ascii="宋体" w:hAnsi="宋体" w:cs="宋体"/>
          <w:b/>
          <w:bCs/>
          <w:sz w:val="24"/>
          <w:szCs w:val="24"/>
        </w:rPr>
        <w:t>开标程序</w:t>
      </w:r>
    </w:p>
    <w:p w14:paraId="75575569">
      <w:pPr>
        <w:spacing w:line="360" w:lineRule="auto"/>
        <w:ind w:firstLine="422" w:firstLineChars="176"/>
        <w:rPr>
          <w:rFonts w:ascii="宋体" w:hAnsi="宋体" w:cs="Arial"/>
          <w:sz w:val="24"/>
        </w:rPr>
      </w:pPr>
      <w:r>
        <w:rPr>
          <w:rFonts w:hint="eastAsia" w:ascii="宋体" w:hAnsi="宋体" w:cs="宋体"/>
          <w:sz w:val="24"/>
          <w:szCs w:val="24"/>
        </w:rPr>
        <w:t>1、</w:t>
      </w:r>
      <w:r>
        <w:rPr>
          <w:rFonts w:hint="eastAsia" w:ascii="宋体" w:hAnsi="宋体"/>
          <w:b/>
          <w:sz w:val="24"/>
        </w:rPr>
        <w:t>采购组织机构将按照招标文件规定的时间通过“乐采云平台”组织开标、开启投标文件，所有供应商均应当准时在线参加。</w:t>
      </w:r>
      <w:r>
        <w:rPr>
          <w:rFonts w:hint="eastAsia" w:ascii="宋体" w:hAnsi="宋体" w:cs="Arial"/>
          <w:b/>
          <w:sz w:val="24"/>
        </w:rPr>
        <w:t>投标人</w:t>
      </w:r>
      <w:r>
        <w:rPr>
          <w:rFonts w:ascii="宋体" w:hAnsi="宋体" w:cs="Arial"/>
          <w:b/>
          <w:sz w:val="24"/>
        </w:rPr>
        <w:t>如不</w:t>
      </w:r>
      <w:r>
        <w:rPr>
          <w:rFonts w:hint="eastAsia" w:ascii="宋体" w:hAnsi="宋体" w:cs="Arial"/>
          <w:b/>
          <w:sz w:val="24"/>
        </w:rPr>
        <w:t>参加在线</w:t>
      </w:r>
      <w:r>
        <w:rPr>
          <w:rFonts w:ascii="宋体" w:hAnsi="宋体" w:cs="Arial"/>
          <w:b/>
          <w:sz w:val="24"/>
        </w:rPr>
        <w:t>开标大会的，</w:t>
      </w:r>
      <w:r>
        <w:rPr>
          <w:rFonts w:hint="eastAsia" w:ascii="宋体" w:hAnsi="宋体" w:cs="Arial"/>
          <w:b/>
          <w:sz w:val="24"/>
        </w:rPr>
        <w:t>视同认可开标结果，</w:t>
      </w:r>
      <w:r>
        <w:rPr>
          <w:rFonts w:ascii="宋体" w:hAnsi="宋体" w:cs="Arial"/>
          <w:b/>
          <w:sz w:val="24"/>
        </w:rPr>
        <w:t>事后不得对采购相关人员、开标过程和开标结果提出异议</w:t>
      </w:r>
      <w:r>
        <w:rPr>
          <w:rFonts w:hint="eastAsia" w:ascii="宋体" w:hAnsi="宋体" w:cs="Arial"/>
          <w:b/>
          <w:sz w:val="24"/>
        </w:rPr>
        <w:t>，同时投标人因未在线参加开标而导致投标文件无法按时解密等一切后果由供应商自行承担。</w:t>
      </w:r>
    </w:p>
    <w:p w14:paraId="3274811A">
      <w:pPr>
        <w:snapToGrid w:val="0"/>
        <w:spacing w:line="440" w:lineRule="exact"/>
        <w:ind w:firstLine="480" w:firstLineChars="200"/>
        <w:rPr>
          <w:rFonts w:ascii="宋体" w:hAnsi="宋体" w:cs="宋体"/>
          <w:sz w:val="24"/>
          <w:szCs w:val="24"/>
        </w:rPr>
      </w:pPr>
      <w:r>
        <w:rPr>
          <w:rFonts w:hint="eastAsia" w:ascii="宋体" w:hAnsi="宋体" w:cs="宋体"/>
          <w:sz w:val="24"/>
          <w:szCs w:val="24"/>
        </w:rPr>
        <w:t>2、向各投标人发出“电子加密投标文件”【开始解密】通知，由供应商在招标文件规定的时间内自行进行投标文件解密。供应商在规定的时间内无法完成已递交的“电子加密投标文件”解密的，如已按规定递交了“备份投标文件”的，将由采购代理机构按“乐采云平台”操作规范将“备份投标文件”上传至“乐采云平台”，上传成功后，“电子加密投标文件”自动失效；</w:t>
      </w:r>
    </w:p>
    <w:p w14:paraId="3A8981C3">
      <w:pPr>
        <w:snapToGrid w:val="0"/>
        <w:spacing w:line="440" w:lineRule="exact"/>
        <w:ind w:firstLine="480" w:firstLineChars="200"/>
        <w:rPr>
          <w:rFonts w:ascii="宋体" w:hAnsi="宋体" w:cs="宋体"/>
          <w:sz w:val="24"/>
          <w:szCs w:val="24"/>
        </w:rPr>
      </w:pPr>
      <w:r>
        <w:rPr>
          <w:rFonts w:hint="eastAsia" w:ascii="宋体" w:hAnsi="宋体" w:cs="宋体"/>
          <w:sz w:val="24"/>
          <w:szCs w:val="24"/>
        </w:rPr>
        <w:t>3、由采购人或者采购代理机构评审资格证明文件，若资格审查不符合招标文件要求，通过“乐采云平台”线上告知其原因并由投标人签章确认</w:t>
      </w:r>
      <w:r>
        <w:rPr>
          <w:rFonts w:hint="eastAsia" w:ascii="宋体" w:hAnsi="宋体" w:cs="宋体"/>
          <w:color w:val="000000" w:themeColor="text1"/>
          <w:sz w:val="24"/>
          <w:szCs w:val="24"/>
          <w14:textFill>
            <w14:solidFill>
              <w14:schemeClr w14:val="tx1"/>
            </w14:solidFill>
          </w14:textFill>
        </w:rPr>
        <w:t>（不予确认的应说明理由，否则视为无异议）</w:t>
      </w:r>
      <w:r>
        <w:rPr>
          <w:rFonts w:hint="eastAsia" w:ascii="宋体" w:hAnsi="宋体" w:cs="宋体"/>
          <w:sz w:val="24"/>
          <w:szCs w:val="24"/>
        </w:rPr>
        <w:t>。资格审查未获通过的投标人，其商务技术文件及报价文件不进入评审。</w:t>
      </w:r>
    </w:p>
    <w:p w14:paraId="4843DBF9">
      <w:pPr>
        <w:snapToGrid w:val="0"/>
        <w:spacing w:line="440" w:lineRule="exact"/>
        <w:ind w:firstLine="480" w:firstLineChars="200"/>
        <w:rPr>
          <w:rFonts w:ascii="宋体" w:hAnsi="宋体" w:cs="宋体"/>
          <w:sz w:val="24"/>
          <w:szCs w:val="24"/>
        </w:rPr>
      </w:pPr>
      <w:r>
        <w:rPr>
          <w:rFonts w:hint="eastAsia" w:ascii="宋体" w:hAnsi="宋体" w:cs="宋体"/>
          <w:sz w:val="24"/>
          <w:szCs w:val="24"/>
        </w:rPr>
        <w:t>4、评标委员会对商务技术文件进行评审，评审内容包括符合性审查，技术、商务评估及比较等。符合性及商务技术审查不通过的，通过“乐采云平台”线上告知其原因并由投标人签章确认</w:t>
      </w:r>
      <w:r>
        <w:rPr>
          <w:rFonts w:hint="eastAsia" w:ascii="宋体" w:hAnsi="宋体" w:cs="宋体"/>
          <w:color w:val="000000" w:themeColor="text1"/>
          <w:sz w:val="24"/>
          <w:szCs w:val="24"/>
          <w14:textFill>
            <w14:solidFill>
              <w14:schemeClr w14:val="tx1"/>
            </w14:solidFill>
          </w14:textFill>
        </w:rPr>
        <w:t>（不予确认的应说明理由，否则视为无异议），</w:t>
      </w:r>
      <w:r>
        <w:rPr>
          <w:rFonts w:hint="eastAsia" w:ascii="宋体" w:hAnsi="宋体" w:cs="宋体"/>
          <w:sz w:val="24"/>
          <w:szCs w:val="24"/>
        </w:rPr>
        <w:t>其报价文件不再进入评审。</w:t>
      </w:r>
    </w:p>
    <w:p w14:paraId="6E5AB9E5">
      <w:pPr>
        <w:spacing w:line="360" w:lineRule="auto"/>
        <w:ind w:firstLine="424" w:firstLineChars="177"/>
        <w:jc w:val="left"/>
        <w:rPr>
          <w:rFonts w:ascii="宋体" w:hAnsi="宋体" w:cs="Arial"/>
          <w:sz w:val="24"/>
        </w:rPr>
      </w:pPr>
      <w:r>
        <w:rPr>
          <w:rFonts w:hint="eastAsia" w:ascii="宋体" w:hAnsi="宋体" w:cs="宋体"/>
          <w:sz w:val="24"/>
          <w:szCs w:val="24"/>
        </w:rPr>
        <w:t>5、</w:t>
      </w:r>
      <w:r>
        <w:rPr>
          <w:rFonts w:hint="eastAsia" w:ascii="宋体" w:hAnsi="宋体" w:cs="Arial"/>
          <w:sz w:val="24"/>
        </w:rPr>
        <w:t>开启符合性审查、商务技术评审有效投标人的《报价文件》，通过“乐采云平台”公布开标一览表有关内容，同时当场制作开标记录表，</w:t>
      </w:r>
      <w:r>
        <w:rPr>
          <w:rFonts w:hint="eastAsia" w:ascii="宋体" w:hAnsi="宋体" w:cs="Arial"/>
          <w:sz w:val="24"/>
          <w:u w:val="single"/>
        </w:rPr>
        <w:t>供应商通过“乐采云平台”</w:t>
      </w:r>
      <w:r>
        <w:rPr>
          <w:rFonts w:ascii="宋体" w:hAnsi="宋体" w:cs="Arial"/>
          <w:sz w:val="24"/>
          <w:u w:val="single"/>
        </w:rPr>
        <w:t>签</w:t>
      </w:r>
      <w:r>
        <w:rPr>
          <w:rFonts w:hint="eastAsia" w:ascii="宋体" w:hAnsi="宋体" w:cs="Arial"/>
          <w:sz w:val="24"/>
          <w:u w:val="single"/>
        </w:rPr>
        <w:t>章</w:t>
      </w:r>
      <w:r>
        <w:rPr>
          <w:rFonts w:ascii="宋体" w:hAnsi="宋体" w:cs="Arial"/>
          <w:sz w:val="24"/>
          <w:u w:val="single"/>
        </w:rPr>
        <w:t>确认</w:t>
      </w:r>
      <w:r>
        <w:rPr>
          <w:rFonts w:ascii="宋体" w:hAnsi="宋体" w:cs="Arial"/>
          <w:sz w:val="24"/>
        </w:rPr>
        <w:t>（不予确认的应说明理由，否则视为无异议）。</w:t>
      </w:r>
      <w:r>
        <w:rPr>
          <w:rFonts w:hint="eastAsia" w:ascii="宋体" w:hAnsi="宋体" w:cs="Arial"/>
          <w:sz w:val="24"/>
        </w:rPr>
        <w:t>报价文件开启</w:t>
      </w:r>
      <w:r>
        <w:rPr>
          <w:rFonts w:ascii="宋体" w:hAnsi="宋体" w:cs="Arial"/>
          <w:sz w:val="24"/>
        </w:rPr>
        <w:t>后，由评标委员会对报价的合理性、准确性等进行审查核实</w:t>
      </w:r>
      <w:r>
        <w:rPr>
          <w:rFonts w:hint="eastAsia" w:ascii="宋体" w:hAnsi="宋体" w:cs="Arial"/>
          <w:sz w:val="24"/>
        </w:rPr>
        <w:t>。</w:t>
      </w:r>
    </w:p>
    <w:p w14:paraId="299A6940">
      <w:pPr>
        <w:snapToGrid w:val="0"/>
        <w:spacing w:line="440" w:lineRule="exact"/>
        <w:ind w:firstLine="480" w:firstLineChars="200"/>
        <w:rPr>
          <w:rFonts w:ascii="宋体" w:hAnsi="宋体" w:cs="宋体"/>
          <w:sz w:val="24"/>
          <w:szCs w:val="24"/>
        </w:rPr>
      </w:pPr>
      <w:r>
        <w:rPr>
          <w:rFonts w:hint="eastAsia" w:ascii="宋体" w:hAnsi="宋体" w:cs="宋体"/>
          <w:sz w:val="24"/>
          <w:szCs w:val="24"/>
        </w:rPr>
        <w:t>6、评审结束后，由评标委员会编写并签署评审报告，评审报告应当根据评标办法及评分标准推荐中标候选人；</w:t>
      </w:r>
    </w:p>
    <w:p w14:paraId="23C474AC">
      <w:pPr>
        <w:snapToGrid w:val="0"/>
        <w:spacing w:line="440" w:lineRule="exact"/>
        <w:ind w:firstLine="480" w:firstLineChars="200"/>
        <w:rPr>
          <w:rFonts w:ascii="宋体" w:hAnsi="宋体" w:cs="宋体"/>
          <w:sz w:val="24"/>
          <w:szCs w:val="24"/>
        </w:rPr>
      </w:pPr>
      <w:r>
        <w:rPr>
          <w:rFonts w:hint="eastAsia" w:ascii="宋体" w:hAnsi="宋体" w:cs="宋体"/>
          <w:sz w:val="24"/>
          <w:szCs w:val="24"/>
        </w:rPr>
        <w:t>7、采购代理机构将通过“乐采云平台”线上公布中标（成交）候选供应商名单并出具开标记录，由主持人、记录人、现场监督员当场签字确认；</w:t>
      </w:r>
    </w:p>
    <w:p w14:paraId="42BCBBB5">
      <w:pPr>
        <w:snapToGrid w:val="0"/>
        <w:spacing w:line="440" w:lineRule="exact"/>
        <w:ind w:firstLine="480" w:firstLineChars="200"/>
        <w:rPr>
          <w:rFonts w:ascii="宋体" w:hAnsi="宋体" w:cs="宋体"/>
          <w:sz w:val="24"/>
          <w:szCs w:val="24"/>
        </w:rPr>
      </w:pPr>
      <w:r>
        <w:rPr>
          <w:rFonts w:hint="eastAsia" w:ascii="宋体" w:hAnsi="宋体" w:cs="宋体"/>
          <w:sz w:val="24"/>
          <w:szCs w:val="24"/>
        </w:rPr>
        <w:t>8、开标会议结束。</w:t>
      </w:r>
    </w:p>
    <w:p w14:paraId="5D79E4B2">
      <w:pPr>
        <w:snapToGrid w:val="0"/>
        <w:spacing w:line="440" w:lineRule="exact"/>
        <w:ind w:firstLine="480" w:firstLineChars="200"/>
        <w:rPr>
          <w:rFonts w:ascii="宋体" w:hAnsi="宋体" w:cs="宋体"/>
          <w:b/>
          <w:bCs/>
          <w:color w:val="FF0000"/>
          <w:sz w:val="24"/>
          <w:szCs w:val="24"/>
        </w:rPr>
      </w:pPr>
      <w:r>
        <w:rPr>
          <w:rFonts w:hint="eastAsia" w:ascii="宋体" w:hAnsi="宋体" w:cs="宋体"/>
          <w:b/>
          <w:bCs/>
          <w:color w:val="FF0000"/>
          <w:sz w:val="24"/>
          <w:szCs w:val="24"/>
        </w:rPr>
        <w:t>特别说明：“乐采云平台”如对电子化开标及评审程序有调整的，按调整后的程序操作。</w:t>
      </w:r>
    </w:p>
    <w:p w14:paraId="2847679E">
      <w:pPr>
        <w:pStyle w:val="23"/>
        <w:snapToGrid w:val="0"/>
        <w:spacing w:line="440" w:lineRule="exact"/>
        <w:jc w:val="center"/>
        <w:outlineLvl w:val="1"/>
        <w:rPr>
          <w:rFonts w:hAnsi="宋体" w:cs="Times New Roman"/>
          <w:b/>
          <w:bCs/>
          <w:sz w:val="28"/>
          <w:szCs w:val="28"/>
        </w:rPr>
      </w:pPr>
      <w:r>
        <w:rPr>
          <w:rFonts w:hint="eastAsia" w:hAnsi="宋体"/>
          <w:b/>
          <w:bCs/>
          <w:sz w:val="28"/>
          <w:szCs w:val="28"/>
        </w:rPr>
        <w:t>五、评标</w:t>
      </w:r>
    </w:p>
    <w:p w14:paraId="565EE1E7">
      <w:pPr>
        <w:pStyle w:val="5"/>
        <w:numPr>
          <w:ilvl w:val="2"/>
          <w:numId w:val="0"/>
        </w:numPr>
        <w:spacing w:before="0" w:after="0"/>
        <w:ind w:left="728" w:leftChars="185" w:hanging="340" w:hangingChars="142"/>
        <w:rPr>
          <w:rFonts w:ascii="宋体" w:hAnsi="宋体"/>
          <w:sz w:val="24"/>
          <w:szCs w:val="24"/>
        </w:rPr>
      </w:pPr>
      <w:r>
        <w:rPr>
          <w:rFonts w:hint="eastAsia" w:ascii="宋体" w:hAnsi="宋体" w:cs="宋体"/>
          <w:sz w:val="24"/>
          <w:szCs w:val="24"/>
        </w:rPr>
        <w:t>（一）</w:t>
      </w:r>
      <w:r>
        <w:rPr>
          <w:rFonts w:hint="eastAsia" w:ascii="宋体" w:hAnsi="宋体"/>
          <w:sz w:val="24"/>
          <w:szCs w:val="24"/>
        </w:rPr>
        <w:t>评审工作的组织</w:t>
      </w:r>
    </w:p>
    <w:p w14:paraId="110D3C07">
      <w:pPr>
        <w:spacing w:line="360" w:lineRule="auto"/>
        <w:ind w:firstLine="422" w:firstLineChars="176"/>
        <w:rPr>
          <w:rFonts w:ascii="宋体" w:hAnsi="宋体" w:cs="Arial"/>
          <w:sz w:val="24"/>
        </w:rPr>
      </w:pPr>
      <w:r>
        <w:rPr>
          <w:rFonts w:hint="eastAsia" w:ascii="宋体" w:hAnsi="宋体" w:cs="Arial"/>
          <w:sz w:val="24"/>
        </w:rPr>
        <w:t>1、采购人或采购代理机构负责组织本项目的评审工作。</w:t>
      </w:r>
    </w:p>
    <w:p w14:paraId="43C49B9B">
      <w:pPr>
        <w:pStyle w:val="5"/>
        <w:numPr>
          <w:ilvl w:val="2"/>
          <w:numId w:val="0"/>
        </w:numPr>
        <w:spacing w:before="0" w:after="0"/>
        <w:ind w:left="728" w:leftChars="185" w:hanging="340" w:hangingChars="142"/>
        <w:rPr>
          <w:rFonts w:ascii="宋体" w:hAnsi="宋体"/>
          <w:sz w:val="24"/>
          <w:szCs w:val="24"/>
        </w:rPr>
      </w:pPr>
      <w:r>
        <w:rPr>
          <w:rFonts w:hint="eastAsia" w:ascii="宋体" w:hAnsi="宋体" w:cs="宋体"/>
          <w:sz w:val="24"/>
          <w:szCs w:val="24"/>
        </w:rPr>
        <w:t>（二）</w:t>
      </w:r>
      <w:r>
        <w:rPr>
          <w:rFonts w:hint="eastAsia" w:ascii="宋体" w:hAnsi="宋体"/>
          <w:sz w:val="24"/>
          <w:szCs w:val="24"/>
        </w:rPr>
        <w:t>评标委员会的组建</w:t>
      </w:r>
    </w:p>
    <w:p w14:paraId="68925296">
      <w:pPr>
        <w:spacing w:line="360" w:lineRule="auto"/>
        <w:ind w:firstLine="422" w:firstLineChars="176"/>
        <w:rPr>
          <w:rFonts w:ascii="宋体" w:hAnsi="宋体" w:cs="Arial"/>
          <w:sz w:val="24"/>
        </w:rPr>
      </w:pPr>
      <w:r>
        <w:rPr>
          <w:rFonts w:hint="eastAsia" w:ascii="宋体" w:hAnsi="宋体" w:cs="Arial"/>
          <w:sz w:val="24"/>
        </w:rPr>
        <w:t>1、评标委员会由采购人或采购代理机构依法组建，成员包括采购人代表和评审专家，成员人数</w:t>
      </w:r>
      <w:r>
        <w:rPr>
          <w:rFonts w:ascii="宋体" w:hAnsi="宋体" w:cs="Arial"/>
          <w:sz w:val="24"/>
        </w:rPr>
        <w:t>为</w:t>
      </w:r>
      <w:r>
        <w:rPr>
          <w:rFonts w:hint="eastAsia" w:ascii="宋体" w:hAnsi="宋体" w:cs="Arial"/>
          <w:sz w:val="24"/>
        </w:rPr>
        <w:t>五</w:t>
      </w:r>
      <w:r>
        <w:rPr>
          <w:rFonts w:ascii="宋体" w:hAnsi="宋体" w:cs="Arial"/>
          <w:sz w:val="24"/>
        </w:rPr>
        <w:t>人</w:t>
      </w:r>
      <w:r>
        <w:rPr>
          <w:rFonts w:hint="eastAsia" w:ascii="宋体" w:hAnsi="宋体" w:cs="Arial"/>
          <w:sz w:val="24"/>
        </w:rPr>
        <w:t>或以上单数，其中评审专家不少于成员总数的三分之二。</w:t>
      </w:r>
    </w:p>
    <w:p w14:paraId="5077370F">
      <w:pPr>
        <w:spacing w:line="360" w:lineRule="auto"/>
        <w:ind w:firstLine="422" w:firstLineChars="176"/>
        <w:rPr>
          <w:rFonts w:ascii="宋体" w:hAnsi="宋体" w:cs="Arial"/>
          <w:sz w:val="24"/>
        </w:rPr>
      </w:pPr>
      <w:r>
        <w:rPr>
          <w:rFonts w:hint="eastAsia" w:ascii="宋体" w:hAnsi="宋体" w:cs="Arial"/>
          <w:sz w:val="24"/>
        </w:rPr>
        <w:t>2、评标委员会成员名单在评审结果（采购结果）公告前保密。</w:t>
      </w:r>
    </w:p>
    <w:p w14:paraId="088809E0">
      <w:pPr>
        <w:pStyle w:val="5"/>
        <w:numPr>
          <w:ilvl w:val="2"/>
          <w:numId w:val="0"/>
        </w:numPr>
        <w:spacing w:before="0" w:after="0"/>
        <w:ind w:left="728" w:leftChars="185" w:hanging="340" w:hangingChars="142"/>
        <w:rPr>
          <w:rFonts w:ascii="宋体" w:hAnsi="宋体"/>
          <w:sz w:val="24"/>
          <w:szCs w:val="24"/>
        </w:rPr>
      </w:pPr>
      <w:r>
        <w:rPr>
          <w:rFonts w:hint="eastAsia" w:ascii="宋体" w:hAnsi="宋体" w:cs="宋体"/>
          <w:sz w:val="24"/>
          <w:szCs w:val="24"/>
        </w:rPr>
        <w:t>（三）</w:t>
      </w:r>
      <w:r>
        <w:rPr>
          <w:rFonts w:hint="eastAsia" w:ascii="宋体" w:hAnsi="宋体"/>
          <w:sz w:val="24"/>
          <w:szCs w:val="24"/>
        </w:rPr>
        <w:t>评标委员会的职责</w:t>
      </w:r>
    </w:p>
    <w:p w14:paraId="65EF9E87">
      <w:pPr>
        <w:spacing w:line="360" w:lineRule="auto"/>
        <w:ind w:firstLine="422" w:firstLineChars="176"/>
        <w:rPr>
          <w:rFonts w:ascii="宋体" w:hAnsi="宋体" w:cs="Arial"/>
          <w:b/>
          <w:sz w:val="24"/>
        </w:rPr>
      </w:pPr>
      <w:r>
        <w:rPr>
          <w:rFonts w:hint="eastAsia" w:ascii="宋体" w:hAnsi="宋体" w:cs="Arial"/>
          <w:b/>
          <w:sz w:val="24"/>
        </w:rPr>
        <w:t>1、评标委员会负责具体评审事务，并独立履行下列职责：</w:t>
      </w:r>
    </w:p>
    <w:p w14:paraId="34A19E2D">
      <w:pPr>
        <w:spacing w:line="360" w:lineRule="auto"/>
        <w:ind w:firstLine="422" w:firstLineChars="176"/>
        <w:rPr>
          <w:rFonts w:ascii="宋体" w:hAnsi="宋体" w:cs="Arial"/>
          <w:sz w:val="24"/>
        </w:rPr>
      </w:pPr>
      <w:r>
        <w:rPr>
          <w:rFonts w:hint="eastAsia" w:ascii="宋体" w:hAnsi="宋体" w:cs="Arial"/>
          <w:sz w:val="24"/>
        </w:rPr>
        <w:t>（1）审查、评价投标文件是否符合招标文件的商务、技术等实质性要求；</w:t>
      </w:r>
    </w:p>
    <w:p w14:paraId="373DE4DD">
      <w:pPr>
        <w:spacing w:line="360" w:lineRule="auto"/>
        <w:ind w:firstLine="422" w:firstLineChars="176"/>
        <w:rPr>
          <w:rFonts w:ascii="宋体" w:hAnsi="宋体" w:cs="Arial"/>
          <w:sz w:val="24"/>
        </w:rPr>
      </w:pPr>
      <w:r>
        <w:rPr>
          <w:rFonts w:hint="eastAsia" w:ascii="宋体" w:hAnsi="宋体" w:cs="Arial"/>
          <w:sz w:val="24"/>
        </w:rPr>
        <w:t>（2）要求投标人对投标文件有关事项作出澄清或者说明；</w:t>
      </w:r>
    </w:p>
    <w:p w14:paraId="5C81B4D2">
      <w:pPr>
        <w:spacing w:line="360" w:lineRule="auto"/>
        <w:ind w:firstLine="422" w:firstLineChars="176"/>
        <w:rPr>
          <w:rFonts w:ascii="宋体" w:hAnsi="宋体" w:cs="Arial"/>
          <w:sz w:val="24"/>
        </w:rPr>
      </w:pPr>
      <w:r>
        <w:rPr>
          <w:rFonts w:hint="eastAsia" w:ascii="宋体" w:hAnsi="宋体" w:cs="Arial"/>
          <w:sz w:val="24"/>
        </w:rPr>
        <w:t>（3）对投标文件进行比较和评价；</w:t>
      </w:r>
    </w:p>
    <w:p w14:paraId="7702C184">
      <w:pPr>
        <w:spacing w:line="360" w:lineRule="auto"/>
        <w:ind w:firstLine="422" w:firstLineChars="176"/>
        <w:rPr>
          <w:rFonts w:ascii="宋体" w:hAnsi="宋体" w:cs="Arial"/>
          <w:sz w:val="24"/>
        </w:rPr>
      </w:pPr>
      <w:r>
        <w:rPr>
          <w:rFonts w:hint="eastAsia" w:ascii="宋体" w:hAnsi="宋体" w:cs="Arial"/>
          <w:sz w:val="24"/>
        </w:rPr>
        <w:t>（4）确定中标候选人名单，以及根据采购人委托直接确定中标人。</w:t>
      </w:r>
    </w:p>
    <w:p w14:paraId="3FC6CE01">
      <w:pPr>
        <w:pStyle w:val="23"/>
        <w:tabs>
          <w:tab w:val="left" w:pos="630"/>
        </w:tabs>
        <w:snapToGrid w:val="0"/>
        <w:spacing w:line="440" w:lineRule="exact"/>
        <w:ind w:firstLine="480" w:firstLineChars="200"/>
        <w:rPr>
          <w:rFonts w:hAnsi="宋体" w:cs="Times New Roman"/>
          <w:b/>
          <w:bCs/>
          <w:sz w:val="24"/>
          <w:szCs w:val="24"/>
        </w:rPr>
      </w:pPr>
      <w:r>
        <w:rPr>
          <w:rFonts w:hint="eastAsia" w:hAnsi="宋体"/>
          <w:b/>
          <w:bCs/>
          <w:sz w:val="24"/>
          <w:szCs w:val="24"/>
        </w:rPr>
        <w:t>（四）评标原则和评标办法</w:t>
      </w:r>
    </w:p>
    <w:p w14:paraId="48D9C92A">
      <w:pPr>
        <w:pStyle w:val="23"/>
        <w:snapToGrid w:val="0"/>
        <w:spacing w:line="440" w:lineRule="exact"/>
        <w:ind w:firstLine="480" w:firstLineChars="200"/>
        <w:rPr>
          <w:rFonts w:hAnsi="宋体"/>
          <w:sz w:val="24"/>
          <w:szCs w:val="24"/>
        </w:rPr>
      </w:pPr>
      <w:r>
        <w:rPr>
          <w:rFonts w:hAnsi="宋体"/>
          <w:sz w:val="24"/>
          <w:szCs w:val="24"/>
        </w:rPr>
        <w:t>1</w:t>
      </w:r>
      <w:r>
        <w:rPr>
          <w:rFonts w:hint="eastAsia" w:hAnsi="宋体"/>
          <w:sz w:val="24"/>
          <w:szCs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6073110">
      <w:pPr>
        <w:pStyle w:val="23"/>
        <w:snapToGrid w:val="0"/>
        <w:spacing w:line="440" w:lineRule="exact"/>
        <w:ind w:firstLine="480" w:firstLineChars="200"/>
        <w:rPr>
          <w:rFonts w:hAnsi="宋体" w:cs="Times New Roman"/>
          <w:sz w:val="24"/>
          <w:szCs w:val="24"/>
        </w:rPr>
      </w:pPr>
      <w:r>
        <w:rPr>
          <w:rFonts w:hint="eastAsia" w:hAnsi="宋体"/>
          <w:sz w:val="24"/>
          <w:szCs w:val="24"/>
        </w:rPr>
        <w:t>2、评审工作将依据招标文件、投标文件，具体评标内容及评分标准等详见《第三章：评标方法及评分标准》。</w:t>
      </w:r>
    </w:p>
    <w:p w14:paraId="3CF226BA">
      <w:pPr>
        <w:pStyle w:val="23"/>
        <w:snapToGrid w:val="0"/>
        <w:spacing w:line="440" w:lineRule="exact"/>
        <w:ind w:firstLine="480" w:firstLineChars="200"/>
        <w:rPr>
          <w:rFonts w:hAnsi="宋体" w:cs="Times New Roman"/>
          <w:sz w:val="24"/>
          <w:szCs w:val="24"/>
        </w:rPr>
      </w:pPr>
      <w:r>
        <w:rPr>
          <w:rFonts w:hint="eastAsia" w:hAnsi="宋体"/>
          <w:sz w:val="24"/>
          <w:szCs w:val="24"/>
        </w:rPr>
        <w:t>3、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0C48756">
      <w:pPr>
        <w:pStyle w:val="5"/>
        <w:numPr>
          <w:ilvl w:val="2"/>
          <w:numId w:val="0"/>
        </w:numPr>
        <w:spacing w:before="0" w:after="0"/>
        <w:ind w:left="728" w:leftChars="185" w:hanging="340" w:hangingChars="142"/>
        <w:rPr>
          <w:rFonts w:ascii="宋体" w:hAnsi="宋体"/>
          <w:sz w:val="24"/>
          <w:szCs w:val="24"/>
        </w:rPr>
      </w:pPr>
      <w:r>
        <w:rPr>
          <w:rFonts w:hint="eastAsia" w:ascii="宋体" w:hAnsi="宋体" w:cs="宋体"/>
          <w:sz w:val="24"/>
          <w:szCs w:val="24"/>
        </w:rPr>
        <w:t>（五）</w:t>
      </w:r>
      <w:r>
        <w:rPr>
          <w:rFonts w:hint="eastAsia" w:ascii="宋体" w:hAnsi="宋体"/>
          <w:sz w:val="24"/>
          <w:szCs w:val="24"/>
        </w:rPr>
        <w:t>评审意见的争议处理</w:t>
      </w:r>
    </w:p>
    <w:p w14:paraId="7E88B8F1">
      <w:pPr>
        <w:spacing w:line="360" w:lineRule="auto"/>
        <w:ind w:firstLine="424" w:firstLineChars="177"/>
        <w:rPr>
          <w:rFonts w:ascii="宋体" w:hAnsi="宋体" w:cs="Arial"/>
          <w:bCs/>
          <w:sz w:val="24"/>
        </w:rPr>
      </w:pPr>
      <w:r>
        <w:rPr>
          <w:rFonts w:hint="eastAsia" w:ascii="宋体" w:hAnsi="宋体" w:cs="Arial"/>
          <w:bCs/>
          <w:sz w:val="24"/>
        </w:rPr>
        <w:t>1、评标委员会</w:t>
      </w:r>
      <w:r>
        <w:rPr>
          <w:rFonts w:ascii="宋体" w:hAnsi="宋体" w:cs="Arial"/>
          <w:bCs/>
          <w:sz w:val="24"/>
        </w:rPr>
        <w:t>成员对需要共同认定的事项存在争议的，按照少数服从多数的原则作出结论。持不同意见的</w:t>
      </w:r>
      <w:r>
        <w:rPr>
          <w:rFonts w:hint="eastAsia" w:ascii="宋体" w:hAnsi="宋体" w:cs="Arial"/>
          <w:bCs/>
          <w:sz w:val="24"/>
        </w:rPr>
        <w:t>评标委员会</w:t>
      </w:r>
      <w:r>
        <w:rPr>
          <w:rFonts w:ascii="宋体" w:hAnsi="宋体" w:cs="Arial"/>
          <w:bCs/>
          <w:sz w:val="24"/>
        </w:rPr>
        <w:t>成员应当在评</w:t>
      </w:r>
      <w:r>
        <w:rPr>
          <w:rFonts w:hint="eastAsia" w:ascii="宋体" w:hAnsi="宋体" w:cs="Arial"/>
          <w:bCs/>
          <w:sz w:val="24"/>
        </w:rPr>
        <w:t>审</w:t>
      </w:r>
      <w:r>
        <w:rPr>
          <w:rFonts w:ascii="宋体" w:hAnsi="宋体" w:cs="Arial"/>
          <w:bCs/>
          <w:sz w:val="24"/>
        </w:rPr>
        <w:t>报告上签署不同意见及理由，否则视为同意评</w:t>
      </w:r>
      <w:r>
        <w:rPr>
          <w:rFonts w:hint="eastAsia" w:ascii="宋体" w:hAnsi="宋体" w:cs="Arial"/>
          <w:bCs/>
          <w:sz w:val="24"/>
        </w:rPr>
        <w:t>审</w:t>
      </w:r>
      <w:r>
        <w:rPr>
          <w:rFonts w:ascii="宋体" w:hAnsi="宋体" w:cs="Arial"/>
          <w:bCs/>
          <w:sz w:val="24"/>
        </w:rPr>
        <w:t>报告。</w:t>
      </w:r>
    </w:p>
    <w:p w14:paraId="5E2BF96C">
      <w:pPr>
        <w:pStyle w:val="5"/>
        <w:numPr>
          <w:ilvl w:val="2"/>
          <w:numId w:val="0"/>
        </w:numPr>
        <w:spacing w:before="0" w:after="0"/>
        <w:ind w:left="728" w:leftChars="185" w:hanging="340" w:hangingChars="142"/>
        <w:rPr>
          <w:rFonts w:ascii="宋体" w:hAnsi="宋体"/>
          <w:sz w:val="24"/>
          <w:szCs w:val="24"/>
        </w:rPr>
      </w:pPr>
      <w:r>
        <w:rPr>
          <w:rFonts w:hint="eastAsia" w:ascii="宋体" w:hAnsi="宋体" w:cs="宋体"/>
          <w:sz w:val="24"/>
          <w:szCs w:val="24"/>
        </w:rPr>
        <w:t>（六）</w:t>
      </w:r>
      <w:r>
        <w:rPr>
          <w:rFonts w:hint="eastAsia" w:ascii="宋体" w:hAnsi="宋体"/>
          <w:sz w:val="24"/>
          <w:szCs w:val="24"/>
        </w:rPr>
        <w:t>评委纪律</w:t>
      </w:r>
    </w:p>
    <w:p w14:paraId="580C9872">
      <w:pPr>
        <w:spacing w:line="360" w:lineRule="auto"/>
        <w:ind w:firstLine="424" w:firstLineChars="177"/>
        <w:rPr>
          <w:rFonts w:ascii="宋体" w:hAnsi="宋体" w:cs="Arial"/>
          <w:sz w:val="24"/>
        </w:rPr>
      </w:pPr>
      <w:r>
        <w:rPr>
          <w:rFonts w:hint="eastAsia" w:ascii="宋体" w:hAnsi="宋体" w:cs="Arial"/>
          <w:sz w:val="24"/>
        </w:rPr>
        <w:t>1、评标委员会成员</w:t>
      </w:r>
      <w:r>
        <w:rPr>
          <w:rFonts w:ascii="宋体" w:hAnsi="宋体" w:cs="Arial"/>
          <w:sz w:val="24"/>
        </w:rPr>
        <w:t>必须严格遵守保密规定，不得泄露评</w:t>
      </w:r>
      <w:r>
        <w:rPr>
          <w:rFonts w:hint="eastAsia" w:ascii="宋体" w:hAnsi="宋体" w:cs="Arial"/>
          <w:sz w:val="24"/>
        </w:rPr>
        <w:t>审</w:t>
      </w:r>
      <w:r>
        <w:rPr>
          <w:rFonts w:ascii="宋体" w:hAnsi="宋体" w:cs="Arial"/>
          <w:sz w:val="24"/>
        </w:rPr>
        <w:t>的有关情况</w:t>
      </w:r>
      <w:r>
        <w:rPr>
          <w:rFonts w:hint="eastAsia" w:ascii="宋体" w:hAnsi="宋体" w:cs="Arial"/>
          <w:sz w:val="24"/>
        </w:rPr>
        <w:t>，</w:t>
      </w:r>
      <w:r>
        <w:rPr>
          <w:rFonts w:ascii="宋体" w:hAnsi="宋体" w:cs="Arial"/>
          <w:sz w:val="24"/>
        </w:rPr>
        <w:t>任何单位和个人不得干扰、影响评标的正常进行</w:t>
      </w:r>
      <w:r>
        <w:rPr>
          <w:rFonts w:hint="eastAsia" w:ascii="宋体" w:hAnsi="宋体" w:cs="Arial"/>
          <w:sz w:val="24"/>
        </w:rPr>
        <w:t>，</w:t>
      </w:r>
      <w:r>
        <w:rPr>
          <w:rFonts w:ascii="宋体" w:hAnsi="宋体" w:cs="Arial"/>
          <w:sz w:val="24"/>
        </w:rPr>
        <w:t>评标委员会</w:t>
      </w:r>
      <w:r>
        <w:rPr>
          <w:rFonts w:hint="eastAsia" w:ascii="宋体" w:hAnsi="宋体" w:cs="Arial"/>
          <w:sz w:val="24"/>
        </w:rPr>
        <w:t>成员</w:t>
      </w:r>
      <w:r>
        <w:rPr>
          <w:rFonts w:ascii="宋体" w:hAnsi="宋体" w:cs="Arial"/>
          <w:sz w:val="24"/>
        </w:rPr>
        <w:t>不得私下与</w:t>
      </w:r>
      <w:r>
        <w:rPr>
          <w:rFonts w:hint="eastAsia" w:ascii="宋体" w:hAnsi="宋体" w:cs="Arial"/>
          <w:sz w:val="24"/>
        </w:rPr>
        <w:t>投标人</w:t>
      </w:r>
      <w:r>
        <w:rPr>
          <w:rFonts w:ascii="宋体" w:hAnsi="宋体" w:cs="Arial"/>
          <w:sz w:val="24"/>
        </w:rPr>
        <w:t>接触</w:t>
      </w:r>
      <w:r>
        <w:rPr>
          <w:rFonts w:hint="eastAsia" w:ascii="宋体" w:hAnsi="宋体" w:cs="Arial"/>
          <w:sz w:val="24"/>
        </w:rPr>
        <w:t>。</w:t>
      </w:r>
    </w:p>
    <w:p w14:paraId="7641430C">
      <w:pPr>
        <w:pStyle w:val="5"/>
        <w:numPr>
          <w:ilvl w:val="2"/>
          <w:numId w:val="0"/>
        </w:numPr>
        <w:spacing w:before="0" w:after="0"/>
        <w:ind w:left="728" w:leftChars="185" w:hanging="340" w:hangingChars="142"/>
        <w:rPr>
          <w:rFonts w:ascii="宋体" w:hAnsi="宋体" w:cs="宋体"/>
          <w:sz w:val="24"/>
          <w:szCs w:val="24"/>
        </w:rPr>
      </w:pPr>
      <w:bookmarkStart w:id="14" w:name="_Toc24550043"/>
      <w:bookmarkStart w:id="15" w:name="_Toc33194395"/>
      <w:r>
        <w:rPr>
          <w:rFonts w:hint="eastAsia" w:ascii="宋体" w:hAnsi="宋体" w:cs="宋体"/>
          <w:sz w:val="24"/>
          <w:szCs w:val="24"/>
        </w:rPr>
        <w:t>（七）</w:t>
      </w:r>
      <w:bookmarkEnd w:id="14"/>
      <w:bookmarkStart w:id="16" w:name="_Toc24550044"/>
      <w:r>
        <w:rPr>
          <w:rFonts w:hint="eastAsia" w:ascii="宋体" w:hAnsi="宋体" w:cs="宋体"/>
          <w:sz w:val="24"/>
          <w:szCs w:val="24"/>
        </w:rPr>
        <w:t>评审流程及内容</w:t>
      </w:r>
      <w:bookmarkEnd w:id="15"/>
      <w:bookmarkEnd w:id="16"/>
    </w:p>
    <w:p w14:paraId="40B62A4E">
      <w:pPr>
        <w:spacing w:line="360" w:lineRule="auto"/>
        <w:ind w:firstLine="422" w:firstLineChars="176"/>
        <w:rPr>
          <w:rFonts w:ascii="宋体" w:hAnsi="宋体"/>
          <w:sz w:val="24"/>
        </w:rPr>
      </w:pPr>
      <w:r>
        <w:rPr>
          <w:rFonts w:hint="eastAsia" w:ascii="宋体" w:hAnsi="宋体" w:cs="Arial"/>
          <w:b/>
          <w:sz w:val="24"/>
        </w:rPr>
        <w:t>本项目具体的评审事务由评标委员会负责，评审流程及内容如下：</w:t>
      </w:r>
    </w:p>
    <w:p w14:paraId="2781D16C">
      <w:pPr>
        <w:pStyle w:val="5"/>
        <w:numPr>
          <w:ilvl w:val="2"/>
          <w:numId w:val="0"/>
        </w:numPr>
        <w:spacing w:before="0" w:after="0"/>
        <w:ind w:left="728" w:leftChars="185" w:hanging="340" w:hangingChars="142"/>
        <w:rPr>
          <w:rFonts w:ascii="宋体" w:hAnsi="宋体"/>
          <w:sz w:val="24"/>
          <w:szCs w:val="24"/>
        </w:rPr>
      </w:pPr>
      <w:r>
        <w:rPr>
          <w:rFonts w:hint="eastAsia" w:ascii="宋体" w:hAnsi="宋体"/>
          <w:sz w:val="24"/>
          <w:szCs w:val="24"/>
        </w:rPr>
        <w:t>1、评审前准备</w:t>
      </w:r>
    </w:p>
    <w:p w14:paraId="3A4BE2F8">
      <w:pPr>
        <w:spacing w:line="360" w:lineRule="auto"/>
        <w:ind w:firstLine="240" w:firstLineChars="100"/>
        <w:rPr>
          <w:rFonts w:ascii="宋体" w:hAnsi="宋体" w:cs="Arial"/>
          <w:sz w:val="24"/>
        </w:rPr>
      </w:pPr>
      <w:r>
        <w:rPr>
          <w:rFonts w:hint="eastAsia" w:ascii="宋体" w:hAnsi="宋体" w:cs="Arial"/>
          <w:sz w:val="24"/>
        </w:rPr>
        <w:t>（1）由评审专家推选评审小组组长，采购人代表不得担任评审小组组长。</w:t>
      </w:r>
    </w:p>
    <w:p w14:paraId="0C4F098E">
      <w:pPr>
        <w:spacing w:line="360" w:lineRule="auto"/>
        <w:ind w:firstLine="240" w:firstLineChars="100"/>
        <w:rPr>
          <w:rFonts w:ascii="宋体" w:hAnsi="宋体" w:cs="Arial"/>
          <w:b/>
          <w:sz w:val="24"/>
        </w:rPr>
      </w:pPr>
      <w:r>
        <w:rPr>
          <w:rFonts w:hint="eastAsia" w:ascii="宋体" w:hAnsi="宋体" w:cs="Arial"/>
          <w:sz w:val="24"/>
        </w:rPr>
        <w:t>（2）由评审小组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14:paraId="4F2E4EAC">
      <w:pPr>
        <w:pStyle w:val="5"/>
        <w:numPr>
          <w:ilvl w:val="2"/>
          <w:numId w:val="0"/>
        </w:numPr>
        <w:spacing w:before="0" w:after="0"/>
        <w:ind w:left="728" w:leftChars="185" w:hanging="340" w:hangingChars="142"/>
        <w:rPr>
          <w:rFonts w:ascii="宋体" w:hAnsi="宋体"/>
          <w:sz w:val="24"/>
          <w:szCs w:val="24"/>
        </w:rPr>
      </w:pPr>
      <w:r>
        <w:rPr>
          <w:rFonts w:hint="eastAsia" w:ascii="宋体" w:hAnsi="宋体" w:cs="宋体"/>
          <w:sz w:val="24"/>
          <w:szCs w:val="24"/>
        </w:rPr>
        <w:t>2、</w:t>
      </w:r>
      <w:r>
        <w:rPr>
          <w:rFonts w:hint="eastAsia" w:ascii="宋体" w:hAnsi="宋体"/>
          <w:sz w:val="24"/>
          <w:szCs w:val="24"/>
        </w:rPr>
        <w:t>投标文件的初步审查、符合性审查</w:t>
      </w:r>
    </w:p>
    <w:p w14:paraId="3E8CFE44">
      <w:pPr>
        <w:spacing w:line="360" w:lineRule="auto"/>
        <w:ind w:firstLine="424" w:firstLineChars="177"/>
        <w:rPr>
          <w:rFonts w:ascii="宋体" w:hAnsi="宋体" w:cs="Arial"/>
          <w:b/>
          <w:sz w:val="24"/>
        </w:rPr>
      </w:pPr>
      <w:r>
        <w:rPr>
          <w:rFonts w:hint="eastAsia" w:ascii="宋体" w:hAnsi="宋体" w:cs="Arial"/>
          <w:b/>
          <w:sz w:val="24"/>
        </w:rPr>
        <w:t>对所有通过资格审查的投标人的投标文件进行初步审查，审查、评价投标文件是否符合招标文件的商务、技术、服务等实质性要求。</w:t>
      </w:r>
    </w:p>
    <w:p w14:paraId="4203521E">
      <w:pPr>
        <w:spacing w:line="360" w:lineRule="auto"/>
        <w:ind w:firstLine="424" w:firstLineChars="177"/>
        <w:rPr>
          <w:rFonts w:ascii="宋体" w:hAnsi="宋体"/>
          <w:sz w:val="24"/>
        </w:rPr>
      </w:pPr>
      <w:r>
        <w:rPr>
          <w:rFonts w:hint="eastAsia" w:ascii="宋体" w:hAnsi="宋体"/>
          <w:sz w:val="24"/>
        </w:rPr>
        <w:t>（1）评标委员会</w:t>
      </w:r>
      <w:r>
        <w:rPr>
          <w:rFonts w:ascii="宋体" w:hAnsi="宋体"/>
          <w:sz w:val="24"/>
        </w:rPr>
        <w:t>首先</w:t>
      </w:r>
      <w:r>
        <w:rPr>
          <w:rFonts w:hint="eastAsia" w:ascii="宋体" w:hAnsi="宋体"/>
          <w:sz w:val="24"/>
        </w:rPr>
        <w:t>对所有通过资格审查的投标人的</w:t>
      </w:r>
      <w:r>
        <w:rPr>
          <w:rFonts w:ascii="宋体" w:hAnsi="宋体"/>
          <w:sz w:val="24"/>
        </w:rPr>
        <w:t>投标文件</w:t>
      </w:r>
      <w:r>
        <w:rPr>
          <w:rFonts w:hint="eastAsia" w:ascii="宋体" w:hAnsi="宋体"/>
          <w:sz w:val="24"/>
        </w:rPr>
        <w:t>进行符合性审查，审查每份投标文件</w:t>
      </w:r>
      <w:r>
        <w:rPr>
          <w:rFonts w:ascii="宋体" w:hAnsi="宋体"/>
          <w:sz w:val="24"/>
        </w:rPr>
        <w:t>是否实质上响应了招标文件的要求</w:t>
      </w:r>
      <w:r>
        <w:rPr>
          <w:rFonts w:hint="eastAsia" w:ascii="宋体" w:hAnsi="宋体"/>
          <w:sz w:val="24"/>
        </w:rPr>
        <w:t>（</w:t>
      </w:r>
      <w:r>
        <w:rPr>
          <w:rFonts w:ascii="宋体" w:hAnsi="宋体"/>
          <w:sz w:val="24"/>
        </w:rPr>
        <w:t>实质性响应的投标文件是指投标文件符合招标文件规定的实质性内容、条件和规定</w:t>
      </w:r>
      <w:r>
        <w:rPr>
          <w:rFonts w:hint="eastAsia" w:ascii="宋体" w:hAnsi="宋体"/>
          <w:sz w:val="24"/>
        </w:rPr>
        <w:t>）</w:t>
      </w:r>
      <w:r>
        <w:rPr>
          <w:rFonts w:ascii="宋体" w:hAnsi="宋体"/>
          <w:sz w:val="24"/>
        </w:rPr>
        <w:t>。</w:t>
      </w:r>
    </w:p>
    <w:p w14:paraId="14721374">
      <w:pPr>
        <w:pStyle w:val="5"/>
        <w:numPr>
          <w:ilvl w:val="0"/>
          <w:numId w:val="8"/>
        </w:numPr>
        <w:spacing w:before="0" w:after="0"/>
        <w:ind w:firstLine="480" w:firstLineChars="200"/>
        <w:rPr>
          <w:rFonts w:ascii="宋体" w:hAnsi="宋体"/>
          <w:sz w:val="24"/>
          <w:szCs w:val="24"/>
        </w:rPr>
      </w:pPr>
      <w:r>
        <w:rPr>
          <w:rFonts w:hint="eastAsia" w:ascii="宋体" w:hAnsi="宋体"/>
          <w:sz w:val="24"/>
          <w:szCs w:val="24"/>
        </w:rPr>
        <w:t>投标文件的澄清、说明或补正</w:t>
      </w:r>
    </w:p>
    <w:p w14:paraId="776118B6">
      <w:pPr>
        <w:pStyle w:val="40"/>
        <w:spacing w:before="0" w:beforeAutospacing="0" w:after="0" w:afterAutospacing="0" w:line="440" w:lineRule="exact"/>
        <w:ind w:firstLine="420" w:firstLineChars="175"/>
        <w:jc w:val="both"/>
      </w:pPr>
      <w:r>
        <w:rPr>
          <w:rFonts w:hint="eastAsia"/>
        </w:rPr>
        <w:t>（1）对于投标文件中含义不明确、同类问题表述不一致或者有明显文字和计算错误的内容，评标委员会将</w:t>
      </w:r>
      <w:r>
        <w:rPr>
          <w:rFonts w:hint="eastAsia"/>
          <w:b/>
          <w:bCs/>
          <w:color w:val="FF0000"/>
        </w:rPr>
        <w:t>通过“乐采云平台”线上</w:t>
      </w:r>
      <w:r>
        <w:rPr>
          <w:rFonts w:hint="eastAsia"/>
        </w:rPr>
        <w:t>要求投标人在规定的时间内作出必要的澄清、说明或者补正，投标人澄清、说明或补正时间为30分钟内，未在规定时间内澄清、说明或补正说明的，视为无异议。</w:t>
      </w:r>
    </w:p>
    <w:p w14:paraId="62FDFA92">
      <w:pPr>
        <w:spacing w:line="360" w:lineRule="auto"/>
        <w:ind w:firstLine="420" w:firstLineChars="175"/>
        <w:rPr>
          <w:rFonts w:ascii="宋体" w:hAnsi="宋体" w:cs="Arial"/>
          <w:sz w:val="24"/>
        </w:rPr>
      </w:pPr>
      <w:r>
        <w:rPr>
          <w:rFonts w:hint="eastAsia" w:ascii="宋体" w:hAnsi="宋体" w:cs="Arial"/>
          <w:sz w:val="24"/>
        </w:rPr>
        <w:t>（2）投标人的澄清、说明或者补正应当通过“乐采云平台”线上书面提交，并加盖公章，或者由法定代表人或其授权的代表签字。投标人的澄清、说明或者补正不得超出投标文件的范围或者改变投标文件的实质性内容。</w:t>
      </w:r>
    </w:p>
    <w:p w14:paraId="4482A801">
      <w:pPr>
        <w:pStyle w:val="23"/>
        <w:snapToGrid w:val="0"/>
        <w:spacing w:line="440" w:lineRule="exact"/>
        <w:ind w:firstLine="480" w:firstLineChars="200"/>
        <w:rPr>
          <w:rFonts w:hAnsi="宋体" w:cs="Times New Roman"/>
          <w:b/>
          <w:bCs/>
          <w:sz w:val="24"/>
          <w:szCs w:val="24"/>
        </w:rPr>
      </w:pPr>
      <w:r>
        <w:rPr>
          <w:rFonts w:hint="eastAsia" w:hAnsi="宋体"/>
          <w:b/>
          <w:bCs/>
          <w:sz w:val="24"/>
          <w:szCs w:val="24"/>
        </w:rPr>
        <w:t>（八）错误修正</w:t>
      </w:r>
    </w:p>
    <w:p w14:paraId="6373F698">
      <w:pPr>
        <w:pStyle w:val="40"/>
        <w:spacing w:before="0" w:beforeAutospacing="0" w:after="0" w:afterAutospacing="0" w:line="440" w:lineRule="exact"/>
        <w:ind w:firstLine="480" w:firstLineChars="200"/>
        <w:jc w:val="both"/>
        <w:rPr>
          <w:rFonts w:cs="Times New Roman"/>
        </w:rPr>
      </w:pPr>
      <w:r>
        <w:rPr>
          <w:rFonts w:hint="eastAsia"/>
        </w:rPr>
        <w:t>投标文件报价出现前后不一致的，除招标文件另有规定外，按照下列规定修正：</w:t>
      </w:r>
    </w:p>
    <w:p w14:paraId="72C802F4">
      <w:pPr>
        <w:pStyle w:val="40"/>
        <w:spacing w:before="0" w:beforeAutospacing="0" w:after="0" w:afterAutospacing="0" w:line="440" w:lineRule="exact"/>
        <w:ind w:firstLine="480" w:firstLineChars="200"/>
        <w:jc w:val="both"/>
        <w:rPr>
          <w:rFonts w:cs="Times New Roman"/>
        </w:rPr>
      </w:pPr>
      <w:r>
        <w:t>1</w:t>
      </w:r>
      <w:r>
        <w:rPr>
          <w:rFonts w:hint="eastAsia"/>
        </w:rPr>
        <w:t>、投标文件中开标一览表（报价表）内容与投标文件中相应内容不一致的，或与“乐采云平台”中的报价两者不一致的，以投标文件中开标一览表（报价表）为准；</w:t>
      </w:r>
    </w:p>
    <w:p w14:paraId="7E262D65">
      <w:pPr>
        <w:pStyle w:val="40"/>
        <w:spacing w:before="0" w:beforeAutospacing="0" w:after="0" w:afterAutospacing="0" w:line="440" w:lineRule="exact"/>
        <w:ind w:firstLine="480" w:firstLineChars="200"/>
        <w:jc w:val="both"/>
        <w:rPr>
          <w:rFonts w:cs="Times New Roman"/>
        </w:rPr>
      </w:pPr>
      <w:r>
        <w:t>2</w:t>
      </w:r>
      <w:r>
        <w:rPr>
          <w:rFonts w:hint="eastAsia"/>
        </w:rPr>
        <w:t>、大写金额和小写金额不一致的，以大写金额为准；</w:t>
      </w:r>
    </w:p>
    <w:p w14:paraId="19A864F8">
      <w:pPr>
        <w:pStyle w:val="40"/>
        <w:spacing w:before="0" w:beforeAutospacing="0" w:after="0" w:afterAutospacing="0" w:line="440" w:lineRule="exact"/>
        <w:ind w:firstLine="480" w:firstLineChars="200"/>
        <w:jc w:val="both"/>
        <w:rPr>
          <w:rFonts w:cs="Times New Roman"/>
        </w:rPr>
      </w:pPr>
      <w:r>
        <w:t>3</w:t>
      </w:r>
      <w:r>
        <w:rPr>
          <w:rFonts w:hint="eastAsia"/>
        </w:rPr>
        <w:t>、单价金额小数点或者百分比有明显错位的，以开标一览表的总价为准，并修改单价；</w:t>
      </w:r>
    </w:p>
    <w:p w14:paraId="6C363982">
      <w:pPr>
        <w:pStyle w:val="40"/>
        <w:spacing w:before="0" w:beforeAutospacing="0" w:after="0" w:afterAutospacing="0" w:line="440" w:lineRule="exact"/>
        <w:ind w:firstLine="480" w:firstLineChars="200"/>
        <w:jc w:val="both"/>
        <w:rPr>
          <w:rFonts w:cs="Times New Roman"/>
        </w:rPr>
      </w:pPr>
      <w:r>
        <w:t>4</w:t>
      </w:r>
      <w:r>
        <w:rPr>
          <w:rFonts w:hint="eastAsia"/>
        </w:rPr>
        <w:t>、总价金额与按单价汇总金额不一致的，以单价金额计算结果为准。</w:t>
      </w:r>
    </w:p>
    <w:p w14:paraId="77493200">
      <w:pPr>
        <w:pStyle w:val="40"/>
        <w:spacing w:before="0" w:beforeAutospacing="0" w:after="0" w:afterAutospacing="0" w:line="440" w:lineRule="exact"/>
        <w:ind w:firstLine="480" w:firstLineChars="200"/>
        <w:jc w:val="both"/>
        <w:rPr>
          <w:rFonts w:cs="Times New Roman"/>
        </w:rPr>
      </w:pPr>
      <w:r>
        <w:rPr>
          <w:rFonts w:hint="eastAsia"/>
        </w:rPr>
        <w:t>同时出现两种以上不一致的，按照前款规定的顺序修正。修正应当采用书面形式，并加盖公章，或者由法定代表人或其授权的代表签字。修正后的报价经投标人确认后产生约束力，投标人不确认的，其投标无效。</w:t>
      </w:r>
    </w:p>
    <w:p w14:paraId="4E101AEB">
      <w:pPr>
        <w:pStyle w:val="40"/>
        <w:spacing w:before="0" w:beforeAutospacing="0" w:after="0" w:afterAutospacing="0" w:line="440" w:lineRule="exact"/>
        <w:ind w:firstLine="480" w:firstLineChars="200"/>
        <w:jc w:val="both"/>
        <w:rPr>
          <w:rFonts w:cs="Times New Roman"/>
          <w:b/>
          <w:bCs/>
        </w:rPr>
      </w:pPr>
      <w:r>
        <w:rPr>
          <w:rFonts w:hint="eastAsia"/>
          <w:b/>
          <w:bCs/>
        </w:rPr>
        <w:t>（九）投标人存在下列情况之一的，投标无效</w:t>
      </w:r>
    </w:p>
    <w:p w14:paraId="5AE57905">
      <w:pPr>
        <w:spacing w:line="480" w:lineRule="exact"/>
        <w:ind w:firstLine="480" w:firstLineChars="200"/>
        <w:rPr>
          <w:rFonts w:ascii="宋体" w:hAnsi="宋体" w:cs="宋体"/>
          <w:sz w:val="24"/>
        </w:rPr>
      </w:pPr>
      <w:r>
        <w:rPr>
          <w:rFonts w:hint="eastAsia" w:ascii="宋体" w:hAnsi="宋体" w:cs="宋体"/>
          <w:sz w:val="24"/>
        </w:rPr>
        <w:t>1、投标文件未按招标文件规定的要求提交的；</w:t>
      </w:r>
    </w:p>
    <w:p w14:paraId="306091E1">
      <w:pPr>
        <w:spacing w:line="480" w:lineRule="exact"/>
        <w:ind w:firstLine="480" w:firstLineChars="200"/>
        <w:rPr>
          <w:rFonts w:ascii="宋体" w:hAnsi="宋体" w:cs="宋体"/>
          <w:sz w:val="24"/>
        </w:rPr>
      </w:pPr>
      <w:r>
        <w:rPr>
          <w:rFonts w:hint="eastAsia" w:ascii="宋体" w:hAnsi="宋体" w:cs="宋体"/>
          <w:sz w:val="24"/>
        </w:rPr>
        <w:t>2、电子加密投标文件解密失败且未按要求提交“备份投标文件”的；</w:t>
      </w:r>
    </w:p>
    <w:p w14:paraId="03C92F25">
      <w:pPr>
        <w:spacing w:line="480" w:lineRule="exact"/>
        <w:ind w:firstLine="480" w:firstLineChars="200"/>
        <w:rPr>
          <w:rFonts w:ascii="宋体" w:hAnsi="宋体" w:cs="宋体"/>
          <w:sz w:val="24"/>
        </w:rPr>
      </w:pPr>
      <w:r>
        <w:rPr>
          <w:rFonts w:hint="eastAsia" w:ascii="宋体" w:hAnsi="宋体" w:cs="宋体"/>
          <w:sz w:val="24"/>
        </w:rPr>
        <w:t>3、资格证明文件、商务技术文件、报价文件出现混传或在资格证明文件或商务技术文件中出现投标报价的；</w:t>
      </w:r>
    </w:p>
    <w:p w14:paraId="58226014">
      <w:pPr>
        <w:spacing w:line="480" w:lineRule="exact"/>
        <w:ind w:firstLine="480" w:firstLineChars="200"/>
        <w:rPr>
          <w:rFonts w:ascii="宋体" w:hAnsi="宋体" w:cs="宋体"/>
          <w:sz w:val="24"/>
        </w:rPr>
      </w:pPr>
      <w:r>
        <w:rPr>
          <w:rFonts w:hint="eastAsia" w:ascii="宋体" w:hAnsi="宋体" w:cs="宋体"/>
          <w:sz w:val="24"/>
        </w:rPr>
        <w:t xml:space="preserve">4、投标人没有提供合法、有效的“授权委托书”或“法定代表人身份证明书”的； </w:t>
      </w:r>
    </w:p>
    <w:p w14:paraId="39CCBD9A">
      <w:pPr>
        <w:spacing w:line="480" w:lineRule="exact"/>
        <w:ind w:firstLine="480" w:firstLineChars="200"/>
        <w:rPr>
          <w:rFonts w:ascii="宋体" w:hAnsi="宋体" w:cs="宋体"/>
          <w:sz w:val="24"/>
        </w:rPr>
      </w:pPr>
      <w:r>
        <w:rPr>
          <w:rFonts w:hint="eastAsia" w:ascii="宋体" w:hAnsi="宋体" w:cs="宋体"/>
          <w:sz w:val="24"/>
        </w:rPr>
        <w:t>5、投标文件的实质性内容未使用中文表述、意思表述不明确、前后矛盾或者使用计量单位不符合招标文件要求的；</w:t>
      </w:r>
    </w:p>
    <w:p w14:paraId="7E928AB8">
      <w:pPr>
        <w:spacing w:line="480" w:lineRule="exact"/>
        <w:ind w:firstLine="480" w:firstLineChars="200"/>
        <w:rPr>
          <w:rFonts w:ascii="宋体" w:hAnsi="宋体" w:cs="宋体"/>
          <w:sz w:val="24"/>
        </w:rPr>
      </w:pPr>
      <w:r>
        <w:rPr>
          <w:rFonts w:hint="eastAsia" w:ascii="宋体" w:hAnsi="宋体" w:cs="宋体"/>
          <w:sz w:val="24"/>
        </w:rPr>
        <w:t>6、未实质性响应招标文件要求或者投标文件有采购人不能接受的附加条件的；</w:t>
      </w:r>
    </w:p>
    <w:p w14:paraId="56E0A383">
      <w:pPr>
        <w:spacing w:line="480" w:lineRule="exact"/>
        <w:ind w:firstLine="480" w:firstLineChars="200"/>
        <w:rPr>
          <w:rFonts w:ascii="宋体" w:hAnsi="宋体" w:cs="宋体"/>
          <w:sz w:val="24"/>
        </w:rPr>
      </w:pPr>
      <w:r>
        <w:rPr>
          <w:rFonts w:hint="eastAsia" w:ascii="宋体" w:hAnsi="宋体" w:cs="宋体"/>
          <w:sz w:val="24"/>
        </w:rPr>
        <w:t>7、明显不符合招标文件要求的技术参数、质量标准，或者与招标文件中的技术指标、主要功能项目发生实质性偏离的；</w:t>
      </w:r>
    </w:p>
    <w:p w14:paraId="02EDBD5F">
      <w:pPr>
        <w:adjustRightInd w:val="0"/>
        <w:snapToGrid w:val="0"/>
        <w:spacing w:line="440" w:lineRule="exact"/>
        <w:ind w:firstLine="480" w:firstLineChars="200"/>
        <w:jc w:val="left"/>
        <w:rPr>
          <w:rFonts w:ascii="宋体" w:cs="宋体"/>
          <w:sz w:val="24"/>
          <w:szCs w:val="24"/>
        </w:rPr>
      </w:pPr>
      <w:r>
        <w:rPr>
          <w:rFonts w:hint="eastAsia" w:ascii="宋体" w:hAnsi="宋体" w:cs="宋体"/>
          <w:sz w:val="24"/>
          <w:szCs w:val="24"/>
        </w:rPr>
        <w:t>8、不具备招标文件中规定的资格要求的；</w:t>
      </w:r>
    </w:p>
    <w:p w14:paraId="7586A4C0">
      <w:pPr>
        <w:pStyle w:val="40"/>
        <w:tabs>
          <w:tab w:val="left" w:pos="7380"/>
        </w:tabs>
        <w:adjustRightInd w:val="0"/>
        <w:snapToGrid w:val="0"/>
        <w:spacing w:before="0" w:beforeAutospacing="0" w:after="0" w:afterAutospacing="0" w:line="440" w:lineRule="exact"/>
        <w:ind w:firstLine="480" w:firstLineChars="200"/>
        <w:jc w:val="both"/>
        <w:rPr>
          <w:rFonts w:cs="Times New Roman"/>
        </w:rPr>
      </w:pPr>
      <w:r>
        <w:rPr>
          <w:rFonts w:hint="eastAsia"/>
        </w:rPr>
        <w:t>9、投标文件含有采购人不能接受的附加条件的；</w:t>
      </w:r>
      <w:r>
        <w:rPr>
          <w:rFonts w:cs="Times New Roman"/>
        </w:rPr>
        <w:tab/>
      </w:r>
    </w:p>
    <w:p w14:paraId="496B3F48">
      <w:pPr>
        <w:adjustRightInd w:val="0"/>
        <w:snapToGrid w:val="0"/>
        <w:spacing w:line="440" w:lineRule="exact"/>
        <w:ind w:firstLine="480" w:firstLineChars="200"/>
        <w:rPr>
          <w:rFonts w:ascii="宋体" w:cs="宋体"/>
          <w:sz w:val="24"/>
          <w:szCs w:val="24"/>
        </w:rPr>
      </w:pPr>
      <w:r>
        <w:rPr>
          <w:rFonts w:hint="eastAsia" w:ascii="宋体" w:hAnsi="宋体" w:cs="宋体"/>
          <w:sz w:val="24"/>
          <w:szCs w:val="24"/>
        </w:rPr>
        <w:t>10、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2677C5B">
      <w:pPr>
        <w:pStyle w:val="40"/>
        <w:spacing w:before="0" w:beforeAutospacing="0" w:after="0" w:afterAutospacing="0" w:line="440" w:lineRule="exact"/>
        <w:ind w:firstLine="480" w:firstLineChars="200"/>
        <w:jc w:val="both"/>
      </w:pPr>
      <w:r>
        <w:rPr>
          <w:rFonts w:hint="eastAsia"/>
        </w:rPr>
        <w:t>11、报价超过招标文件中规定的预算金额或最高限价；</w:t>
      </w:r>
    </w:p>
    <w:p w14:paraId="471A88AC">
      <w:pPr>
        <w:adjustRightInd w:val="0"/>
        <w:snapToGrid w:val="0"/>
        <w:spacing w:line="440" w:lineRule="exact"/>
        <w:ind w:firstLine="480" w:firstLineChars="200"/>
        <w:rPr>
          <w:rFonts w:ascii="宋体" w:hAnsi="宋体" w:cs="宋体"/>
          <w:sz w:val="24"/>
          <w:szCs w:val="24"/>
        </w:rPr>
      </w:pPr>
      <w:r>
        <w:rPr>
          <w:rFonts w:hint="eastAsia" w:ascii="宋体" w:hAnsi="宋体" w:cs="宋体"/>
          <w:sz w:val="24"/>
          <w:szCs w:val="24"/>
        </w:rPr>
        <w:t>12、投标文件提供虚假材料的；</w:t>
      </w:r>
    </w:p>
    <w:p w14:paraId="5FFA119D">
      <w:pPr>
        <w:adjustRightInd w:val="0"/>
        <w:snapToGrid w:val="0"/>
        <w:spacing w:line="440" w:lineRule="exact"/>
        <w:ind w:firstLine="480" w:firstLineChars="200"/>
        <w:rPr>
          <w:rFonts w:ascii="宋体" w:hAnsi="宋体" w:cs="宋体"/>
          <w:sz w:val="24"/>
          <w:szCs w:val="24"/>
        </w:rPr>
      </w:pPr>
      <w:r>
        <w:rPr>
          <w:rFonts w:hint="eastAsia" w:ascii="宋体" w:hAnsi="宋体" w:cs="宋体"/>
          <w:sz w:val="24"/>
          <w:szCs w:val="24"/>
        </w:rPr>
        <w:t>13、投标人上传的电子加密投标文件解密成功的，电子加密投标文件中法定代表人电子章（或委托代理人签字）、投标人的单位电子公章盖章不齐全，不符合招标文件规定的；</w:t>
      </w:r>
    </w:p>
    <w:p w14:paraId="178299CA">
      <w:pPr>
        <w:pStyle w:val="40"/>
        <w:spacing w:before="0" w:beforeAutospacing="0" w:after="0" w:afterAutospacing="0" w:line="440" w:lineRule="exact"/>
        <w:ind w:firstLine="480" w:firstLineChars="200"/>
        <w:jc w:val="both"/>
      </w:pPr>
      <w:r>
        <w:rPr>
          <w:rFonts w:hint="eastAsia"/>
        </w:rPr>
        <w:t>14、投标报价关键内容字迹模糊、无法辨认的或投标报价大写不符合国家有关</w:t>
      </w:r>
    </w:p>
    <w:p w14:paraId="0852A77D">
      <w:pPr>
        <w:pStyle w:val="40"/>
        <w:spacing w:before="0" w:beforeAutospacing="0" w:after="0" w:afterAutospacing="0" w:line="440" w:lineRule="exact"/>
        <w:jc w:val="both"/>
      </w:pPr>
      <w:r>
        <w:rPr>
          <w:rFonts w:hint="eastAsia"/>
        </w:rPr>
        <w:t>规定的；</w:t>
      </w:r>
    </w:p>
    <w:p w14:paraId="65F0165D">
      <w:pPr>
        <w:pStyle w:val="40"/>
        <w:spacing w:before="0" w:beforeAutospacing="0" w:after="0" w:afterAutospacing="0" w:line="440" w:lineRule="exact"/>
        <w:ind w:firstLine="480" w:firstLineChars="200"/>
        <w:jc w:val="both"/>
      </w:pPr>
      <w:r>
        <w:rPr>
          <w:rFonts w:hint="eastAsia"/>
        </w:rPr>
        <w:t>15、擅自调整开标一览表格式的；</w:t>
      </w:r>
    </w:p>
    <w:p w14:paraId="47B5D8ED">
      <w:pPr>
        <w:pStyle w:val="40"/>
        <w:spacing w:before="0" w:beforeAutospacing="0" w:after="0" w:afterAutospacing="0" w:line="440" w:lineRule="exact"/>
        <w:ind w:firstLine="480" w:firstLineChars="200"/>
        <w:jc w:val="both"/>
        <w:rPr>
          <w:rFonts w:hint="eastAsia" w:ascii="宋体" w:hAnsi="宋体" w:eastAsia="宋体" w:cs="宋体"/>
          <w:b/>
          <w:bCs/>
          <w:color w:val="0000FF"/>
          <w:lang w:val="en-US" w:eastAsia="zh-CN"/>
        </w:rPr>
      </w:pPr>
      <w:r>
        <w:rPr>
          <w:rFonts w:hint="eastAsia" w:ascii="宋体" w:hAnsi="宋体" w:eastAsia="宋体" w:cs="宋体"/>
          <w:b/>
          <w:bCs/>
          <w:color w:val="0000FF"/>
          <w:lang w:val="en-US" w:eastAsia="zh-CN"/>
        </w:rPr>
        <w:t>16、不同投标人的</w:t>
      </w:r>
      <w:r>
        <w:rPr>
          <w:rFonts w:hint="default" w:ascii="宋体" w:hAnsi="宋体" w:eastAsia="宋体" w:cs="宋体"/>
          <w:b/>
          <w:bCs/>
          <w:color w:val="0000FF"/>
          <w:lang w:val="en-US" w:eastAsia="zh-CN"/>
        </w:rPr>
        <w:t>电子投标（响应）文件上传计算机的</w:t>
      </w:r>
      <w:r>
        <w:rPr>
          <w:rFonts w:hint="eastAsia" w:ascii="宋体" w:hAnsi="宋体" w:eastAsia="宋体" w:cs="宋体"/>
          <w:b/>
          <w:bCs/>
          <w:color w:val="0000FF"/>
          <w:lang w:val="en-US" w:eastAsia="zh-CN"/>
        </w:rPr>
        <w:t>IP地址、Mac地址、硬件号字段标红【包括但不限于下列情形：不同投标人电子投标文件中的IP地址重复、MAC地址重复或硬件号重复】。</w:t>
      </w:r>
    </w:p>
    <w:p w14:paraId="0998C094">
      <w:pPr>
        <w:pStyle w:val="40"/>
        <w:spacing w:before="0" w:beforeAutospacing="0" w:after="0" w:afterAutospacing="0" w:line="440" w:lineRule="exact"/>
        <w:ind w:firstLine="480" w:firstLineChars="200"/>
        <w:jc w:val="both"/>
        <w:rPr>
          <w:rFonts w:hint="default" w:ascii="宋体" w:hAnsi="宋体" w:eastAsia="宋体" w:cs="宋体"/>
          <w:b/>
          <w:bCs/>
          <w:color w:val="0000FF"/>
          <w:lang w:val="en-US" w:eastAsia="zh-CN"/>
        </w:rPr>
      </w:pPr>
      <w:r>
        <w:rPr>
          <w:rFonts w:hint="eastAsia" w:cs="宋体"/>
          <w:b/>
          <w:bCs/>
          <w:color w:val="0000FF"/>
          <w:lang w:val="en-US" w:eastAsia="zh-CN"/>
        </w:rPr>
        <w:t>17、</w:t>
      </w:r>
      <w:r>
        <w:rPr>
          <w:rFonts w:hint="default" w:ascii="宋体" w:hAnsi="宋体" w:eastAsia="宋体" w:cs="宋体"/>
          <w:b/>
          <w:bCs/>
          <w:color w:val="0000FF"/>
          <w:lang w:val="en-US" w:eastAsia="zh-CN"/>
        </w:rPr>
        <w:t>上传的电子投标（响应）文件若出现使用本项目其他投标（响应）供应商的数字证书加密的，或者加盖本项目其他投标（响应）供应商的电子印章的；</w:t>
      </w:r>
    </w:p>
    <w:p w14:paraId="775D4DB2">
      <w:pPr>
        <w:pStyle w:val="40"/>
        <w:spacing w:before="0" w:beforeAutospacing="0" w:after="0" w:afterAutospacing="0" w:line="440" w:lineRule="exact"/>
        <w:ind w:left="478" w:leftChars="228" w:firstLine="0" w:firstLineChars="0"/>
        <w:jc w:val="both"/>
        <w:rPr>
          <w:rFonts w:hint="eastAsia"/>
          <w:b/>
          <w:bCs/>
        </w:rPr>
      </w:pPr>
      <w:r>
        <w:rPr>
          <w:rFonts w:hint="eastAsia" w:cs="宋体"/>
          <w:b/>
          <w:bCs/>
          <w:color w:val="0000FF"/>
          <w:lang w:val="en-US" w:eastAsia="zh-CN"/>
        </w:rPr>
        <w:t>18、</w:t>
      </w:r>
      <w:r>
        <w:rPr>
          <w:rFonts w:hint="default" w:ascii="宋体" w:hAnsi="宋体" w:eastAsia="宋体" w:cs="宋体"/>
          <w:b/>
          <w:bCs/>
          <w:color w:val="0000FF"/>
          <w:lang w:val="en-US" w:eastAsia="zh-CN"/>
        </w:rPr>
        <w:t>不同供应商的投标（响应）文件的内容存在3处（含）以上错误一致的；</w:t>
      </w:r>
      <w:r>
        <w:rPr>
          <w:rFonts w:hint="eastAsia" w:cs="宋体"/>
          <w:b/>
          <w:bCs/>
          <w:color w:val="0000FF"/>
          <w:lang w:val="en-US" w:eastAsia="zh-CN"/>
        </w:rPr>
        <w:t>19、</w:t>
      </w:r>
      <w:r>
        <w:rPr>
          <w:rFonts w:hint="default" w:ascii="宋体" w:hAnsi="宋体" w:eastAsia="宋体" w:cs="宋体"/>
          <w:b/>
          <w:bCs/>
          <w:color w:val="0000FF"/>
          <w:lang w:val="en-US" w:eastAsia="zh-CN"/>
        </w:rPr>
        <w:t>不同供应商联系人为同一人或不同联系人的联系电话一致的</w:t>
      </w:r>
      <w:r>
        <w:rPr>
          <w:rFonts w:hint="eastAsia" w:cs="宋体"/>
          <w:b/>
          <w:bCs/>
          <w:color w:val="0000FF"/>
          <w:lang w:val="en-US" w:eastAsia="zh-CN"/>
        </w:rPr>
        <w:t>；</w:t>
      </w:r>
    </w:p>
    <w:p w14:paraId="22E5063F">
      <w:pPr>
        <w:pStyle w:val="40"/>
        <w:spacing w:before="0" w:beforeAutospacing="0" w:after="0" w:afterAutospacing="0" w:line="440" w:lineRule="exact"/>
        <w:ind w:firstLine="480" w:firstLineChars="200"/>
        <w:jc w:val="both"/>
        <w:rPr>
          <w:color w:val="000000"/>
        </w:rPr>
      </w:pPr>
      <w:r>
        <w:rPr>
          <w:rFonts w:hint="eastAsia"/>
          <w:color w:val="000000"/>
          <w:lang w:val="en-US" w:eastAsia="zh-CN"/>
        </w:rPr>
        <w:t>20</w:t>
      </w:r>
      <w:r>
        <w:rPr>
          <w:rFonts w:hint="eastAsia"/>
          <w:color w:val="000000"/>
        </w:rPr>
        <w:t>、有下列情形之一的，视为投标人串通投标，其投标无效：</w:t>
      </w:r>
    </w:p>
    <w:p w14:paraId="472D5B81">
      <w:pPr>
        <w:pStyle w:val="40"/>
        <w:spacing w:before="0" w:beforeAutospacing="0" w:after="0" w:afterAutospacing="0" w:line="440" w:lineRule="exact"/>
        <w:ind w:firstLine="480" w:firstLineChars="200"/>
        <w:jc w:val="both"/>
        <w:rPr>
          <w:rFonts w:cs="Times New Roman"/>
          <w:color w:val="000000"/>
        </w:rPr>
      </w:pPr>
      <w:r>
        <w:rPr>
          <w:rFonts w:hint="eastAsia"/>
          <w:color w:val="000000"/>
        </w:rPr>
        <w:t>（</w:t>
      </w:r>
      <w:r>
        <w:rPr>
          <w:color w:val="000000"/>
        </w:rPr>
        <w:t>1</w:t>
      </w:r>
      <w:r>
        <w:rPr>
          <w:rFonts w:hint="eastAsia"/>
          <w:color w:val="000000"/>
        </w:rPr>
        <w:t>）不同投标人的投标文件由同一单位或者个人编制；</w:t>
      </w:r>
    </w:p>
    <w:p w14:paraId="321C3BAE">
      <w:pPr>
        <w:pStyle w:val="40"/>
        <w:spacing w:before="0" w:beforeAutospacing="0" w:after="0" w:afterAutospacing="0" w:line="440" w:lineRule="exact"/>
        <w:ind w:firstLine="480" w:firstLineChars="200"/>
        <w:jc w:val="both"/>
        <w:rPr>
          <w:rFonts w:cs="Times New Roman"/>
          <w:color w:val="000000"/>
        </w:rPr>
      </w:pPr>
      <w:r>
        <w:rPr>
          <w:rFonts w:hint="eastAsia"/>
          <w:color w:val="000000"/>
        </w:rPr>
        <w:t>（</w:t>
      </w:r>
      <w:r>
        <w:rPr>
          <w:color w:val="000000"/>
        </w:rPr>
        <w:t>2</w:t>
      </w:r>
      <w:r>
        <w:rPr>
          <w:rFonts w:hint="eastAsia"/>
          <w:color w:val="000000"/>
        </w:rPr>
        <w:t>）不同投标人委托同一单位或者个人办理投标事宜；</w:t>
      </w:r>
    </w:p>
    <w:p w14:paraId="002A578F">
      <w:pPr>
        <w:pStyle w:val="40"/>
        <w:spacing w:before="0" w:beforeAutospacing="0" w:after="0" w:afterAutospacing="0" w:line="440" w:lineRule="exact"/>
        <w:ind w:firstLine="480" w:firstLineChars="200"/>
        <w:jc w:val="both"/>
        <w:rPr>
          <w:rFonts w:cs="Times New Roman"/>
          <w:color w:val="000000"/>
        </w:rPr>
      </w:pPr>
      <w:r>
        <w:rPr>
          <w:rFonts w:hint="eastAsia"/>
          <w:color w:val="000000"/>
        </w:rPr>
        <w:t>（</w:t>
      </w:r>
      <w:r>
        <w:rPr>
          <w:color w:val="000000"/>
        </w:rPr>
        <w:t>3</w:t>
      </w:r>
      <w:r>
        <w:rPr>
          <w:rFonts w:hint="eastAsia"/>
          <w:color w:val="000000"/>
        </w:rPr>
        <w:t>）不同投标人的投标文件载明的项目管理成员或者联系人员为同一人；</w:t>
      </w:r>
    </w:p>
    <w:p w14:paraId="736DB827">
      <w:pPr>
        <w:pStyle w:val="40"/>
        <w:spacing w:before="0" w:beforeAutospacing="0" w:after="0" w:afterAutospacing="0" w:line="440" w:lineRule="exact"/>
        <w:ind w:firstLine="480" w:firstLineChars="200"/>
        <w:jc w:val="both"/>
        <w:rPr>
          <w:rFonts w:cs="Times New Roman"/>
          <w:color w:val="000000"/>
        </w:rPr>
      </w:pPr>
      <w:r>
        <w:rPr>
          <w:rFonts w:hint="eastAsia"/>
          <w:color w:val="000000"/>
        </w:rPr>
        <w:t>（</w:t>
      </w:r>
      <w:r>
        <w:rPr>
          <w:color w:val="000000"/>
        </w:rPr>
        <w:t>4</w:t>
      </w:r>
      <w:r>
        <w:rPr>
          <w:rFonts w:hint="eastAsia"/>
          <w:color w:val="000000"/>
        </w:rPr>
        <w:t>）不同投标人的投标文件异常一致或者投标报价呈规律性差异；</w:t>
      </w:r>
    </w:p>
    <w:p w14:paraId="533E9AA4">
      <w:pPr>
        <w:pStyle w:val="40"/>
        <w:spacing w:before="0" w:beforeAutospacing="0" w:after="0" w:afterAutospacing="0" w:line="440" w:lineRule="exact"/>
        <w:ind w:firstLine="480" w:firstLineChars="200"/>
        <w:jc w:val="both"/>
        <w:rPr>
          <w:rFonts w:cs="Times New Roman"/>
          <w:color w:val="000000"/>
        </w:rPr>
      </w:pPr>
      <w:r>
        <w:rPr>
          <w:rFonts w:hint="eastAsia"/>
          <w:color w:val="000000"/>
        </w:rPr>
        <w:t>（</w:t>
      </w:r>
      <w:r>
        <w:rPr>
          <w:color w:val="000000"/>
        </w:rPr>
        <w:t>5</w:t>
      </w:r>
      <w:r>
        <w:rPr>
          <w:rFonts w:hint="eastAsia"/>
          <w:color w:val="000000"/>
        </w:rPr>
        <w:t>）不同投标人的投标文件相互混装；</w:t>
      </w:r>
    </w:p>
    <w:p w14:paraId="23BF7200">
      <w:pPr>
        <w:autoSpaceDE w:val="0"/>
        <w:autoSpaceDN w:val="0"/>
        <w:adjustRightInd w:val="0"/>
        <w:spacing w:line="440" w:lineRule="exact"/>
        <w:ind w:firstLine="480" w:firstLineChars="200"/>
        <w:rPr>
          <w:rFonts w:ascii="宋体" w:cs="宋体"/>
          <w:sz w:val="24"/>
          <w:szCs w:val="24"/>
        </w:rPr>
      </w:pPr>
      <w:r>
        <w:rPr>
          <w:rFonts w:hint="eastAsia" w:ascii="宋体" w:hAnsi="宋体" w:cs="宋体"/>
          <w:color w:val="000000"/>
          <w:sz w:val="24"/>
          <w:szCs w:val="24"/>
          <w:lang w:val="en-US" w:eastAsia="zh-CN"/>
        </w:rPr>
        <w:t>21</w:t>
      </w:r>
      <w:r>
        <w:rPr>
          <w:rFonts w:hint="eastAsia" w:ascii="宋体" w:hAnsi="宋体" w:cs="宋体"/>
          <w:color w:val="000000"/>
          <w:sz w:val="24"/>
          <w:szCs w:val="24"/>
        </w:rPr>
        <w:t>、不符合法律、法规和招标文件中规定的其他实质性要求的（招标文件中打“▲”的内容及被拒绝的条款）。</w:t>
      </w:r>
    </w:p>
    <w:p w14:paraId="02853D79">
      <w:pPr>
        <w:autoSpaceDE w:val="0"/>
        <w:autoSpaceDN w:val="0"/>
        <w:adjustRightInd w:val="0"/>
        <w:spacing w:line="440" w:lineRule="exact"/>
        <w:ind w:firstLine="480" w:firstLineChars="200"/>
        <w:rPr>
          <w:rFonts w:ascii="宋体" w:cs="宋体"/>
          <w:sz w:val="24"/>
          <w:szCs w:val="24"/>
        </w:rPr>
      </w:pPr>
      <w:r>
        <w:rPr>
          <w:rFonts w:hint="eastAsia" w:ascii="宋体" w:hAnsi="宋体" w:cs="宋体"/>
          <w:b/>
          <w:bCs/>
          <w:sz w:val="24"/>
          <w:szCs w:val="24"/>
        </w:rPr>
        <w:t>（十）有下列情况之一的，本次招标作为废标处理</w:t>
      </w:r>
    </w:p>
    <w:p w14:paraId="4C940BC5">
      <w:pPr>
        <w:pStyle w:val="40"/>
        <w:spacing w:before="0" w:beforeAutospacing="0" w:after="0" w:afterAutospacing="0" w:line="440" w:lineRule="exact"/>
        <w:ind w:firstLine="480" w:firstLineChars="200"/>
        <w:jc w:val="both"/>
        <w:rPr>
          <w:rFonts w:cs="Times New Roman"/>
        </w:rPr>
      </w:pPr>
      <w:r>
        <w:t>1</w:t>
      </w:r>
      <w:r>
        <w:rPr>
          <w:rFonts w:hint="eastAsia"/>
        </w:rPr>
        <w:t>、符合专业条件的供应商或者对招标文件作出实质响应的供应商不足三家的；</w:t>
      </w:r>
    </w:p>
    <w:p w14:paraId="669462FA">
      <w:pPr>
        <w:pStyle w:val="40"/>
        <w:spacing w:before="0" w:beforeAutospacing="0" w:after="0" w:afterAutospacing="0" w:line="440" w:lineRule="exact"/>
        <w:ind w:firstLine="480" w:firstLineChars="200"/>
        <w:jc w:val="both"/>
        <w:rPr>
          <w:rFonts w:cs="Times New Roman"/>
          <w:b/>
          <w:bCs/>
        </w:rPr>
      </w:pPr>
      <w:r>
        <w:t>2</w:t>
      </w:r>
      <w:r>
        <w:rPr>
          <w:rFonts w:hint="eastAsia"/>
        </w:rPr>
        <w:t>、出现影响采购公正的违法、违规行为的；</w:t>
      </w:r>
    </w:p>
    <w:p w14:paraId="65A5FC91">
      <w:pPr>
        <w:pStyle w:val="40"/>
        <w:spacing w:before="0" w:beforeAutospacing="0" w:after="0" w:afterAutospacing="0" w:line="440" w:lineRule="exact"/>
        <w:ind w:firstLine="480" w:firstLineChars="200"/>
        <w:jc w:val="both"/>
        <w:rPr>
          <w:rFonts w:cs="Times New Roman"/>
        </w:rPr>
      </w:pPr>
      <w:r>
        <w:t>3</w:t>
      </w:r>
      <w:r>
        <w:rPr>
          <w:rFonts w:hint="eastAsia"/>
        </w:rPr>
        <w:t>、因重大变故，采购任务取消的；</w:t>
      </w:r>
    </w:p>
    <w:p w14:paraId="2BD72829">
      <w:pPr>
        <w:pStyle w:val="40"/>
        <w:spacing w:before="0" w:beforeAutospacing="0" w:after="0" w:afterAutospacing="0" w:line="440" w:lineRule="exact"/>
        <w:ind w:firstLine="480" w:firstLineChars="200"/>
        <w:jc w:val="both"/>
        <w:rPr>
          <w:rFonts w:cs="Times New Roman"/>
        </w:rPr>
      </w:pPr>
      <w:r>
        <w:t>4</w:t>
      </w:r>
      <w:r>
        <w:rPr>
          <w:rFonts w:hint="eastAsia"/>
        </w:rPr>
        <w:t>、法律、法规和招标文件规定的其他导致评标结果无效的。</w:t>
      </w:r>
    </w:p>
    <w:p w14:paraId="782C6C6E">
      <w:pPr>
        <w:pStyle w:val="23"/>
        <w:snapToGrid w:val="0"/>
        <w:spacing w:line="440" w:lineRule="exact"/>
        <w:ind w:firstLine="480" w:firstLineChars="200"/>
        <w:rPr>
          <w:rFonts w:hAnsi="宋体" w:cs="Times New Roman"/>
          <w:b/>
          <w:bCs/>
          <w:sz w:val="24"/>
          <w:szCs w:val="24"/>
        </w:rPr>
      </w:pPr>
      <w:r>
        <w:rPr>
          <w:rFonts w:hint="eastAsia" w:hAnsi="宋体"/>
          <w:b/>
          <w:bCs/>
          <w:sz w:val="24"/>
          <w:szCs w:val="24"/>
        </w:rPr>
        <w:t>（十一）评标过程的监控</w:t>
      </w:r>
    </w:p>
    <w:p w14:paraId="5B48B95C">
      <w:pPr>
        <w:pStyle w:val="40"/>
        <w:spacing w:before="0" w:beforeAutospacing="0" w:after="0" w:afterAutospacing="0" w:line="440" w:lineRule="exact"/>
        <w:ind w:firstLine="480" w:firstLineChars="200"/>
        <w:jc w:val="both"/>
        <w:rPr>
          <w:rFonts w:cs="Times New Roman"/>
        </w:rPr>
      </w:pPr>
      <w:r>
        <w:rPr>
          <w:rFonts w:hint="eastAsia"/>
        </w:rPr>
        <w:t>本项目评标过程实行全程录音、录像监控，投标人在评标过程中所进行的试图影响评标结果的不公正活动，可能导致其投标被拒绝。</w:t>
      </w:r>
    </w:p>
    <w:p w14:paraId="0FFBF2F0">
      <w:pPr>
        <w:spacing w:line="480" w:lineRule="auto"/>
        <w:jc w:val="center"/>
        <w:rPr>
          <w:rFonts w:ascii="宋体" w:hAnsi="宋体" w:cs="宋体"/>
          <w:b/>
          <w:bCs/>
          <w:sz w:val="28"/>
          <w:szCs w:val="28"/>
        </w:rPr>
      </w:pPr>
    </w:p>
    <w:p w14:paraId="4FA3A5F9">
      <w:pPr>
        <w:spacing w:line="480" w:lineRule="auto"/>
        <w:jc w:val="center"/>
        <w:rPr>
          <w:rFonts w:ascii="宋体" w:hAnsi="宋体" w:cs="宋体"/>
          <w:b/>
          <w:bCs/>
          <w:sz w:val="28"/>
          <w:szCs w:val="28"/>
        </w:rPr>
      </w:pPr>
      <w:r>
        <w:rPr>
          <w:rFonts w:hint="eastAsia" w:ascii="宋体" w:hAnsi="宋体" w:cs="宋体"/>
          <w:b/>
          <w:bCs/>
          <w:sz w:val="28"/>
          <w:szCs w:val="28"/>
        </w:rPr>
        <w:t>六、定标</w:t>
      </w:r>
    </w:p>
    <w:p w14:paraId="5423118E">
      <w:pPr>
        <w:pStyle w:val="40"/>
        <w:spacing w:before="0" w:beforeAutospacing="0" w:after="0" w:afterAutospacing="0" w:line="440" w:lineRule="exact"/>
        <w:ind w:firstLine="480" w:firstLineChars="200"/>
        <w:jc w:val="both"/>
        <w:rPr>
          <w:rFonts w:cs="Times New Roman"/>
        </w:rPr>
      </w:pPr>
      <w:r>
        <w:t>1</w:t>
      </w:r>
      <w:r>
        <w:rPr>
          <w:rFonts w:hint="eastAsia"/>
        </w:rPr>
        <w:t>、确定中标人。由评标委员会推荐中标候选人或确定中标人。其中推荐中标候选人的，采购代理机构在评审结束后</w:t>
      </w:r>
      <w:r>
        <w:t>2</w:t>
      </w:r>
      <w:r>
        <w:rPr>
          <w:rFonts w:hint="eastAsia"/>
        </w:rPr>
        <w:t>个工作日内将评标报告送采购人，采购人自收到评审报告之日起</w:t>
      </w:r>
      <w:r>
        <w:t>5</w:t>
      </w:r>
      <w:r>
        <w:rPr>
          <w:rFonts w:hint="eastAsia"/>
        </w:rPr>
        <w:t>个工作日内在评审报告推荐的中标候选人中推荐排名第一的中标候选人为中标人。</w:t>
      </w:r>
    </w:p>
    <w:p w14:paraId="60655518">
      <w:pPr>
        <w:spacing w:line="44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、发布</w:t>
      </w:r>
      <w:r>
        <w:rPr>
          <w:rFonts w:hint="eastAsia" w:cs="宋体"/>
          <w:sz w:val="24"/>
          <w:szCs w:val="24"/>
        </w:rPr>
        <w:t>中标</w:t>
      </w:r>
      <w:r>
        <w:rPr>
          <w:rFonts w:hint="eastAsia" w:ascii="宋体" w:hAnsi="宋体" w:cs="宋体"/>
          <w:sz w:val="24"/>
          <w:szCs w:val="24"/>
        </w:rPr>
        <w:t>结果公告。采购代理机构应当自中标人确定之日起</w:t>
      </w:r>
      <w:r>
        <w:rPr>
          <w:rFonts w:ascii="宋体" w:hAnsi="宋体" w:cs="宋体"/>
          <w:sz w:val="24"/>
          <w:szCs w:val="24"/>
        </w:rPr>
        <w:t>2</w:t>
      </w:r>
      <w:r>
        <w:rPr>
          <w:rFonts w:hint="eastAsia" w:ascii="宋体" w:hAnsi="宋体" w:cs="宋体"/>
          <w:sz w:val="24"/>
          <w:szCs w:val="24"/>
        </w:rPr>
        <w:t>个工作日内，招标公告发布的媒体及相关网站上公告中标结果。</w:t>
      </w:r>
    </w:p>
    <w:p w14:paraId="2A7E51C3">
      <w:pPr>
        <w:spacing w:line="44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、发出中标通知书。采购代理机构在发布中标结果的同时，向中标人发出中标通知书。</w:t>
      </w:r>
      <w:r>
        <w:rPr>
          <w:rFonts w:hint="eastAsia" w:ascii="宋体" w:hAnsi="宋体" w:cs="宋体"/>
          <w:b/>
          <w:bCs/>
          <w:sz w:val="24"/>
          <w:szCs w:val="24"/>
          <w:u w:val="single"/>
        </w:rPr>
        <w:t>中标人应在领取中标通知书之时按采购人要求提供纸质投标文件（采用胶装），不建议采用活页夹等可随时拆换的方式装订。</w:t>
      </w:r>
    </w:p>
    <w:p w14:paraId="4B1369B9">
      <w:pPr>
        <w:spacing w:line="480" w:lineRule="auto"/>
        <w:jc w:val="center"/>
        <w:rPr>
          <w:rFonts w:ascii="宋体" w:hAnsi="宋体" w:cs="宋体"/>
          <w:b/>
          <w:bCs/>
          <w:sz w:val="28"/>
          <w:szCs w:val="28"/>
        </w:rPr>
      </w:pPr>
    </w:p>
    <w:p w14:paraId="42CBCDC7">
      <w:pPr>
        <w:spacing w:line="480" w:lineRule="auto"/>
        <w:jc w:val="center"/>
        <w:rPr>
          <w:rFonts w:ascii="宋体" w:cs="宋体"/>
          <w:b/>
          <w:bCs/>
          <w:sz w:val="28"/>
          <w:szCs w:val="28"/>
        </w:rPr>
      </w:pPr>
      <w:r>
        <w:rPr>
          <w:rFonts w:hint="eastAsia" w:ascii="宋体" w:hAnsi="宋体" w:cs="宋体"/>
          <w:b/>
          <w:bCs/>
          <w:sz w:val="28"/>
          <w:szCs w:val="28"/>
        </w:rPr>
        <w:t>七、合同签订及公告</w:t>
      </w:r>
    </w:p>
    <w:p w14:paraId="1FA21087">
      <w:pPr>
        <w:spacing w:line="440" w:lineRule="exact"/>
        <w:ind w:firstLine="480" w:firstLineChars="200"/>
        <w:rPr>
          <w:rFonts w:ascii="宋体"/>
          <w:b/>
          <w:bCs/>
          <w:sz w:val="24"/>
          <w:szCs w:val="24"/>
        </w:rPr>
      </w:pPr>
      <w:r>
        <w:rPr>
          <w:rFonts w:hint="eastAsia" w:ascii="宋体" w:hAnsi="宋体" w:cs="宋体"/>
          <w:b/>
          <w:bCs/>
          <w:sz w:val="24"/>
          <w:szCs w:val="24"/>
        </w:rPr>
        <w:t>（一）签订合同</w:t>
      </w:r>
    </w:p>
    <w:p w14:paraId="2760DE97">
      <w:pPr>
        <w:pStyle w:val="40"/>
        <w:spacing w:before="0" w:beforeAutospacing="0" w:after="0" w:afterAutospacing="0" w:line="440" w:lineRule="exact"/>
        <w:ind w:firstLine="600" w:firstLineChars="250"/>
        <w:jc w:val="both"/>
        <w:rPr>
          <w:rFonts w:cs="Times New Roman"/>
        </w:rPr>
      </w:pPr>
      <w:r>
        <w:t>1</w:t>
      </w:r>
      <w:r>
        <w:rPr>
          <w:rFonts w:hint="eastAsia"/>
        </w:rPr>
        <w:t>、采购人应当自中标通知书发出之日起</w:t>
      </w:r>
      <w:r>
        <w:t>30</w:t>
      </w:r>
      <w:r>
        <w:rPr>
          <w:rFonts w:hint="eastAsia"/>
        </w:rPr>
        <w:t>日内，按照招标文件和中标人投标文件的规定，与中标人签订书面合同。所签订的合同不得对招标文件确定的事项和中标人投标文件作实质性修改。</w:t>
      </w:r>
    </w:p>
    <w:p w14:paraId="4A480EA3">
      <w:pPr>
        <w:pStyle w:val="40"/>
        <w:spacing w:before="0" w:beforeAutospacing="0" w:after="0" w:afterAutospacing="0" w:line="440" w:lineRule="exact"/>
        <w:ind w:firstLine="600" w:firstLineChars="250"/>
        <w:jc w:val="both"/>
      </w:pPr>
      <w:r>
        <w:t>2</w:t>
      </w:r>
      <w:r>
        <w:rPr>
          <w:rFonts w:hint="eastAsia"/>
        </w:rPr>
        <w:t>、采购人不得向中标人提出任何不合理的要求作为签订合同的条件。</w:t>
      </w:r>
    </w:p>
    <w:p w14:paraId="49665D81">
      <w:pPr>
        <w:pStyle w:val="40"/>
        <w:spacing w:before="0" w:beforeAutospacing="0" w:after="0" w:afterAutospacing="0" w:line="360" w:lineRule="auto"/>
        <w:ind w:firstLine="600" w:firstLineChars="250"/>
        <w:jc w:val="both"/>
      </w:pPr>
      <w:r>
        <w:t>3</w:t>
      </w:r>
      <w:r>
        <w:rPr>
          <w:rFonts w:hint="eastAsia"/>
        </w:rPr>
        <w:t>、中标人无正当理由拖延、拒签合同的，参照有关规定进行处理、处罚，并有权重新开展采购活动。</w:t>
      </w:r>
    </w:p>
    <w:p w14:paraId="771DF2FB">
      <w:pPr>
        <w:pStyle w:val="40"/>
        <w:spacing w:before="0" w:beforeAutospacing="0" w:after="0" w:afterAutospacing="0" w:line="360" w:lineRule="auto"/>
        <w:ind w:firstLine="600" w:firstLineChars="250"/>
        <w:jc w:val="both"/>
      </w:pPr>
      <w:r>
        <w:t>4</w:t>
      </w:r>
      <w:r>
        <w:rPr>
          <w:rFonts w:hint="eastAsia"/>
        </w:rPr>
        <w:t>、询问或者质疑事项可能影响中标结果的，采购人应当暂停签订合同，已经签订合同的，应当中止履行合同（中标结果的质疑期为中标结果公告期限届满之日起七个工作日）。</w:t>
      </w:r>
    </w:p>
    <w:p w14:paraId="52FF6E36">
      <w:pPr>
        <w:pStyle w:val="40"/>
        <w:spacing w:before="0" w:beforeAutospacing="0" w:after="0" w:afterAutospacing="0" w:line="440" w:lineRule="exact"/>
        <w:ind w:firstLine="422" w:firstLineChars="176"/>
        <w:rPr>
          <w:rFonts w:cs="Times New Roman"/>
          <w:b/>
          <w:bCs/>
        </w:rPr>
      </w:pPr>
      <w:r>
        <w:rPr>
          <w:rFonts w:hint="eastAsia"/>
          <w:b/>
          <w:bCs/>
        </w:rPr>
        <w:t>（二）合同公告及备案</w:t>
      </w:r>
    </w:p>
    <w:p w14:paraId="2C33DE2B">
      <w:pPr>
        <w:pStyle w:val="19"/>
        <w:spacing w:after="0" w:line="440" w:lineRule="exact"/>
        <w:ind w:left="0" w:firstLine="480" w:firstLineChars="200"/>
        <w:rPr>
          <w:rFonts w:ascii="宋体"/>
          <w:sz w:val="24"/>
          <w:szCs w:val="24"/>
        </w:rPr>
      </w:pPr>
      <w:r>
        <w:rPr>
          <w:rFonts w:hint="eastAsia" w:ascii="宋体" w:hAnsi="宋体" w:cs="宋体"/>
          <w:sz w:val="24"/>
          <w:szCs w:val="24"/>
        </w:rPr>
        <w:t>1、采购人应当自采购合同签订之日起</w:t>
      </w:r>
      <w:r>
        <w:rPr>
          <w:rFonts w:ascii="宋体" w:hAnsi="宋体" w:cs="宋体"/>
          <w:sz w:val="24"/>
          <w:szCs w:val="24"/>
        </w:rPr>
        <w:t>7</w:t>
      </w:r>
      <w:r>
        <w:rPr>
          <w:rFonts w:hint="eastAsia" w:ascii="宋体" w:hAnsi="宋体" w:cs="宋体"/>
          <w:sz w:val="24"/>
          <w:szCs w:val="24"/>
        </w:rPr>
        <w:t>个工作日内，将采购合同副本报有关部门备案以及采购代理机构存档。</w:t>
      </w:r>
    </w:p>
    <w:p w14:paraId="5CDED536">
      <w:pPr>
        <w:spacing w:line="600" w:lineRule="auto"/>
        <w:jc w:val="center"/>
        <w:rPr>
          <w:rFonts w:ascii="宋体" w:hAnsi="宋体" w:cs="宋体"/>
          <w:b/>
          <w:bCs/>
          <w:sz w:val="28"/>
          <w:szCs w:val="28"/>
        </w:rPr>
      </w:pPr>
      <w:r>
        <w:rPr>
          <w:rFonts w:hint="eastAsia" w:ascii="宋体" w:hAnsi="宋体" w:cs="宋体"/>
          <w:b/>
          <w:bCs/>
          <w:sz w:val="28"/>
          <w:szCs w:val="28"/>
        </w:rPr>
        <w:t>八、其他</w:t>
      </w:r>
    </w:p>
    <w:p w14:paraId="6BA65E4B">
      <w:pPr>
        <w:pStyle w:val="255"/>
        <w:ind w:firstLine="480" w:firstLineChars="200"/>
      </w:pPr>
      <w:r>
        <w:rPr>
          <w:rFonts w:hint="eastAsia"/>
        </w:rPr>
        <w:t>（一）中止电子交易活动的情形</w:t>
      </w:r>
    </w:p>
    <w:p w14:paraId="687C4FBD">
      <w:pPr>
        <w:pStyle w:val="19"/>
        <w:spacing w:after="0" w:line="440" w:lineRule="exact"/>
        <w:ind w:left="0" w:firstLine="480" w:firstLineChars="200"/>
        <w:jc w:val="left"/>
        <w:rPr>
          <w:rFonts w:ascii="宋体" w:hAnsi="宋体" w:cs="宋体"/>
          <w:sz w:val="24"/>
          <w:szCs w:val="24"/>
        </w:rPr>
      </w:pPr>
      <w:r>
        <w:rPr>
          <w:rFonts w:hint="eastAsia" w:ascii="宋体" w:hAnsi="宋体" w:cs="宋体"/>
          <w:sz w:val="24"/>
          <w:szCs w:val="24"/>
        </w:rPr>
        <w:t>采购过程中出现以下情形，导致电子交易平台无法正常运行，或者无法保证电子交易的公平、公正和安全时，采购代理机构可中止电子交易活动：</w:t>
      </w:r>
    </w:p>
    <w:p w14:paraId="040C0677">
      <w:pPr>
        <w:pStyle w:val="19"/>
        <w:spacing w:after="0" w:line="440" w:lineRule="exact"/>
        <w:ind w:left="0" w:firstLine="480" w:firstLineChars="200"/>
        <w:jc w:val="left"/>
        <w:rPr>
          <w:rFonts w:ascii="宋体" w:hAnsi="宋体" w:cs="宋体"/>
          <w:sz w:val="24"/>
          <w:szCs w:val="24"/>
        </w:rPr>
      </w:pPr>
      <w:r>
        <w:rPr>
          <w:rFonts w:hint="eastAsia" w:ascii="宋体" w:hAnsi="宋体" w:cs="宋体"/>
          <w:sz w:val="24"/>
          <w:szCs w:val="24"/>
        </w:rPr>
        <w:t>1、电子交易平台发生故障而无法登录访问的；</w:t>
      </w:r>
    </w:p>
    <w:p w14:paraId="5C60BFEC">
      <w:pPr>
        <w:pStyle w:val="19"/>
        <w:spacing w:after="0" w:line="440" w:lineRule="exact"/>
        <w:ind w:left="0" w:firstLine="480" w:firstLineChars="200"/>
        <w:jc w:val="left"/>
        <w:rPr>
          <w:rFonts w:ascii="宋体" w:hAnsi="宋体" w:cs="宋体"/>
          <w:sz w:val="24"/>
          <w:szCs w:val="24"/>
        </w:rPr>
      </w:pPr>
      <w:r>
        <w:rPr>
          <w:rFonts w:hint="eastAsia" w:ascii="宋体" w:hAnsi="宋体" w:cs="宋体"/>
          <w:sz w:val="24"/>
          <w:szCs w:val="24"/>
        </w:rPr>
        <w:t>2、电子交易平台应用或数据库出现错误，不能进行正常操作的；</w:t>
      </w:r>
    </w:p>
    <w:p w14:paraId="06AF9F86">
      <w:pPr>
        <w:pStyle w:val="19"/>
        <w:spacing w:after="0" w:line="440" w:lineRule="exact"/>
        <w:ind w:left="0" w:firstLine="480" w:firstLineChars="200"/>
        <w:jc w:val="left"/>
        <w:rPr>
          <w:rFonts w:ascii="宋体" w:hAnsi="宋体" w:cs="宋体"/>
          <w:sz w:val="24"/>
          <w:szCs w:val="24"/>
        </w:rPr>
      </w:pPr>
      <w:r>
        <w:rPr>
          <w:rFonts w:hint="eastAsia" w:ascii="宋体" w:hAnsi="宋体" w:cs="宋体"/>
          <w:sz w:val="24"/>
          <w:szCs w:val="24"/>
        </w:rPr>
        <w:t>3、电子交易平台发现严重安全漏洞，有潜在泄密危险的；</w:t>
      </w:r>
    </w:p>
    <w:p w14:paraId="1A87828B">
      <w:pPr>
        <w:pStyle w:val="19"/>
        <w:spacing w:after="0" w:line="440" w:lineRule="exact"/>
        <w:ind w:left="0" w:firstLine="480" w:firstLineChars="200"/>
        <w:jc w:val="left"/>
        <w:rPr>
          <w:rFonts w:ascii="宋体" w:hAnsi="宋体" w:cs="宋体"/>
          <w:sz w:val="24"/>
          <w:szCs w:val="24"/>
        </w:rPr>
      </w:pPr>
      <w:r>
        <w:rPr>
          <w:rFonts w:hint="eastAsia" w:ascii="宋体" w:hAnsi="宋体" w:cs="宋体"/>
          <w:sz w:val="24"/>
          <w:szCs w:val="24"/>
        </w:rPr>
        <w:t>4、病毒发作导致不能进行正常操作的；</w:t>
      </w:r>
    </w:p>
    <w:p w14:paraId="5BA7BE13">
      <w:pPr>
        <w:pStyle w:val="19"/>
        <w:spacing w:after="0" w:line="440" w:lineRule="exact"/>
        <w:ind w:left="0" w:firstLine="480" w:firstLineChars="200"/>
        <w:jc w:val="left"/>
        <w:rPr>
          <w:rFonts w:ascii="宋体" w:hAnsi="宋体" w:cs="宋体"/>
          <w:sz w:val="24"/>
          <w:szCs w:val="24"/>
        </w:rPr>
      </w:pPr>
      <w:r>
        <w:rPr>
          <w:rFonts w:hint="eastAsia" w:ascii="宋体" w:hAnsi="宋体" w:cs="宋体"/>
          <w:sz w:val="24"/>
          <w:szCs w:val="24"/>
        </w:rPr>
        <w:t>5、其他无法保证电子交易的公平、公正和安全的情况。</w:t>
      </w:r>
    </w:p>
    <w:p w14:paraId="4D33C5DA">
      <w:pPr>
        <w:pStyle w:val="19"/>
        <w:spacing w:after="0" w:line="440" w:lineRule="exact"/>
        <w:ind w:left="0" w:firstLine="480" w:firstLineChars="200"/>
        <w:jc w:val="left"/>
        <w:rPr>
          <w:rFonts w:ascii="宋体" w:hAnsi="宋体" w:cs="宋体"/>
          <w:sz w:val="24"/>
          <w:szCs w:val="24"/>
        </w:rPr>
      </w:pPr>
      <w:r>
        <w:rPr>
          <w:rFonts w:hint="eastAsia" w:ascii="宋体" w:hAnsi="宋体" w:cs="宋体"/>
          <w:sz w:val="24"/>
          <w:szCs w:val="24"/>
        </w:rPr>
        <w:t>出现前款规定情形，不影响采购公平、公正性的，采购代理机构可以待上述情形消除后继续组织电子交易活动；影响或可能影响采购公平、公正性的，应当重新开展采购活动。</w:t>
      </w:r>
    </w:p>
    <w:p w14:paraId="563A2C10">
      <w:pPr>
        <w:pStyle w:val="255"/>
        <w:ind w:firstLine="480" w:firstLineChars="200"/>
      </w:pPr>
      <w:r>
        <w:rPr>
          <w:rFonts w:hint="eastAsia"/>
        </w:rPr>
        <w:t>（二）质疑</w:t>
      </w:r>
    </w:p>
    <w:p w14:paraId="10B942EC">
      <w:pPr>
        <w:pStyle w:val="19"/>
        <w:spacing w:after="0" w:line="440" w:lineRule="exact"/>
        <w:ind w:left="0" w:firstLine="480" w:firstLineChars="200"/>
        <w:jc w:val="left"/>
        <w:rPr>
          <w:rFonts w:ascii="宋体" w:hAnsi="宋体" w:cs="宋体"/>
          <w:sz w:val="24"/>
          <w:szCs w:val="24"/>
        </w:rPr>
      </w:pPr>
      <w:r>
        <w:rPr>
          <w:rFonts w:hint="eastAsia" w:ascii="宋体" w:hAnsi="宋体" w:cs="宋体"/>
          <w:sz w:val="24"/>
          <w:szCs w:val="24"/>
        </w:rPr>
        <w:t>1、投标人对本次招标相关事项有疑问的，可以向采购人或代理机构提出询问。</w:t>
      </w:r>
    </w:p>
    <w:p w14:paraId="2E491ACC">
      <w:pPr>
        <w:pStyle w:val="19"/>
        <w:spacing w:after="0" w:line="440" w:lineRule="exact"/>
        <w:ind w:left="0" w:firstLine="480" w:firstLineChars="200"/>
        <w:jc w:val="left"/>
        <w:rPr>
          <w:rFonts w:ascii="宋体" w:hAnsi="宋体" w:cs="宋体"/>
          <w:sz w:val="24"/>
          <w:szCs w:val="24"/>
        </w:rPr>
      </w:pPr>
      <w:r>
        <w:rPr>
          <w:rFonts w:hint="eastAsia" w:ascii="宋体" w:hAnsi="宋体" w:cs="宋体"/>
          <w:sz w:val="24"/>
          <w:szCs w:val="24"/>
        </w:rPr>
        <w:t>2、投标人认为采购文件、采购过程和中标、成交结果使自己合法权益受到损害的，可以在知道或者应当知道其权益受到损害之日起7个工作日内，以书面形式向采购人或代理机构提出质疑。</w:t>
      </w:r>
    </w:p>
    <w:p w14:paraId="4595CD64">
      <w:pPr>
        <w:pStyle w:val="19"/>
        <w:spacing w:after="0" w:line="440" w:lineRule="exact"/>
        <w:ind w:left="0" w:firstLine="480" w:firstLineChars="200"/>
        <w:jc w:val="left"/>
        <w:rPr>
          <w:rFonts w:ascii="宋体" w:hAnsi="宋体" w:cs="宋体"/>
          <w:sz w:val="24"/>
          <w:szCs w:val="24"/>
        </w:rPr>
      </w:pPr>
      <w:r>
        <w:rPr>
          <w:rFonts w:hint="eastAsia" w:ascii="宋体" w:hAnsi="宋体" w:cs="宋体"/>
          <w:sz w:val="24"/>
          <w:szCs w:val="24"/>
        </w:rPr>
        <w:t>3、采购人或代理机构应当在收到投标人的书面质疑后7个工作日作出答复，并以书面形式通知质疑投标人，但答复的内容不得涉及商业秘密。</w:t>
      </w:r>
    </w:p>
    <w:p w14:paraId="1EF54188">
      <w:pPr>
        <w:pStyle w:val="19"/>
        <w:spacing w:after="0" w:line="440" w:lineRule="exact"/>
        <w:ind w:left="0" w:firstLine="480" w:firstLineChars="200"/>
        <w:jc w:val="left"/>
        <w:rPr>
          <w:rFonts w:ascii="宋体" w:hAnsi="宋体" w:cs="宋体"/>
          <w:sz w:val="24"/>
          <w:szCs w:val="24"/>
        </w:rPr>
      </w:pPr>
      <w:r>
        <w:rPr>
          <w:rFonts w:hint="eastAsia" w:ascii="宋体" w:hAnsi="宋体" w:cs="宋体"/>
          <w:sz w:val="24"/>
          <w:szCs w:val="24"/>
        </w:rPr>
        <w:t>4、质疑投标人对采购人、代理机构的答复不满意或采购人、代理机构未在规定的时间内作出答复的，可以在答复期满后向温岭市人民法院提起诉讼。</w:t>
      </w:r>
    </w:p>
    <w:p w14:paraId="41DFCDD5">
      <w:pPr>
        <w:pStyle w:val="255"/>
        <w:ind w:firstLine="480" w:firstLineChars="200"/>
      </w:pPr>
      <w:r>
        <w:rPr>
          <w:rFonts w:hint="eastAsia"/>
        </w:rPr>
        <w:t>（三）验收</w:t>
      </w:r>
    </w:p>
    <w:p w14:paraId="41E82C89">
      <w:pPr>
        <w:pStyle w:val="19"/>
        <w:spacing w:after="0" w:line="440" w:lineRule="exact"/>
        <w:ind w:left="0" w:firstLine="480" w:firstLineChars="200"/>
        <w:jc w:val="left"/>
        <w:rPr>
          <w:rFonts w:ascii="宋体" w:hAnsi="宋体" w:cs="宋体"/>
          <w:sz w:val="24"/>
          <w:szCs w:val="24"/>
        </w:rPr>
      </w:pPr>
      <w:r>
        <w:rPr>
          <w:rFonts w:hint="eastAsia" w:ascii="宋体" w:hAnsi="宋体" w:cs="宋体"/>
          <w:sz w:val="24"/>
          <w:szCs w:val="24"/>
        </w:rPr>
        <w:t>1、采购人可以邀请参加本项目的其他投标人或者第三方机构参与验收。参与验收的投标人或者第三方机构的意见作为验收书的参考资料一并存档。</w:t>
      </w:r>
    </w:p>
    <w:p w14:paraId="03015A8A">
      <w:pPr>
        <w:pStyle w:val="19"/>
        <w:spacing w:after="0" w:line="440" w:lineRule="exact"/>
        <w:ind w:left="0" w:firstLine="480" w:firstLineChars="200"/>
        <w:jc w:val="left"/>
        <w:rPr>
          <w:rFonts w:ascii="宋体" w:hAnsi="宋体" w:cs="宋体"/>
          <w:sz w:val="24"/>
          <w:szCs w:val="24"/>
        </w:rPr>
      </w:pPr>
      <w:r>
        <w:rPr>
          <w:rFonts w:hint="eastAsia" w:ascii="宋体" w:hAnsi="宋体" w:cs="宋体"/>
          <w:sz w:val="24"/>
          <w:szCs w:val="24"/>
        </w:rPr>
        <w:t>2、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FB20A5">
      <w:pPr>
        <w:pStyle w:val="19"/>
        <w:spacing w:after="0" w:line="440" w:lineRule="exact"/>
        <w:ind w:left="0" w:firstLine="480" w:firstLineChars="200"/>
        <w:jc w:val="left"/>
        <w:rPr>
          <w:rFonts w:ascii="宋体" w:hAnsi="宋体" w:cs="宋体"/>
          <w:sz w:val="24"/>
          <w:szCs w:val="24"/>
        </w:rPr>
      </w:pPr>
      <w:r>
        <w:rPr>
          <w:rFonts w:hint="eastAsia" w:ascii="宋体" w:hAnsi="宋体" w:cs="宋体"/>
          <w:sz w:val="24"/>
          <w:szCs w:val="24"/>
        </w:rPr>
        <w:t>3、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6E2042D7">
      <w:pPr>
        <w:pStyle w:val="255"/>
        <w:ind w:firstLine="240" w:firstLineChars="100"/>
      </w:pPr>
      <w:r>
        <w:rPr>
          <w:rFonts w:hint="eastAsia"/>
        </w:rPr>
        <w:t>（四）信用记录</w:t>
      </w:r>
    </w:p>
    <w:p w14:paraId="66B12E56">
      <w:pPr>
        <w:pStyle w:val="19"/>
        <w:widowControl/>
        <w:spacing w:after="0" w:line="440" w:lineRule="exact"/>
        <w:ind w:left="0" w:firstLine="480" w:firstLineChars="200"/>
        <w:jc w:val="left"/>
        <w:rPr>
          <w:rFonts w:ascii="宋体" w:hAnsi="宋体" w:cs="宋体"/>
          <w:sz w:val="24"/>
          <w:szCs w:val="24"/>
        </w:rPr>
      </w:pPr>
      <w:r>
        <w:rPr>
          <w:rFonts w:hint="eastAsia" w:ascii="宋体" w:hAnsi="宋体" w:cs="宋体"/>
          <w:sz w:val="24"/>
          <w:szCs w:val="24"/>
        </w:rPr>
        <w:t xml:space="preserve">参照财库[2016]125号《关于在政府采购活动中查询及使用信用记录有关问题的通知》要求，招标代理机构会对投标人信用记录进行查询并甄别。 </w:t>
      </w:r>
    </w:p>
    <w:p w14:paraId="364B793A">
      <w:pPr>
        <w:pStyle w:val="19"/>
        <w:spacing w:after="0" w:line="440" w:lineRule="exact"/>
        <w:ind w:left="0" w:firstLine="480" w:firstLineChars="200"/>
        <w:jc w:val="left"/>
        <w:rPr>
          <w:rFonts w:ascii="宋体" w:hAnsi="宋体" w:cs="宋体"/>
          <w:sz w:val="24"/>
          <w:szCs w:val="24"/>
        </w:rPr>
      </w:pPr>
      <w:r>
        <w:rPr>
          <w:rFonts w:hint="eastAsia" w:ascii="宋体" w:hAnsi="宋体" w:cs="宋体"/>
          <w:sz w:val="24"/>
          <w:szCs w:val="24"/>
        </w:rPr>
        <w:t>1、信用信息查询渠道及截止时间：采购代理机构将通过“信用中国”网站（www.creditchina.gov.cn）渠道查询投标人投标截止时间当天的信用记录。</w:t>
      </w:r>
    </w:p>
    <w:p w14:paraId="087673B3">
      <w:pPr>
        <w:pStyle w:val="19"/>
        <w:spacing w:after="0" w:line="440" w:lineRule="exact"/>
        <w:ind w:left="0" w:firstLine="480" w:firstLineChars="200"/>
        <w:jc w:val="left"/>
        <w:rPr>
          <w:rFonts w:ascii="宋体" w:hAnsi="宋体" w:cs="宋体"/>
          <w:sz w:val="24"/>
          <w:szCs w:val="24"/>
        </w:rPr>
      </w:pPr>
      <w:r>
        <w:rPr>
          <w:rFonts w:hint="eastAsia" w:ascii="宋体" w:hAnsi="宋体" w:cs="宋体"/>
          <w:sz w:val="24"/>
          <w:szCs w:val="24"/>
        </w:rPr>
        <w:t>2、信用信息查询记录和证据留存的具体方式：现场查询的投标人的信用记录、查询结果经确认后将与采购文件一起存档。</w:t>
      </w:r>
    </w:p>
    <w:p w14:paraId="43415466">
      <w:pPr>
        <w:pStyle w:val="19"/>
        <w:spacing w:after="0" w:line="440" w:lineRule="exact"/>
        <w:ind w:left="0" w:firstLine="480" w:firstLineChars="200"/>
        <w:jc w:val="left"/>
        <w:rPr>
          <w:rFonts w:ascii="宋体" w:hAnsi="宋体" w:cs="宋体"/>
          <w:sz w:val="24"/>
          <w:szCs w:val="24"/>
        </w:rPr>
      </w:pPr>
      <w:r>
        <w:rPr>
          <w:rFonts w:hint="eastAsia" w:ascii="宋体" w:hAnsi="宋体" w:cs="宋体"/>
          <w:sz w:val="24"/>
          <w:szCs w:val="24"/>
        </w:rPr>
        <w:t>3、信用信息的使用规则：经查询列入失信被执行人名单、重大税收违法失信主体、政府采购严重违法失信行为记录名单的投标人将被拒绝参与采购活动。</w:t>
      </w:r>
    </w:p>
    <w:p w14:paraId="3C4F93A3">
      <w:pPr>
        <w:pStyle w:val="255"/>
      </w:pPr>
      <w:r>
        <w:rPr>
          <w:rFonts w:hint="eastAsia"/>
        </w:rPr>
        <w:t>（五）联合体投标</w:t>
      </w:r>
    </w:p>
    <w:p w14:paraId="53DFB219">
      <w:pPr>
        <w:widowControl/>
        <w:spacing w:line="440" w:lineRule="exact"/>
        <w:ind w:firstLine="480"/>
        <w:rPr>
          <w:rFonts w:ascii="宋体" w:hAnsi="宋体" w:cs="宋体"/>
          <w:sz w:val="24"/>
          <w:szCs w:val="24"/>
        </w:rPr>
      </w:pPr>
      <w:r>
        <w:rPr>
          <w:rFonts w:hint="eastAsia" w:ascii="宋体" w:hAnsi="宋体" w:cs="宋体"/>
          <w:sz w:val="24"/>
          <w:szCs w:val="24"/>
        </w:rPr>
        <w:t>若本须知“前附表”规定接受联合体投标的，应遵守以下规定：</w:t>
      </w:r>
    </w:p>
    <w:p w14:paraId="47C059C6">
      <w:pPr>
        <w:widowControl/>
        <w:spacing w:line="440" w:lineRule="exact"/>
        <w:ind w:firstLine="482"/>
        <w:rPr>
          <w:rFonts w:ascii="宋体" w:hAnsi="宋体" w:cs="宋体"/>
          <w:sz w:val="24"/>
          <w:szCs w:val="24"/>
        </w:rPr>
      </w:pPr>
      <w:r>
        <w:rPr>
          <w:rFonts w:hint="eastAsia" w:ascii="宋体" w:hAnsi="宋体" w:cs="宋体"/>
          <w:sz w:val="24"/>
          <w:szCs w:val="24"/>
        </w:rPr>
        <w:t>（1）不同供应商可以组成一个联合体，以一个供应商的身份共同参加投标，联合体成员数量不得超过2人；</w:t>
      </w:r>
    </w:p>
    <w:p w14:paraId="3940E1F6">
      <w:pPr>
        <w:widowControl/>
        <w:spacing w:line="440" w:lineRule="exact"/>
        <w:ind w:firstLine="482"/>
        <w:rPr>
          <w:rFonts w:ascii="宋体" w:hAnsi="宋体" w:cs="宋体"/>
          <w:sz w:val="24"/>
          <w:szCs w:val="24"/>
        </w:rPr>
      </w:pPr>
      <w:r>
        <w:rPr>
          <w:rFonts w:hint="eastAsia" w:ascii="宋体" w:hAnsi="宋体" w:cs="宋体"/>
          <w:sz w:val="24"/>
          <w:szCs w:val="24"/>
        </w:rPr>
        <w:t>（2）联合体各方之间须签订联合协议书，明确约定联合体各方承担的工作和相应的责任，在投标联合协议中指定本项目主办人，并将投标联合协议作为投标文件组成的一部分；本项目的主体、关键性工作须由主办人完成，并在投标联合协议中进行说明；</w:t>
      </w:r>
    </w:p>
    <w:p w14:paraId="09297CD4">
      <w:pPr>
        <w:widowControl/>
        <w:spacing w:line="440" w:lineRule="exact"/>
        <w:ind w:firstLine="482"/>
        <w:rPr>
          <w:rFonts w:ascii="宋体" w:hAnsi="宋体" w:cs="宋体"/>
          <w:sz w:val="24"/>
          <w:szCs w:val="24"/>
        </w:rPr>
      </w:pPr>
      <w:r>
        <w:rPr>
          <w:rFonts w:hint="eastAsia" w:ascii="宋体" w:hAnsi="宋体" w:cs="宋体"/>
          <w:sz w:val="24"/>
          <w:szCs w:val="24"/>
        </w:rPr>
        <w:t>（3）联合体各方签订投标联合协议后，不得再以自己名义单独在本项目中参加投标，也不得组成新的联合体参加本项目投标；</w:t>
      </w:r>
    </w:p>
    <w:p w14:paraId="17A6780E">
      <w:pPr>
        <w:widowControl/>
        <w:spacing w:line="440" w:lineRule="exact"/>
        <w:ind w:firstLine="482"/>
        <w:jc w:val="left"/>
        <w:rPr>
          <w:rFonts w:ascii="宋体" w:hAnsi="宋体" w:cs="宋体"/>
          <w:sz w:val="24"/>
          <w:szCs w:val="24"/>
        </w:rPr>
      </w:pPr>
      <w:r>
        <w:rPr>
          <w:rFonts w:hint="eastAsia" w:ascii="宋体" w:hAnsi="宋体" w:cs="宋体"/>
          <w:sz w:val="24"/>
          <w:szCs w:val="24"/>
        </w:rPr>
        <w:t>（4）联合体各方共同与采购人签订采购合同，就采购合同约定的事项对采购人承担连带责任。</w:t>
      </w:r>
    </w:p>
    <w:p w14:paraId="68587CE9">
      <w:pPr>
        <w:widowControl/>
        <w:jc w:val="center"/>
        <w:outlineLvl w:val="0"/>
        <w:rPr>
          <w:rFonts w:ascii="宋体" w:cs="宋体"/>
          <w:b/>
          <w:bCs/>
          <w:sz w:val="36"/>
          <w:szCs w:val="36"/>
        </w:rPr>
      </w:pPr>
      <w:r>
        <w:rPr>
          <w:rFonts w:hint="eastAsia" w:ascii="宋体" w:hAnsi="宋体" w:cs="宋体"/>
          <w:b/>
          <w:bCs/>
          <w:sz w:val="36"/>
          <w:szCs w:val="36"/>
        </w:rPr>
        <w:br w:type="page" w:clear="all"/>
      </w:r>
      <w:bookmarkStart w:id="17" w:name="_Toc8925"/>
      <w:bookmarkStart w:id="18" w:name="_Toc12570"/>
      <w:bookmarkStart w:id="19" w:name="_Toc17780"/>
      <w:bookmarkStart w:id="20" w:name="_Toc18364"/>
      <w:bookmarkStart w:id="21" w:name="_Toc8717"/>
      <w:r>
        <w:rPr>
          <w:rFonts w:hint="eastAsia" w:ascii="宋体" w:hAnsi="宋体" w:cs="宋体"/>
          <w:b/>
          <w:bCs/>
          <w:sz w:val="36"/>
          <w:szCs w:val="36"/>
        </w:rPr>
        <w:t>第三章 评标办法及评分标准</w:t>
      </w:r>
      <w:bookmarkEnd w:id="17"/>
      <w:bookmarkEnd w:id="18"/>
      <w:bookmarkEnd w:id="19"/>
      <w:bookmarkEnd w:id="20"/>
      <w:bookmarkEnd w:id="21"/>
    </w:p>
    <w:p w14:paraId="25BCEFF5">
      <w:pPr>
        <w:spacing w:line="440" w:lineRule="exact"/>
        <w:ind w:firstLine="480"/>
        <w:rPr>
          <w:rFonts w:ascii="宋体" w:cs="宋体"/>
          <w:b/>
          <w:bCs/>
          <w:i/>
          <w:iCs/>
          <w:sz w:val="24"/>
          <w:szCs w:val="24"/>
        </w:rPr>
      </w:pPr>
      <w:bookmarkStart w:id="22" w:name="_Toc14431"/>
      <w:r>
        <w:rPr>
          <w:rFonts w:hint="eastAsia" w:ascii="宋体" w:hAnsi="宋体" w:cs="宋体"/>
          <w:sz w:val="24"/>
          <w:szCs w:val="24"/>
        </w:rPr>
        <w:t>一、采购代理机构将组织评标委员会，对投标人提供的投标文件进行综合评审。</w:t>
      </w:r>
    </w:p>
    <w:p w14:paraId="5C4E4067">
      <w:pPr>
        <w:spacing w:line="440" w:lineRule="exact"/>
        <w:ind w:firstLine="480"/>
        <w:rPr>
          <w:rFonts w:ascii="宋体" w:hAnsi="宋体" w:cs="宋体"/>
          <w:sz w:val="24"/>
          <w:szCs w:val="24"/>
        </w:rPr>
      </w:pPr>
      <w:r>
        <w:rPr>
          <w:rFonts w:hint="eastAsia" w:ascii="宋体" w:hAnsi="宋体" w:cs="宋体"/>
          <w:sz w:val="24"/>
          <w:szCs w:val="24"/>
        </w:rPr>
        <w:t>二、本次招标项目的评标方法为综合评分法，总计100分，其中商务技术70分，报价30分。</w:t>
      </w:r>
    </w:p>
    <w:p w14:paraId="41098450">
      <w:pPr>
        <w:spacing w:line="440" w:lineRule="exact"/>
        <w:ind w:firstLine="480"/>
        <w:rPr>
          <w:rFonts w:ascii="宋体" w:hAnsi="宋体" w:cs="宋体"/>
          <w:sz w:val="24"/>
          <w:szCs w:val="24"/>
        </w:rPr>
      </w:pPr>
      <w:r>
        <w:rPr>
          <w:rFonts w:hint="eastAsia" w:ascii="宋体" w:hAnsi="宋体" w:cs="宋体"/>
          <w:sz w:val="24"/>
          <w:szCs w:val="24"/>
        </w:rPr>
        <w:t>（一）商务技术文件中的客观分应一致；其余在规定的分值内评定打分。</w:t>
      </w:r>
    </w:p>
    <w:p w14:paraId="2525C330">
      <w:pPr>
        <w:spacing w:line="44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sz w:val="24"/>
          <w:szCs w:val="24"/>
        </w:rPr>
        <w:t>（二）各投标人商务技术文件得分按照评标委员会成员的独立评分结果汇总后的算术</w:t>
      </w:r>
      <w:r>
        <w:rPr>
          <w:rFonts w:hint="eastAsia" w:ascii="宋体" w:hAnsi="宋体" w:cs="宋体"/>
          <w:color w:val="000000" w:themeColor="text1"/>
          <w:sz w:val="24"/>
          <w:szCs w:val="24"/>
          <w14:textFill>
            <w14:solidFill>
              <w14:schemeClr w14:val="tx1"/>
            </w14:solidFill>
          </w14:textFill>
        </w:rPr>
        <w:t>平均分计算，计算公式为：</w:t>
      </w:r>
    </w:p>
    <w:p w14:paraId="34BDBEE9">
      <w:pPr>
        <w:spacing w:line="440" w:lineRule="exact"/>
        <w:ind w:firstLine="480"/>
        <w:rPr>
          <w:rFonts w:ascii="宋体" w:hAnsi="宋体" w:cs="宋体"/>
          <w:sz w:val="24"/>
          <w:szCs w:val="24"/>
        </w:rPr>
      </w:pPr>
      <w:r>
        <w:rPr>
          <w:rFonts w:hint="eastAsia" w:ascii="宋体" w:hAnsi="宋体" w:cs="宋体"/>
          <w:sz w:val="24"/>
          <w:szCs w:val="24"/>
        </w:rPr>
        <w:t>商务技术文件得分=评标委员会所有成员评分合计数/评标委员会组成人员数。</w:t>
      </w:r>
    </w:p>
    <w:p w14:paraId="6E51CC81">
      <w:pPr>
        <w:spacing w:line="440" w:lineRule="exact"/>
        <w:ind w:firstLine="480"/>
        <w:rPr>
          <w:rFonts w:ascii="宋体" w:hAnsi="宋体" w:cs="宋体"/>
          <w:sz w:val="24"/>
          <w:szCs w:val="24"/>
        </w:rPr>
      </w:pPr>
      <w:r>
        <w:rPr>
          <w:rFonts w:hint="eastAsia" w:ascii="宋体" w:hAnsi="宋体" w:cs="宋体"/>
          <w:sz w:val="24"/>
          <w:szCs w:val="24"/>
        </w:rPr>
        <w:t>（三）全部有效投标人中的最低报价作为评标基准价，其他投标人的报价得分为：（评标基准价／投标报价）×30（计算得分保留小数点后2位）。</w:t>
      </w:r>
    </w:p>
    <w:p w14:paraId="531F653A">
      <w:pPr>
        <w:spacing w:line="440" w:lineRule="exact"/>
        <w:ind w:firstLine="480"/>
        <w:rPr>
          <w:rFonts w:ascii="宋体" w:hAnsi="宋体" w:cs="宋体"/>
          <w:sz w:val="24"/>
          <w:szCs w:val="24"/>
        </w:rPr>
      </w:pPr>
      <w:r>
        <w:rPr>
          <w:rFonts w:hint="eastAsia" w:ascii="宋体" w:hAnsi="宋体" w:cs="宋体"/>
          <w:sz w:val="24"/>
          <w:szCs w:val="24"/>
        </w:rPr>
        <w:t>（四）投标人评标综合得分=商务技术分+报价分。</w:t>
      </w:r>
    </w:p>
    <w:p w14:paraId="767B3F5A">
      <w:pPr>
        <w:spacing w:line="440" w:lineRule="exact"/>
        <w:ind w:firstLine="470"/>
        <w:rPr>
          <w:rFonts w:ascii="宋体"/>
          <w:b/>
          <w:bCs/>
          <w:sz w:val="24"/>
          <w:szCs w:val="24"/>
          <w:shd w:val="clear" w:color="FFFFFF" w:fill="D9D9D9"/>
          <w:lang w:val="zh-CN"/>
        </w:rPr>
      </w:pPr>
      <w:r>
        <w:rPr>
          <w:rFonts w:hint="eastAsia" w:ascii="宋体" w:cs="宋体"/>
          <w:b/>
          <w:bCs/>
          <w:sz w:val="24"/>
          <w:szCs w:val="24"/>
          <w:lang w:val="zh-CN"/>
        </w:rPr>
        <w:t>注：</w:t>
      </w:r>
      <w:r>
        <w:rPr>
          <w:rFonts w:hint="eastAsia" w:ascii="宋体" w:hAnsi="宋体" w:cs="宋体"/>
          <w:b/>
          <w:bCs/>
          <w:sz w:val="24"/>
        </w:rPr>
        <w:t>评分计算过程中均采用四舍五入法</w:t>
      </w:r>
      <w:r>
        <w:rPr>
          <w:rFonts w:hint="eastAsia" w:ascii="宋体" w:cs="宋体"/>
          <w:b/>
          <w:bCs/>
          <w:sz w:val="24"/>
          <w:szCs w:val="24"/>
          <w:lang w:val="zh-CN"/>
        </w:rPr>
        <w:t>，</w:t>
      </w:r>
      <w:r>
        <w:rPr>
          <w:rFonts w:hint="eastAsia" w:ascii="宋体" w:cs="宋体"/>
          <w:b/>
          <w:bCs/>
          <w:sz w:val="24"/>
          <w:szCs w:val="24"/>
        </w:rPr>
        <w:t>并</w:t>
      </w:r>
      <w:r>
        <w:rPr>
          <w:rFonts w:hint="eastAsia" w:ascii="宋体" w:cs="宋体"/>
          <w:b/>
          <w:bCs/>
          <w:sz w:val="24"/>
          <w:szCs w:val="24"/>
          <w:lang w:val="zh-CN"/>
        </w:rPr>
        <w:t>保留</w:t>
      </w:r>
      <w:r>
        <w:rPr>
          <w:rFonts w:ascii="宋体" w:cs="宋体"/>
          <w:b/>
          <w:bCs/>
          <w:sz w:val="24"/>
          <w:szCs w:val="24"/>
          <w:lang w:val="zh-CN"/>
        </w:rPr>
        <w:t>2</w:t>
      </w:r>
      <w:r>
        <w:rPr>
          <w:rFonts w:hint="eastAsia" w:ascii="宋体" w:cs="宋体"/>
          <w:b/>
          <w:bCs/>
          <w:sz w:val="24"/>
          <w:szCs w:val="24"/>
          <w:lang w:val="zh-CN"/>
        </w:rPr>
        <w:t>位小数。</w:t>
      </w:r>
    </w:p>
    <w:p w14:paraId="713A655D">
      <w:pPr>
        <w:spacing w:line="440" w:lineRule="exact"/>
        <w:ind w:firstLine="480"/>
        <w:rPr>
          <w:rFonts w:ascii="宋体"/>
          <w:sz w:val="24"/>
          <w:szCs w:val="24"/>
          <w:lang w:val="zh-CN"/>
        </w:rPr>
      </w:pPr>
      <w:r>
        <w:rPr>
          <w:rFonts w:hint="eastAsia" w:ascii="宋体" w:cs="宋体"/>
          <w:sz w:val="24"/>
          <w:szCs w:val="24"/>
          <w:lang w:val="zh-CN"/>
        </w:rPr>
        <w:t>三、在最大限度地满足招标文件实质性要求前提下，评标委员会按照招标文件中规定的各项因素进行综合评审后，推荐评标总得分最高的投标人为中标候选人，中标候选人只推荐一名。</w:t>
      </w:r>
    </w:p>
    <w:p w14:paraId="684FA2C9">
      <w:pPr>
        <w:spacing w:line="440" w:lineRule="exact"/>
        <w:ind w:firstLine="480"/>
        <w:rPr>
          <w:rFonts w:ascii="宋体" w:cs="宋体"/>
          <w:sz w:val="24"/>
          <w:szCs w:val="24"/>
          <w:lang w:val="zh-CN"/>
        </w:rPr>
      </w:pPr>
      <w:r>
        <w:rPr>
          <w:rFonts w:hint="eastAsia" w:ascii="宋体" w:cs="宋体"/>
          <w:sz w:val="24"/>
          <w:szCs w:val="24"/>
          <w:lang w:val="zh-CN"/>
        </w:rPr>
        <w:t>四、如综合得分相同，投标报价低者为先；如综合得分且投标报价相同的，以技术性能得分较高者为先。</w:t>
      </w:r>
    </w:p>
    <w:p w14:paraId="5224D88D">
      <w:pPr>
        <w:spacing w:line="440" w:lineRule="exact"/>
        <w:ind w:firstLine="480"/>
        <w:jc w:val="left"/>
        <w:rPr>
          <w:rFonts w:ascii="宋体" w:cs="宋体"/>
          <w:sz w:val="24"/>
          <w:szCs w:val="24"/>
        </w:rPr>
      </w:pPr>
      <w:r>
        <w:rPr>
          <w:rFonts w:hint="eastAsia" w:ascii="宋体" w:hAnsi="宋体" w:cs="宋体"/>
          <w:sz w:val="24"/>
          <w:szCs w:val="24"/>
        </w:rPr>
        <w:t>五、本次评分具体分值细化条款如下表（70分）：</w:t>
      </w:r>
    </w:p>
    <w:tbl>
      <w:tblPr>
        <w:tblStyle w:val="44"/>
        <w:tblW w:w="9181" w:type="dxa"/>
        <w:tblInd w:w="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380"/>
        <w:gridCol w:w="6300"/>
        <w:gridCol w:w="765"/>
      </w:tblGrid>
      <w:tr w14:paraId="20309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36" w:type="dxa"/>
            <w:shd w:val="clear" w:color="000000" w:fill="FFFFFF"/>
            <w:vAlign w:val="center"/>
          </w:tcPr>
          <w:p w14:paraId="6A9489C3">
            <w:pPr>
              <w:tabs>
                <w:tab w:val="left" w:pos="1620"/>
              </w:tabs>
              <w:spacing w:line="312" w:lineRule="auto"/>
              <w:ind w:left="-50"/>
              <w:jc w:val="center"/>
              <w:rPr>
                <w:rFonts w:ascii="宋体" w:hAnsi="宋体" w:cs="宋体"/>
                <w:b/>
                <w:sz w:val="24"/>
                <w:szCs w:val="24"/>
              </w:rPr>
            </w:pPr>
            <w:r>
              <w:rPr>
                <w:rFonts w:hint="eastAsia" w:ascii="宋体" w:hAnsi="宋体" w:cs="宋体"/>
                <w:b/>
                <w:sz w:val="24"/>
                <w:szCs w:val="24"/>
              </w:rPr>
              <w:t>序号</w:t>
            </w:r>
          </w:p>
        </w:tc>
        <w:tc>
          <w:tcPr>
            <w:tcW w:w="1380" w:type="dxa"/>
            <w:shd w:val="clear" w:color="000000" w:fill="FFFFFF"/>
            <w:vAlign w:val="center"/>
          </w:tcPr>
          <w:p w14:paraId="5F75F74C">
            <w:pPr>
              <w:tabs>
                <w:tab w:val="left" w:pos="1620"/>
              </w:tabs>
              <w:spacing w:line="312" w:lineRule="auto"/>
              <w:ind w:left="-50"/>
              <w:jc w:val="center"/>
              <w:rPr>
                <w:rFonts w:ascii="宋体" w:hAnsi="宋体" w:cs="宋体"/>
                <w:b/>
                <w:sz w:val="24"/>
                <w:szCs w:val="24"/>
              </w:rPr>
            </w:pPr>
            <w:r>
              <w:rPr>
                <w:rFonts w:hint="eastAsia" w:ascii="宋体" w:hAnsi="宋体" w:cs="宋体"/>
                <w:b/>
                <w:sz w:val="24"/>
                <w:szCs w:val="24"/>
              </w:rPr>
              <w:t>项目</w:t>
            </w:r>
          </w:p>
        </w:tc>
        <w:tc>
          <w:tcPr>
            <w:tcW w:w="6300" w:type="dxa"/>
            <w:shd w:val="clear" w:color="000000" w:fill="FFFFFF"/>
            <w:vAlign w:val="center"/>
          </w:tcPr>
          <w:p w14:paraId="4B9D094F">
            <w:pPr>
              <w:tabs>
                <w:tab w:val="left" w:pos="1620"/>
              </w:tabs>
              <w:spacing w:line="312" w:lineRule="auto"/>
              <w:ind w:left="-50"/>
              <w:jc w:val="center"/>
              <w:rPr>
                <w:rFonts w:ascii="宋体" w:hAnsi="宋体" w:cs="宋体"/>
                <w:b/>
                <w:sz w:val="24"/>
                <w:szCs w:val="24"/>
              </w:rPr>
            </w:pPr>
            <w:r>
              <w:rPr>
                <w:rFonts w:hint="eastAsia" w:ascii="宋体" w:hAnsi="宋体" w:cs="宋体"/>
                <w:b/>
                <w:sz w:val="24"/>
                <w:szCs w:val="24"/>
              </w:rPr>
              <w:t>评分细则</w:t>
            </w:r>
          </w:p>
        </w:tc>
        <w:tc>
          <w:tcPr>
            <w:tcW w:w="765" w:type="dxa"/>
            <w:shd w:val="clear" w:color="000000" w:fill="FFFFFF"/>
            <w:vAlign w:val="center"/>
          </w:tcPr>
          <w:p w14:paraId="627AE859">
            <w:pPr>
              <w:tabs>
                <w:tab w:val="left" w:pos="1620"/>
              </w:tabs>
              <w:spacing w:line="288" w:lineRule="auto"/>
              <w:ind w:left="-50"/>
              <w:jc w:val="center"/>
              <w:rPr>
                <w:rFonts w:ascii="宋体" w:hAnsi="宋体" w:cs="宋体"/>
                <w:b/>
                <w:sz w:val="24"/>
                <w:szCs w:val="24"/>
              </w:rPr>
            </w:pPr>
            <w:r>
              <w:rPr>
                <w:rFonts w:hint="eastAsia" w:ascii="宋体" w:hAnsi="宋体" w:cs="宋体"/>
                <w:b/>
                <w:sz w:val="24"/>
                <w:szCs w:val="24"/>
              </w:rPr>
              <w:t>分值</w:t>
            </w:r>
          </w:p>
        </w:tc>
      </w:tr>
      <w:tr w14:paraId="62760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6" w:type="dxa"/>
            <w:shd w:val="clear" w:color="000000" w:fill="FFFFFF"/>
            <w:vAlign w:val="center"/>
          </w:tcPr>
          <w:p w14:paraId="03336B79">
            <w:pPr>
              <w:pStyle w:val="19"/>
              <w:snapToGrid w:val="0"/>
              <w:spacing w:line="312" w:lineRule="auto"/>
              <w:ind w:left="0" w:right="-2"/>
              <w:jc w:val="center"/>
              <w:rPr>
                <w:rFonts w:ascii="宋体" w:hAnsi="宋体" w:cs="宋体"/>
                <w:bCs/>
                <w:color w:val="000000"/>
                <w:sz w:val="24"/>
                <w:szCs w:val="24"/>
              </w:rPr>
            </w:pPr>
            <w:r>
              <w:rPr>
                <w:rFonts w:hint="eastAsia" w:ascii="宋体" w:hAnsi="宋体" w:cs="宋体"/>
                <w:bCs/>
                <w:color w:val="000000"/>
                <w:sz w:val="24"/>
                <w:szCs w:val="24"/>
              </w:rPr>
              <w:t>1.1</w:t>
            </w:r>
          </w:p>
        </w:tc>
        <w:tc>
          <w:tcPr>
            <w:tcW w:w="1380" w:type="dxa"/>
            <w:vMerge w:val="restart"/>
            <w:shd w:val="clear" w:color="000000" w:fill="FFFFFF"/>
            <w:vAlign w:val="center"/>
          </w:tcPr>
          <w:p w14:paraId="66AEB39B">
            <w:pPr>
              <w:pStyle w:val="19"/>
              <w:snapToGrid w:val="0"/>
              <w:spacing w:line="312" w:lineRule="auto"/>
              <w:ind w:left="0" w:right="-2"/>
              <w:jc w:val="center"/>
              <w:rPr>
                <w:rFonts w:ascii="宋体" w:hAnsi="宋体" w:cs="宋体"/>
                <w:color w:val="000000"/>
                <w:sz w:val="24"/>
                <w:szCs w:val="24"/>
              </w:rPr>
            </w:pPr>
            <w:r>
              <w:rPr>
                <w:rFonts w:hint="eastAsia" w:ascii="宋体" w:hAnsi="宋体" w:cs="宋体"/>
                <w:color w:val="000000"/>
                <w:sz w:val="24"/>
                <w:szCs w:val="24"/>
              </w:rPr>
              <w:t>企业实力</w:t>
            </w:r>
          </w:p>
        </w:tc>
        <w:tc>
          <w:tcPr>
            <w:tcW w:w="6300" w:type="dxa"/>
            <w:shd w:val="clear" w:color="000000" w:fill="FFFFFF"/>
            <w:vAlign w:val="center"/>
          </w:tcPr>
          <w:p w14:paraId="572D396B">
            <w:pPr>
              <w:widowControl/>
              <w:spacing w:line="312" w:lineRule="auto"/>
              <w:rPr>
                <w:rFonts w:ascii="宋体" w:hAnsi="宋体" w:cs="宋体"/>
                <w:sz w:val="24"/>
                <w:szCs w:val="24"/>
              </w:rPr>
            </w:pPr>
            <w:r>
              <w:rPr>
                <w:rFonts w:hint="eastAsia" w:ascii="宋体" w:hAnsi="宋体" w:cs="宋体"/>
                <w:sz w:val="24"/>
                <w:szCs w:val="24"/>
              </w:rPr>
              <w:t>投标人具有有效期内的质量管理体系认证、环境管理体系认证、职业健康安全管理体系认证，信息技术管理体系认证、信息安全管理体系认证，每提供一个得1分，最高得5分。</w:t>
            </w:r>
          </w:p>
          <w:p w14:paraId="7D00B53A">
            <w:pPr>
              <w:widowControl/>
              <w:spacing w:line="312" w:lineRule="auto"/>
              <w:rPr>
                <w:rFonts w:ascii="宋体" w:hAnsi="宋体" w:cs="宋体"/>
                <w:sz w:val="24"/>
                <w:szCs w:val="24"/>
                <w:lang w:val="zh-CN"/>
              </w:rPr>
            </w:pPr>
            <w:r>
              <w:rPr>
                <w:rFonts w:hint="eastAsia" w:ascii="宋体" w:hAnsi="宋体" w:cs="宋体"/>
                <w:b/>
                <w:bCs/>
                <w:sz w:val="24"/>
                <w:szCs w:val="24"/>
              </w:rPr>
              <w:t>【证书复制件加盖公章编入商务技术文件中，并同时提供国家认证认可监督管理委员会官方网站上相关证书有效的网页截图或网站打印页，否则不得分。】</w:t>
            </w:r>
          </w:p>
        </w:tc>
        <w:tc>
          <w:tcPr>
            <w:tcW w:w="765" w:type="dxa"/>
            <w:shd w:val="clear" w:color="000000" w:fill="FFFFFF"/>
            <w:vAlign w:val="center"/>
          </w:tcPr>
          <w:p w14:paraId="1F357FD6">
            <w:pPr>
              <w:widowControl/>
              <w:spacing w:line="288" w:lineRule="auto"/>
              <w:jc w:val="center"/>
              <w:rPr>
                <w:rFonts w:ascii="宋体" w:hAnsi="宋体" w:cs="宋体"/>
                <w:color w:val="000000"/>
                <w:sz w:val="24"/>
                <w:szCs w:val="24"/>
              </w:rPr>
            </w:pPr>
            <w:r>
              <w:rPr>
                <w:rFonts w:hint="eastAsia" w:ascii="宋体" w:hAnsi="宋体" w:cs="宋体"/>
                <w:color w:val="000000"/>
                <w:sz w:val="24"/>
                <w:szCs w:val="24"/>
              </w:rPr>
              <w:t>5</w:t>
            </w:r>
          </w:p>
        </w:tc>
      </w:tr>
      <w:tr w14:paraId="54D35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6" w:type="dxa"/>
            <w:shd w:val="clear" w:color="000000" w:fill="FFFFFF"/>
            <w:vAlign w:val="center"/>
          </w:tcPr>
          <w:p w14:paraId="642BD20B">
            <w:pPr>
              <w:pStyle w:val="19"/>
              <w:snapToGrid w:val="0"/>
              <w:spacing w:line="312" w:lineRule="auto"/>
              <w:ind w:left="0" w:right="-2"/>
              <w:jc w:val="center"/>
              <w:rPr>
                <w:rFonts w:ascii="宋体" w:hAnsi="宋体" w:cs="宋体"/>
                <w:bCs/>
                <w:color w:val="000000"/>
                <w:sz w:val="24"/>
                <w:szCs w:val="24"/>
              </w:rPr>
            </w:pPr>
            <w:r>
              <w:rPr>
                <w:rFonts w:hint="eastAsia" w:ascii="宋体" w:hAnsi="宋体" w:cs="宋体"/>
                <w:bCs/>
                <w:color w:val="000000"/>
                <w:sz w:val="24"/>
                <w:szCs w:val="24"/>
              </w:rPr>
              <w:t>1.2</w:t>
            </w:r>
          </w:p>
        </w:tc>
        <w:tc>
          <w:tcPr>
            <w:tcW w:w="1380" w:type="dxa"/>
            <w:vMerge w:val="continue"/>
            <w:shd w:val="clear" w:color="000000" w:fill="FFFFFF"/>
            <w:vAlign w:val="center"/>
          </w:tcPr>
          <w:p w14:paraId="0025DBAC">
            <w:pPr>
              <w:pStyle w:val="19"/>
              <w:snapToGrid w:val="0"/>
              <w:spacing w:line="312" w:lineRule="auto"/>
              <w:ind w:left="0" w:right="-2"/>
              <w:jc w:val="center"/>
              <w:rPr>
                <w:rFonts w:ascii="宋体" w:hAnsi="宋体" w:cs="宋体"/>
                <w:color w:val="000000"/>
                <w:sz w:val="24"/>
                <w:szCs w:val="24"/>
              </w:rPr>
            </w:pPr>
          </w:p>
        </w:tc>
        <w:tc>
          <w:tcPr>
            <w:tcW w:w="6300" w:type="dxa"/>
            <w:shd w:val="clear" w:color="000000" w:fill="FFFFFF"/>
            <w:vAlign w:val="center"/>
          </w:tcPr>
          <w:p w14:paraId="476909A2">
            <w:pPr>
              <w:widowControl/>
              <w:spacing w:line="312" w:lineRule="auto"/>
              <w:rPr>
                <w:rFonts w:ascii="宋体" w:hAnsi="宋体" w:cs="宋体"/>
                <w:sz w:val="24"/>
                <w:szCs w:val="24"/>
              </w:rPr>
            </w:pPr>
            <w:r>
              <w:rPr>
                <w:rFonts w:hint="eastAsia" w:ascii="宋体" w:hAnsi="宋体" w:cs="宋体"/>
                <w:sz w:val="24"/>
                <w:szCs w:val="24"/>
              </w:rPr>
              <w:t>投标人具有机电工程安装维护服务企业资质一级证书的得1分。</w:t>
            </w:r>
          </w:p>
          <w:p w14:paraId="23A375E1">
            <w:pPr>
              <w:widowControl/>
              <w:spacing w:line="312" w:lineRule="auto"/>
              <w:rPr>
                <w:rFonts w:ascii="宋体" w:hAnsi="宋体" w:cs="宋体"/>
                <w:sz w:val="24"/>
                <w:szCs w:val="24"/>
              </w:rPr>
            </w:pPr>
            <w:r>
              <w:rPr>
                <w:rFonts w:hint="eastAsia" w:ascii="宋体" w:hAnsi="宋体" w:cs="宋体"/>
                <w:b/>
                <w:bCs/>
                <w:sz w:val="24"/>
                <w:szCs w:val="24"/>
              </w:rPr>
              <w:t>【证书复制件加盖公章编入商务技术文件中，否则不得分。】</w:t>
            </w:r>
          </w:p>
        </w:tc>
        <w:tc>
          <w:tcPr>
            <w:tcW w:w="765" w:type="dxa"/>
            <w:shd w:val="clear" w:color="000000" w:fill="FFFFFF"/>
            <w:vAlign w:val="center"/>
          </w:tcPr>
          <w:p w14:paraId="50EDFB6C">
            <w:pPr>
              <w:widowControl/>
              <w:spacing w:line="288" w:lineRule="auto"/>
              <w:jc w:val="center"/>
              <w:rPr>
                <w:rFonts w:ascii="宋体" w:hAnsi="宋体" w:cs="宋体"/>
                <w:color w:val="000000"/>
                <w:sz w:val="24"/>
                <w:szCs w:val="24"/>
              </w:rPr>
            </w:pPr>
            <w:r>
              <w:rPr>
                <w:rFonts w:hint="eastAsia" w:ascii="宋体" w:hAnsi="宋体" w:cs="宋体"/>
                <w:color w:val="000000"/>
                <w:sz w:val="24"/>
                <w:szCs w:val="24"/>
              </w:rPr>
              <w:t>1</w:t>
            </w:r>
          </w:p>
        </w:tc>
      </w:tr>
      <w:tr w14:paraId="594A8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6" w:type="dxa"/>
            <w:shd w:val="clear" w:color="000000" w:fill="FFFFFF"/>
            <w:vAlign w:val="center"/>
          </w:tcPr>
          <w:p w14:paraId="49E696DD">
            <w:pPr>
              <w:widowControl/>
              <w:spacing w:line="312" w:lineRule="auto"/>
              <w:jc w:val="center"/>
              <w:rPr>
                <w:rFonts w:ascii="宋体" w:hAnsi="宋体" w:cs="宋体"/>
                <w:bCs/>
                <w:color w:val="000000"/>
                <w:sz w:val="24"/>
                <w:szCs w:val="24"/>
              </w:rPr>
            </w:pPr>
            <w:r>
              <w:rPr>
                <w:rFonts w:hint="eastAsia" w:ascii="宋体" w:hAnsi="宋体" w:cs="宋体"/>
                <w:bCs/>
                <w:color w:val="000000"/>
                <w:sz w:val="24"/>
                <w:szCs w:val="24"/>
              </w:rPr>
              <w:t>1.3</w:t>
            </w:r>
          </w:p>
        </w:tc>
        <w:tc>
          <w:tcPr>
            <w:tcW w:w="1380" w:type="dxa"/>
            <w:vMerge w:val="continue"/>
            <w:shd w:val="clear" w:color="000000" w:fill="FFFFFF"/>
            <w:vAlign w:val="center"/>
          </w:tcPr>
          <w:p w14:paraId="2E3669D6">
            <w:pPr>
              <w:widowControl/>
              <w:spacing w:line="312" w:lineRule="auto"/>
              <w:rPr>
                <w:rFonts w:ascii="宋体" w:hAnsi="宋体" w:cs="宋体"/>
                <w:color w:val="000000"/>
                <w:sz w:val="24"/>
                <w:szCs w:val="24"/>
              </w:rPr>
            </w:pPr>
          </w:p>
        </w:tc>
        <w:tc>
          <w:tcPr>
            <w:tcW w:w="6300" w:type="dxa"/>
            <w:shd w:val="clear" w:color="000000" w:fill="FFFFFF"/>
            <w:vAlign w:val="center"/>
          </w:tcPr>
          <w:p w14:paraId="78871081">
            <w:pPr>
              <w:widowControl/>
              <w:spacing w:line="312" w:lineRule="auto"/>
              <w:rPr>
                <w:rFonts w:ascii="宋体" w:hAnsi="宋体" w:cs="宋体"/>
                <w:sz w:val="24"/>
                <w:szCs w:val="24"/>
              </w:rPr>
            </w:pPr>
            <w:r>
              <w:rPr>
                <w:rFonts w:hint="eastAsia" w:ascii="宋体" w:hAnsi="宋体" w:cs="宋体"/>
                <w:sz w:val="24"/>
                <w:szCs w:val="24"/>
              </w:rPr>
              <w:t>投标人具有智能化系统集成服务企业资质一级证书的得1分。</w:t>
            </w:r>
          </w:p>
          <w:p w14:paraId="709115ED">
            <w:pPr>
              <w:widowControl/>
              <w:spacing w:line="312" w:lineRule="auto"/>
              <w:rPr>
                <w:rFonts w:ascii="宋体" w:hAnsi="宋体" w:cs="宋体"/>
                <w:sz w:val="24"/>
                <w:szCs w:val="24"/>
              </w:rPr>
            </w:pPr>
            <w:r>
              <w:rPr>
                <w:rFonts w:hint="eastAsia" w:ascii="宋体" w:hAnsi="宋体" w:cs="宋体"/>
                <w:b/>
                <w:bCs/>
                <w:sz w:val="24"/>
                <w:szCs w:val="24"/>
              </w:rPr>
              <w:t>【证书复制件加盖公章编入商务技术文件中，否则不得分。】</w:t>
            </w:r>
          </w:p>
        </w:tc>
        <w:tc>
          <w:tcPr>
            <w:tcW w:w="765" w:type="dxa"/>
            <w:shd w:val="clear" w:color="000000" w:fill="FFFFFF"/>
            <w:vAlign w:val="center"/>
          </w:tcPr>
          <w:p w14:paraId="0903290D">
            <w:pPr>
              <w:pStyle w:val="209"/>
              <w:spacing w:line="288" w:lineRule="auto"/>
              <w:jc w:val="center"/>
              <w:rPr>
                <w:rFonts w:cs="宋体"/>
                <w:color w:val="000000"/>
                <w:szCs w:val="24"/>
                <w:lang w:val="en-US"/>
              </w:rPr>
            </w:pPr>
            <w:r>
              <w:rPr>
                <w:rFonts w:hint="eastAsia" w:cs="宋体"/>
                <w:color w:val="000000"/>
                <w:szCs w:val="24"/>
                <w:lang w:val="en-US"/>
              </w:rPr>
              <w:t>1</w:t>
            </w:r>
          </w:p>
        </w:tc>
      </w:tr>
      <w:tr w14:paraId="2F598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6" w:type="dxa"/>
            <w:shd w:val="clear" w:color="000000" w:fill="FFFFFF"/>
            <w:vAlign w:val="center"/>
          </w:tcPr>
          <w:p w14:paraId="1B0D3DBD">
            <w:pPr>
              <w:widowControl/>
              <w:spacing w:line="312" w:lineRule="auto"/>
              <w:jc w:val="center"/>
              <w:rPr>
                <w:rFonts w:ascii="宋体" w:hAnsi="宋体" w:cs="宋体"/>
                <w:bCs/>
                <w:color w:val="000000"/>
                <w:sz w:val="24"/>
                <w:szCs w:val="24"/>
              </w:rPr>
            </w:pPr>
            <w:r>
              <w:rPr>
                <w:rFonts w:hint="eastAsia" w:ascii="宋体" w:hAnsi="宋体" w:cs="宋体"/>
                <w:bCs/>
                <w:color w:val="000000"/>
                <w:sz w:val="24"/>
                <w:szCs w:val="24"/>
              </w:rPr>
              <w:t>1.4</w:t>
            </w:r>
          </w:p>
        </w:tc>
        <w:tc>
          <w:tcPr>
            <w:tcW w:w="1380" w:type="dxa"/>
            <w:vMerge w:val="continue"/>
            <w:shd w:val="clear" w:color="000000" w:fill="FFFFFF"/>
            <w:vAlign w:val="center"/>
          </w:tcPr>
          <w:p w14:paraId="66063222">
            <w:pPr>
              <w:widowControl/>
              <w:spacing w:line="312" w:lineRule="auto"/>
              <w:rPr>
                <w:rFonts w:ascii="宋体" w:hAnsi="宋体" w:cs="宋体"/>
                <w:color w:val="000000"/>
                <w:sz w:val="24"/>
                <w:szCs w:val="24"/>
              </w:rPr>
            </w:pPr>
          </w:p>
        </w:tc>
        <w:tc>
          <w:tcPr>
            <w:tcW w:w="6300" w:type="dxa"/>
            <w:shd w:val="clear" w:color="000000" w:fill="FFFFFF"/>
            <w:vAlign w:val="center"/>
          </w:tcPr>
          <w:p w14:paraId="16BE1E37">
            <w:pPr>
              <w:widowControl/>
              <w:spacing w:line="312" w:lineRule="auto"/>
              <w:rPr>
                <w:rFonts w:ascii="宋体" w:hAnsi="宋体" w:cs="宋体"/>
                <w:sz w:val="24"/>
                <w:szCs w:val="24"/>
              </w:rPr>
            </w:pPr>
            <w:r>
              <w:rPr>
                <w:rFonts w:hint="eastAsia" w:ascii="宋体" w:hAnsi="宋体" w:cs="宋体"/>
                <w:sz w:val="24"/>
                <w:szCs w:val="24"/>
              </w:rPr>
              <w:t>投标人具有与派单、巡检、报修功能相关的</w:t>
            </w:r>
            <w:r>
              <w:rPr>
                <w:rFonts w:hint="eastAsia" w:ascii="宋体" w:hAnsi="宋体" w:cs="宋体"/>
                <w:strike w:val="0"/>
                <w:dstrike w:val="0"/>
                <w:sz w:val="24"/>
                <w:szCs w:val="24"/>
              </w:rPr>
              <w:t>二供泵房运维软件并能提供</w:t>
            </w:r>
            <w:r>
              <w:rPr>
                <w:rFonts w:hint="eastAsia" w:ascii="宋体" w:hAnsi="宋体" w:cs="宋体"/>
                <w:sz w:val="24"/>
                <w:szCs w:val="24"/>
              </w:rPr>
              <w:t>软件著作权证书的，每具备一个功能得1分，最高得3分。</w:t>
            </w:r>
          </w:p>
          <w:p w14:paraId="1699F1FC">
            <w:pPr>
              <w:widowControl/>
              <w:spacing w:line="312" w:lineRule="auto"/>
              <w:rPr>
                <w:rFonts w:ascii="宋体" w:hAnsi="宋体" w:cs="宋体"/>
                <w:sz w:val="24"/>
                <w:szCs w:val="24"/>
              </w:rPr>
            </w:pPr>
            <w:r>
              <w:rPr>
                <w:rFonts w:hint="eastAsia" w:ascii="宋体" w:hAnsi="宋体" w:cs="宋体"/>
                <w:b/>
                <w:bCs/>
                <w:sz w:val="24"/>
                <w:szCs w:val="24"/>
              </w:rPr>
              <w:t>【证书复制件加盖公章编入商务技术文件中，否则不得分。】</w:t>
            </w:r>
          </w:p>
        </w:tc>
        <w:tc>
          <w:tcPr>
            <w:tcW w:w="765" w:type="dxa"/>
            <w:shd w:val="clear" w:color="000000" w:fill="FFFFFF"/>
            <w:vAlign w:val="center"/>
          </w:tcPr>
          <w:p w14:paraId="2AE50765">
            <w:pPr>
              <w:pStyle w:val="209"/>
              <w:spacing w:line="288" w:lineRule="auto"/>
              <w:jc w:val="center"/>
              <w:rPr>
                <w:rFonts w:cs="宋体"/>
                <w:color w:val="000000"/>
                <w:szCs w:val="24"/>
                <w:lang w:val="en-US"/>
              </w:rPr>
            </w:pPr>
            <w:r>
              <w:rPr>
                <w:rFonts w:hint="eastAsia" w:cs="宋体"/>
                <w:color w:val="000000"/>
                <w:szCs w:val="24"/>
                <w:lang w:val="en-US"/>
              </w:rPr>
              <w:t>3</w:t>
            </w:r>
          </w:p>
        </w:tc>
      </w:tr>
      <w:tr w14:paraId="35B8C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6" w:type="dxa"/>
            <w:shd w:val="clear" w:color="000000" w:fill="FFFFFF"/>
            <w:vAlign w:val="center"/>
          </w:tcPr>
          <w:p w14:paraId="1877C0AB">
            <w:pPr>
              <w:widowControl/>
              <w:spacing w:line="312" w:lineRule="auto"/>
              <w:jc w:val="center"/>
              <w:rPr>
                <w:rFonts w:ascii="宋体" w:hAnsi="宋体" w:cs="宋体"/>
                <w:bCs/>
                <w:color w:val="000000"/>
                <w:sz w:val="24"/>
                <w:szCs w:val="24"/>
              </w:rPr>
            </w:pPr>
            <w:r>
              <w:rPr>
                <w:rFonts w:hint="eastAsia" w:ascii="宋体" w:hAnsi="宋体" w:cs="宋体"/>
                <w:bCs/>
                <w:color w:val="000000"/>
                <w:sz w:val="24"/>
                <w:szCs w:val="24"/>
              </w:rPr>
              <w:t>2</w:t>
            </w:r>
          </w:p>
        </w:tc>
        <w:tc>
          <w:tcPr>
            <w:tcW w:w="1380" w:type="dxa"/>
            <w:shd w:val="clear" w:color="000000" w:fill="FFFFFF"/>
            <w:vAlign w:val="center"/>
          </w:tcPr>
          <w:p w14:paraId="452718D8">
            <w:pPr>
              <w:widowControl/>
              <w:spacing w:line="312" w:lineRule="auto"/>
              <w:jc w:val="center"/>
              <w:rPr>
                <w:rFonts w:ascii="宋体" w:hAnsi="宋体" w:cs="宋体"/>
                <w:bCs/>
                <w:color w:val="000000"/>
                <w:sz w:val="24"/>
                <w:szCs w:val="24"/>
              </w:rPr>
            </w:pPr>
            <w:r>
              <w:rPr>
                <w:rFonts w:hint="eastAsia" w:ascii="宋体" w:hAnsi="宋体" w:cs="宋体"/>
                <w:bCs/>
                <w:color w:val="000000"/>
                <w:sz w:val="24"/>
                <w:szCs w:val="24"/>
              </w:rPr>
              <w:t>业绩</w:t>
            </w:r>
          </w:p>
        </w:tc>
        <w:tc>
          <w:tcPr>
            <w:tcW w:w="6300" w:type="dxa"/>
            <w:shd w:val="clear" w:color="000000" w:fill="FFFFFF"/>
            <w:vAlign w:val="center"/>
          </w:tcPr>
          <w:p w14:paraId="07F0DD34">
            <w:pPr>
              <w:widowControl/>
              <w:spacing w:line="312" w:lineRule="auto"/>
              <w:rPr>
                <w:rFonts w:ascii="宋体" w:hAnsi="宋体" w:cs="宋体"/>
                <w:sz w:val="24"/>
                <w:szCs w:val="24"/>
                <w:lang w:val="zh-CN"/>
              </w:rPr>
            </w:pPr>
            <w:r>
              <w:rPr>
                <w:rFonts w:hint="eastAsia" w:ascii="宋体" w:hAnsi="宋体" w:cs="宋体"/>
                <w:sz w:val="24"/>
                <w:szCs w:val="24"/>
              </w:rPr>
              <w:t>自</w:t>
            </w:r>
            <w:r>
              <w:rPr>
                <w:rFonts w:hint="eastAsia" w:ascii="宋体" w:hAnsi="宋体" w:cs="宋体"/>
                <w:sz w:val="24"/>
                <w:szCs w:val="24"/>
                <w:lang w:val="zh-CN"/>
              </w:rPr>
              <w:t>202</w:t>
            </w:r>
            <w:r>
              <w:rPr>
                <w:rFonts w:hint="eastAsia" w:ascii="宋体" w:hAnsi="宋体" w:cs="宋体"/>
                <w:sz w:val="24"/>
                <w:szCs w:val="24"/>
              </w:rPr>
              <w:t>2</w:t>
            </w:r>
            <w:r>
              <w:rPr>
                <w:rFonts w:hint="eastAsia" w:ascii="宋体" w:hAnsi="宋体" w:cs="宋体"/>
                <w:sz w:val="24"/>
                <w:szCs w:val="24"/>
                <w:lang w:val="zh-CN"/>
              </w:rPr>
              <w:t>年1月1日以来（以合同签订时间为准），</w:t>
            </w:r>
            <w:r>
              <w:rPr>
                <w:rFonts w:hint="eastAsia" w:ascii="宋体" w:hAnsi="宋体" w:cs="宋体"/>
                <w:sz w:val="24"/>
                <w:szCs w:val="24"/>
              </w:rPr>
              <w:t>投标人承担过政府部门或国有企业委托的</w:t>
            </w:r>
            <w:r>
              <w:rPr>
                <w:rFonts w:hint="eastAsia" w:ascii="宋体" w:hAnsi="宋体" w:cs="宋体"/>
                <w:sz w:val="24"/>
                <w:szCs w:val="24"/>
                <w:lang w:val="zh-CN"/>
              </w:rPr>
              <w:t>加压泵房内设施设备</w:t>
            </w:r>
            <w:r>
              <w:rPr>
                <w:rFonts w:hint="eastAsia" w:ascii="宋体" w:hAnsi="宋体" w:cs="宋体"/>
                <w:sz w:val="24"/>
                <w:szCs w:val="24"/>
              </w:rPr>
              <w:t>维护保养业绩的</w:t>
            </w:r>
            <w:r>
              <w:rPr>
                <w:rFonts w:hint="eastAsia" w:ascii="宋体" w:hAnsi="宋体" w:cs="宋体"/>
                <w:sz w:val="24"/>
                <w:szCs w:val="24"/>
                <w:lang w:val="zh-CN"/>
              </w:rPr>
              <w:t>，每个得</w:t>
            </w:r>
            <w:r>
              <w:rPr>
                <w:rFonts w:hint="eastAsia" w:ascii="宋体" w:hAnsi="宋体" w:cs="宋体"/>
                <w:sz w:val="24"/>
                <w:szCs w:val="24"/>
              </w:rPr>
              <w:t>1</w:t>
            </w:r>
            <w:r>
              <w:rPr>
                <w:rFonts w:hint="eastAsia" w:ascii="宋体" w:hAnsi="宋体" w:cs="宋体"/>
                <w:sz w:val="24"/>
                <w:szCs w:val="24"/>
                <w:lang w:val="zh-CN"/>
              </w:rPr>
              <w:t>分，最高得</w:t>
            </w:r>
            <w:r>
              <w:rPr>
                <w:rFonts w:hint="eastAsia" w:ascii="宋体" w:hAnsi="宋体" w:cs="宋体"/>
                <w:sz w:val="24"/>
                <w:szCs w:val="24"/>
              </w:rPr>
              <w:t>3</w:t>
            </w:r>
            <w:r>
              <w:rPr>
                <w:rFonts w:hint="eastAsia" w:ascii="宋体" w:hAnsi="宋体" w:cs="宋体"/>
                <w:sz w:val="24"/>
                <w:szCs w:val="24"/>
                <w:lang w:val="zh-CN"/>
              </w:rPr>
              <w:t>分。</w:t>
            </w:r>
          </w:p>
          <w:p w14:paraId="3E62D959">
            <w:pPr>
              <w:widowControl/>
              <w:spacing w:line="312" w:lineRule="auto"/>
              <w:rPr>
                <w:rFonts w:ascii="宋体" w:hAnsi="宋体" w:cs="宋体"/>
                <w:sz w:val="24"/>
                <w:szCs w:val="24"/>
                <w:lang w:val="zh-CN"/>
              </w:rPr>
            </w:pPr>
            <w:r>
              <w:rPr>
                <w:rFonts w:hint="eastAsia" w:ascii="宋体" w:hAnsi="宋体" w:cs="宋体"/>
                <w:b/>
                <w:bCs/>
                <w:sz w:val="24"/>
                <w:szCs w:val="24"/>
                <w:lang w:val="zh-CN"/>
              </w:rPr>
              <w:t>【合同复制件加盖公章编入商务技术文件中，否则不得分。若提供的业绩是国有企业委托的，请提供证明委托单位为国有企业的证明材料，否则不得分。】</w:t>
            </w:r>
          </w:p>
        </w:tc>
        <w:tc>
          <w:tcPr>
            <w:tcW w:w="765" w:type="dxa"/>
            <w:shd w:val="clear" w:color="000000" w:fill="FFFFFF"/>
            <w:vAlign w:val="center"/>
          </w:tcPr>
          <w:p w14:paraId="713913C8">
            <w:pPr>
              <w:widowControl/>
              <w:spacing w:line="288" w:lineRule="auto"/>
              <w:jc w:val="center"/>
              <w:textAlignment w:val="center"/>
              <w:rPr>
                <w:rFonts w:ascii="宋体" w:hAnsi="宋体" w:cs="宋体"/>
                <w:color w:val="000000"/>
                <w:kern w:val="2"/>
                <w:sz w:val="24"/>
                <w:szCs w:val="24"/>
              </w:rPr>
            </w:pPr>
            <w:r>
              <w:rPr>
                <w:rFonts w:hint="eastAsia" w:ascii="宋体" w:hAnsi="宋体" w:cs="宋体"/>
                <w:color w:val="000000"/>
                <w:kern w:val="2"/>
                <w:sz w:val="24"/>
                <w:szCs w:val="24"/>
              </w:rPr>
              <w:t>3</w:t>
            </w:r>
          </w:p>
        </w:tc>
      </w:tr>
      <w:tr w14:paraId="41D39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6" w:type="dxa"/>
            <w:shd w:val="clear" w:color="000000" w:fill="FFFFFF"/>
            <w:vAlign w:val="center"/>
          </w:tcPr>
          <w:p w14:paraId="0BE1C12E">
            <w:pPr>
              <w:pStyle w:val="19"/>
              <w:snapToGrid w:val="0"/>
              <w:spacing w:line="312" w:lineRule="auto"/>
              <w:ind w:left="0" w:right="-2"/>
              <w:jc w:val="center"/>
              <w:rPr>
                <w:rFonts w:ascii="宋体" w:hAnsi="宋体" w:cs="宋体"/>
                <w:bCs/>
                <w:color w:val="000000"/>
                <w:sz w:val="24"/>
                <w:szCs w:val="24"/>
              </w:rPr>
            </w:pPr>
            <w:r>
              <w:rPr>
                <w:rFonts w:hint="eastAsia" w:ascii="宋体" w:hAnsi="宋体" w:cs="宋体"/>
                <w:bCs/>
                <w:color w:val="000000"/>
                <w:sz w:val="24"/>
                <w:szCs w:val="24"/>
              </w:rPr>
              <w:t>3.1</w:t>
            </w:r>
          </w:p>
        </w:tc>
        <w:tc>
          <w:tcPr>
            <w:tcW w:w="1380" w:type="dxa"/>
            <w:vMerge w:val="restart"/>
            <w:shd w:val="clear" w:color="000000" w:fill="FFFFFF"/>
            <w:vAlign w:val="center"/>
          </w:tcPr>
          <w:p w14:paraId="6EBCACDE">
            <w:pPr>
              <w:spacing w:line="312" w:lineRule="auto"/>
              <w:jc w:val="center"/>
              <w:rPr>
                <w:rFonts w:ascii="宋体" w:hAnsi="宋体" w:cs="宋体"/>
                <w:bCs/>
                <w:color w:val="000000"/>
                <w:sz w:val="24"/>
                <w:szCs w:val="24"/>
              </w:rPr>
            </w:pPr>
            <w:r>
              <w:rPr>
                <w:rFonts w:hint="eastAsia" w:ascii="宋体" w:hAnsi="宋体" w:cs="宋体"/>
                <w:bCs/>
                <w:color w:val="000000"/>
                <w:sz w:val="24"/>
                <w:szCs w:val="24"/>
              </w:rPr>
              <w:t>人员配置情况</w:t>
            </w:r>
          </w:p>
        </w:tc>
        <w:tc>
          <w:tcPr>
            <w:tcW w:w="6300" w:type="dxa"/>
            <w:shd w:val="clear" w:color="000000" w:fill="FFFFFF"/>
            <w:vAlign w:val="center"/>
          </w:tcPr>
          <w:p w14:paraId="5740B277">
            <w:pPr>
              <w:widowControl/>
              <w:spacing w:line="312" w:lineRule="auto"/>
              <w:rPr>
                <w:rFonts w:ascii="宋体" w:hAnsi="宋体" w:cs="宋体"/>
                <w:sz w:val="24"/>
                <w:szCs w:val="24"/>
                <w:lang w:val="zh-CN"/>
              </w:rPr>
            </w:pPr>
            <w:r>
              <w:rPr>
                <w:rFonts w:hint="eastAsia" w:ascii="宋体" w:hAnsi="宋体" w:cs="宋体"/>
                <w:sz w:val="24"/>
                <w:szCs w:val="24"/>
              </w:rPr>
              <w:t>拟投入的</w:t>
            </w:r>
            <w:r>
              <w:rPr>
                <w:rFonts w:hint="eastAsia" w:ascii="宋体" w:hAnsi="宋体" w:cs="宋体"/>
                <w:sz w:val="24"/>
                <w:szCs w:val="24"/>
                <w:lang w:val="zh-CN"/>
              </w:rPr>
              <w:t>运维团队中，</w:t>
            </w:r>
            <w:r>
              <w:rPr>
                <w:rFonts w:hint="eastAsia" w:ascii="宋体" w:hAnsi="宋体" w:cs="宋体"/>
                <w:sz w:val="24"/>
                <w:szCs w:val="24"/>
              </w:rPr>
              <w:t>每具备一名</w:t>
            </w:r>
            <w:r>
              <w:rPr>
                <w:rFonts w:hint="eastAsia" w:ascii="宋体" w:hAnsi="宋体" w:cs="宋体"/>
                <w:sz w:val="24"/>
                <w:szCs w:val="24"/>
                <w:lang w:val="zh-CN"/>
              </w:rPr>
              <w:t>中级工程师得1分，</w:t>
            </w:r>
            <w:r>
              <w:rPr>
                <w:rFonts w:hint="eastAsia" w:ascii="宋体" w:hAnsi="宋体" w:cs="宋体"/>
                <w:sz w:val="24"/>
                <w:szCs w:val="24"/>
              </w:rPr>
              <w:t>最高得</w:t>
            </w:r>
            <w:r>
              <w:rPr>
                <w:rFonts w:hint="eastAsia" w:ascii="宋体" w:hAnsi="宋体" w:cs="宋体"/>
                <w:sz w:val="24"/>
                <w:szCs w:val="24"/>
                <w:lang w:val="zh-CN"/>
              </w:rPr>
              <w:t>3分。</w:t>
            </w:r>
          </w:p>
          <w:p w14:paraId="680B55C5">
            <w:pPr>
              <w:widowControl/>
              <w:spacing w:line="312" w:lineRule="auto"/>
              <w:rPr>
                <w:rFonts w:ascii="宋体" w:hAnsi="宋体" w:cs="宋体"/>
                <w:sz w:val="24"/>
                <w:szCs w:val="24"/>
                <w:lang w:val="zh-CN"/>
              </w:rPr>
            </w:pPr>
            <w:r>
              <w:rPr>
                <w:rFonts w:hint="eastAsia" w:ascii="宋体" w:hAnsi="宋体" w:cs="宋体"/>
                <w:b/>
                <w:bCs/>
                <w:sz w:val="24"/>
                <w:szCs w:val="24"/>
                <w:lang w:val="zh-CN"/>
              </w:rPr>
              <w:t>【</w:t>
            </w:r>
            <w:r>
              <w:rPr>
                <w:rFonts w:hint="eastAsia" w:ascii="宋体" w:hAnsi="宋体" w:cs="宋体"/>
                <w:b/>
                <w:bCs/>
                <w:sz w:val="24"/>
                <w:szCs w:val="24"/>
              </w:rPr>
              <w:t>证书</w:t>
            </w:r>
            <w:r>
              <w:rPr>
                <w:rFonts w:hint="eastAsia" w:ascii="宋体" w:hAnsi="宋体" w:cs="宋体"/>
                <w:b/>
                <w:bCs/>
                <w:sz w:val="24"/>
                <w:szCs w:val="24"/>
                <w:lang w:val="en-US" w:eastAsia="zh-CN"/>
              </w:rPr>
              <w:t>复制件</w:t>
            </w:r>
            <w:r>
              <w:rPr>
                <w:rFonts w:hint="eastAsia" w:ascii="宋体" w:hAnsi="宋体" w:cs="宋体"/>
                <w:b/>
                <w:bCs/>
                <w:sz w:val="24"/>
                <w:szCs w:val="24"/>
              </w:rPr>
              <w:t>、身份证</w:t>
            </w:r>
            <w:r>
              <w:rPr>
                <w:rFonts w:hint="eastAsia" w:ascii="宋体" w:hAnsi="宋体" w:cs="宋体"/>
                <w:b/>
                <w:bCs/>
                <w:sz w:val="24"/>
                <w:szCs w:val="24"/>
                <w:lang w:val="en-US" w:eastAsia="zh-CN"/>
              </w:rPr>
              <w:t>复制件</w:t>
            </w:r>
            <w:r>
              <w:rPr>
                <w:rFonts w:hint="eastAsia" w:ascii="宋体" w:hAnsi="宋体" w:cs="宋体"/>
                <w:b/>
                <w:bCs/>
                <w:sz w:val="24"/>
                <w:szCs w:val="24"/>
              </w:rPr>
              <w:t>加盖公章编入投标文件中，同时投标文件中提供由社保部门出具的</w:t>
            </w:r>
            <w:r>
              <w:rPr>
                <w:rFonts w:hint="eastAsia" w:ascii="宋体" w:hAnsi="宋体" w:cs="宋体"/>
                <w:b/>
                <w:bCs/>
                <w:sz w:val="24"/>
                <w:szCs w:val="24"/>
                <w:lang w:val="en-US" w:eastAsia="zh-CN"/>
              </w:rPr>
              <w:t>2024年12月-</w:t>
            </w:r>
            <w:r>
              <w:rPr>
                <w:rFonts w:hint="eastAsia" w:ascii="宋体" w:hAnsi="宋体" w:cs="宋体"/>
                <w:b/>
                <w:bCs/>
                <w:sz w:val="24"/>
                <w:szCs w:val="24"/>
              </w:rPr>
              <w:t>2025年</w:t>
            </w:r>
            <w:r>
              <w:rPr>
                <w:rFonts w:hint="eastAsia" w:ascii="宋体" w:hAnsi="宋体" w:cs="宋体"/>
                <w:b/>
                <w:bCs/>
                <w:sz w:val="24"/>
                <w:szCs w:val="24"/>
                <w:lang w:val="en-US" w:eastAsia="zh-CN"/>
              </w:rPr>
              <w:t>2</w:t>
            </w:r>
            <w:r>
              <w:rPr>
                <w:rFonts w:hint="eastAsia" w:ascii="宋体" w:hAnsi="宋体" w:cs="宋体"/>
                <w:b/>
                <w:bCs/>
                <w:sz w:val="24"/>
                <w:szCs w:val="24"/>
              </w:rPr>
              <w:t>月投标人单位为其缴纳的社保证明材料复印件加盖公章，否则本项不得分。</w:t>
            </w:r>
            <w:r>
              <w:rPr>
                <w:rFonts w:hint="eastAsia" w:ascii="宋体" w:hAnsi="宋体" w:cs="宋体"/>
                <w:b/>
                <w:bCs/>
                <w:sz w:val="24"/>
                <w:szCs w:val="24"/>
                <w:lang w:val="zh-CN"/>
              </w:rPr>
              <w:t>】</w:t>
            </w:r>
          </w:p>
        </w:tc>
        <w:tc>
          <w:tcPr>
            <w:tcW w:w="765" w:type="dxa"/>
            <w:shd w:val="clear" w:color="000000" w:fill="FFFFFF"/>
            <w:vAlign w:val="center"/>
          </w:tcPr>
          <w:p w14:paraId="15E65EE7">
            <w:pPr>
              <w:widowControl/>
              <w:spacing w:line="288" w:lineRule="auto"/>
              <w:jc w:val="center"/>
              <w:textAlignment w:val="center"/>
              <w:rPr>
                <w:rFonts w:ascii="宋体" w:hAnsi="宋体" w:cs="宋体"/>
                <w:color w:val="000000"/>
                <w:kern w:val="2"/>
                <w:sz w:val="24"/>
                <w:szCs w:val="24"/>
              </w:rPr>
            </w:pPr>
            <w:r>
              <w:rPr>
                <w:rFonts w:hint="eastAsia" w:ascii="宋体" w:hAnsi="宋体" w:cs="宋体"/>
                <w:color w:val="000000"/>
                <w:kern w:val="2"/>
                <w:sz w:val="24"/>
                <w:szCs w:val="24"/>
              </w:rPr>
              <w:t>3</w:t>
            </w:r>
          </w:p>
        </w:tc>
      </w:tr>
      <w:tr w14:paraId="68EBC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6" w:type="dxa"/>
            <w:shd w:val="clear" w:color="000000" w:fill="FFFFFF"/>
            <w:vAlign w:val="center"/>
          </w:tcPr>
          <w:p w14:paraId="6CB44007">
            <w:pPr>
              <w:pStyle w:val="19"/>
              <w:snapToGrid w:val="0"/>
              <w:spacing w:line="312" w:lineRule="auto"/>
              <w:ind w:left="0" w:right="-2"/>
              <w:jc w:val="center"/>
              <w:rPr>
                <w:rFonts w:ascii="宋体" w:hAnsi="宋体" w:cs="宋体"/>
                <w:bCs/>
                <w:color w:val="000000"/>
                <w:kern w:val="2"/>
                <w:sz w:val="24"/>
                <w:szCs w:val="24"/>
              </w:rPr>
            </w:pPr>
            <w:r>
              <w:rPr>
                <w:rFonts w:hint="eastAsia" w:ascii="宋体" w:hAnsi="宋体" w:cs="宋体"/>
                <w:bCs/>
                <w:color w:val="000000"/>
                <w:sz w:val="24"/>
                <w:szCs w:val="24"/>
              </w:rPr>
              <w:t>3.2</w:t>
            </w:r>
          </w:p>
        </w:tc>
        <w:tc>
          <w:tcPr>
            <w:tcW w:w="1380" w:type="dxa"/>
            <w:vMerge w:val="continue"/>
            <w:shd w:val="clear" w:color="000000" w:fill="FFFFFF"/>
            <w:vAlign w:val="center"/>
          </w:tcPr>
          <w:p w14:paraId="5A094028">
            <w:pPr>
              <w:spacing w:line="312" w:lineRule="auto"/>
              <w:jc w:val="center"/>
              <w:rPr>
                <w:rFonts w:ascii="宋体" w:hAnsi="宋体" w:cs="宋体"/>
                <w:bCs/>
                <w:color w:val="000000"/>
                <w:sz w:val="24"/>
                <w:szCs w:val="24"/>
              </w:rPr>
            </w:pPr>
          </w:p>
        </w:tc>
        <w:tc>
          <w:tcPr>
            <w:tcW w:w="6300" w:type="dxa"/>
            <w:shd w:val="clear" w:color="000000" w:fill="FFFFFF"/>
            <w:vAlign w:val="center"/>
          </w:tcPr>
          <w:p w14:paraId="2FEF22DD">
            <w:pPr>
              <w:widowControl/>
              <w:spacing w:line="312" w:lineRule="auto"/>
              <w:rPr>
                <w:rFonts w:ascii="宋体" w:hAnsi="宋体" w:cs="宋体"/>
                <w:sz w:val="24"/>
                <w:szCs w:val="24"/>
              </w:rPr>
            </w:pPr>
            <w:r>
              <w:rPr>
                <w:rFonts w:hint="eastAsia" w:ascii="宋体" w:hAnsi="宋体" w:cs="宋体"/>
                <w:sz w:val="24"/>
                <w:szCs w:val="24"/>
              </w:rPr>
              <w:t>拟投入的</w:t>
            </w:r>
            <w:r>
              <w:rPr>
                <w:rFonts w:hint="eastAsia" w:ascii="宋体" w:hAnsi="宋体" w:cs="宋体"/>
                <w:sz w:val="24"/>
                <w:szCs w:val="24"/>
                <w:lang w:val="zh-CN"/>
              </w:rPr>
              <w:t>运维团队中，</w:t>
            </w:r>
            <w:r>
              <w:rPr>
                <w:rFonts w:hint="eastAsia" w:ascii="宋体" w:hAnsi="宋体" w:cs="宋体"/>
                <w:sz w:val="24"/>
                <w:szCs w:val="24"/>
              </w:rPr>
              <w:t>配备一名</w:t>
            </w:r>
            <w:r>
              <w:rPr>
                <w:rFonts w:hint="eastAsia" w:ascii="宋体" w:hAnsi="宋体" w:cs="宋体"/>
                <w:sz w:val="24"/>
                <w:szCs w:val="24"/>
                <w:lang w:val="zh-CN"/>
              </w:rPr>
              <w:t>专职安全员的</w:t>
            </w:r>
            <w:r>
              <w:rPr>
                <w:rFonts w:hint="eastAsia" w:ascii="宋体" w:hAnsi="宋体" w:cs="宋体"/>
                <w:sz w:val="24"/>
                <w:szCs w:val="24"/>
              </w:rPr>
              <w:t>得1分。</w:t>
            </w:r>
          </w:p>
          <w:p w14:paraId="04193415">
            <w:pPr>
              <w:widowControl/>
              <w:spacing w:line="312" w:lineRule="auto"/>
              <w:rPr>
                <w:rFonts w:ascii="宋体" w:hAnsi="宋体" w:cs="宋体"/>
                <w:sz w:val="24"/>
                <w:szCs w:val="24"/>
                <w:lang w:val="zh-CN"/>
              </w:rPr>
            </w:pPr>
            <w:r>
              <w:rPr>
                <w:rFonts w:hint="eastAsia" w:ascii="宋体" w:hAnsi="宋体" w:cs="宋体"/>
                <w:b/>
                <w:bCs/>
                <w:sz w:val="24"/>
                <w:szCs w:val="24"/>
                <w:lang w:val="zh-CN"/>
              </w:rPr>
              <w:t>【</w:t>
            </w:r>
            <w:r>
              <w:rPr>
                <w:rFonts w:hint="eastAsia" w:ascii="宋体" w:hAnsi="宋体" w:cs="宋体"/>
                <w:b/>
                <w:bCs/>
                <w:sz w:val="24"/>
                <w:szCs w:val="24"/>
              </w:rPr>
              <w:t>证书</w:t>
            </w:r>
            <w:r>
              <w:rPr>
                <w:rFonts w:hint="eastAsia" w:ascii="宋体" w:hAnsi="宋体" w:cs="宋体"/>
                <w:b/>
                <w:bCs/>
                <w:sz w:val="24"/>
                <w:szCs w:val="24"/>
                <w:lang w:val="en-US" w:eastAsia="zh-CN"/>
              </w:rPr>
              <w:t>复制件</w:t>
            </w:r>
            <w:r>
              <w:rPr>
                <w:rFonts w:hint="eastAsia" w:ascii="宋体" w:hAnsi="宋体" w:cs="宋体"/>
                <w:b/>
                <w:bCs/>
                <w:sz w:val="24"/>
                <w:szCs w:val="24"/>
              </w:rPr>
              <w:t>、身份证</w:t>
            </w:r>
            <w:r>
              <w:rPr>
                <w:rFonts w:hint="eastAsia" w:ascii="宋体" w:hAnsi="宋体" w:cs="宋体"/>
                <w:b/>
                <w:bCs/>
                <w:sz w:val="24"/>
                <w:szCs w:val="24"/>
                <w:lang w:val="en-US" w:eastAsia="zh-CN"/>
              </w:rPr>
              <w:t>复制件</w:t>
            </w:r>
            <w:r>
              <w:rPr>
                <w:rFonts w:hint="eastAsia" w:ascii="宋体" w:hAnsi="宋体" w:cs="宋体"/>
                <w:b/>
                <w:bCs/>
                <w:sz w:val="24"/>
                <w:szCs w:val="24"/>
              </w:rPr>
              <w:t>加盖公章编入投标文件中，同时投标文件中提供由社保部门出具的</w:t>
            </w:r>
            <w:r>
              <w:rPr>
                <w:rFonts w:hint="eastAsia" w:ascii="宋体" w:hAnsi="宋体" w:cs="宋体"/>
                <w:b/>
                <w:bCs/>
                <w:sz w:val="24"/>
                <w:szCs w:val="24"/>
                <w:lang w:val="en-US" w:eastAsia="zh-CN"/>
              </w:rPr>
              <w:t>2024年12月-</w:t>
            </w:r>
            <w:r>
              <w:rPr>
                <w:rFonts w:hint="eastAsia" w:ascii="宋体" w:hAnsi="宋体" w:cs="宋体"/>
                <w:b/>
                <w:bCs/>
                <w:sz w:val="24"/>
                <w:szCs w:val="24"/>
              </w:rPr>
              <w:t>2025年</w:t>
            </w:r>
            <w:r>
              <w:rPr>
                <w:rFonts w:hint="eastAsia" w:ascii="宋体" w:hAnsi="宋体" w:cs="宋体"/>
                <w:b/>
                <w:bCs/>
                <w:sz w:val="24"/>
                <w:szCs w:val="24"/>
                <w:lang w:val="en-US" w:eastAsia="zh-CN"/>
              </w:rPr>
              <w:t>2</w:t>
            </w:r>
            <w:r>
              <w:rPr>
                <w:rFonts w:hint="eastAsia" w:ascii="宋体" w:hAnsi="宋体" w:cs="宋体"/>
                <w:b/>
                <w:bCs/>
                <w:sz w:val="24"/>
                <w:szCs w:val="24"/>
              </w:rPr>
              <w:t>月投标人单位为其缴纳的社保证明材料复印件加盖公章，否则本项不得分。</w:t>
            </w:r>
            <w:r>
              <w:rPr>
                <w:rFonts w:hint="eastAsia" w:ascii="宋体" w:hAnsi="宋体" w:cs="宋体"/>
                <w:b/>
                <w:bCs/>
                <w:sz w:val="24"/>
                <w:szCs w:val="24"/>
                <w:lang w:val="zh-CN"/>
              </w:rPr>
              <w:t>】</w:t>
            </w:r>
          </w:p>
        </w:tc>
        <w:tc>
          <w:tcPr>
            <w:tcW w:w="765" w:type="dxa"/>
            <w:shd w:val="clear" w:color="000000" w:fill="FFFFFF"/>
            <w:vAlign w:val="center"/>
          </w:tcPr>
          <w:p w14:paraId="55EFBB28">
            <w:pPr>
              <w:widowControl/>
              <w:spacing w:line="288" w:lineRule="auto"/>
              <w:jc w:val="center"/>
              <w:textAlignment w:val="center"/>
              <w:rPr>
                <w:rFonts w:ascii="宋体" w:hAnsi="宋体" w:cs="宋体"/>
                <w:color w:val="000000"/>
                <w:kern w:val="2"/>
                <w:sz w:val="24"/>
                <w:szCs w:val="24"/>
              </w:rPr>
            </w:pPr>
            <w:r>
              <w:rPr>
                <w:rFonts w:hint="eastAsia" w:ascii="宋体" w:hAnsi="宋体" w:cs="宋体"/>
                <w:color w:val="000000"/>
                <w:kern w:val="2"/>
                <w:sz w:val="24"/>
                <w:szCs w:val="24"/>
              </w:rPr>
              <w:t>1</w:t>
            </w:r>
          </w:p>
        </w:tc>
      </w:tr>
      <w:tr w14:paraId="22DE7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6" w:type="dxa"/>
            <w:shd w:val="clear" w:color="000000" w:fill="FFFFFF"/>
            <w:vAlign w:val="center"/>
          </w:tcPr>
          <w:p w14:paraId="38AB34EB">
            <w:pPr>
              <w:pStyle w:val="19"/>
              <w:snapToGrid w:val="0"/>
              <w:spacing w:line="312" w:lineRule="auto"/>
              <w:ind w:left="0" w:right="-2"/>
              <w:jc w:val="center"/>
              <w:rPr>
                <w:rFonts w:ascii="宋体" w:hAnsi="宋体" w:cs="宋体"/>
                <w:bCs/>
                <w:color w:val="000000"/>
                <w:kern w:val="2"/>
                <w:sz w:val="24"/>
                <w:szCs w:val="24"/>
              </w:rPr>
            </w:pPr>
            <w:r>
              <w:rPr>
                <w:rFonts w:hint="eastAsia" w:ascii="宋体" w:hAnsi="宋体" w:cs="宋体"/>
                <w:bCs/>
                <w:color w:val="000000"/>
                <w:sz w:val="24"/>
                <w:szCs w:val="24"/>
              </w:rPr>
              <w:t>3.3</w:t>
            </w:r>
          </w:p>
        </w:tc>
        <w:tc>
          <w:tcPr>
            <w:tcW w:w="1380" w:type="dxa"/>
            <w:vMerge w:val="continue"/>
            <w:shd w:val="clear" w:color="000000" w:fill="FFFFFF"/>
            <w:vAlign w:val="center"/>
          </w:tcPr>
          <w:p w14:paraId="1B19DFDC">
            <w:pPr>
              <w:spacing w:line="312" w:lineRule="auto"/>
              <w:jc w:val="center"/>
              <w:rPr>
                <w:rFonts w:ascii="宋体" w:hAnsi="宋体" w:cs="宋体"/>
                <w:bCs/>
                <w:color w:val="000000"/>
                <w:sz w:val="24"/>
                <w:szCs w:val="24"/>
              </w:rPr>
            </w:pPr>
          </w:p>
        </w:tc>
        <w:tc>
          <w:tcPr>
            <w:tcW w:w="6300" w:type="dxa"/>
            <w:shd w:val="clear" w:color="000000" w:fill="FFFFFF"/>
            <w:vAlign w:val="center"/>
          </w:tcPr>
          <w:p w14:paraId="4AADAF26">
            <w:pPr>
              <w:widowControl/>
              <w:spacing w:line="312" w:lineRule="auto"/>
              <w:rPr>
                <w:rFonts w:ascii="宋体" w:hAnsi="宋体" w:cs="宋体"/>
                <w:sz w:val="24"/>
                <w:szCs w:val="24"/>
                <w:lang w:val="zh-CN"/>
              </w:rPr>
            </w:pPr>
            <w:r>
              <w:rPr>
                <w:rFonts w:hint="eastAsia" w:ascii="宋体" w:hAnsi="宋体" w:cs="宋体"/>
                <w:sz w:val="24"/>
                <w:szCs w:val="24"/>
              </w:rPr>
              <w:t>拟投入的</w:t>
            </w:r>
            <w:r>
              <w:rPr>
                <w:rFonts w:hint="eastAsia" w:ascii="宋体" w:hAnsi="宋体" w:cs="宋体"/>
                <w:sz w:val="24"/>
                <w:szCs w:val="24"/>
                <w:lang w:val="zh-CN"/>
              </w:rPr>
              <w:t>运维团队中，</w:t>
            </w:r>
            <w:r>
              <w:rPr>
                <w:rFonts w:hint="eastAsia" w:ascii="宋体" w:hAnsi="宋体" w:cs="宋体"/>
                <w:sz w:val="24"/>
                <w:szCs w:val="24"/>
              </w:rPr>
              <w:t>配备一名</w:t>
            </w:r>
            <w:r>
              <w:rPr>
                <w:rFonts w:hint="eastAsia" w:ascii="宋体" w:hAnsi="宋体" w:cs="宋体"/>
                <w:sz w:val="24"/>
                <w:szCs w:val="24"/>
                <w:lang w:val="zh-CN"/>
              </w:rPr>
              <w:t>本地化服务人员的</w:t>
            </w:r>
            <w:r>
              <w:rPr>
                <w:rFonts w:hint="eastAsia" w:ascii="宋体" w:hAnsi="宋体" w:cs="宋体"/>
                <w:sz w:val="24"/>
                <w:szCs w:val="24"/>
              </w:rPr>
              <w:t>得1分，最高得3分。</w:t>
            </w:r>
          </w:p>
          <w:p w14:paraId="04250F70">
            <w:pPr>
              <w:widowControl/>
              <w:spacing w:line="312" w:lineRule="auto"/>
              <w:rPr>
                <w:rFonts w:ascii="宋体" w:hAnsi="宋体" w:cs="宋体"/>
                <w:sz w:val="24"/>
                <w:szCs w:val="24"/>
                <w:lang w:val="zh-CN"/>
              </w:rPr>
            </w:pPr>
            <w:r>
              <w:rPr>
                <w:rFonts w:hint="eastAsia" w:ascii="宋体" w:hAnsi="宋体" w:cs="宋体"/>
                <w:b/>
                <w:bCs/>
                <w:sz w:val="24"/>
                <w:szCs w:val="24"/>
                <w:lang w:val="zh-CN"/>
              </w:rPr>
              <w:t>【</w:t>
            </w:r>
            <w:r>
              <w:rPr>
                <w:rFonts w:hint="eastAsia" w:ascii="宋体" w:hAnsi="宋体" w:cs="宋体"/>
                <w:b/>
                <w:bCs/>
                <w:sz w:val="24"/>
                <w:szCs w:val="24"/>
              </w:rPr>
              <w:t>提供承诺函，并列明</w:t>
            </w:r>
            <w:r>
              <w:rPr>
                <w:rFonts w:hint="eastAsia" w:ascii="宋体" w:hAnsi="宋体" w:cs="宋体"/>
                <w:b/>
                <w:bCs/>
                <w:sz w:val="24"/>
                <w:szCs w:val="24"/>
                <w:lang w:val="zh-CN"/>
              </w:rPr>
              <w:t>本地化服务人员</w:t>
            </w:r>
            <w:r>
              <w:rPr>
                <w:rFonts w:hint="eastAsia" w:ascii="宋体" w:hAnsi="宋体" w:cs="宋体"/>
                <w:b/>
                <w:bCs/>
                <w:sz w:val="24"/>
                <w:szCs w:val="24"/>
              </w:rPr>
              <w:t>清单，否则不得分。</w:t>
            </w:r>
            <w:r>
              <w:rPr>
                <w:rFonts w:hint="eastAsia" w:ascii="宋体" w:hAnsi="宋体" w:cs="宋体"/>
                <w:b/>
                <w:bCs/>
                <w:sz w:val="24"/>
                <w:szCs w:val="24"/>
                <w:lang w:val="zh-CN"/>
              </w:rPr>
              <w:t>】</w:t>
            </w:r>
          </w:p>
        </w:tc>
        <w:tc>
          <w:tcPr>
            <w:tcW w:w="765" w:type="dxa"/>
            <w:shd w:val="clear" w:color="000000" w:fill="FFFFFF"/>
            <w:vAlign w:val="center"/>
          </w:tcPr>
          <w:p w14:paraId="1CCDEBDE">
            <w:pPr>
              <w:widowControl/>
              <w:spacing w:line="288" w:lineRule="auto"/>
              <w:jc w:val="center"/>
              <w:textAlignment w:val="center"/>
              <w:rPr>
                <w:rFonts w:ascii="宋体" w:hAnsi="宋体" w:cs="宋体"/>
                <w:color w:val="000000"/>
                <w:kern w:val="2"/>
                <w:sz w:val="24"/>
                <w:szCs w:val="24"/>
              </w:rPr>
            </w:pPr>
            <w:r>
              <w:rPr>
                <w:rFonts w:hint="eastAsia" w:ascii="宋体" w:hAnsi="宋体" w:cs="宋体"/>
                <w:color w:val="000000"/>
                <w:kern w:val="2"/>
                <w:sz w:val="24"/>
                <w:szCs w:val="24"/>
              </w:rPr>
              <w:t>3</w:t>
            </w:r>
          </w:p>
        </w:tc>
      </w:tr>
      <w:tr w14:paraId="2BF10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6" w:type="dxa"/>
            <w:shd w:val="clear" w:color="000000" w:fill="FFFFFF"/>
            <w:vAlign w:val="center"/>
          </w:tcPr>
          <w:p w14:paraId="4B5323A9">
            <w:pPr>
              <w:pStyle w:val="19"/>
              <w:snapToGrid w:val="0"/>
              <w:spacing w:line="312" w:lineRule="auto"/>
              <w:ind w:left="0" w:right="-2"/>
              <w:jc w:val="center"/>
              <w:rPr>
                <w:rFonts w:ascii="宋体" w:hAnsi="宋体" w:cs="宋体"/>
                <w:bCs/>
                <w:color w:val="000000"/>
                <w:sz w:val="24"/>
                <w:szCs w:val="24"/>
              </w:rPr>
            </w:pPr>
            <w:r>
              <w:rPr>
                <w:rFonts w:hint="eastAsia" w:ascii="宋体" w:hAnsi="宋体" w:cs="宋体"/>
                <w:bCs/>
                <w:color w:val="000000"/>
                <w:sz w:val="24"/>
                <w:szCs w:val="24"/>
              </w:rPr>
              <w:t>3.4</w:t>
            </w:r>
          </w:p>
        </w:tc>
        <w:tc>
          <w:tcPr>
            <w:tcW w:w="1380" w:type="dxa"/>
            <w:vMerge w:val="continue"/>
            <w:shd w:val="clear" w:color="000000" w:fill="FFFFFF"/>
            <w:vAlign w:val="center"/>
          </w:tcPr>
          <w:p w14:paraId="4F8BEE80">
            <w:pPr>
              <w:spacing w:line="312" w:lineRule="auto"/>
              <w:jc w:val="center"/>
              <w:rPr>
                <w:rFonts w:ascii="宋体" w:hAnsi="宋体" w:cs="宋体"/>
                <w:bCs/>
                <w:color w:val="000000"/>
                <w:sz w:val="24"/>
                <w:szCs w:val="24"/>
              </w:rPr>
            </w:pPr>
          </w:p>
        </w:tc>
        <w:tc>
          <w:tcPr>
            <w:tcW w:w="6300" w:type="dxa"/>
            <w:shd w:val="clear" w:color="000000" w:fill="FFFFFF"/>
            <w:vAlign w:val="center"/>
          </w:tcPr>
          <w:p w14:paraId="464971C0">
            <w:pPr>
              <w:widowControl/>
              <w:spacing w:line="312" w:lineRule="auto"/>
              <w:rPr>
                <w:rFonts w:ascii="宋体" w:hAnsi="宋体" w:cs="宋体"/>
                <w:sz w:val="24"/>
                <w:szCs w:val="24"/>
              </w:rPr>
            </w:pPr>
            <w:r>
              <w:rPr>
                <w:rFonts w:hint="eastAsia" w:ascii="宋体" w:hAnsi="宋体" w:cs="宋体"/>
                <w:sz w:val="24"/>
                <w:szCs w:val="24"/>
              </w:rPr>
              <w:t>拟投入的</w:t>
            </w:r>
            <w:r>
              <w:rPr>
                <w:rFonts w:hint="eastAsia" w:ascii="宋体" w:hAnsi="宋体" w:cs="宋体"/>
                <w:sz w:val="24"/>
                <w:szCs w:val="24"/>
                <w:lang w:val="zh-CN"/>
              </w:rPr>
              <w:t>运维团队中，</w:t>
            </w:r>
            <w:r>
              <w:rPr>
                <w:rFonts w:hint="eastAsia" w:ascii="宋体" w:hAnsi="宋体" w:cs="宋体"/>
                <w:sz w:val="24"/>
                <w:szCs w:val="24"/>
              </w:rPr>
              <w:t>每</w:t>
            </w:r>
            <w:r>
              <w:rPr>
                <w:rFonts w:hint="eastAsia" w:ascii="宋体" w:hAnsi="宋体" w:cs="宋体"/>
                <w:sz w:val="24"/>
                <w:szCs w:val="24"/>
                <w:lang w:val="zh-CN"/>
              </w:rPr>
              <w:t>配备一名低压电工，且年龄不超过50周岁的得1.5分，配备一名高压电工，且年龄不超过50周岁的得1.5分，本项最高得3分。</w:t>
            </w:r>
          </w:p>
          <w:p w14:paraId="0A9DB702">
            <w:pPr>
              <w:widowControl/>
              <w:spacing w:line="312" w:lineRule="auto"/>
              <w:rPr>
                <w:rFonts w:ascii="宋体" w:hAnsi="宋体" w:cs="宋体"/>
                <w:sz w:val="24"/>
                <w:szCs w:val="24"/>
                <w:lang w:val="zh-CN"/>
              </w:rPr>
            </w:pPr>
            <w:r>
              <w:rPr>
                <w:rFonts w:hint="eastAsia" w:ascii="宋体" w:hAnsi="宋体" w:cs="宋体"/>
                <w:b/>
                <w:bCs/>
                <w:sz w:val="24"/>
                <w:szCs w:val="24"/>
                <w:lang w:val="zh-CN"/>
              </w:rPr>
              <w:t>【低压（</w:t>
            </w:r>
            <w:r>
              <w:rPr>
                <w:rFonts w:hint="eastAsia" w:ascii="宋体" w:hAnsi="宋体" w:cs="宋体"/>
                <w:b/>
                <w:bCs/>
                <w:sz w:val="24"/>
                <w:szCs w:val="24"/>
                <w:lang w:val="en-US" w:eastAsia="zh-CN"/>
              </w:rPr>
              <w:t>高压</w:t>
            </w:r>
            <w:r>
              <w:rPr>
                <w:rFonts w:hint="eastAsia" w:ascii="宋体" w:hAnsi="宋体" w:cs="宋体"/>
                <w:b/>
                <w:bCs/>
                <w:sz w:val="24"/>
                <w:szCs w:val="24"/>
                <w:lang w:val="zh-CN"/>
              </w:rPr>
              <w:t>）电工操作证</w:t>
            </w:r>
            <w:r>
              <w:rPr>
                <w:rFonts w:hint="eastAsia" w:ascii="宋体" w:hAnsi="宋体" w:cs="宋体"/>
                <w:b/>
                <w:bCs/>
                <w:sz w:val="24"/>
                <w:szCs w:val="24"/>
                <w:lang w:val="en-US" w:eastAsia="zh-CN"/>
              </w:rPr>
              <w:t>复制件</w:t>
            </w:r>
            <w:r>
              <w:rPr>
                <w:rFonts w:hint="eastAsia" w:ascii="宋体" w:hAnsi="宋体" w:cs="宋体"/>
                <w:b/>
                <w:bCs/>
                <w:sz w:val="24"/>
                <w:szCs w:val="24"/>
              </w:rPr>
              <w:t>、身份证</w:t>
            </w:r>
            <w:r>
              <w:rPr>
                <w:rFonts w:hint="eastAsia" w:ascii="宋体" w:hAnsi="宋体" w:cs="宋体"/>
                <w:b/>
                <w:bCs/>
                <w:sz w:val="24"/>
                <w:szCs w:val="24"/>
                <w:lang w:val="en-US" w:eastAsia="zh-CN"/>
              </w:rPr>
              <w:t>复制件</w:t>
            </w:r>
            <w:r>
              <w:rPr>
                <w:rFonts w:hint="eastAsia" w:ascii="宋体" w:hAnsi="宋体" w:cs="宋体"/>
                <w:b/>
                <w:bCs/>
                <w:sz w:val="24"/>
                <w:szCs w:val="24"/>
              </w:rPr>
              <w:t>加盖公章编入投标文件中，同时投标文件中提供由社保部门出具的</w:t>
            </w:r>
            <w:r>
              <w:rPr>
                <w:rFonts w:hint="eastAsia" w:ascii="宋体" w:hAnsi="宋体" w:cs="宋体"/>
                <w:b/>
                <w:bCs/>
                <w:sz w:val="24"/>
                <w:szCs w:val="24"/>
                <w:lang w:eastAsia="zh-CN"/>
              </w:rPr>
              <w:t>2024年12月-2025年2月</w:t>
            </w:r>
            <w:r>
              <w:rPr>
                <w:rFonts w:hint="eastAsia" w:ascii="宋体" w:hAnsi="宋体" w:cs="宋体"/>
                <w:b/>
                <w:bCs/>
                <w:sz w:val="24"/>
                <w:szCs w:val="24"/>
              </w:rPr>
              <w:t>投标人单位为其缴纳的社保证明材料复印件加盖公章，否则本项不得分。</w:t>
            </w:r>
            <w:r>
              <w:rPr>
                <w:rFonts w:hint="eastAsia" w:ascii="宋体" w:hAnsi="宋体" w:cs="宋体"/>
                <w:b/>
                <w:bCs/>
                <w:sz w:val="24"/>
                <w:szCs w:val="24"/>
                <w:lang w:val="zh-CN"/>
              </w:rPr>
              <w:t>】</w:t>
            </w:r>
          </w:p>
        </w:tc>
        <w:tc>
          <w:tcPr>
            <w:tcW w:w="765" w:type="dxa"/>
            <w:shd w:val="clear" w:color="000000" w:fill="FFFFFF"/>
            <w:vAlign w:val="center"/>
          </w:tcPr>
          <w:p w14:paraId="5F827C8D">
            <w:pPr>
              <w:widowControl/>
              <w:spacing w:line="288" w:lineRule="auto"/>
              <w:jc w:val="center"/>
              <w:textAlignment w:val="center"/>
              <w:rPr>
                <w:rFonts w:ascii="宋体" w:hAnsi="宋体" w:cs="宋体"/>
                <w:color w:val="000000"/>
                <w:kern w:val="2"/>
                <w:sz w:val="24"/>
                <w:szCs w:val="24"/>
              </w:rPr>
            </w:pPr>
            <w:r>
              <w:rPr>
                <w:rFonts w:hint="eastAsia" w:ascii="宋体" w:hAnsi="宋体" w:cs="宋体"/>
                <w:color w:val="000000"/>
                <w:kern w:val="2"/>
                <w:sz w:val="24"/>
                <w:szCs w:val="24"/>
              </w:rPr>
              <w:t>3</w:t>
            </w:r>
          </w:p>
        </w:tc>
      </w:tr>
      <w:tr w14:paraId="6EAA4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6" w:type="dxa"/>
            <w:shd w:val="clear" w:color="000000" w:fill="FFFFFF"/>
            <w:vAlign w:val="center"/>
          </w:tcPr>
          <w:p w14:paraId="58FC1EBC">
            <w:pPr>
              <w:pStyle w:val="19"/>
              <w:snapToGrid w:val="0"/>
              <w:spacing w:line="312" w:lineRule="auto"/>
              <w:ind w:left="0" w:right="-2"/>
              <w:jc w:val="center"/>
              <w:rPr>
                <w:rFonts w:ascii="宋体" w:hAnsi="宋体" w:cs="宋体"/>
                <w:bCs/>
                <w:color w:val="000000"/>
                <w:kern w:val="2"/>
                <w:sz w:val="24"/>
                <w:szCs w:val="24"/>
              </w:rPr>
            </w:pPr>
            <w:r>
              <w:rPr>
                <w:rFonts w:hint="eastAsia" w:ascii="宋体" w:hAnsi="宋体" w:cs="宋体"/>
                <w:bCs/>
                <w:color w:val="000000"/>
                <w:sz w:val="24"/>
                <w:szCs w:val="24"/>
              </w:rPr>
              <w:t>3.5</w:t>
            </w:r>
          </w:p>
        </w:tc>
        <w:tc>
          <w:tcPr>
            <w:tcW w:w="1380" w:type="dxa"/>
            <w:vMerge w:val="continue"/>
            <w:shd w:val="clear" w:color="000000" w:fill="FFFFFF"/>
            <w:vAlign w:val="center"/>
          </w:tcPr>
          <w:p w14:paraId="5B33E744">
            <w:pPr>
              <w:spacing w:line="312" w:lineRule="auto"/>
              <w:jc w:val="center"/>
              <w:rPr>
                <w:rFonts w:ascii="宋体" w:hAnsi="宋体" w:cs="宋体"/>
                <w:bCs/>
                <w:color w:val="000000"/>
                <w:sz w:val="24"/>
                <w:szCs w:val="24"/>
              </w:rPr>
            </w:pPr>
          </w:p>
        </w:tc>
        <w:tc>
          <w:tcPr>
            <w:tcW w:w="6300" w:type="dxa"/>
            <w:shd w:val="clear" w:color="000000" w:fill="FFFFFF"/>
            <w:vAlign w:val="center"/>
          </w:tcPr>
          <w:p w14:paraId="713BF4CA">
            <w:pPr>
              <w:widowControl/>
              <w:spacing w:line="312" w:lineRule="auto"/>
              <w:rPr>
                <w:rFonts w:ascii="宋体" w:hAnsi="宋体" w:cs="宋体"/>
                <w:sz w:val="24"/>
                <w:szCs w:val="24"/>
              </w:rPr>
            </w:pPr>
            <w:r>
              <w:rPr>
                <w:rFonts w:hint="eastAsia" w:ascii="宋体" w:hAnsi="宋体" w:cs="宋体"/>
                <w:sz w:val="24"/>
                <w:szCs w:val="24"/>
              </w:rPr>
              <w:t>专业技术人员配置：根据针对本项目专业技术人员的配置是否齐全合理，人员专业能力、学历水平、同类运维服务项目的简历及业绩证明进行评分。</w:t>
            </w:r>
          </w:p>
          <w:p w14:paraId="242AE877">
            <w:pPr>
              <w:widowControl/>
              <w:spacing w:line="312" w:lineRule="auto"/>
              <w:rPr>
                <w:rFonts w:ascii="宋体" w:hAnsi="宋体" w:cs="宋体"/>
                <w:sz w:val="24"/>
                <w:szCs w:val="24"/>
              </w:rPr>
            </w:pPr>
            <w:r>
              <w:rPr>
                <w:rFonts w:hint="eastAsia" w:ascii="宋体" w:hAnsi="宋体" w:cs="宋体"/>
                <w:sz w:val="24"/>
                <w:szCs w:val="24"/>
              </w:rPr>
              <w:t>1.人员配置合理，专业能力强，经验丰富的得1.6-3分；</w:t>
            </w:r>
          </w:p>
          <w:p w14:paraId="1D24D31B">
            <w:pPr>
              <w:widowControl/>
              <w:spacing w:line="312" w:lineRule="auto"/>
              <w:rPr>
                <w:rFonts w:ascii="宋体" w:hAnsi="宋体" w:cs="宋体"/>
                <w:sz w:val="24"/>
                <w:szCs w:val="24"/>
              </w:rPr>
            </w:pPr>
            <w:r>
              <w:rPr>
                <w:rFonts w:hint="eastAsia" w:ascii="宋体" w:hAnsi="宋体" w:cs="宋体"/>
                <w:sz w:val="24"/>
                <w:szCs w:val="24"/>
              </w:rPr>
              <w:t>2.人员配置基本合理，专业能力较强，有经验但不够丰富的得0-1.5分。</w:t>
            </w:r>
          </w:p>
        </w:tc>
        <w:tc>
          <w:tcPr>
            <w:tcW w:w="765" w:type="dxa"/>
            <w:shd w:val="clear" w:color="000000" w:fill="FFFFFF"/>
            <w:vAlign w:val="center"/>
          </w:tcPr>
          <w:p w14:paraId="28C37D4A">
            <w:pPr>
              <w:widowControl/>
              <w:spacing w:line="288" w:lineRule="auto"/>
              <w:jc w:val="center"/>
              <w:textAlignment w:val="center"/>
              <w:rPr>
                <w:rFonts w:ascii="宋体" w:hAnsi="宋体" w:cs="宋体"/>
                <w:color w:val="000000"/>
                <w:kern w:val="2"/>
                <w:sz w:val="24"/>
                <w:szCs w:val="24"/>
              </w:rPr>
            </w:pPr>
            <w:r>
              <w:rPr>
                <w:rFonts w:hint="eastAsia" w:ascii="宋体" w:hAnsi="宋体" w:cs="宋体"/>
                <w:color w:val="000000"/>
                <w:kern w:val="2"/>
                <w:sz w:val="24"/>
                <w:szCs w:val="24"/>
              </w:rPr>
              <w:t>3</w:t>
            </w:r>
          </w:p>
        </w:tc>
      </w:tr>
      <w:tr w14:paraId="7BCB4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6" w:type="dxa"/>
            <w:shd w:val="clear" w:color="000000" w:fill="FFFFFF"/>
            <w:vAlign w:val="center"/>
          </w:tcPr>
          <w:p w14:paraId="15ABBDA0">
            <w:pPr>
              <w:pStyle w:val="19"/>
              <w:snapToGrid w:val="0"/>
              <w:spacing w:line="312" w:lineRule="auto"/>
              <w:ind w:left="0" w:right="-2"/>
              <w:jc w:val="center"/>
              <w:rPr>
                <w:rFonts w:ascii="宋体" w:hAnsi="宋体" w:cs="宋体"/>
                <w:bCs/>
                <w:color w:val="000000"/>
                <w:sz w:val="24"/>
                <w:szCs w:val="24"/>
              </w:rPr>
            </w:pPr>
            <w:r>
              <w:rPr>
                <w:rFonts w:hint="eastAsia" w:ascii="宋体" w:hAnsi="宋体" w:cs="宋体"/>
                <w:bCs/>
                <w:color w:val="000000"/>
                <w:sz w:val="24"/>
                <w:szCs w:val="24"/>
              </w:rPr>
              <w:t>4.1</w:t>
            </w:r>
          </w:p>
        </w:tc>
        <w:tc>
          <w:tcPr>
            <w:tcW w:w="1380" w:type="dxa"/>
            <w:vMerge w:val="restart"/>
            <w:shd w:val="clear" w:color="000000" w:fill="FFFFFF"/>
            <w:vAlign w:val="center"/>
          </w:tcPr>
          <w:p w14:paraId="78967146">
            <w:pPr>
              <w:spacing w:line="312" w:lineRule="auto"/>
              <w:jc w:val="center"/>
              <w:rPr>
                <w:rFonts w:ascii="宋体" w:hAnsi="宋体" w:cs="宋体"/>
                <w:bCs/>
                <w:color w:val="000000"/>
                <w:sz w:val="24"/>
                <w:szCs w:val="24"/>
              </w:rPr>
            </w:pPr>
            <w:r>
              <w:rPr>
                <w:rFonts w:hint="eastAsia" w:ascii="宋体" w:hAnsi="宋体" w:cs="宋体"/>
                <w:bCs/>
                <w:color w:val="000000"/>
                <w:sz w:val="24"/>
                <w:szCs w:val="24"/>
              </w:rPr>
              <w:t>运维体系方案</w:t>
            </w:r>
          </w:p>
        </w:tc>
        <w:tc>
          <w:tcPr>
            <w:tcW w:w="6300" w:type="dxa"/>
            <w:shd w:val="clear" w:color="000000" w:fill="FFFFFF"/>
            <w:vAlign w:val="center"/>
          </w:tcPr>
          <w:p w14:paraId="3E847594">
            <w:pPr>
              <w:widowControl/>
              <w:spacing w:line="312" w:lineRule="auto"/>
              <w:rPr>
                <w:rFonts w:ascii="宋体" w:hAnsi="宋体" w:cs="宋体"/>
                <w:sz w:val="24"/>
                <w:szCs w:val="24"/>
              </w:rPr>
            </w:pPr>
            <w:r>
              <w:rPr>
                <w:rFonts w:hint="eastAsia" w:ascii="宋体" w:hAnsi="宋体" w:cs="宋体"/>
                <w:sz w:val="24"/>
                <w:szCs w:val="24"/>
              </w:rPr>
              <w:t>根据投标人提供的</w:t>
            </w:r>
            <w:r>
              <w:rPr>
                <w:rFonts w:hint="eastAsia" w:ascii="宋体" w:hAnsi="宋体" w:cs="宋体"/>
                <w:sz w:val="24"/>
                <w:szCs w:val="24"/>
                <w:lang w:val="zh-CN"/>
              </w:rPr>
              <w:t>运行管理</w:t>
            </w:r>
            <w:r>
              <w:rPr>
                <w:rFonts w:hint="eastAsia" w:ascii="宋体" w:hAnsi="宋体" w:cs="宋体"/>
                <w:sz w:val="24"/>
                <w:szCs w:val="24"/>
              </w:rPr>
              <w:t>方案</w:t>
            </w:r>
            <w:r>
              <w:rPr>
                <w:rFonts w:hint="eastAsia" w:ascii="宋体" w:hAnsi="宋体" w:cs="宋体"/>
                <w:sz w:val="24"/>
                <w:szCs w:val="24"/>
                <w:lang w:val="zh-CN"/>
              </w:rPr>
              <w:t>，包括但不限于设备台账更新制度、生产报表制度、技术档案管理制度、日常巡视制度、设备维护与检修制度、用电安全制度、事故应急处置制度</w:t>
            </w:r>
            <w:r>
              <w:rPr>
                <w:rFonts w:hint="eastAsia" w:ascii="宋体" w:hAnsi="宋体" w:cs="宋体"/>
                <w:sz w:val="24"/>
                <w:szCs w:val="24"/>
              </w:rPr>
              <w:t>等内容进行评分。</w:t>
            </w:r>
          </w:p>
          <w:p w14:paraId="7A9F7EDC">
            <w:pPr>
              <w:widowControl/>
              <w:spacing w:line="312" w:lineRule="auto"/>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zh-CN"/>
              </w:rPr>
              <w:t>运行管理制度</w:t>
            </w:r>
            <w:r>
              <w:rPr>
                <w:rFonts w:hint="eastAsia" w:ascii="宋体" w:hAnsi="宋体" w:cs="宋体"/>
                <w:sz w:val="24"/>
                <w:szCs w:val="24"/>
              </w:rPr>
              <w:t>方案详细，上述制度均有具体描述，完全按照采购需求进行方案编制，合理性强，可操作性强的得7.1-10分；</w:t>
            </w:r>
          </w:p>
          <w:p w14:paraId="53D2C4CB">
            <w:pPr>
              <w:widowControl/>
              <w:spacing w:line="312" w:lineRule="auto"/>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zh-CN"/>
              </w:rPr>
              <w:t>运行管理制度</w:t>
            </w:r>
            <w:r>
              <w:rPr>
                <w:rFonts w:hint="eastAsia" w:ascii="宋体" w:hAnsi="宋体" w:cs="宋体"/>
                <w:sz w:val="24"/>
                <w:szCs w:val="24"/>
              </w:rPr>
              <w:t>方案较详细，上述制度基本都有描述，但内容不够完善，基本符合采购需求，合理性较强，可操作性较强的得4.1-7分；</w:t>
            </w:r>
          </w:p>
          <w:p w14:paraId="57D477C9">
            <w:pPr>
              <w:widowControl/>
              <w:spacing w:line="312" w:lineRule="auto"/>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zh-CN"/>
              </w:rPr>
              <w:t>运行管理制度</w:t>
            </w:r>
            <w:r>
              <w:rPr>
                <w:rFonts w:hint="eastAsia" w:ascii="宋体" w:hAnsi="宋体" w:cs="宋体"/>
                <w:sz w:val="24"/>
                <w:szCs w:val="24"/>
              </w:rPr>
              <w:t>方案不够详细，上述制度有缺漏项，未按照采购需求进行方案编制，合理性不够，可操作性一般的得1.1-4分；</w:t>
            </w:r>
          </w:p>
          <w:p w14:paraId="0D044445">
            <w:pPr>
              <w:widowControl/>
              <w:spacing w:line="312" w:lineRule="auto"/>
              <w:rPr>
                <w:rFonts w:ascii="宋体" w:hAnsi="宋体" w:cs="宋体"/>
                <w:sz w:val="24"/>
                <w:szCs w:val="24"/>
              </w:rPr>
            </w:pPr>
            <w:r>
              <w:rPr>
                <w:rFonts w:hint="eastAsia" w:ascii="宋体" w:hAnsi="宋体" w:cs="宋体"/>
                <w:sz w:val="24"/>
                <w:szCs w:val="24"/>
              </w:rPr>
              <w:t>4.提供</w:t>
            </w:r>
            <w:r>
              <w:rPr>
                <w:rFonts w:hint="eastAsia" w:ascii="宋体" w:hAnsi="宋体" w:cs="宋体"/>
                <w:sz w:val="24"/>
                <w:szCs w:val="24"/>
                <w:lang w:val="zh-CN"/>
              </w:rPr>
              <w:t>运行管理制度</w:t>
            </w:r>
            <w:r>
              <w:rPr>
                <w:rFonts w:hint="eastAsia" w:ascii="宋体" w:hAnsi="宋体" w:cs="宋体"/>
                <w:sz w:val="24"/>
                <w:szCs w:val="24"/>
              </w:rPr>
              <w:t>方案的即可得基本分1分。</w:t>
            </w:r>
          </w:p>
        </w:tc>
        <w:tc>
          <w:tcPr>
            <w:tcW w:w="765" w:type="dxa"/>
            <w:shd w:val="clear" w:color="000000" w:fill="FFFFFF"/>
            <w:vAlign w:val="center"/>
          </w:tcPr>
          <w:p w14:paraId="77BBD445">
            <w:pPr>
              <w:pStyle w:val="209"/>
              <w:spacing w:line="288" w:lineRule="auto"/>
              <w:jc w:val="center"/>
              <w:rPr>
                <w:rFonts w:cs="宋体"/>
                <w:color w:val="000000"/>
                <w:kern w:val="2"/>
                <w:szCs w:val="24"/>
                <w:lang w:val="en-US"/>
              </w:rPr>
            </w:pPr>
            <w:r>
              <w:rPr>
                <w:rFonts w:hint="eastAsia" w:cs="宋体"/>
                <w:color w:val="000000"/>
                <w:kern w:val="2"/>
                <w:szCs w:val="24"/>
                <w:lang w:val="en-US"/>
              </w:rPr>
              <w:t>10</w:t>
            </w:r>
          </w:p>
        </w:tc>
      </w:tr>
      <w:tr w14:paraId="43384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6" w:type="dxa"/>
            <w:shd w:val="clear" w:color="000000" w:fill="FFFFFF"/>
            <w:vAlign w:val="center"/>
          </w:tcPr>
          <w:p w14:paraId="4062BB4E">
            <w:pPr>
              <w:pStyle w:val="19"/>
              <w:snapToGrid w:val="0"/>
              <w:spacing w:line="312" w:lineRule="auto"/>
              <w:ind w:left="0" w:right="-2"/>
              <w:jc w:val="center"/>
              <w:rPr>
                <w:rFonts w:ascii="宋体" w:hAnsi="宋体" w:cs="宋体"/>
                <w:bCs/>
                <w:color w:val="000000"/>
                <w:sz w:val="24"/>
                <w:szCs w:val="24"/>
              </w:rPr>
            </w:pPr>
            <w:r>
              <w:rPr>
                <w:rFonts w:hint="eastAsia" w:ascii="宋体" w:hAnsi="宋体" w:cs="宋体"/>
                <w:bCs/>
                <w:color w:val="000000"/>
                <w:sz w:val="24"/>
                <w:szCs w:val="24"/>
              </w:rPr>
              <w:t>4.2</w:t>
            </w:r>
          </w:p>
        </w:tc>
        <w:tc>
          <w:tcPr>
            <w:tcW w:w="1380" w:type="dxa"/>
            <w:vMerge w:val="continue"/>
            <w:shd w:val="clear" w:color="000000" w:fill="FFFFFF"/>
            <w:vAlign w:val="center"/>
          </w:tcPr>
          <w:p w14:paraId="26B86732">
            <w:pPr>
              <w:spacing w:line="312" w:lineRule="auto"/>
              <w:jc w:val="center"/>
              <w:rPr>
                <w:rFonts w:ascii="宋体" w:hAnsi="宋体" w:cs="宋体"/>
                <w:color w:val="000000"/>
                <w:sz w:val="24"/>
                <w:szCs w:val="24"/>
              </w:rPr>
            </w:pPr>
          </w:p>
        </w:tc>
        <w:tc>
          <w:tcPr>
            <w:tcW w:w="6300" w:type="dxa"/>
            <w:shd w:val="clear" w:color="000000" w:fill="FFFFFF"/>
            <w:vAlign w:val="center"/>
          </w:tcPr>
          <w:p w14:paraId="0B5BA410">
            <w:pPr>
              <w:widowControl/>
              <w:spacing w:line="312" w:lineRule="auto"/>
              <w:rPr>
                <w:rFonts w:ascii="宋体" w:hAnsi="宋体" w:cs="宋体"/>
                <w:sz w:val="24"/>
                <w:szCs w:val="24"/>
              </w:rPr>
            </w:pPr>
            <w:r>
              <w:rPr>
                <w:rFonts w:hint="eastAsia" w:ascii="宋体" w:hAnsi="宋体" w:cs="宋体"/>
                <w:sz w:val="24"/>
                <w:szCs w:val="24"/>
              </w:rPr>
              <w:t>根据投标人提供的维护管理方案，包括日常保养制度、定期维护制度、预防性检修制度等内容进行评分。</w:t>
            </w:r>
          </w:p>
          <w:p w14:paraId="55B1A472">
            <w:pPr>
              <w:widowControl/>
              <w:spacing w:line="312" w:lineRule="auto"/>
              <w:rPr>
                <w:rFonts w:ascii="宋体" w:hAnsi="宋体" w:cs="宋体"/>
                <w:sz w:val="24"/>
                <w:szCs w:val="24"/>
              </w:rPr>
            </w:pPr>
            <w:r>
              <w:rPr>
                <w:rFonts w:hint="eastAsia" w:ascii="宋体" w:hAnsi="宋体" w:cs="宋体"/>
                <w:sz w:val="24"/>
                <w:szCs w:val="24"/>
              </w:rPr>
              <w:t>1.维护管理制度方案详细，上述制度均有具体描述，完全按照采购需求进行方案编制，合理性强，可操作性强的得5.1-8分；</w:t>
            </w:r>
          </w:p>
          <w:p w14:paraId="1AFE90D1">
            <w:pPr>
              <w:widowControl/>
              <w:spacing w:line="312" w:lineRule="auto"/>
              <w:rPr>
                <w:rFonts w:ascii="宋体" w:hAnsi="宋体" w:cs="宋体"/>
                <w:sz w:val="24"/>
                <w:szCs w:val="24"/>
              </w:rPr>
            </w:pPr>
            <w:r>
              <w:rPr>
                <w:rFonts w:hint="eastAsia" w:ascii="宋体" w:hAnsi="宋体" w:cs="宋体"/>
                <w:sz w:val="24"/>
                <w:szCs w:val="24"/>
              </w:rPr>
              <w:t>2.维护管理制度方案较详细，上述制度基本都有描述，但内容不够完善，基本符合采购需求，合理性较强，可操作性较强的得2.1-5分；</w:t>
            </w:r>
          </w:p>
          <w:p w14:paraId="33066EE1">
            <w:pPr>
              <w:widowControl/>
              <w:spacing w:line="312" w:lineRule="auto"/>
              <w:rPr>
                <w:rFonts w:ascii="宋体" w:hAnsi="宋体" w:cs="宋体"/>
                <w:sz w:val="24"/>
                <w:szCs w:val="24"/>
              </w:rPr>
            </w:pPr>
            <w:r>
              <w:rPr>
                <w:rFonts w:hint="eastAsia" w:ascii="宋体" w:hAnsi="宋体" w:cs="宋体"/>
                <w:sz w:val="24"/>
                <w:szCs w:val="24"/>
              </w:rPr>
              <w:t>3.维护管理制度方案不够详细，上述制度有缺漏项，未按照采购需求进行方案编制，合理性不够，可操作性一般的得0-2分。</w:t>
            </w:r>
          </w:p>
        </w:tc>
        <w:tc>
          <w:tcPr>
            <w:tcW w:w="765" w:type="dxa"/>
            <w:shd w:val="clear" w:color="000000" w:fill="FFFFFF"/>
            <w:vAlign w:val="center"/>
          </w:tcPr>
          <w:p w14:paraId="18D8761F">
            <w:pPr>
              <w:pStyle w:val="209"/>
              <w:spacing w:line="288" w:lineRule="auto"/>
              <w:jc w:val="center"/>
              <w:rPr>
                <w:rFonts w:cs="宋体"/>
                <w:color w:val="000000"/>
                <w:kern w:val="2"/>
                <w:szCs w:val="24"/>
                <w:lang w:val="en-US"/>
              </w:rPr>
            </w:pPr>
            <w:r>
              <w:rPr>
                <w:rFonts w:hint="eastAsia" w:cs="宋体"/>
                <w:color w:val="000000"/>
                <w:kern w:val="2"/>
                <w:szCs w:val="24"/>
                <w:lang w:val="en-US"/>
              </w:rPr>
              <w:t>8</w:t>
            </w:r>
          </w:p>
        </w:tc>
      </w:tr>
      <w:tr w14:paraId="33A74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6" w:type="dxa"/>
            <w:shd w:val="clear" w:color="000000" w:fill="FFFFFF"/>
            <w:vAlign w:val="center"/>
          </w:tcPr>
          <w:p w14:paraId="6144E38D">
            <w:pPr>
              <w:pStyle w:val="19"/>
              <w:snapToGrid w:val="0"/>
              <w:spacing w:line="312" w:lineRule="auto"/>
              <w:ind w:left="0" w:right="-2"/>
              <w:jc w:val="center"/>
              <w:rPr>
                <w:rFonts w:ascii="宋体" w:hAnsi="宋体" w:cs="宋体"/>
                <w:bCs/>
                <w:color w:val="000000"/>
                <w:sz w:val="24"/>
                <w:szCs w:val="24"/>
              </w:rPr>
            </w:pPr>
            <w:r>
              <w:rPr>
                <w:rFonts w:hint="eastAsia" w:ascii="宋体" w:hAnsi="宋体" w:cs="宋体"/>
                <w:bCs/>
                <w:color w:val="000000"/>
                <w:sz w:val="24"/>
                <w:szCs w:val="24"/>
              </w:rPr>
              <w:t>4.3</w:t>
            </w:r>
          </w:p>
        </w:tc>
        <w:tc>
          <w:tcPr>
            <w:tcW w:w="1380" w:type="dxa"/>
            <w:vMerge w:val="continue"/>
            <w:shd w:val="clear" w:color="000000" w:fill="FFFFFF"/>
            <w:vAlign w:val="center"/>
          </w:tcPr>
          <w:p w14:paraId="2ADA823F">
            <w:pPr>
              <w:spacing w:line="312" w:lineRule="auto"/>
              <w:jc w:val="center"/>
              <w:rPr>
                <w:rFonts w:ascii="宋体" w:hAnsi="宋体" w:cs="宋体"/>
                <w:color w:val="000000"/>
                <w:sz w:val="24"/>
                <w:szCs w:val="24"/>
              </w:rPr>
            </w:pPr>
          </w:p>
        </w:tc>
        <w:tc>
          <w:tcPr>
            <w:tcW w:w="6300" w:type="dxa"/>
            <w:shd w:val="clear" w:color="000000" w:fill="FFFFFF"/>
            <w:vAlign w:val="center"/>
          </w:tcPr>
          <w:p w14:paraId="1BC3858D">
            <w:pPr>
              <w:widowControl/>
              <w:spacing w:line="312" w:lineRule="auto"/>
              <w:rPr>
                <w:rFonts w:ascii="宋体" w:hAnsi="宋体" w:cs="宋体"/>
                <w:sz w:val="24"/>
                <w:szCs w:val="24"/>
              </w:rPr>
            </w:pPr>
            <w:r>
              <w:rPr>
                <w:rFonts w:hint="eastAsia" w:ascii="宋体" w:hAnsi="宋体" w:cs="宋体"/>
                <w:sz w:val="24"/>
                <w:szCs w:val="24"/>
              </w:rPr>
              <w:t>根据投标人提供的安全管理方案，包含但不限于水质安全、设施设备安全、反恐安全、应急管理等内容进行评分。</w:t>
            </w:r>
          </w:p>
          <w:p w14:paraId="36E743D2">
            <w:pPr>
              <w:widowControl/>
              <w:spacing w:line="312" w:lineRule="auto"/>
              <w:rPr>
                <w:rFonts w:ascii="宋体" w:hAnsi="宋体" w:cs="宋体"/>
                <w:sz w:val="24"/>
                <w:szCs w:val="24"/>
              </w:rPr>
            </w:pPr>
            <w:r>
              <w:rPr>
                <w:rFonts w:hint="eastAsia" w:ascii="宋体" w:hAnsi="宋体" w:cs="宋体"/>
                <w:sz w:val="24"/>
                <w:szCs w:val="24"/>
              </w:rPr>
              <w:t>1.安全管理方案详细，上述制度均有具体描述，完全按照采购需求进行方案编制，合理性强，可操作性强的得5.1-8分；</w:t>
            </w:r>
          </w:p>
          <w:p w14:paraId="6121A1B5">
            <w:pPr>
              <w:widowControl/>
              <w:spacing w:line="312" w:lineRule="auto"/>
              <w:rPr>
                <w:rFonts w:ascii="宋体" w:hAnsi="宋体" w:cs="宋体"/>
                <w:sz w:val="24"/>
                <w:szCs w:val="24"/>
              </w:rPr>
            </w:pPr>
            <w:r>
              <w:rPr>
                <w:rFonts w:hint="eastAsia" w:ascii="宋体" w:hAnsi="宋体" w:cs="宋体"/>
                <w:sz w:val="24"/>
                <w:szCs w:val="24"/>
              </w:rPr>
              <w:t>2.安全管理方案较详细，上述制度基本都有描述，但内容不够完善，基本符合采购需求，合理性较强，可操作性较强的得2.1-5分；</w:t>
            </w:r>
          </w:p>
          <w:p w14:paraId="62459576">
            <w:pPr>
              <w:widowControl/>
              <w:spacing w:line="312" w:lineRule="auto"/>
              <w:rPr>
                <w:rFonts w:ascii="宋体" w:hAnsi="宋体" w:cs="宋体"/>
                <w:sz w:val="24"/>
                <w:szCs w:val="24"/>
              </w:rPr>
            </w:pPr>
            <w:r>
              <w:rPr>
                <w:rFonts w:hint="eastAsia" w:ascii="宋体" w:hAnsi="宋体" w:cs="宋体"/>
                <w:sz w:val="24"/>
                <w:szCs w:val="24"/>
              </w:rPr>
              <w:t>3.安全管理方案不够详细，上述制度有缺漏项，未按照采购需求进行方案编制，合理性不够，可操作性一般的得0-2分。</w:t>
            </w:r>
          </w:p>
        </w:tc>
        <w:tc>
          <w:tcPr>
            <w:tcW w:w="765" w:type="dxa"/>
            <w:shd w:val="clear" w:color="000000" w:fill="FFFFFF"/>
            <w:vAlign w:val="center"/>
          </w:tcPr>
          <w:p w14:paraId="2283C19C">
            <w:pPr>
              <w:pStyle w:val="209"/>
              <w:spacing w:line="288" w:lineRule="auto"/>
              <w:jc w:val="center"/>
              <w:rPr>
                <w:rFonts w:cs="宋体"/>
                <w:color w:val="000000"/>
                <w:kern w:val="2"/>
                <w:szCs w:val="24"/>
                <w:lang w:val="en-US"/>
              </w:rPr>
            </w:pPr>
            <w:r>
              <w:rPr>
                <w:rFonts w:hint="eastAsia" w:cs="宋体"/>
                <w:color w:val="000000"/>
                <w:kern w:val="2"/>
                <w:szCs w:val="24"/>
                <w:lang w:val="en-US"/>
              </w:rPr>
              <w:t>8</w:t>
            </w:r>
          </w:p>
        </w:tc>
      </w:tr>
      <w:tr w14:paraId="43967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6" w:type="dxa"/>
            <w:shd w:val="clear" w:color="000000" w:fill="FFFFFF"/>
            <w:vAlign w:val="center"/>
          </w:tcPr>
          <w:p w14:paraId="3448601C">
            <w:pPr>
              <w:pStyle w:val="19"/>
              <w:snapToGrid w:val="0"/>
              <w:spacing w:line="312" w:lineRule="auto"/>
              <w:ind w:left="0" w:right="-2"/>
              <w:jc w:val="center"/>
              <w:rPr>
                <w:rFonts w:ascii="宋体" w:hAnsi="宋体" w:cs="宋体"/>
                <w:bCs/>
                <w:color w:val="000000"/>
                <w:kern w:val="2"/>
                <w:sz w:val="24"/>
                <w:szCs w:val="24"/>
              </w:rPr>
            </w:pPr>
            <w:r>
              <w:rPr>
                <w:rFonts w:hint="eastAsia" w:ascii="宋体" w:hAnsi="宋体" w:cs="宋体"/>
                <w:bCs/>
                <w:color w:val="000000"/>
                <w:kern w:val="2"/>
                <w:sz w:val="24"/>
                <w:szCs w:val="24"/>
              </w:rPr>
              <w:t>5.1</w:t>
            </w:r>
          </w:p>
        </w:tc>
        <w:tc>
          <w:tcPr>
            <w:tcW w:w="1380" w:type="dxa"/>
            <w:vMerge w:val="restart"/>
            <w:shd w:val="clear" w:color="000000" w:fill="FFFFFF"/>
            <w:vAlign w:val="center"/>
          </w:tcPr>
          <w:p w14:paraId="579BE4D1">
            <w:pPr>
              <w:widowControl/>
              <w:spacing w:line="312" w:lineRule="auto"/>
              <w:jc w:val="center"/>
              <w:rPr>
                <w:rFonts w:ascii="宋体" w:hAnsi="宋体" w:cs="宋体"/>
                <w:color w:val="000000"/>
                <w:sz w:val="24"/>
                <w:szCs w:val="24"/>
              </w:rPr>
            </w:pPr>
            <w:r>
              <w:rPr>
                <w:rFonts w:hint="eastAsia" w:ascii="宋体" w:hAnsi="宋体" w:cs="宋体"/>
                <w:color w:val="000000"/>
                <w:sz w:val="24"/>
                <w:szCs w:val="24"/>
              </w:rPr>
              <w:t>保障措施</w:t>
            </w:r>
          </w:p>
        </w:tc>
        <w:tc>
          <w:tcPr>
            <w:tcW w:w="6300" w:type="dxa"/>
            <w:shd w:val="clear" w:color="000000" w:fill="auto"/>
            <w:vAlign w:val="center"/>
          </w:tcPr>
          <w:p w14:paraId="12A60D2E">
            <w:pPr>
              <w:widowControl/>
              <w:spacing w:line="312" w:lineRule="auto"/>
              <w:rPr>
                <w:rFonts w:hint="eastAsia" w:ascii="宋体" w:hAnsi="宋体" w:eastAsia="宋体" w:cs="宋体"/>
                <w:sz w:val="24"/>
                <w:szCs w:val="24"/>
              </w:rPr>
            </w:pPr>
            <w:r>
              <w:rPr>
                <w:rFonts w:hint="eastAsia" w:ascii="宋体" w:hAnsi="宋体" w:eastAsia="宋体" w:cs="宋体"/>
                <w:sz w:val="24"/>
                <w:szCs w:val="24"/>
              </w:rPr>
              <w:t>投标人须针对本项目的所有二次供水设备的数据比对，并且保证本项目所有二次供水设备数据的采集与传输准确性、数据实时性、数据完整性、数据安全性等内容进行评分。</w:t>
            </w:r>
          </w:p>
          <w:p w14:paraId="514F704C">
            <w:pPr>
              <w:pStyle w:val="222"/>
              <w:widowControl/>
              <w:spacing w:line="312" w:lineRule="auto"/>
              <w:ind w:left="0" w:leftChars="0" w:firstLine="0" w:firstLineChars="0"/>
              <w:rPr>
                <w:rFonts w:hint="eastAsia" w:ascii="宋体" w:hAnsi="宋体" w:eastAsia="宋体" w:cs="宋体"/>
                <w:sz w:val="24"/>
                <w:szCs w:val="24"/>
                <w:lang w:eastAsia="zh-CN"/>
              </w:rPr>
            </w:pPr>
            <w:r>
              <w:rPr>
                <w:rFonts w:hint="eastAsia" w:ascii="宋体" w:hAnsi="宋体" w:cs="宋体"/>
                <w:sz w:val="24"/>
                <w:szCs w:val="24"/>
                <w:lang w:val="en-US" w:eastAsia="zh-CN"/>
              </w:rPr>
              <w:t>1.</w:t>
            </w:r>
            <w:r>
              <w:rPr>
                <w:rFonts w:hint="eastAsia" w:ascii="宋体" w:hAnsi="宋体" w:eastAsia="宋体" w:cs="宋体"/>
                <w:sz w:val="24"/>
                <w:szCs w:val="24"/>
              </w:rPr>
              <w:t>数据管理方案完整且高效</w:t>
            </w:r>
            <w:r>
              <w:rPr>
                <w:rFonts w:hint="eastAsia" w:ascii="宋体" w:hAnsi="宋体" w:cs="宋体"/>
                <w:sz w:val="24"/>
                <w:szCs w:val="24"/>
                <w:lang w:eastAsia="zh-CN"/>
              </w:rPr>
              <w:t>，</w:t>
            </w:r>
            <w:r>
              <w:rPr>
                <w:rFonts w:hint="eastAsia" w:ascii="宋体" w:hAnsi="宋体" w:eastAsia="宋体" w:cs="宋体"/>
                <w:sz w:val="24"/>
                <w:szCs w:val="24"/>
              </w:rPr>
              <w:t>方案包含智能化数据分析功能，能够对泵房运行数据进行深度挖掘，提供趋势分析、能耗分析、故障预警等，并能通过多种渠道（如短信、APP推送）实时通知运维人员。提供直观的数据可视化界面，方便运维人员实时监控泵房运行状态，并能通过移动端APP进行远程操作和管理</w:t>
            </w:r>
            <w:r>
              <w:rPr>
                <w:rFonts w:hint="eastAsia" w:ascii="宋体" w:hAnsi="宋体" w:cs="宋体"/>
                <w:sz w:val="24"/>
                <w:szCs w:val="24"/>
                <w:lang w:eastAsia="zh-CN"/>
              </w:rPr>
              <w:t>的</w:t>
            </w:r>
            <w:r>
              <w:rPr>
                <w:rFonts w:hint="eastAsia" w:ascii="宋体" w:hAnsi="宋体" w:cs="宋体"/>
                <w:sz w:val="24"/>
                <w:szCs w:val="24"/>
                <w:lang w:val="en-US" w:eastAsia="zh-CN"/>
              </w:rPr>
              <w:t>得</w:t>
            </w:r>
            <w:r>
              <w:rPr>
                <w:rFonts w:hint="eastAsia" w:ascii="宋体" w:hAnsi="宋体" w:eastAsia="宋体" w:cs="宋体"/>
                <w:sz w:val="24"/>
                <w:szCs w:val="24"/>
              </w:rPr>
              <w:t>5.1-8分</w:t>
            </w:r>
            <w:r>
              <w:rPr>
                <w:rFonts w:hint="eastAsia" w:ascii="宋体" w:hAnsi="宋体" w:cs="宋体"/>
                <w:sz w:val="24"/>
                <w:szCs w:val="24"/>
                <w:lang w:eastAsia="zh-CN"/>
              </w:rPr>
              <w:t>；</w:t>
            </w:r>
          </w:p>
          <w:p w14:paraId="731E2A2B">
            <w:pPr>
              <w:widowControl/>
              <w:spacing w:line="312" w:lineRule="auto"/>
              <w:rPr>
                <w:rFonts w:hint="eastAsia" w:ascii="宋体" w:hAnsi="宋体" w:eastAsia="宋体" w:cs="宋体"/>
                <w:sz w:val="24"/>
                <w:szCs w:val="24"/>
                <w:lang w:eastAsia="zh-CN"/>
              </w:rPr>
            </w:pPr>
            <w:r>
              <w:rPr>
                <w:rFonts w:hint="eastAsia" w:ascii="宋体" w:hAnsi="宋体" w:eastAsia="宋体" w:cs="宋体"/>
                <w:sz w:val="24"/>
                <w:szCs w:val="24"/>
              </w:rPr>
              <w:t>2. 数据管理方案基本满足需求</w:t>
            </w:r>
            <w:r>
              <w:rPr>
                <w:rFonts w:hint="eastAsia" w:ascii="宋体" w:hAnsi="宋体" w:cs="宋体"/>
                <w:sz w:val="24"/>
                <w:szCs w:val="24"/>
                <w:lang w:eastAsia="zh-CN"/>
              </w:rPr>
              <w:t>，</w:t>
            </w:r>
            <w:r>
              <w:rPr>
                <w:rFonts w:hint="eastAsia" w:ascii="宋体" w:hAnsi="宋体" w:eastAsia="宋体" w:cs="宋体"/>
                <w:sz w:val="24"/>
                <w:szCs w:val="24"/>
              </w:rPr>
              <w:t>方案包含基础数据分析功能，能够提供基本的运行数据报表和故障预警，但智能化程度不高</w:t>
            </w:r>
            <w:r>
              <w:rPr>
                <w:rFonts w:hint="eastAsia" w:ascii="宋体" w:hAnsi="宋体" w:cs="宋体"/>
                <w:sz w:val="24"/>
                <w:szCs w:val="24"/>
                <w:lang w:eastAsia="zh-CN"/>
              </w:rPr>
              <w:t>，</w:t>
            </w:r>
            <w:r>
              <w:rPr>
                <w:rFonts w:hint="eastAsia" w:ascii="宋体" w:hAnsi="宋体" w:eastAsia="宋体" w:cs="宋体"/>
                <w:sz w:val="24"/>
                <w:szCs w:val="24"/>
              </w:rPr>
              <w:t>提供基本的数据可视化界面，方便运维人员监控泵房运行状态，但操作便捷性一般</w:t>
            </w:r>
            <w:r>
              <w:rPr>
                <w:rFonts w:hint="eastAsia" w:ascii="宋体" w:hAnsi="宋体" w:cs="宋体"/>
                <w:sz w:val="24"/>
                <w:szCs w:val="24"/>
                <w:lang w:eastAsia="zh-CN"/>
              </w:rPr>
              <w:t>的</w:t>
            </w:r>
            <w:r>
              <w:rPr>
                <w:rFonts w:hint="eastAsia" w:ascii="宋体" w:hAnsi="宋体" w:cs="宋体"/>
                <w:sz w:val="24"/>
                <w:szCs w:val="24"/>
                <w:lang w:val="en-US" w:eastAsia="zh-CN"/>
              </w:rPr>
              <w:t>得</w:t>
            </w:r>
            <w:r>
              <w:rPr>
                <w:rFonts w:hint="eastAsia" w:ascii="宋体" w:hAnsi="宋体" w:eastAsia="宋体" w:cs="宋体"/>
                <w:sz w:val="24"/>
                <w:szCs w:val="24"/>
              </w:rPr>
              <w:t>2.1-5分</w:t>
            </w:r>
            <w:r>
              <w:rPr>
                <w:rFonts w:hint="eastAsia" w:ascii="宋体" w:hAnsi="宋体" w:cs="宋体"/>
                <w:sz w:val="24"/>
                <w:szCs w:val="24"/>
                <w:lang w:eastAsia="zh-CN"/>
              </w:rPr>
              <w:t>；</w:t>
            </w:r>
          </w:p>
          <w:p w14:paraId="30246EBA">
            <w:pPr>
              <w:pStyle w:val="222"/>
              <w:widowControl/>
              <w:numPr>
                <w:ilvl w:val="0"/>
                <w:numId w:val="0"/>
              </w:numPr>
              <w:spacing w:line="312"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rPr>
              <w:t>数据管理方案简陋或不满足需求</w:t>
            </w:r>
            <w:r>
              <w:rPr>
                <w:rFonts w:hint="eastAsia" w:ascii="宋体" w:hAnsi="宋体" w:cs="宋体"/>
                <w:sz w:val="24"/>
                <w:szCs w:val="24"/>
                <w:lang w:eastAsia="zh-CN"/>
              </w:rPr>
              <w:t>，</w:t>
            </w:r>
            <w:r>
              <w:rPr>
                <w:rFonts w:hint="eastAsia" w:ascii="宋体" w:hAnsi="宋体" w:eastAsia="宋体" w:cs="宋体"/>
                <w:sz w:val="24"/>
                <w:szCs w:val="24"/>
              </w:rPr>
              <w:t>方案缺乏数据分析功能，无法提供有效的运行数据报表和故障预警</w:t>
            </w:r>
            <w:r>
              <w:rPr>
                <w:rFonts w:hint="eastAsia" w:ascii="宋体" w:hAnsi="宋体" w:cs="宋体"/>
                <w:sz w:val="24"/>
                <w:szCs w:val="24"/>
                <w:lang w:eastAsia="zh-CN"/>
              </w:rPr>
              <w:t>，</w:t>
            </w:r>
            <w:r>
              <w:rPr>
                <w:rFonts w:hint="eastAsia" w:ascii="宋体" w:hAnsi="宋体" w:eastAsia="宋体" w:cs="宋体"/>
                <w:sz w:val="24"/>
                <w:szCs w:val="24"/>
              </w:rPr>
              <w:t>未提供数据可视化界面，或界面操作困难，无法方便运维人员监控泵房运行状态</w:t>
            </w:r>
            <w:r>
              <w:rPr>
                <w:rFonts w:hint="eastAsia" w:ascii="宋体" w:hAnsi="宋体" w:cs="宋体"/>
                <w:sz w:val="24"/>
                <w:szCs w:val="24"/>
                <w:lang w:eastAsia="zh-CN"/>
              </w:rPr>
              <w:t>的</w:t>
            </w:r>
            <w:r>
              <w:rPr>
                <w:rFonts w:hint="eastAsia" w:ascii="宋体" w:hAnsi="宋体" w:cs="宋体"/>
                <w:sz w:val="24"/>
                <w:szCs w:val="24"/>
                <w:lang w:val="en-US" w:eastAsia="zh-CN"/>
              </w:rPr>
              <w:t>得0-2分。</w:t>
            </w:r>
          </w:p>
        </w:tc>
        <w:tc>
          <w:tcPr>
            <w:tcW w:w="765" w:type="dxa"/>
            <w:shd w:val="clear" w:color="000000" w:fill="auto"/>
            <w:vAlign w:val="center"/>
          </w:tcPr>
          <w:p w14:paraId="00B890C5">
            <w:pPr>
              <w:widowControl/>
              <w:spacing w:line="288" w:lineRule="auto"/>
              <w:jc w:val="center"/>
              <w:textAlignment w:val="center"/>
              <w:rPr>
                <w:rFonts w:ascii="宋体" w:hAnsi="宋体" w:cs="宋体"/>
                <w:color w:val="000000"/>
                <w:kern w:val="2"/>
                <w:sz w:val="24"/>
                <w:szCs w:val="24"/>
              </w:rPr>
            </w:pPr>
            <w:r>
              <w:rPr>
                <w:rFonts w:hint="eastAsia" w:ascii="宋体" w:hAnsi="宋体" w:cs="宋体"/>
                <w:color w:val="000000"/>
                <w:kern w:val="2"/>
                <w:sz w:val="24"/>
                <w:szCs w:val="24"/>
              </w:rPr>
              <w:t>8</w:t>
            </w:r>
          </w:p>
        </w:tc>
      </w:tr>
      <w:tr w14:paraId="6E636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6" w:type="dxa"/>
            <w:shd w:val="clear" w:color="000000" w:fill="FFFFFF"/>
            <w:vAlign w:val="center"/>
          </w:tcPr>
          <w:p w14:paraId="7E2E9E08">
            <w:pPr>
              <w:pStyle w:val="19"/>
              <w:snapToGrid w:val="0"/>
              <w:spacing w:line="312" w:lineRule="auto"/>
              <w:ind w:left="0" w:right="-2"/>
              <w:jc w:val="center"/>
              <w:rPr>
                <w:rFonts w:ascii="宋体" w:hAnsi="宋体" w:cs="宋体"/>
                <w:bCs/>
                <w:color w:val="000000"/>
                <w:sz w:val="24"/>
                <w:szCs w:val="24"/>
              </w:rPr>
            </w:pPr>
            <w:r>
              <w:rPr>
                <w:rFonts w:hint="eastAsia" w:ascii="宋体" w:hAnsi="宋体" w:cs="宋体"/>
                <w:bCs/>
                <w:color w:val="000000"/>
                <w:sz w:val="24"/>
                <w:szCs w:val="24"/>
              </w:rPr>
              <w:t>5.2</w:t>
            </w:r>
          </w:p>
        </w:tc>
        <w:tc>
          <w:tcPr>
            <w:tcW w:w="1380" w:type="dxa"/>
            <w:vMerge w:val="continue"/>
            <w:shd w:val="clear" w:color="000000" w:fill="FFFFFF"/>
            <w:vAlign w:val="center"/>
          </w:tcPr>
          <w:p w14:paraId="5D71992F">
            <w:pPr>
              <w:widowControl/>
              <w:spacing w:line="312" w:lineRule="auto"/>
              <w:jc w:val="center"/>
              <w:rPr>
                <w:rFonts w:ascii="宋体" w:hAnsi="宋体" w:cs="宋体"/>
                <w:color w:val="000000"/>
                <w:sz w:val="24"/>
                <w:szCs w:val="24"/>
              </w:rPr>
            </w:pPr>
          </w:p>
        </w:tc>
        <w:tc>
          <w:tcPr>
            <w:tcW w:w="6300" w:type="dxa"/>
            <w:shd w:val="clear" w:color="000000" w:fill="FFFFFF"/>
            <w:vAlign w:val="center"/>
          </w:tcPr>
          <w:p w14:paraId="6A0E78B6">
            <w:pPr>
              <w:widowControl/>
              <w:spacing w:line="312" w:lineRule="auto"/>
              <w:rPr>
                <w:rFonts w:hint="eastAsia" w:ascii="宋体" w:hAnsi="宋体" w:cs="宋体"/>
                <w:sz w:val="24"/>
                <w:szCs w:val="24"/>
                <w:highlight w:val="none"/>
                <w:shd w:val="clear"/>
              </w:rPr>
            </w:pPr>
            <w:r>
              <w:rPr>
                <w:rFonts w:hint="eastAsia" w:ascii="宋体" w:hAnsi="宋体" w:cs="宋体"/>
                <w:sz w:val="24"/>
                <w:szCs w:val="24"/>
                <w:highlight w:val="none"/>
                <w:shd w:val="clear"/>
              </w:rPr>
              <w:t>投标人在服务期间须保证拟派的运维团队成员中具有智能化系统工程师(高级)证书</w:t>
            </w:r>
            <w:r>
              <w:rPr>
                <w:rFonts w:hint="eastAsia" w:ascii="宋体" w:hAnsi="宋体" w:cs="宋体"/>
                <w:sz w:val="24"/>
                <w:szCs w:val="24"/>
                <w:highlight w:val="none"/>
                <w:shd w:val="clear"/>
                <w:lang w:eastAsia="zh-CN"/>
              </w:rPr>
              <w:t>的</w:t>
            </w:r>
            <w:r>
              <w:rPr>
                <w:rFonts w:hint="eastAsia" w:ascii="宋体" w:hAnsi="宋体" w:cs="宋体"/>
                <w:sz w:val="24"/>
                <w:szCs w:val="24"/>
                <w:highlight w:val="none"/>
                <w:shd w:val="clear"/>
                <w:lang w:val="en-US" w:eastAsia="zh-CN"/>
              </w:rPr>
              <w:t>得1分，具有</w:t>
            </w:r>
            <w:r>
              <w:rPr>
                <w:rFonts w:hint="eastAsia" w:ascii="宋体" w:hAnsi="宋体" w:cs="宋体"/>
                <w:sz w:val="24"/>
                <w:szCs w:val="24"/>
                <w:highlight w:val="none"/>
                <w:shd w:val="clear"/>
              </w:rPr>
              <w:t>IT运维工程师(高级)证书的得</w:t>
            </w:r>
            <w:r>
              <w:rPr>
                <w:rFonts w:hint="eastAsia" w:ascii="宋体" w:hAnsi="宋体" w:cs="宋体"/>
                <w:sz w:val="24"/>
                <w:szCs w:val="24"/>
                <w:highlight w:val="none"/>
                <w:shd w:val="clear"/>
                <w:lang w:val="en-US" w:eastAsia="zh-CN"/>
              </w:rPr>
              <w:t>1</w:t>
            </w:r>
            <w:r>
              <w:rPr>
                <w:rFonts w:hint="eastAsia" w:ascii="宋体" w:hAnsi="宋体" w:cs="宋体"/>
                <w:sz w:val="24"/>
                <w:szCs w:val="24"/>
                <w:highlight w:val="none"/>
                <w:shd w:val="clear"/>
              </w:rPr>
              <w:t>分，</w:t>
            </w:r>
            <w:r>
              <w:rPr>
                <w:rFonts w:hint="eastAsia" w:ascii="宋体" w:hAnsi="宋体" w:cs="宋体"/>
                <w:sz w:val="24"/>
                <w:szCs w:val="24"/>
                <w:highlight w:val="none"/>
                <w:shd w:val="clear"/>
                <w:lang w:val="en-US" w:eastAsia="zh-CN"/>
              </w:rPr>
              <w:t>本项最高得2分</w:t>
            </w:r>
            <w:r>
              <w:rPr>
                <w:rFonts w:hint="eastAsia" w:ascii="宋体" w:hAnsi="宋体" w:cs="宋体"/>
                <w:sz w:val="24"/>
                <w:szCs w:val="24"/>
                <w:highlight w:val="none"/>
                <w:shd w:val="clear"/>
              </w:rPr>
              <w:t>。</w:t>
            </w:r>
          </w:p>
          <w:p w14:paraId="013DCD07">
            <w:pPr>
              <w:widowControl/>
              <w:spacing w:line="312" w:lineRule="auto"/>
              <w:rPr>
                <w:rFonts w:hint="eastAsia" w:ascii="宋体" w:hAnsi="宋体" w:cs="宋体"/>
                <w:sz w:val="24"/>
                <w:szCs w:val="24"/>
                <w:highlight w:val="none"/>
                <w:shd w:val="clear"/>
              </w:rPr>
            </w:pPr>
            <w:r>
              <w:rPr>
                <w:rFonts w:hint="eastAsia" w:ascii="宋体" w:hAnsi="宋体" w:cs="宋体"/>
                <w:b/>
                <w:bCs/>
                <w:sz w:val="24"/>
                <w:szCs w:val="24"/>
                <w:lang w:val="zh-CN"/>
              </w:rPr>
              <w:t>【</w:t>
            </w:r>
            <w:r>
              <w:rPr>
                <w:rFonts w:hint="eastAsia" w:ascii="宋体" w:hAnsi="宋体" w:cs="宋体"/>
                <w:b/>
                <w:bCs/>
                <w:sz w:val="24"/>
                <w:szCs w:val="24"/>
              </w:rPr>
              <w:t>证书</w:t>
            </w:r>
            <w:r>
              <w:rPr>
                <w:rFonts w:hint="eastAsia" w:ascii="宋体" w:hAnsi="宋体" w:cs="宋体"/>
                <w:b/>
                <w:bCs/>
                <w:sz w:val="24"/>
                <w:szCs w:val="24"/>
                <w:lang w:val="en-US" w:eastAsia="zh-CN"/>
              </w:rPr>
              <w:t>复制件</w:t>
            </w:r>
            <w:r>
              <w:rPr>
                <w:rFonts w:hint="eastAsia" w:ascii="宋体" w:hAnsi="宋体" w:cs="宋体"/>
                <w:b/>
                <w:bCs/>
                <w:sz w:val="24"/>
                <w:szCs w:val="24"/>
              </w:rPr>
              <w:t>、身份证</w:t>
            </w:r>
            <w:r>
              <w:rPr>
                <w:rFonts w:hint="eastAsia" w:ascii="宋体" w:hAnsi="宋体" w:cs="宋体"/>
                <w:b/>
                <w:bCs/>
                <w:sz w:val="24"/>
                <w:szCs w:val="24"/>
                <w:lang w:val="en-US" w:eastAsia="zh-CN"/>
              </w:rPr>
              <w:t>复制件</w:t>
            </w:r>
            <w:r>
              <w:rPr>
                <w:rFonts w:hint="eastAsia" w:ascii="宋体" w:hAnsi="宋体" w:cs="宋体"/>
                <w:b/>
                <w:bCs/>
                <w:sz w:val="24"/>
                <w:szCs w:val="24"/>
              </w:rPr>
              <w:t>加盖公章编入投标文件中，同时投标文件中提供由社保部门出具的</w:t>
            </w:r>
            <w:r>
              <w:rPr>
                <w:rFonts w:hint="eastAsia" w:ascii="宋体" w:hAnsi="宋体" w:cs="宋体"/>
                <w:b/>
                <w:bCs/>
                <w:sz w:val="24"/>
                <w:szCs w:val="24"/>
                <w:lang w:val="en-US" w:eastAsia="zh-CN"/>
              </w:rPr>
              <w:t>2024年12月-</w:t>
            </w:r>
            <w:r>
              <w:rPr>
                <w:rFonts w:hint="eastAsia" w:ascii="宋体" w:hAnsi="宋体" w:cs="宋体"/>
                <w:b/>
                <w:bCs/>
                <w:sz w:val="24"/>
                <w:szCs w:val="24"/>
              </w:rPr>
              <w:t>2025年</w:t>
            </w:r>
            <w:r>
              <w:rPr>
                <w:rFonts w:hint="eastAsia" w:ascii="宋体" w:hAnsi="宋体" w:cs="宋体"/>
                <w:b/>
                <w:bCs/>
                <w:sz w:val="24"/>
                <w:szCs w:val="24"/>
                <w:lang w:val="en-US" w:eastAsia="zh-CN"/>
              </w:rPr>
              <w:t>2</w:t>
            </w:r>
            <w:r>
              <w:rPr>
                <w:rFonts w:hint="eastAsia" w:ascii="宋体" w:hAnsi="宋体" w:cs="宋体"/>
                <w:b/>
                <w:bCs/>
                <w:sz w:val="24"/>
                <w:szCs w:val="24"/>
              </w:rPr>
              <w:t>月投标人单位为其缴纳的社保证明材料复印件加盖公章，否则本项不得分。</w:t>
            </w:r>
            <w:r>
              <w:rPr>
                <w:rFonts w:hint="eastAsia" w:ascii="宋体" w:hAnsi="宋体" w:cs="宋体"/>
                <w:b/>
                <w:bCs/>
                <w:sz w:val="24"/>
                <w:szCs w:val="24"/>
                <w:lang w:val="zh-CN"/>
              </w:rPr>
              <w:t>】</w:t>
            </w:r>
          </w:p>
        </w:tc>
        <w:tc>
          <w:tcPr>
            <w:tcW w:w="765" w:type="dxa"/>
            <w:shd w:val="clear" w:color="000000" w:fill="FFFFFF"/>
            <w:vAlign w:val="center"/>
          </w:tcPr>
          <w:p w14:paraId="4839D9C0">
            <w:pPr>
              <w:widowControl/>
              <w:spacing w:line="288" w:lineRule="auto"/>
              <w:jc w:val="center"/>
              <w:textAlignment w:val="center"/>
              <w:rPr>
                <w:rFonts w:ascii="宋体" w:hAnsi="宋体" w:cs="宋体"/>
                <w:color w:val="000000"/>
                <w:kern w:val="2"/>
                <w:sz w:val="24"/>
                <w:szCs w:val="24"/>
              </w:rPr>
            </w:pPr>
            <w:r>
              <w:rPr>
                <w:rFonts w:hint="eastAsia" w:ascii="宋体" w:hAnsi="宋体" w:cs="宋体"/>
                <w:color w:val="000000"/>
                <w:kern w:val="2"/>
                <w:sz w:val="24"/>
                <w:szCs w:val="24"/>
              </w:rPr>
              <w:t>2</w:t>
            </w:r>
          </w:p>
        </w:tc>
      </w:tr>
      <w:tr w14:paraId="1F04D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6" w:type="dxa"/>
            <w:shd w:val="clear" w:color="000000" w:fill="FFFFFF"/>
            <w:vAlign w:val="center"/>
          </w:tcPr>
          <w:p w14:paraId="76CD69EC">
            <w:pPr>
              <w:pStyle w:val="19"/>
              <w:snapToGrid w:val="0"/>
              <w:spacing w:line="312" w:lineRule="auto"/>
              <w:ind w:left="0" w:right="-2"/>
              <w:jc w:val="center"/>
              <w:rPr>
                <w:rFonts w:ascii="宋体" w:hAnsi="宋体" w:cs="宋体"/>
                <w:bCs/>
                <w:color w:val="000000"/>
                <w:sz w:val="24"/>
                <w:szCs w:val="24"/>
              </w:rPr>
            </w:pPr>
            <w:r>
              <w:rPr>
                <w:rFonts w:hint="eastAsia" w:ascii="宋体" w:hAnsi="宋体" w:cs="宋体"/>
                <w:bCs/>
                <w:color w:val="000000"/>
                <w:sz w:val="24"/>
                <w:szCs w:val="24"/>
              </w:rPr>
              <w:t>5.3</w:t>
            </w:r>
          </w:p>
        </w:tc>
        <w:tc>
          <w:tcPr>
            <w:tcW w:w="1380" w:type="dxa"/>
            <w:vMerge w:val="continue"/>
            <w:shd w:val="clear" w:color="000000" w:fill="FFFFFF"/>
            <w:vAlign w:val="center"/>
          </w:tcPr>
          <w:p w14:paraId="416586D5">
            <w:pPr>
              <w:widowControl/>
              <w:spacing w:line="312" w:lineRule="auto"/>
              <w:jc w:val="center"/>
              <w:rPr>
                <w:rFonts w:ascii="宋体" w:hAnsi="宋体" w:cs="宋体"/>
                <w:color w:val="000000"/>
                <w:sz w:val="24"/>
                <w:szCs w:val="24"/>
              </w:rPr>
            </w:pPr>
          </w:p>
        </w:tc>
        <w:tc>
          <w:tcPr>
            <w:tcW w:w="6300" w:type="dxa"/>
            <w:shd w:val="clear" w:color="000000" w:fill="auto"/>
            <w:vAlign w:val="center"/>
          </w:tcPr>
          <w:p w14:paraId="6EF27C35">
            <w:pPr>
              <w:widowControl/>
              <w:spacing w:line="312" w:lineRule="auto"/>
              <w:rPr>
                <w:rFonts w:ascii="宋体" w:hAnsi="宋体" w:cs="宋体"/>
                <w:sz w:val="24"/>
                <w:szCs w:val="24"/>
              </w:rPr>
            </w:pPr>
            <w:r>
              <w:rPr>
                <w:rFonts w:hint="eastAsia" w:ascii="宋体" w:hAnsi="宋体" w:cs="宋体"/>
                <w:sz w:val="24"/>
                <w:szCs w:val="24"/>
              </w:rPr>
              <w:t>中标人须配合采购人的其它业务系统（包括但不限于如营业系统、生产调度平台等）的相关数据的调取和接入。</w:t>
            </w:r>
          </w:p>
          <w:p w14:paraId="6793ED7F">
            <w:pPr>
              <w:widowControl/>
              <w:spacing w:line="312" w:lineRule="auto"/>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zh-CN"/>
              </w:rPr>
              <w:t>方案内容详实、方案科学合理的</w:t>
            </w:r>
            <w:r>
              <w:rPr>
                <w:rFonts w:hint="eastAsia" w:ascii="宋体" w:hAnsi="宋体" w:cs="宋体"/>
                <w:sz w:val="24"/>
                <w:szCs w:val="24"/>
              </w:rPr>
              <w:t>1.1-2分。</w:t>
            </w:r>
          </w:p>
          <w:p w14:paraId="310AFEB9">
            <w:pPr>
              <w:widowControl/>
              <w:spacing w:line="312" w:lineRule="auto"/>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zh-CN"/>
              </w:rPr>
              <w:t>方案</w:t>
            </w:r>
            <w:r>
              <w:rPr>
                <w:rFonts w:ascii="宋体" w:hAnsi="宋体" w:cs="宋体"/>
                <w:sz w:val="24"/>
                <w:szCs w:val="24"/>
              </w:rPr>
              <w:t>内容一般、</w:t>
            </w:r>
            <w:r>
              <w:rPr>
                <w:rFonts w:hint="eastAsia" w:ascii="宋体" w:hAnsi="宋体" w:cs="宋体"/>
                <w:sz w:val="24"/>
                <w:szCs w:val="24"/>
              </w:rPr>
              <w:t>简略</w:t>
            </w:r>
            <w:r>
              <w:rPr>
                <w:rFonts w:ascii="宋体" w:hAnsi="宋体" w:cs="宋体"/>
                <w:sz w:val="24"/>
                <w:szCs w:val="24"/>
              </w:rPr>
              <w:t>，方案不科学合理的</w:t>
            </w:r>
            <w:r>
              <w:rPr>
                <w:rFonts w:hint="eastAsia" w:ascii="宋体" w:hAnsi="宋体" w:cs="宋体"/>
                <w:sz w:val="24"/>
                <w:szCs w:val="24"/>
              </w:rPr>
              <w:t>0-1</w:t>
            </w:r>
            <w:r>
              <w:rPr>
                <w:rFonts w:ascii="宋体" w:hAnsi="宋体" w:cs="宋体"/>
                <w:sz w:val="24"/>
                <w:szCs w:val="24"/>
              </w:rPr>
              <w:t>分</w:t>
            </w:r>
            <w:r>
              <w:rPr>
                <w:rFonts w:hint="eastAsia" w:ascii="宋体" w:hAnsi="宋体" w:cs="宋体"/>
                <w:sz w:val="24"/>
                <w:szCs w:val="24"/>
                <w:lang w:val="zh-CN"/>
              </w:rPr>
              <w:t>。</w:t>
            </w:r>
          </w:p>
        </w:tc>
        <w:tc>
          <w:tcPr>
            <w:tcW w:w="765" w:type="dxa"/>
            <w:shd w:val="clear" w:color="000000" w:fill="auto"/>
            <w:vAlign w:val="center"/>
          </w:tcPr>
          <w:p w14:paraId="0DDAD407">
            <w:pPr>
              <w:widowControl/>
              <w:spacing w:line="288" w:lineRule="auto"/>
              <w:jc w:val="center"/>
              <w:textAlignment w:val="center"/>
              <w:rPr>
                <w:rFonts w:ascii="宋体" w:hAnsi="宋体" w:cs="宋体"/>
                <w:color w:val="000000"/>
                <w:kern w:val="2"/>
                <w:sz w:val="24"/>
                <w:szCs w:val="24"/>
              </w:rPr>
            </w:pPr>
            <w:r>
              <w:rPr>
                <w:rFonts w:hint="eastAsia" w:ascii="宋体" w:hAnsi="宋体" w:cs="宋体"/>
                <w:color w:val="000000"/>
                <w:kern w:val="2"/>
                <w:sz w:val="24"/>
                <w:szCs w:val="24"/>
              </w:rPr>
              <w:t>2</w:t>
            </w:r>
          </w:p>
        </w:tc>
      </w:tr>
      <w:tr w14:paraId="52C46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6" w:type="dxa"/>
            <w:shd w:val="clear" w:color="000000" w:fill="FFFFFF"/>
            <w:vAlign w:val="center"/>
          </w:tcPr>
          <w:p w14:paraId="186D1CA0">
            <w:pPr>
              <w:pStyle w:val="19"/>
              <w:snapToGrid w:val="0"/>
              <w:spacing w:line="312" w:lineRule="auto"/>
              <w:ind w:left="0" w:right="-2"/>
              <w:jc w:val="center"/>
              <w:rPr>
                <w:rFonts w:ascii="宋体" w:hAnsi="宋体" w:cs="宋体"/>
                <w:bCs/>
                <w:color w:val="000000"/>
                <w:sz w:val="24"/>
                <w:szCs w:val="24"/>
              </w:rPr>
            </w:pPr>
            <w:r>
              <w:rPr>
                <w:rFonts w:hint="eastAsia" w:ascii="宋体" w:hAnsi="宋体" w:cs="宋体"/>
                <w:bCs/>
                <w:color w:val="000000"/>
                <w:sz w:val="24"/>
                <w:szCs w:val="24"/>
              </w:rPr>
              <w:t>5.4</w:t>
            </w:r>
          </w:p>
        </w:tc>
        <w:tc>
          <w:tcPr>
            <w:tcW w:w="1380" w:type="dxa"/>
            <w:vMerge w:val="continue"/>
            <w:shd w:val="clear" w:color="000000" w:fill="FFFFFF"/>
            <w:vAlign w:val="center"/>
          </w:tcPr>
          <w:p w14:paraId="2CEFDB40">
            <w:pPr>
              <w:widowControl/>
              <w:spacing w:line="312" w:lineRule="auto"/>
              <w:jc w:val="center"/>
              <w:rPr>
                <w:rFonts w:ascii="宋体" w:hAnsi="宋体" w:cs="宋体"/>
                <w:color w:val="000000"/>
                <w:sz w:val="24"/>
                <w:szCs w:val="24"/>
              </w:rPr>
            </w:pPr>
          </w:p>
        </w:tc>
        <w:tc>
          <w:tcPr>
            <w:tcW w:w="6300" w:type="dxa"/>
            <w:shd w:val="clear" w:color="000000" w:fill="auto"/>
            <w:vAlign w:val="center"/>
          </w:tcPr>
          <w:p w14:paraId="08BAF7C7">
            <w:pPr>
              <w:widowControl/>
              <w:spacing w:line="312" w:lineRule="auto"/>
              <w:rPr>
                <w:rFonts w:ascii="宋体" w:hAnsi="宋体" w:cs="宋体"/>
                <w:sz w:val="24"/>
                <w:szCs w:val="24"/>
              </w:rPr>
            </w:pPr>
            <w:r>
              <w:rPr>
                <w:rFonts w:hint="eastAsia" w:ascii="宋体" w:hAnsi="宋体" w:cs="宋体"/>
                <w:sz w:val="24"/>
                <w:szCs w:val="24"/>
              </w:rPr>
              <w:t>投标人的备件仓库不少于100平方，且具有相应备件及临时供水备用成套设备的得2分。</w:t>
            </w:r>
          </w:p>
          <w:p w14:paraId="07C03263">
            <w:pPr>
              <w:widowControl/>
              <w:spacing w:line="312" w:lineRule="auto"/>
              <w:rPr>
                <w:rFonts w:ascii="宋体" w:hAnsi="宋体" w:cs="宋体"/>
                <w:sz w:val="24"/>
                <w:szCs w:val="24"/>
              </w:rPr>
            </w:pPr>
            <w:r>
              <w:rPr>
                <w:rFonts w:hint="eastAsia" w:ascii="宋体" w:hAnsi="宋体" w:cs="宋体"/>
                <w:b/>
                <w:bCs/>
                <w:sz w:val="24"/>
                <w:szCs w:val="24"/>
              </w:rPr>
              <w:t>【提供相关证明材料，否则不得分。】</w:t>
            </w:r>
          </w:p>
        </w:tc>
        <w:tc>
          <w:tcPr>
            <w:tcW w:w="765" w:type="dxa"/>
            <w:shd w:val="clear" w:color="000000" w:fill="auto"/>
            <w:vAlign w:val="center"/>
          </w:tcPr>
          <w:p w14:paraId="7359B011">
            <w:pPr>
              <w:widowControl/>
              <w:spacing w:line="288" w:lineRule="auto"/>
              <w:jc w:val="center"/>
              <w:textAlignment w:val="center"/>
              <w:rPr>
                <w:rFonts w:ascii="宋体" w:hAnsi="宋体" w:cs="宋体"/>
                <w:color w:val="000000"/>
                <w:kern w:val="2"/>
                <w:sz w:val="24"/>
                <w:szCs w:val="24"/>
              </w:rPr>
            </w:pPr>
            <w:r>
              <w:rPr>
                <w:rFonts w:hint="eastAsia" w:ascii="宋体" w:hAnsi="宋体" w:cs="宋体"/>
                <w:color w:val="000000"/>
                <w:kern w:val="2"/>
                <w:sz w:val="24"/>
                <w:szCs w:val="24"/>
              </w:rPr>
              <w:t>2</w:t>
            </w:r>
          </w:p>
        </w:tc>
      </w:tr>
      <w:tr w14:paraId="7B116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6" w:type="dxa"/>
            <w:shd w:val="clear" w:color="000000" w:fill="FFFFFF"/>
            <w:vAlign w:val="center"/>
          </w:tcPr>
          <w:p w14:paraId="54AB4097">
            <w:pPr>
              <w:pStyle w:val="19"/>
              <w:snapToGrid w:val="0"/>
              <w:spacing w:line="312" w:lineRule="auto"/>
              <w:ind w:left="0" w:right="-2"/>
              <w:jc w:val="center"/>
              <w:rPr>
                <w:rFonts w:ascii="宋体" w:hAnsi="宋体" w:cs="宋体"/>
                <w:bCs/>
                <w:color w:val="000000"/>
                <w:sz w:val="24"/>
                <w:szCs w:val="24"/>
              </w:rPr>
            </w:pPr>
            <w:r>
              <w:rPr>
                <w:rFonts w:hint="eastAsia" w:ascii="宋体" w:hAnsi="宋体" w:cs="宋体"/>
                <w:bCs/>
                <w:color w:val="000000"/>
                <w:sz w:val="24"/>
                <w:szCs w:val="24"/>
              </w:rPr>
              <w:t>6</w:t>
            </w:r>
          </w:p>
        </w:tc>
        <w:tc>
          <w:tcPr>
            <w:tcW w:w="1380" w:type="dxa"/>
            <w:shd w:val="clear" w:color="000000" w:fill="FFFFFF"/>
            <w:vAlign w:val="center"/>
          </w:tcPr>
          <w:p w14:paraId="48D9CB8E">
            <w:pPr>
              <w:widowControl/>
              <w:spacing w:line="312" w:lineRule="auto"/>
              <w:jc w:val="center"/>
              <w:rPr>
                <w:rFonts w:ascii="宋体" w:hAnsi="宋体" w:cs="宋体"/>
                <w:color w:val="000000"/>
                <w:sz w:val="24"/>
                <w:szCs w:val="24"/>
              </w:rPr>
            </w:pPr>
            <w:r>
              <w:rPr>
                <w:rFonts w:hint="eastAsia" w:ascii="宋体" w:hAnsi="宋体" w:cs="宋体"/>
                <w:color w:val="000000"/>
                <w:sz w:val="24"/>
                <w:szCs w:val="24"/>
              </w:rPr>
              <w:t>应急预案措施</w:t>
            </w:r>
          </w:p>
        </w:tc>
        <w:tc>
          <w:tcPr>
            <w:tcW w:w="6300" w:type="dxa"/>
            <w:shd w:val="clear" w:color="000000" w:fill="FFFFFF"/>
            <w:vAlign w:val="center"/>
          </w:tcPr>
          <w:p w14:paraId="6662D33C">
            <w:pPr>
              <w:widowControl/>
              <w:spacing w:line="312" w:lineRule="auto"/>
              <w:rPr>
                <w:rFonts w:ascii="宋体" w:hAnsi="宋体" w:cs="宋体"/>
                <w:sz w:val="24"/>
                <w:szCs w:val="24"/>
              </w:rPr>
            </w:pPr>
            <w:r>
              <w:rPr>
                <w:rFonts w:hint="eastAsia" w:ascii="宋体" w:hAnsi="宋体" w:cs="宋体"/>
                <w:sz w:val="24"/>
                <w:szCs w:val="24"/>
              </w:rPr>
              <w:t>针对本项目突发事件（包括设备维护、数据采集</w:t>
            </w:r>
            <w:r>
              <w:rPr>
                <w:rFonts w:ascii="宋体" w:hAnsi="宋体" w:cs="宋体"/>
                <w:sz w:val="24"/>
                <w:szCs w:val="24"/>
              </w:rPr>
              <w:t>及其他突发事件）时有完善的应急预案及相应措施。</w:t>
            </w:r>
            <w:r>
              <w:rPr>
                <w:rFonts w:ascii="宋体" w:hAnsi="宋体" w:cs="宋体"/>
                <w:sz w:val="24"/>
                <w:szCs w:val="24"/>
              </w:rPr>
              <w:br w:type="textWrapping"/>
            </w:r>
            <w:r>
              <w:rPr>
                <w:rFonts w:ascii="宋体" w:hAnsi="宋体" w:cs="宋体"/>
                <w:sz w:val="24"/>
                <w:szCs w:val="24"/>
              </w:rPr>
              <w:t>1.应急预案能力强，贴合采购需求的得</w:t>
            </w:r>
            <w:r>
              <w:rPr>
                <w:rFonts w:hint="eastAsia" w:ascii="宋体" w:hAnsi="宋体" w:cs="宋体"/>
                <w:sz w:val="24"/>
                <w:szCs w:val="24"/>
              </w:rPr>
              <w:t>1.6-3</w:t>
            </w:r>
            <w:r>
              <w:rPr>
                <w:rFonts w:ascii="宋体" w:hAnsi="宋体" w:cs="宋体"/>
                <w:sz w:val="24"/>
                <w:szCs w:val="24"/>
              </w:rPr>
              <w:t>分；</w:t>
            </w:r>
            <w:r>
              <w:rPr>
                <w:rFonts w:ascii="宋体" w:hAnsi="宋体" w:cs="宋体"/>
                <w:sz w:val="24"/>
                <w:szCs w:val="24"/>
              </w:rPr>
              <w:br w:type="textWrapping"/>
            </w:r>
            <w:r>
              <w:rPr>
                <w:rFonts w:ascii="宋体" w:hAnsi="宋体" w:cs="宋体"/>
                <w:sz w:val="24"/>
                <w:szCs w:val="24"/>
              </w:rPr>
              <w:t>2.针对本项目突发事件有一定的应急预案及相应措施，基本贴合采购需求的得</w:t>
            </w:r>
            <w:r>
              <w:rPr>
                <w:rFonts w:hint="eastAsia" w:ascii="宋体" w:hAnsi="宋体" w:cs="宋体"/>
                <w:sz w:val="24"/>
                <w:szCs w:val="24"/>
              </w:rPr>
              <w:t>0-1.5</w:t>
            </w:r>
            <w:r>
              <w:rPr>
                <w:rFonts w:ascii="宋体" w:hAnsi="宋体" w:cs="宋体"/>
                <w:sz w:val="24"/>
                <w:szCs w:val="24"/>
              </w:rPr>
              <w:t>分；</w:t>
            </w:r>
          </w:p>
        </w:tc>
        <w:tc>
          <w:tcPr>
            <w:tcW w:w="765" w:type="dxa"/>
            <w:shd w:val="clear" w:color="000000" w:fill="FFFFFF"/>
            <w:vAlign w:val="center"/>
          </w:tcPr>
          <w:p w14:paraId="784E9E07">
            <w:pPr>
              <w:widowControl/>
              <w:spacing w:line="288" w:lineRule="auto"/>
              <w:jc w:val="center"/>
              <w:textAlignment w:val="center"/>
              <w:rPr>
                <w:rFonts w:ascii="宋体" w:hAnsi="宋体" w:cs="宋体"/>
                <w:color w:val="000000"/>
                <w:kern w:val="2"/>
                <w:sz w:val="24"/>
                <w:szCs w:val="24"/>
              </w:rPr>
            </w:pPr>
            <w:r>
              <w:rPr>
                <w:rFonts w:hint="eastAsia" w:ascii="宋体" w:hAnsi="宋体" w:cs="宋体"/>
                <w:color w:val="000000"/>
                <w:kern w:val="2"/>
                <w:sz w:val="24"/>
                <w:szCs w:val="24"/>
              </w:rPr>
              <w:t>3</w:t>
            </w:r>
          </w:p>
        </w:tc>
      </w:tr>
      <w:tr w14:paraId="07A3F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6" w:type="dxa"/>
            <w:shd w:val="clear" w:color="000000" w:fill="FFFFFF"/>
            <w:vAlign w:val="center"/>
          </w:tcPr>
          <w:p w14:paraId="66D0A21D">
            <w:pPr>
              <w:pStyle w:val="19"/>
              <w:snapToGrid w:val="0"/>
              <w:spacing w:line="312" w:lineRule="auto"/>
              <w:ind w:left="0" w:right="-2"/>
              <w:jc w:val="center"/>
              <w:rPr>
                <w:rFonts w:ascii="宋体" w:hAnsi="宋体" w:cs="宋体"/>
                <w:bCs/>
                <w:color w:val="000000"/>
                <w:sz w:val="24"/>
                <w:szCs w:val="24"/>
              </w:rPr>
            </w:pPr>
            <w:r>
              <w:rPr>
                <w:rFonts w:hint="eastAsia" w:ascii="宋体" w:hAnsi="宋体" w:cs="宋体"/>
                <w:bCs/>
                <w:color w:val="000000"/>
                <w:sz w:val="24"/>
                <w:szCs w:val="24"/>
              </w:rPr>
              <w:t>7</w:t>
            </w:r>
          </w:p>
        </w:tc>
        <w:tc>
          <w:tcPr>
            <w:tcW w:w="1380" w:type="dxa"/>
            <w:shd w:val="clear" w:color="000000" w:fill="FFFFFF"/>
            <w:vAlign w:val="center"/>
          </w:tcPr>
          <w:p w14:paraId="6CE831B0">
            <w:pPr>
              <w:widowControl/>
              <w:spacing w:line="312" w:lineRule="auto"/>
              <w:jc w:val="center"/>
              <w:rPr>
                <w:rFonts w:ascii="宋体" w:hAnsi="宋体" w:cs="宋体"/>
                <w:color w:val="000000"/>
                <w:sz w:val="24"/>
                <w:szCs w:val="24"/>
              </w:rPr>
            </w:pPr>
            <w:r>
              <w:rPr>
                <w:rFonts w:hint="eastAsia" w:ascii="宋体" w:hAnsi="宋体" w:cs="宋体"/>
                <w:color w:val="000000"/>
                <w:sz w:val="24"/>
                <w:szCs w:val="24"/>
              </w:rPr>
              <w:t>售后服务证书</w:t>
            </w:r>
          </w:p>
        </w:tc>
        <w:tc>
          <w:tcPr>
            <w:tcW w:w="6300" w:type="dxa"/>
            <w:shd w:val="clear" w:color="000000" w:fill="FFFFFF"/>
            <w:vAlign w:val="center"/>
          </w:tcPr>
          <w:p w14:paraId="22C71025">
            <w:pPr>
              <w:widowControl/>
              <w:spacing w:line="312" w:lineRule="auto"/>
              <w:rPr>
                <w:rFonts w:ascii="宋体" w:hAnsi="宋体" w:cs="宋体"/>
                <w:sz w:val="24"/>
                <w:szCs w:val="24"/>
              </w:rPr>
            </w:pPr>
            <w:r>
              <w:rPr>
                <w:rFonts w:hint="eastAsia" w:ascii="宋体" w:hAnsi="宋体" w:cs="宋体"/>
                <w:sz w:val="24"/>
                <w:szCs w:val="24"/>
              </w:rPr>
              <w:t>投标人具有国家《售后服务认证证书》（认证范围包含供水设备，认证标准符合GB/T27922-2011标准），认定为五星级的得1分。</w:t>
            </w:r>
          </w:p>
          <w:p w14:paraId="49C321CC">
            <w:pPr>
              <w:widowControl/>
              <w:spacing w:line="312" w:lineRule="auto"/>
              <w:rPr>
                <w:rFonts w:ascii="宋体" w:hAnsi="宋体" w:cs="宋体"/>
                <w:sz w:val="24"/>
                <w:szCs w:val="24"/>
              </w:rPr>
            </w:pPr>
            <w:r>
              <w:rPr>
                <w:rFonts w:hint="eastAsia" w:ascii="宋体" w:hAnsi="宋体" w:cs="宋体"/>
                <w:b/>
                <w:bCs/>
                <w:sz w:val="24"/>
                <w:szCs w:val="24"/>
              </w:rPr>
              <w:t>【证书复制件加盖公章编入商务技术文件中，否则不得分。】</w:t>
            </w:r>
          </w:p>
        </w:tc>
        <w:tc>
          <w:tcPr>
            <w:tcW w:w="765" w:type="dxa"/>
            <w:shd w:val="clear" w:color="000000" w:fill="FFFFFF"/>
            <w:vAlign w:val="center"/>
          </w:tcPr>
          <w:p w14:paraId="5DF47E74">
            <w:pPr>
              <w:widowControl/>
              <w:spacing w:line="288" w:lineRule="auto"/>
              <w:jc w:val="center"/>
              <w:textAlignment w:val="center"/>
              <w:rPr>
                <w:rFonts w:ascii="宋体" w:hAnsi="宋体" w:cs="宋体"/>
                <w:color w:val="000000"/>
                <w:kern w:val="2"/>
                <w:sz w:val="24"/>
                <w:szCs w:val="24"/>
              </w:rPr>
            </w:pPr>
            <w:r>
              <w:rPr>
                <w:rFonts w:hint="eastAsia" w:ascii="宋体" w:hAnsi="宋体" w:cs="宋体"/>
                <w:color w:val="000000"/>
                <w:kern w:val="2"/>
                <w:sz w:val="24"/>
                <w:szCs w:val="24"/>
              </w:rPr>
              <w:t>1</w:t>
            </w:r>
          </w:p>
        </w:tc>
      </w:tr>
    </w:tbl>
    <w:p w14:paraId="3974114A">
      <w:pPr>
        <w:spacing w:line="360" w:lineRule="exact"/>
        <w:rPr>
          <w:b/>
          <w:bCs/>
          <w:lang w:val="zh-CN"/>
        </w:rPr>
      </w:pPr>
      <w:r>
        <w:rPr>
          <w:rFonts w:hint="eastAsia"/>
          <w:b/>
          <w:bCs/>
          <w:lang w:val="zh-CN"/>
        </w:rPr>
        <w:t>注：</w:t>
      </w:r>
      <w:r>
        <w:rPr>
          <w:rFonts w:hint="eastAsia"/>
          <w:b/>
          <w:bCs/>
        </w:rPr>
        <w:t>1.</w:t>
      </w:r>
      <w:r>
        <w:rPr>
          <w:rFonts w:hint="eastAsia"/>
          <w:b/>
          <w:bCs/>
          <w:lang w:val="zh-CN"/>
        </w:rPr>
        <w:t>上述评分项，缺项不得分；</w:t>
      </w:r>
    </w:p>
    <w:p w14:paraId="34C80A8B">
      <w:pPr>
        <w:spacing w:line="360" w:lineRule="exact"/>
        <w:ind w:firstLine="422"/>
        <w:rPr>
          <w:b/>
          <w:bCs/>
          <w:lang w:val="zh-CN"/>
        </w:rPr>
        <w:sectPr>
          <w:headerReference r:id="rId4" w:type="default"/>
          <w:footerReference r:id="rId5" w:type="default"/>
          <w:pgSz w:w="11905" w:h="16838"/>
          <w:pgMar w:top="1440" w:right="1157" w:bottom="1440" w:left="1928" w:header="1134" w:footer="1304" w:gutter="0"/>
          <w:pgNumType w:start="1"/>
          <w:cols w:space="720" w:num="1"/>
          <w:docGrid w:type="linesAndChars" w:linePitch="315" w:charSpace="0"/>
        </w:sectPr>
      </w:pPr>
      <w:r>
        <w:rPr>
          <w:rFonts w:hint="eastAsia"/>
          <w:b/>
          <w:bCs/>
        </w:rPr>
        <w:t>2.</w:t>
      </w:r>
      <w:r>
        <w:rPr>
          <w:rFonts w:hint="eastAsia"/>
          <w:b/>
          <w:bCs/>
          <w:lang w:val="zh-CN"/>
        </w:rPr>
        <w:t>上述证明材料中的单位发生合法变更的，需提供合法变更的材料。否则，相应分值不予计取。</w:t>
      </w:r>
      <w:bookmarkEnd w:id="22"/>
    </w:p>
    <w:p w14:paraId="794934FC">
      <w:pPr>
        <w:rPr>
          <w:lang w:val="zh-CN"/>
        </w:rPr>
      </w:pPr>
    </w:p>
    <w:p w14:paraId="0882941F">
      <w:pPr>
        <w:widowControl/>
        <w:jc w:val="center"/>
        <w:outlineLvl w:val="0"/>
        <w:rPr>
          <w:rFonts w:ascii="宋体" w:hAnsi="宋体" w:cs="宋体"/>
          <w:b/>
          <w:bCs/>
          <w:sz w:val="36"/>
          <w:szCs w:val="36"/>
        </w:rPr>
      </w:pPr>
      <w:r>
        <w:rPr>
          <w:rFonts w:hint="eastAsia" w:ascii="宋体" w:hAnsi="宋体" w:cs="宋体"/>
          <w:b/>
          <w:bCs/>
          <w:sz w:val="36"/>
          <w:szCs w:val="36"/>
        </w:rPr>
        <w:t xml:space="preserve"> </w:t>
      </w:r>
      <w:bookmarkStart w:id="23" w:name="_Toc18025"/>
      <w:bookmarkStart w:id="24" w:name="_Toc28154"/>
      <w:bookmarkStart w:id="25" w:name="_Toc798"/>
      <w:bookmarkStart w:id="26" w:name="_Toc7005"/>
      <w:bookmarkStart w:id="27" w:name="_Toc4091"/>
      <w:bookmarkStart w:id="28" w:name="_Toc23902"/>
      <w:bookmarkStart w:id="29" w:name="_Toc4561"/>
      <w:bookmarkStart w:id="30" w:name="_Toc14256"/>
      <w:r>
        <w:rPr>
          <w:rFonts w:hint="eastAsia" w:ascii="宋体" w:hAnsi="宋体" w:cs="宋体"/>
          <w:b/>
          <w:bCs/>
          <w:sz w:val="36"/>
          <w:szCs w:val="36"/>
        </w:rPr>
        <w:t>第四章  采购需求</w:t>
      </w:r>
      <w:bookmarkEnd w:id="23"/>
      <w:bookmarkEnd w:id="24"/>
      <w:bookmarkEnd w:id="25"/>
      <w:bookmarkEnd w:id="26"/>
      <w:bookmarkEnd w:id="27"/>
      <w:bookmarkEnd w:id="28"/>
      <w:bookmarkEnd w:id="29"/>
      <w:bookmarkEnd w:id="30"/>
    </w:p>
    <w:p w14:paraId="14792462">
      <w:pPr>
        <w:pStyle w:val="255"/>
        <w:widowControl/>
        <w:spacing w:line="360" w:lineRule="auto"/>
        <w:rPr>
          <w:rFonts w:ascii="宋体" w:hAnsi="宋体" w:eastAsia="宋体"/>
          <w:b/>
          <w:bCs/>
          <w:color w:val="000000"/>
          <w:szCs w:val="24"/>
        </w:rPr>
      </w:pPr>
      <w:bookmarkStart w:id="31" w:name="_Toc6961"/>
      <w:bookmarkStart w:id="32" w:name="_Toc1865"/>
      <w:bookmarkStart w:id="33" w:name="_Toc478052165"/>
      <w:bookmarkStart w:id="34" w:name="_Toc7354"/>
      <w:bookmarkStart w:id="35" w:name="_Toc4511"/>
      <w:bookmarkStart w:id="36" w:name="_Toc30379"/>
      <w:bookmarkStart w:id="37" w:name="_Toc17957"/>
      <w:r>
        <w:rPr>
          <w:rFonts w:hint="eastAsia" w:ascii="宋体" w:hAnsi="宋体" w:eastAsia="宋体"/>
          <w:b/>
          <w:bCs/>
          <w:color w:val="000000"/>
          <w:szCs w:val="24"/>
        </w:rPr>
        <w:t>一、项目概况:</w:t>
      </w:r>
    </w:p>
    <w:p w14:paraId="06758325">
      <w:pPr>
        <w:spacing w:line="360" w:lineRule="auto"/>
        <w:ind w:firstLine="480" w:firstLineChars="200"/>
        <w:jc w:val="left"/>
        <w:rPr>
          <w:rFonts w:ascii="宋体" w:hAnsi="宋体" w:cs="宋体"/>
          <w:sz w:val="24"/>
        </w:rPr>
      </w:pPr>
      <w:r>
        <w:rPr>
          <w:rFonts w:hint="eastAsia" w:ascii="宋体" w:hAnsi="宋体" w:cs="宋体"/>
          <w:color w:val="000000"/>
          <w:sz w:val="24"/>
        </w:rPr>
        <w:t>二次供水泵房设备巡检养护主要工作内容包含泵房内二次供水成套设备、管道、阀门、水箱(池)、排水系统及泵房附属设施的巡检、养护、水箱清洗等其他技术服务，按养护周期定期开展养护工作，确保泵房安全正常供水。</w:t>
      </w:r>
    </w:p>
    <w:p w14:paraId="6534D71D">
      <w:pPr>
        <w:numPr>
          <w:ilvl w:val="0"/>
          <w:numId w:val="9"/>
        </w:numPr>
        <w:spacing w:line="360" w:lineRule="auto"/>
        <w:jc w:val="left"/>
        <w:rPr>
          <w:rFonts w:ascii="宋体" w:hAnsi="宋体" w:cs="宋体"/>
          <w:b/>
          <w:color w:val="000000"/>
          <w:sz w:val="24"/>
        </w:rPr>
      </w:pPr>
      <w:r>
        <w:rPr>
          <w:rFonts w:hint="eastAsia" w:ascii="宋体" w:hAnsi="宋体" w:cs="宋体"/>
          <w:b/>
          <w:color w:val="000000"/>
          <w:sz w:val="24"/>
        </w:rPr>
        <w:t>养护清单：</w:t>
      </w:r>
    </w:p>
    <w:tbl>
      <w:tblPr>
        <w:tblStyle w:val="44"/>
        <w:tblW w:w="9560" w:type="dxa"/>
        <w:tblInd w:w="-189" w:type="dxa"/>
        <w:tblLayout w:type="fixed"/>
        <w:tblCellMar>
          <w:top w:w="0" w:type="dxa"/>
          <w:left w:w="108" w:type="dxa"/>
          <w:bottom w:w="0" w:type="dxa"/>
          <w:right w:w="108" w:type="dxa"/>
        </w:tblCellMar>
      </w:tblPr>
      <w:tblGrid>
        <w:gridCol w:w="765"/>
        <w:gridCol w:w="1800"/>
        <w:gridCol w:w="1740"/>
        <w:gridCol w:w="840"/>
        <w:gridCol w:w="2615"/>
        <w:gridCol w:w="1800"/>
      </w:tblGrid>
      <w:tr w14:paraId="3EC40D87">
        <w:tblPrEx>
          <w:tblCellMar>
            <w:top w:w="0" w:type="dxa"/>
            <w:left w:w="108" w:type="dxa"/>
            <w:bottom w:w="0" w:type="dxa"/>
            <w:right w:w="108" w:type="dxa"/>
          </w:tblCellMar>
        </w:tblPrEx>
        <w:trPr>
          <w:trHeight w:val="397" w:hRule="atLeast"/>
          <w:tblHeader/>
        </w:trPr>
        <w:tc>
          <w:tcPr>
            <w:tcW w:w="765" w:type="dxa"/>
            <w:tcBorders>
              <w:top w:val="single" w:color="000000" w:sz="4" w:space="0"/>
              <w:left w:val="single" w:color="000000" w:sz="4" w:space="0"/>
              <w:bottom w:val="single" w:color="000000" w:sz="4" w:space="0"/>
              <w:right w:val="single" w:color="000000" w:sz="4" w:space="0"/>
            </w:tcBorders>
            <w:noWrap/>
            <w:vAlign w:val="center"/>
          </w:tcPr>
          <w:p w14:paraId="372D67F9">
            <w:pPr>
              <w:widowControl/>
              <w:jc w:val="center"/>
              <w:textAlignment w:val="center"/>
              <w:rPr>
                <w:rFonts w:ascii="宋体" w:hAnsi="宋体" w:cs="宋体"/>
                <w:b/>
                <w:bCs/>
                <w:color w:val="000000"/>
                <w:sz w:val="24"/>
                <w:szCs w:val="24"/>
              </w:rPr>
            </w:pPr>
            <w:r>
              <w:rPr>
                <w:rFonts w:hint="eastAsia" w:ascii="宋体" w:hAnsi="宋体" w:cs="宋体"/>
                <w:b/>
                <w:bCs/>
                <w:color w:val="000000"/>
                <w:sz w:val="24"/>
                <w:szCs w:val="24"/>
                <w:lang w:bidi="ar"/>
              </w:rPr>
              <w:t>序号</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63FA9FA2">
            <w:pPr>
              <w:widowControl/>
              <w:jc w:val="center"/>
              <w:textAlignment w:val="center"/>
              <w:rPr>
                <w:rFonts w:ascii="宋体" w:hAnsi="宋体" w:cs="宋体"/>
                <w:b/>
                <w:bCs/>
                <w:color w:val="000000"/>
                <w:sz w:val="24"/>
                <w:szCs w:val="24"/>
              </w:rPr>
            </w:pPr>
            <w:r>
              <w:rPr>
                <w:rFonts w:hint="eastAsia" w:ascii="宋体" w:hAnsi="宋体" w:cs="宋体"/>
                <w:b/>
                <w:bCs/>
                <w:color w:val="000000"/>
                <w:sz w:val="24"/>
                <w:szCs w:val="24"/>
                <w:lang w:bidi="ar"/>
              </w:rPr>
              <w:t>房地产名称</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20CB0470">
            <w:pPr>
              <w:widowControl/>
              <w:jc w:val="center"/>
              <w:textAlignment w:val="center"/>
              <w:rPr>
                <w:rFonts w:ascii="宋体" w:hAnsi="宋体" w:cs="宋体"/>
                <w:b/>
                <w:bCs/>
                <w:color w:val="000000"/>
                <w:sz w:val="24"/>
                <w:szCs w:val="24"/>
              </w:rPr>
            </w:pPr>
            <w:r>
              <w:rPr>
                <w:rFonts w:hint="eastAsia" w:ascii="宋体" w:hAnsi="宋体" w:cs="宋体"/>
                <w:b/>
                <w:bCs/>
                <w:color w:val="000000"/>
                <w:sz w:val="24"/>
                <w:szCs w:val="24"/>
                <w:lang w:bidi="ar"/>
              </w:rPr>
              <w:t>所在镇、街道</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2775F676">
            <w:pPr>
              <w:widowControl/>
              <w:jc w:val="center"/>
              <w:textAlignment w:val="center"/>
              <w:rPr>
                <w:rFonts w:ascii="宋体" w:hAnsi="宋体" w:cs="宋体"/>
                <w:b/>
                <w:bCs/>
                <w:color w:val="000000"/>
                <w:sz w:val="24"/>
                <w:szCs w:val="24"/>
              </w:rPr>
            </w:pPr>
            <w:r>
              <w:rPr>
                <w:rFonts w:hint="eastAsia" w:ascii="宋体" w:hAnsi="宋体" w:cs="宋体"/>
                <w:b/>
                <w:bCs/>
                <w:color w:val="000000"/>
                <w:sz w:val="24"/>
                <w:szCs w:val="24"/>
              </w:rPr>
              <w:t>序号</w:t>
            </w:r>
          </w:p>
        </w:tc>
        <w:tc>
          <w:tcPr>
            <w:tcW w:w="2615" w:type="dxa"/>
            <w:tcBorders>
              <w:top w:val="single" w:color="000000" w:sz="4" w:space="0"/>
              <w:left w:val="single" w:color="000000" w:sz="4" w:space="0"/>
              <w:bottom w:val="single" w:color="000000" w:sz="4" w:space="0"/>
              <w:right w:val="single" w:color="000000" w:sz="4" w:space="0"/>
            </w:tcBorders>
            <w:noWrap/>
            <w:vAlign w:val="center"/>
          </w:tcPr>
          <w:p w14:paraId="737CC210">
            <w:pPr>
              <w:widowControl/>
              <w:ind w:firstLine="480" w:firstLineChars="200"/>
              <w:textAlignment w:val="center"/>
              <w:rPr>
                <w:rFonts w:ascii="宋体" w:hAnsi="宋体" w:cs="宋体"/>
                <w:b/>
                <w:bCs/>
                <w:color w:val="000000"/>
                <w:sz w:val="24"/>
                <w:szCs w:val="24"/>
              </w:rPr>
            </w:pPr>
            <w:r>
              <w:rPr>
                <w:rFonts w:hint="eastAsia" w:ascii="宋体" w:hAnsi="宋体" w:cs="宋体"/>
                <w:b/>
                <w:bCs/>
                <w:color w:val="000000"/>
                <w:sz w:val="24"/>
                <w:szCs w:val="24"/>
              </w:rPr>
              <w:t>房地产名称</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142DDEAB">
            <w:pPr>
              <w:widowControl/>
              <w:jc w:val="center"/>
              <w:textAlignment w:val="center"/>
              <w:rPr>
                <w:rFonts w:ascii="宋体" w:hAnsi="宋体" w:cs="宋体"/>
                <w:b/>
                <w:bCs/>
                <w:color w:val="000000"/>
                <w:sz w:val="24"/>
                <w:szCs w:val="24"/>
              </w:rPr>
            </w:pPr>
            <w:r>
              <w:rPr>
                <w:rFonts w:hint="eastAsia" w:ascii="宋体" w:hAnsi="宋体" w:cs="宋体"/>
                <w:b/>
                <w:bCs/>
                <w:color w:val="000000"/>
                <w:sz w:val="24"/>
                <w:szCs w:val="24"/>
              </w:rPr>
              <w:t>所在镇、街道</w:t>
            </w:r>
          </w:p>
        </w:tc>
      </w:tr>
      <w:tr w14:paraId="3A5A999F">
        <w:tblPrEx>
          <w:tblCellMar>
            <w:top w:w="0" w:type="dxa"/>
            <w:left w:w="108" w:type="dxa"/>
            <w:bottom w:w="0" w:type="dxa"/>
            <w:right w:w="108" w:type="dxa"/>
          </w:tblCellMar>
        </w:tblPrEx>
        <w:trPr>
          <w:trHeight w:val="397"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14:paraId="0247D1DB">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1</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184A81EC">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海普佳苑</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7D66F986">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太平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F82C3">
            <w:pPr>
              <w:widowControl/>
              <w:jc w:val="center"/>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50</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86110">
            <w:pPr>
              <w:widowControl/>
              <w:jc w:val="left"/>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海尚嘉园</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05DC8">
            <w:pPr>
              <w:widowControl/>
              <w:jc w:val="left"/>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箬横</w:t>
            </w:r>
          </w:p>
        </w:tc>
      </w:tr>
      <w:tr w14:paraId="5B533CBF">
        <w:tblPrEx>
          <w:tblCellMar>
            <w:top w:w="0" w:type="dxa"/>
            <w:left w:w="108" w:type="dxa"/>
            <w:bottom w:w="0" w:type="dxa"/>
            <w:right w:w="108" w:type="dxa"/>
          </w:tblCellMar>
        </w:tblPrEx>
        <w:trPr>
          <w:trHeight w:val="397"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14:paraId="40C44C0B">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2</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45A60F52">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京汉君庭</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0EA6A804">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太平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85228">
            <w:pPr>
              <w:widowControl/>
              <w:jc w:val="center"/>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51</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4A4EB">
            <w:pPr>
              <w:widowControl/>
              <w:jc w:val="left"/>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观澜苑</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7A3C9">
            <w:pPr>
              <w:widowControl/>
              <w:jc w:val="left"/>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石塘</w:t>
            </w:r>
          </w:p>
        </w:tc>
      </w:tr>
      <w:tr w14:paraId="1724ED62">
        <w:tblPrEx>
          <w:tblCellMar>
            <w:top w:w="0" w:type="dxa"/>
            <w:left w:w="108" w:type="dxa"/>
            <w:bottom w:w="0" w:type="dxa"/>
            <w:right w:w="108" w:type="dxa"/>
          </w:tblCellMar>
        </w:tblPrEx>
        <w:trPr>
          <w:trHeight w:val="397"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14:paraId="234E466D">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3</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0CF091AD">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豪成轩庭苑</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041157AB">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太平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CE8FB">
            <w:pPr>
              <w:widowControl/>
              <w:jc w:val="center"/>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52</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29EF5">
            <w:pPr>
              <w:widowControl/>
              <w:jc w:val="left"/>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智汇之星</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8D234">
            <w:pPr>
              <w:widowControl/>
              <w:jc w:val="left"/>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城东</w:t>
            </w:r>
          </w:p>
        </w:tc>
      </w:tr>
      <w:tr w14:paraId="35AA2680">
        <w:tblPrEx>
          <w:tblCellMar>
            <w:top w:w="0" w:type="dxa"/>
            <w:left w:w="108" w:type="dxa"/>
            <w:bottom w:w="0" w:type="dxa"/>
            <w:right w:w="108" w:type="dxa"/>
          </w:tblCellMar>
        </w:tblPrEx>
        <w:trPr>
          <w:trHeight w:val="397"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14:paraId="7EB38FEE">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4</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49A59AAA">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翡翠花园</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712B59AD">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城西</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C2D99">
            <w:pPr>
              <w:widowControl/>
              <w:jc w:val="center"/>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53</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E01B2">
            <w:pPr>
              <w:widowControl/>
              <w:jc w:val="left"/>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桃花源</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415EE">
            <w:pPr>
              <w:widowControl/>
              <w:jc w:val="left"/>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城东</w:t>
            </w:r>
          </w:p>
        </w:tc>
      </w:tr>
      <w:tr w14:paraId="6EE2CE90">
        <w:tblPrEx>
          <w:tblCellMar>
            <w:top w:w="0" w:type="dxa"/>
            <w:left w:w="108" w:type="dxa"/>
            <w:bottom w:w="0" w:type="dxa"/>
            <w:right w:w="108" w:type="dxa"/>
          </w:tblCellMar>
        </w:tblPrEx>
        <w:trPr>
          <w:trHeight w:val="397"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14:paraId="5B93CA93">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5</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4FCF4D95">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京都珑悦府</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5EE02159">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太平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C3377">
            <w:pPr>
              <w:widowControl/>
              <w:jc w:val="center"/>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54</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F37CA">
            <w:pPr>
              <w:widowControl/>
              <w:jc w:val="left"/>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悦湖湾名苑</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C3F3D">
            <w:pPr>
              <w:widowControl/>
              <w:jc w:val="left"/>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城西</w:t>
            </w:r>
          </w:p>
        </w:tc>
      </w:tr>
      <w:tr w14:paraId="54EB7765">
        <w:tblPrEx>
          <w:tblCellMar>
            <w:top w:w="0" w:type="dxa"/>
            <w:left w:w="108" w:type="dxa"/>
            <w:bottom w:w="0" w:type="dxa"/>
            <w:right w:w="108" w:type="dxa"/>
          </w:tblCellMar>
        </w:tblPrEx>
        <w:trPr>
          <w:trHeight w:val="39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B6E7D">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A74C5">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溪滨佳苑</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E8EB9">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太平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60AED">
            <w:pPr>
              <w:widowControl/>
              <w:jc w:val="center"/>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55</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DF704">
            <w:pPr>
              <w:widowControl/>
              <w:jc w:val="left"/>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后洋吴村安置小区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A5B3F">
            <w:pPr>
              <w:widowControl/>
              <w:jc w:val="left"/>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城东</w:t>
            </w:r>
          </w:p>
        </w:tc>
      </w:tr>
      <w:tr w14:paraId="338F7D92">
        <w:tblPrEx>
          <w:tblCellMar>
            <w:top w:w="0" w:type="dxa"/>
            <w:left w:w="108" w:type="dxa"/>
            <w:bottom w:w="0" w:type="dxa"/>
            <w:right w:w="108" w:type="dxa"/>
          </w:tblCellMar>
        </w:tblPrEx>
        <w:trPr>
          <w:trHeight w:val="39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0531A">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7</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0FE7C">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中粮印象</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FC66C">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太平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BDBF2">
            <w:pPr>
              <w:widowControl/>
              <w:jc w:val="center"/>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56</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1D465">
            <w:pPr>
              <w:widowControl/>
              <w:jc w:val="left"/>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环湖佳苑南区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DD560">
            <w:pPr>
              <w:widowControl/>
              <w:jc w:val="left"/>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城西</w:t>
            </w:r>
          </w:p>
        </w:tc>
      </w:tr>
      <w:tr w14:paraId="479ECE68">
        <w:tblPrEx>
          <w:tblCellMar>
            <w:top w:w="0" w:type="dxa"/>
            <w:left w:w="108" w:type="dxa"/>
            <w:bottom w:w="0" w:type="dxa"/>
            <w:right w:w="108" w:type="dxa"/>
          </w:tblCellMar>
        </w:tblPrEx>
        <w:trPr>
          <w:trHeight w:val="39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11EA3">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8</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10976">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金景花苑</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4E131">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太平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FC8CE">
            <w:pPr>
              <w:widowControl/>
              <w:jc w:val="center"/>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57</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73C8F">
            <w:pPr>
              <w:widowControl/>
              <w:jc w:val="left"/>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莘塘村安置小区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B1CDA">
            <w:pPr>
              <w:widowControl/>
              <w:jc w:val="left"/>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城东</w:t>
            </w:r>
          </w:p>
        </w:tc>
      </w:tr>
      <w:tr w14:paraId="18174401">
        <w:tblPrEx>
          <w:tblCellMar>
            <w:top w:w="0" w:type="dxa"/>
            <w:left w:w="108" w:type="dxa"/>
            <w:bottom w:w="0" w:type="dxa"/>
            <w:right w:w="108" w:type="dxa"/>
          </w:tblCellMar>
        </w:tblPrEx>
        <w:trPr>
          <w:trHeight w:val="39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1453F">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9</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A5714">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广鑫名苑</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B8843">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城东</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73EB2">
            <w:pPr>
              <w:widowControl/>
              <w:jc w:val="center"/>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58</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CE9AA">
            <w:pPr>
              <w:widowControl/>
              <w:jc w:val="left"/>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万固铂悦之光</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CDEAC">
            <w:pPr>
              <w:widowControl/>
              <w:jc w:val="left"/>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箬横</w:t>
            </w:r>
          </w:p>
        </w:tc>
      </w:tr>
      <w:tr w14:paraId="60269E99">
        <w:tblPrEx>
          <w:tblCellMar>
            <w:top w:w="0" w:type="dxa"/>
            <w:left w:w="108" w:type="dxa"/>
            <w:bottom w:w="0" w:type="dxa"/>
            <w:right w:w="108" w:type="dxa"/>
          </w:tblCellMar>
        </w:tblPrEx>
        <w:trPr>
          <w:trHeight w:val="39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893D5">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10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C386F">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佳园小区</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DBCEF">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城东</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60906">
            <w:pPr>
              <w:widowControl/>
              <w:jc w:val="center"/>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59</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4E9BE">
            <w:pPr>
              <w:widowControl/>
              <w:jc w:val="left"/>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春江映月</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81190">
            <w:pPr>
              <w:widowControl/>
              <w:jc w:val="left"/>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新河</w:t>
            </w:r>
          </w:p>
        </w:tc>
      </w:tr>
      <w:tr w14:paraId="764D0311">
        <w:tblPrEx>
          <w:tblCellMar>
            <w:top w:w="0" w:type="dxa"/>
            <w:left w:w="108" w:type="dxa"/>
            <w:bottom w:w="0" w:type="dxa"/>
            <w:right w:w="108" w:type="dxa"/>
          </w:tblCellMar>
        </w:tblPrEx>
        <w:trPr>
          <w:trHeight w:val="39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F32E4">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11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03078">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置信原墅</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024B1">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城西</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C5D82">
            <w:pPr>
              <w:widowControl/>
              <w:jc w:val="center"/>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60</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C41CF">
            <w:pPr>
              <w:widowControl/>
              <w:jc w:val="left"/>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九龙和玺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56629">
            <w:pPr>
              <w:widowControl/>
              <w:jc w:val="left"/>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城西</w:t>
            </w:r>
          </w:p>
        </w:tc>
      </w:tr>
      <w:tr w14:paraId="32F6C68C">
        <w:tblPrEx>
          <w:tblCellMar>
            <w:top w:w="0" w:type="dxa"/>
            <w:left w:w="108" w:type="dxa"/>
            <w:bottom w:w="0" w:type="dxa"/>
            <w:right w:w="108" w:type="dxa"/>
          </w:tblCellMar>
        </w:tblPrEx>
        <w:trPr>
          <w:trHeight w:val="39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B8AA8">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12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2FCAA">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万泉公寓</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3D0FB">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太平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53B78">
            <w:pPr>
              <w:widowControl/>
              <w:jc w:val="center"/>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61</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76866">
            <w:pPr>
              <w:widowControl/>
              <w:jc w:val="left"/>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团结安置小区1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CE9EB">
            <w:pPr>
              <w:widowControl/>
              <w:jc w:val="left"/>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箬横</w:t>
            </w:r>
          </w:p>
        </w:tc>
      </w:tr>
      <w:tr w14:paraId="56C10B25">
        <w:tblPrEx>
          <w:tblCellMar>
            <w:top w:w="0" w:type="dxa"/>
            <w:left w:w="108" w:type="dxa"/>
            <w:bottom w:w="0" w:type="dxa"/>
            <w:right w:w="108" w:type="dxa"/>
          </w:tblCellMar>
        </w:tblPrEx>
        <w:trPr>
          <w:trHeight w:val="39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BAB19">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13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FA76F">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金泰花苑</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746DC">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太平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6313A">
            <w:pPr>
              <w:widowControl/>
              <w:jc w:val="center"/>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62</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B4699">
            <w:pPr>
              <w:widowControl/>
              <w:jc w:val="left"/>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团结安置小区2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05531">
            <w:pPr>
              <w:widowControl/>
              <w:jc w:val="left"/>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箬横</w:t>
            </w:r>
          </w:p>
        </w:tc>
      </w:tr>
      <w:tr w14:paraId="5067C49F">
        <w:tblPrEx>
          <w:tblCellMar>
            <w:top w:w="0" w:type="dxa"/>
            <w:left w:w="108" w:type="dxa"/>
            <w:bottom w:w="0" w:type="dxa"/>
            <w:right w:w="108" w:type="dxa"/>
          </w:tblCellMar>
        </w:tblPrEx>
        <w:trPr>
          <w:trHeight w:val="39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57C2F">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14</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9E694">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碧桂园</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F6487">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东部新区</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061B1">
            <w:pPr>
              <w:widowControl/>
              <w:jc w:val="center"/>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63</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0842F">
            <w:pPr>
              <w:widowControl/>
              <w:jc w:val="left"/>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启宸苑</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C0AD1">
            <w:pPr>
              <w:widowControl/>
              <w:jc w:val="left"/>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城西</w:t>
            </w:r>
          </w:p>
        </w:tc>
      </w:tr>
      <w:tr w14:paraId="7B7B21DD">
        <w:tblPrEx>
          <w:tblCellMar>
            <w:top w:w="0" w:type="dxa"/>
            <w:left w:w="108" w:type="dxa"/>
            <w:bottom w:w="0" w:type="dxa"/>
            <w:right w:w="108" w:type="dxa"/>
          </w:tblCellMar>
        </w:tblPrEx>
        <w:trPr>
          <w:trHeight w:val="39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EF9A7">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15</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C591A">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东豪庭</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327B1">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东部新区</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684B2">
            <w:pPr>
              <w:widowControl/>
              <w:jc w:val="center"/>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64</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D80E0">
            <w:pPr>
              <w:widowControl/>
              <w:jc w:val="left"/>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向阳名苑</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5CD8B">
            <w:pPr>
              <w:widowControl/>
              <w:jc w:val="left"/>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石塘</w:t>
            </w:r>
          </w:p>
        </w:tc>
      </w:tr>
      <w:tr w14:paraId="3C624EDF">
        <w:tblPrEx>
          <w:tblCellMar>
            <w:top w:w="0" w:type="dxa"/>
            <w:left w:w="108" w:type="dxa"/>
            <w:bottom w:w="0" w:type="dxa"/>
            <w:right w:w="108" w:type="dxa"/>
          </w:tblCellMar>
        </w:tblPrEx>
        <w:trPr>
          <w:trHeight w:val="39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F095B">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16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6BB74">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广瑞沁园</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23158">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箬横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C05DD">
            <w:pPr>
              <w:widowControl/>
              <w:jc w:val="center"/>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65</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9C3BC">
            <w:pPr>
              <w:widowControl/>
              <w:jc w:val="left"/>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珑景云庭</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6AB9C">
            <w:pPr>
              <w:widowControl/>
              <w:jc w:val="left"/>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温峤</w:t>
            </w:r>
          </w:p>
        </w:tc>
      </w:tr>
      <w:tr w14:paraId="2FB570F7">
        <w:tblPrEx>
          <w:tblCellMar>
            <w:top w:w="0" w:type="dxa"/>
            <w:left w:w="108" w:type="dxa"/>
            <w:bottom w:w="0" w:type="dxa"/>
            <w:right w:w="108" w:type="dxa"/>
          </w:tblCellMar>
        </w:tblPrEx>
        <w:trPr>
          <w:trHeight w:val="39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89AA1">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17</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0CF42">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俊熙家园</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BD65D">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箬横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BA141">
            <w:pPr>
              <w:widowControl/>
              <w:jc w:val="center"/>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66</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5EAA4">
            <w:pPr>
              <w:widowControl/>
              <w:jc w:val="left"/>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星河云筑</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77FFB">
            <w:pPr>
              <w:widowControl/>
              <w:jc w:val="left"/>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新河</w:t>
            </w:r>
          </w:p>
        </w:tc>
      </w:tr>
      <w:tr w14:paraId="19CF800A">
        <w:tblPrEx>
          <w:tblCellMar>
            <w:top w:w="0" w:type="dxa"/>
            <w:left w:w="108" w:type="dxa"/>
            <w:bottom w:w="0" w:type="dxa"/>
            <w:right w:w="108" w:type="dxa"/>
          </w:tblCellMar>
        </w:tblPrEx>
        <w:trPr>
          <w:trHeight w:val="39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B70B8">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18</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03D80">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宝龙生活广场</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43E9A">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城西</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27163">
            <w:pPr>
              <w:widowControl/>
              <w:jc w:val="center"/>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67</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4BBD5">
            <w:pPr>
              <w:widowControl/>
              <w:jc w:val="left"/>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大溪宝龙</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69E31">
            <w:pPr>
              <w:widowControl/>
              <w:jc w:val="left"/>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大溪</w:t>
            </w:r>
          </w:p>
        </w:tc>
      </w:tr>
      <w:tr w14:paraId="41797315">
        <w:tblPrEx>
          <w:tblCellMar>
            <w:top w:w="0" w:type="dxa"/>
            <w:left w:w="108" w:type="dxa"/>
            <w:bottom w:w="0" w:type="dxa"/>
            <w:right w:w="108" w:type="dxa"/>
          </w:tblCellMar>
        </w:tblPrEx>
        <w:trPr>
          <w:trHeight w:val="39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FC8FD">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19</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E6516">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温峤凤鸣云桥</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8A1EF">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温峤</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9165B">
            <w:pPr>
              <w:widowControl/>
              <w:jc w:val="center"/>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68</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B744E">
            <w:pPr>
              <w:widowControl/>
              <w:jc w:val="left"/>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云樾玖溪</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9A69B">
            <w:pPr>
              <w:widowControl/>
              <w:jc w:val="left"/>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城东</w:t>
            </w:r>
          </w:p>
        </w:tc>
      </w:tr>
      <w:tr w14:paraId="21A67484">
        <w:tblPrEx>
          <w:tblCellMar>
            <w:top w:w="0" w:type="dxa"/>
            <w:left w:w="108" w:type="dxa"/>
            <w:bottom w:w="0" w:type="dxa"/>
            <w:right w:w="108" w:type="dxa"/>
          </w:tblCellMar>
        </w:tblPrEx>
        <w:trPr>
          <w:trHeight w:val="39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0C03F">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20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C2600">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华董君悦府</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AA43F">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大溪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BBAFD">
            <w:pPr>
              <w:widowControl/>
              <w:jc w:val="center"/>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69</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134EE">
            <w:pPr>
              <w:widowControl/>
              <w:jc w:val="left"/>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秀水华庭1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87112">
            <w:pPr>
              <w:widowControl/>
              <w:jc w:val="left"/>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横峰</w:t>
            </w:r>
          </w:p>
        </w:tc>
      </w:tr>
      <w:tr w14:paraId="7D4F5B31">
        <w:tblPrEx>
          <w:tblCellMar>
            <w:top w:w="0" w:type="dxa"/>
            <w:left w:w="108" w:type="dxa"/>
            <w:bottom w:w="0" w:type="dxa"/>
            <w:right w:w="108" w:type="dxa"/>
          </w:tblCellMar>
        </w:tblPrEx>
        <w:trPr>
          <w:trHeight w:val="39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0AF8B">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21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B14D4">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禧悦</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ADEBC">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东部新区</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FA458">
            <w:pPr>
              <w:widowControl/>
              <w:jc w:val="center"/>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70</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099D7">
            <w:pPr>
              <w:widowControl/>
              <w:jc w:val="left"/>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秀水华庭2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A86BA">
            <w:pPr>
              <w:widowControl/>
              <w:jc w:val="left"/>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横峰</w:t>
            </w:r>
          </w:p>
        </w:tc>
      </w:tr>
      <w:tr w14:paraId="25483876">
        <w:tblPrEx>
          <w:tblCellMar>
            <w:top w:w="0" w:type="dxa"/>
            <w:left w:w="108" w:type="dxa"/>
            <w:bottom w:w="0" w:type="dxa"/>
            <w:right w:w="108" w:type="dxa"/>
          </w:tblCellMar>
        </w:tblPrEx>
        <w:trPr>
          <w:trHeight w:val="39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A6DE5">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22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6D736">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悦玺兰庭</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B1778">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松门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0432B">
            <w:pPr>
              <w:widowControl/>
              <w:jc w:val="center"/>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71</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D83AB">
            <w:pPr>
              <w:widowControl/>
              <w:jc w:val="left"/>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豪成栖江苑</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0EFB0">
            <w:pPr>
              <w:widowControl/>
              <w:jc w:val="left"/>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新河</w:t>
            </w:r>
          </w:p>
        </w:tc>
      </w:tr>
      <w:tr w14:paraId="57FD70E6">
        <w:tblPrEx>
          <w:tblCellMar>
            <w:top w:w="0" w:type="dxa"/>
            <w:left w:w="108" w:type="dxa"/>
            <w:bottom w:w="0" w:type="dxa"/>
            <w:right w:w="108" w:type="dxa"/>
          </w:tblCellMar>
        </w:tblPrEx>
        <w:trPr>
          <w:trHeight w:val="39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491">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23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9A660">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玖隆印象</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099B3">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城东</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54649">
            <w:pPr>
              <w:widowControl/>
              <w:jc w:val="center"/>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72</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64BB0">
            <w:pPr>
              <w:widowControl/>
              <w:jc w:val="left"/>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万固城</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291BA">
            <w:pPr>
              <w:widowControl/>
              <w:jc w:val="left"/>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城东</w:t>
            </w:r>
          </w:p>
        </w:tc>
      </w:tr>
      <w:tr w14:paraId="56668C41">
        <w:tblPrEx>
          <w:tblCellMar>
            <w:top w:w="0" w:type="dxa"/>
            <w:left w:w="108" w:type="dxa"/>
            <w:bottom w:w="0" w:type="dxa"/>
            <w:right w:w="108" w:type="dxa"/>
          </w:tblCellMar>
        </w:tblPrEx>
        <w:trPr>
          <w:trHeight w:val="39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109B6">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24</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E6302">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合岙安置小区</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9200A">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城西</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EF114">
            <w:pPr>
              <w:widowControl/>
              <w:jc w:val="center"/>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73</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3771D">
            <w:pPr>
              <w:widowControl/>
              <w:jc w:val="left"/>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九樾府</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D6E1F">
            <w:pPr>
              <w:widowControl/>
              <w:jc w:val="left"/>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城东</w:t>
            </w:r>
          </w:p>
        </w:tc>
      </w:tr>
      <w:tr w14:paraId="5F6687C7">
        <w:tblPrEx>
          <w:tblCellMar>
            <w:top w:w="0" w:type="dxa"/>
            <w:left w:w="108" w:type="dxa"/>
            <w:bottom w:w="0" w:type="dxa"/>
            <w:right w:w="108" w:type="dxa"/>
          </w:tblCellMar>
        </w:tblPrEx>
        <w:trPr>
          <w:trHeight w:val="39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F7028">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25</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E8081">
            <w:pPr>
              <w:widowControl/>
              <w:jc w:val="left"/>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广瑞玉园</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4A3C3">
            <w:pPr>
              <w:widowControl/>
              <w:jc w:val="left"/>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箬横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B53F3">
            <w:pPr>
              <w:widowControl/>
              <w:jc w:val="center"/>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74</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0382B">
            <w:pPr>
              <w:widowControl/>
              <w:jc w:val="left"/>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悦溪府</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78782">
            <w:pPr>
              <w:widowControl/>
              <w:jc w:val="left"/>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大溪</w:t>
            </w:r>
          </w:p>
        </w:tc>
      </w:tr>
      <w:tr w14:paraId="68040F33">
        <w:tblPrEx>
          <w:tblCellMar>
            <w:top w:w="0" w:type="dxa"/>
            <w:left w:w="108" w:type="dxa"/>
            <w:bottom w:w="0" w:type="dxa"/>
            <w:right w:w="108" w:type="dxa"/>
          </w:tblCellMar>
        </w:tblPrEx>
        <w:trPr>
          <w:trHeight w:val="39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3B960">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26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BA125">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广瑞瑞园</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1D949">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箬横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9C55A">
            <w:pPr>
              <w:widowControl/>
              <w:jc w:val="center"/>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75</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4BC86">
            <w:pPr>
              <w:widowControl/>
              <w:jc w:val="left"/>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云悦湾</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14EAD">
            <w:pPr>
              <w:widowControl/>
              <w:jc w:val="left"/>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箬横</w:t>
            </w:r>
          </w:p>
        </w:tc>
      </w:tr>
      <w:tr w14:paraId="6EBEF8EC">
        <w:tblPrEx>
          <w:tblCellMar>
            <w:top w:w="0" w:type="dxa"/>
            <w:left w:w="108" w:type="dxa"/>
            <w:bottom w:w="0" w:type="dxa"/>
            <w:right w:w="108" w:type="dxa"/>
          </w:tblCellMar>
        </w:tblPrEx>
        <w:trPr>
          <w:trHeight w:val="39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7F4E2">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27</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A8EBE">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新安佳苑</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2E69E">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新河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5FBD5">
            <w:pPr>
              <w:widowControl/>
              <w:jc w:val="center"/>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76</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22AC">
            <w:pPr>
              <w:widowControl/>
              <w:jc w:val="left"/>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万豪名园</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E09E8">
            <w:pPr>
              <w:widowControl/>
              <w:jc w:val="left"/>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石桥头</w:t>
            </w:r>
          </w:p>
        </w:tc>
      </w:tr>
      <w:tr w14:paraId="7967337A">
        <w:tblPrEx>
          <w:tblCellMar>
            <w:top w:w="0" w:type="dxa"/>
            <w:left w:w="108" w:type="dxa"/>
            <w:bottom w:w="0" w:type="dxa"/>
            <w:right w:w="108" w:type="dxa"/>
          </w:tblCellMar>
        </w:tblPrEx>
        <w:trPr>
          <w:trHeight w:val="39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0684D">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28</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E2179">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陇栖天第</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6EE16">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城西</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86E47">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77</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B5AAF">
            <w:pPr>
              <w:widowControl/>
              <w:jc w:val="left"/>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岙底湖</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2AA97">
            <w:pPr>
              <w:widowControl/>
              <w:jc w:val="left"/>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太平</w:t>
            </w:r>
          </w:p>
        </w:tc>
      </w:tr>
      <w:tr w14:paraId="3E01435F">
        <w:tblPrEx>
          <w:tblCellMar>
            <w:top w:w="0" w:type="dxa"/>
            <w:left w:w="108" w:type="dxa"/>
            <w:bottom w:w="0" w:type="dxa"/>
            <w:right w:w="108" w:type="dxa"/>
          </w:tblCellMar>
        </w:tblPrEx>
        <w:trPr>
          <w:trHeight w:val="39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EBA3F">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29</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BBE28">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玖都荟</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AD202">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城西</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76986">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78</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80881">
            <w:pPr>
              <w:widowControl/>
              <w:jc w:val="left"/>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繁荣二期1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B1A00">
            <w:pPr>
              <w:widowControl/>
              <w:jc w:val="left"/>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箬横</w:t>
            </w:r>
          </w:p>
        </w:tc>
      </w:tr>
      <w:tr w14:paraId="0F076ABC">
        <w:tblPrEx>
          <w:tblCellMar>
            <w:top w:w="0" w:type="dxa"/>
            <w:left w:w="108" w:type="dxa"/>
            <w:bottom w:w="0" w:type="dxa"/>
            <w:right w:w="108" w:type="dxa"/>
          </w:tblCellMar>
        </w:tblPrEx>
        <w:trPr>
          <w:trHeight w:val="39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27764">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30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B160A">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天宸苑</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947E3">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城东</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7A987">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79</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F869E">
            <w:pPr>
              <w:widowControl/>
              <w:jc w:val="left"/>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繁荣二期2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C4ECA">
            <w:pPr>
              <w:widowControl/>
              <w:jc w:val="left"/>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箬横</w:t>
            </w:r>
          </w:p>
        </w:tc>
      </w:tr>
      <w:tr w14:paraId="01ED3ABE">
        <w:tblPrEx>
          <w:tblCellMar>
            <w:top w:w="0" w:type="dxa"/>
            <w:left w:w="108" w:type="dxa"/>
            <w:bottom w:w="0" w:type="dxa"/>
            <w:right w:w="108" w:type="dxa"/>
          </w:tblCellMar>
        </w:tblPrEx>
        <w:trPr>
          <w:trHeight w:val="39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66F7C">
            <w:pPr>
              <w:widowControl/>
              <w:jc w:val="center"/>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31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FC2EF">
            <w:pPr>
              <w:widowControl/>
              <w:jc w:val="left"/>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陈塘洋村安置小区</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63153">
            <w:pPr>
              <w:widowControl/>
              <w:jc w:val="left"/>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箬横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F2992">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80</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ABFF2">
            <w:pPr>
              <w:widowControl/>
              <w:jc w:val="left"/>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峯华苑</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2950F">
            <w:pPr>
              <w:widowControl/>
              <w:jc w:val="left"/>
              <w:textAlignment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大溪</w:t>
            </w:r>
          </w:p>
        </w:tc>
      </w:tr>
      <w:tr w14:paraId="496B3FF1">
        <w:tblPrEx>
          <w:tblCellMar>
            <w:top w:w="0" w:type="dxa"/>
            <w:left w:w="108" w:type="dxa"/>
            <w:bottom w:w="0" w:type="dxa"/>
            <w:right w:w="108" w:type="dxa"/>
          </w:tblCellMar>
        </w:tblPrEx>
        <w:trPr>
          <w:trHeight w:val="39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339C8">
            <w:pPr>
              <w:widowControl/>
              <w:jc w:val="center"/>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32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C6E53">
            <w:pPr>
              <w:widowControl/>
              <w:jc w:val="left"/>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中盛铂珺府</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12743">
            <w:pPr>
              <w:widowControl/>
              <w:jc w:val="left"/>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城西</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C01A2">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81</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781BD">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云起玖珑</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8F9FD">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横峰</w:t>
            </w:r>
          </w:p>
        </w:tc>
      </w:tr>
      <w:tr w14:paraId="3C1FEDC6">
        <w:tblPrEx>
          <w:tblCellMar>
            <w:top w:w="0" w:type="dxa"/>
            <w:left w:w="108" w:type="dxa"/>
            <w:bottom w:w="0" w:type="dxa"/>
            <w:right w:w="108" w:type="dxa"/>
          </w:tblCellMar>
        </w:tblPrEx>
        <w:trPr>
          <w:trHeight w:val="39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0E302">
            <w:pPr>
              <w:widowControl/>
              <w:jc w:val="center"/>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33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19121">
            <w:pPr>
              <w:widowControl/>
              <w:jc w:val="left"/>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滨海镇安置小区</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96AD2">
            <w:pPr>
              <w:widowControl/>
              <w:jc w:val="left"/>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滨海</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3A6E0">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82</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595C7">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琅樾府</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FA1D3">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城西</w:t>
            </w:r>
          </w:p>
        </w:tc>
      </w:tr>
      <w:tr w14:paraId="5F029FA9">
        <w:tblPrEx>
          <w:tblCellMar>
            <w:top w:w="0" w:type="dxa"/>
            <w:left w:w="108" w:type="dxa"/>
            <w:bottom w:w="0" w:type="dxa"/>
            <w:right w:w="108" w:type="dxa"/>
          </w:tblCellMar>
        </w:tblPrEx>
        <w:trPr>
          <w:trHeight w:val="39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1A1C4">
            <w:pPr>
              <w:widowControl/>
              <w:jc w:val="center"/>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34</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7B810">
            <w:pPr>
              <w:widowControl/>
              <w:jc w:val="left"/>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曹岙村拆迁安置小区1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D322D">
            <w:pPr>
              <w:widowControl/>
              <w:jc w:val="left"/>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大溪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AC58F">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83</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9D74A">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后洋吴院</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511A3">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城东</w:t>
            </w:r>
          </w:p>
        </w:tc>
      </w:tr>
      <w:tr w14:paraId="41301434">
        <w:tblPrEx>
          <w:tblCellMar>
            <w:top w:w="0" w:type="dxa"/>
            <w:left w:w="108" w:type="dxa"/>
            <w:bottom w:w="0" w:type="dxa"/>
            <w:right w:w="108" w:type="dxa"/>
          </w:tblCellMar>
        </w:tblPrEx>
        <w:trPr>
          <w:trHeight w:val="39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40392">
            <w:pPr>
              <w:widowControl/>
              <w:jc w:val="center"/>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35</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99E1A">
            <w:pPr>
              <w:widowControl/>
              <w:jc w:val="left"/>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曹岙村拆迁安置小区2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32FC7">
            <w:pPr>
              <w:widowControl/>
              <w:jc w:val="left"/>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大溪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CB817">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84</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F192E">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玖著里</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5D6D9">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松门</w:t>
            </w:r>
          </w:p>
        </w:tc>
      </w:tr>
      <w:tr w14:paraId="4BD04734">
        <w:tblPrEx>
          <w:tblCellMar>
            <w:top w:w="0" w:type="dxa"/>
            <w:left w:w="108" w:type="dxa"/>
            <w:bottom w:w="0" w:type="dxa"/>
            <w:right w:w="108" w:type="dxa"/>
          </w:tblCellMar>
        </w:tblPrEx>
        <w:trPr>
          <w:trHeight w:val="39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3F2C5">
            <w:pPr>
              <w:widowControl/>
              <w:jc w:val="center"/>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36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54E47">
            <w:pPr>
              <w:widowControl/>
              <w:jc w:val="left"/>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壹号院</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8C40B">
            <w:pPr>
              <w:widowControl/>
              <w:jc w:val="left"/>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城西</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5DA6C">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85</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947D0">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曙光公寓</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4C397">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箬横</w:t>
            </w:r>
          </w:p>
        </w:tc>
      </w:tr>
      <w:tr w14:paraId="17F38789">
        <w:tblPrEx>
          <w:tblCellMar>
            <w:top w:w="0" w:type="dxa"/>
            <w:left w:w="108" w:type="dxa"/>
            <w:bottom w:w="0" w:type="dxa"/>
            <w:right w:w="108" w:type="dxa"/>
          </w:tblCellMar>
        </w:tblPrEx>
        <w:trPr>
          <w:trHeight w:val="39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7D72">
            <w:pPr>
              <w:widowControl/>
              <w:jc w:val="center"/>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37</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132F0">
            <w:pPr>
              <w:widowControl/>
              <w:jc w:val="left"/>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金环雅苑</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C07B0">
            <w:pPr>
              <w:widowControl/>
              <w:jc w:val="left"/>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城南</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FD75B">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86</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5B7F8">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明珠苑</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F6CF3">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箬横</w:t>
            </w:r>
          </w:p>
        </w:tc>
      </w:tr>
      <w:tr w14:paraId="5982D141">
        <w:tblPrEx>
          <w:tblCellMar>
            <w:top w:w="0" w:type="dxa"/>
            <w:left w:w="108" w:type="dxa"/>
            <w:bottom w:w="0" w:type="dxa"/>
            <w:right w:w="108" w:type="dxa"/>
          </w:tblCellMar>
        </w:tblPrEx>
        <w:trPr>
          <w:trHeight w:val="39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363C4">
            <w:pPr>
              <w:widowControl/>
              <w:jc w:val="center"/>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38</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73D9B">
            <w:pPr>
              <w:widowControl/>
              <w:jc w:val="left"/>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金地华庭</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33042">
            <w:pPr>
              <w:widowControl/>
              <w:jc w:val="left"/>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太平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F42B9">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87</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F7885">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鸿业华园</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F3A77">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箬横</w:t>
            </w:r>
          </w:p>
        </w:tc>
      </w:tr>
      <w:tr w14:paraId="468D396D">
        <w:tblPrEx>
          <w:tblCellMar>
            <w:top w:w="0" w:type="dxa"/>
            <w:left w:w="108" w:type="dxa"/>
            <w:bottom w:w="0" w:type="dxa"/>
            <w:right w:w="108" w:type="dxa"/>
          </w:tblCellMar>
        </w:tblPrEx>
        <w:trPr>
          <w:trHeight w:val="39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2855B">
            <w:pPr>
              <w:widowControl/>
              <w:jc w:val="center"/>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39</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2A643">
            <w:pPr>
              <w:widowControl/>
              <w:jc w:val="left"/>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东辉大厦</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126A3">
            <w:pPr>
              <w:widowControl/>
              <w:jc w:val="left"/>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太平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4344D">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88</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735D5">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荣盛家苑</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8E745">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箬横</w:t>
            </w:r>
          </w:p>
        </w:tc>
      </w:tr>
      <w:tr w14:paraId="4FA1437F">
        <w:tblPrEx>
          <w:tblCellMar>
            <w:top w:w="0" w:type="dxa"/>
            <w:left w:w="108" w:type="dxa"/>
            <w:bottom w:w="0" w:type="dxa"/>
            <w:right w:w="108" w:type="dxa"/>
          </w:tblCellMar>
        </w:tblPrEx>
        <w:trPr>
          <w:trHeight w:val="39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0F213">
            <w:pPr>
              <w:widowControl/>
              <w:jc w:val="center"/>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40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396D2">
            <w:pPr>
              <w:widowControl/>
              <w:jc w:val="left"/>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兴业公寓</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DE0E9">
            <w:pPr>
              <w:widowControl/>
              <w:jc w:val="left"/>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太平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A36C4">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89</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3DB2A">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鑫日苑</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BAB8E">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箬横</w:t>
            </w:r>
          </w:p>
        </w:tc>
      </w:tr>
      <w:tr w14:paraId="560ECB32">
        <w:tblPrEx>
          <w:tblCellMar>
            <w:top w:w="0" w:type="dxa"/>
            <w:left w:w="108" w:type="dxa"/>
            <w:bottom w:w="0" w:type="dxa"/>
            <w:right w:w="108" w:type="dxa"/>
          </w:tblCellMar>
        </w:tblPrEx>
        <w:trPr>
          <w:trHeight w:val="39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741F7">
            <w:pPr>
              <w:widowControl/>
              <w:jc w:val="center"/>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41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A90F9">
            <w:pPr>
              <w:widowControl/>
              <w:jc w:val="left"/>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泰悦御府</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87E0C">
            <w:pPr>
              <w:widowControl/>
              <w:jc w:val="left"/>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城西</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840D1">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90</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B5D15">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金色家园</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EA93A">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箬横</w:t>
            </w:r>
          </w:p>
        </w:tc>
      </w:tr>
      <w:tr w14:paraId="71540279">
        <w:tblPrEx>
          <w:tblCellMar>
            <w:top w:w="0" w:type="dxa"/>
            <w:left w:w="108" w:type="dxa"/>
            <w:bottom w:w="0" w:type="dxa"/>
            <w:right w:w="108" w:type="dxa"/>
          </w:tblCellMar>
        </w:tblPrEx>
        <w:trPr>
          <w:trHeight w:val="39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60EB1">
            <w:pPr>
              <w:widowControl/>
              <w:jc w:val="center"/>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42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E5864">
            <w:pPr>
              <w:widowControl/>
              <w:jc w:val="left"/>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西溪山庄御景园</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1E819">
            <w:pPr>
              <w:widowControl/>
              <w:jc w:val="left"/>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城西</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1AC8C">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91</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549CF">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文化大厦A 幢</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D4098">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太平</w:t>
            </w:r>
          </w:p>
        </w:tc>
      </w:tr>
      <w:tr w14:paraId="3C149F58">
        <w:tblPrEx>
          <w:tblCellMar>
            <w:top w:w="0" w:type="dxa"/>
            <w:left w:w="108" w:type="dxa"/>
            <w:bottom w:w="0" w:type="dxa"/>
            <w:right w:w="108" w:type="dxa"/>
          </w:tblCellMar>
        </w:tblPrEx>
        <w:trPr>
          <w:trHeight w:val="39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FD471">
            <w:pPr>
              <w:widowControl/>
              <w:jc w:val="center"/>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43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5CFE4">
            <w:pPr>
              <w:widowControl/>
              <w:jc w:val="left"/>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银泰御府</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51355">
            <w:pPr>
              <w:widowControl/>
              <w:jc w:val="left"/>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城西</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34B85">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92</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4E42A">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人民西路改建房 12幢</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1F79A">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太平</w:t>
            </w:r>
          </w:p>
        </w:tc>
      </w:tr>
      <w:tr w14:paraId="5221C7F4">
        <w:tblPrEx>
          <w:tblCellMar>
            <w:top w:w="0" w:type="dxa"/>
            <w:left w:w="108" w:type="dxa"/>
            <w:bottom w:w="0" w:type="dxa"/>
            <w:right w:w="108" w:type="dxa"/>
          </w:tblCellMar>
        </w:tblPrEx>
        <w:trPr>
          <w:trHeight w:val="39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1C8FC">
            <w:pPr>
              <w:widowControl/>
              <w:jc w:val="center"/>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44</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85977">
            <w:pPr>
              <w:widowControl/>
              <w:jc w:val="left"/>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合锦名苑</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D160E">
            <w:pPr>
              <w:widowControl/>
              <w:jc w:val="left"/>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城东</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3D92D">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93</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F4EC4">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滨河佳居</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D909E">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太平</w:t>
            </w:r>
          </w:p>
        </w:tc>
      </w:tr>
      <w:tr w14:paraId="21C5B378">
        <w:tblPrEx>
          <w:tblCellMar>
            <w:top w:w="0" w:type="dxa"/>
            <w:left w:w="108" w:type="dxa"/>
            <w:bottom w:w="0" w:type="dxa"/>
            <w:right w:w="108" w:type="dxa"/>
          </w:tblCellMar>
        </w:tblPrEx>
        <w:trPr>
          <w:trHeight w:val="39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0AB36">
            <w:pPr>
              <w:widowControl/>
              <w:jc w:val="center"/>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45</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53313">
            <w:pPr>
              <w:widowControl/>
              <w:jc w:val="left"/>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新农村村民公寓</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52E82">
            <w:pPr>
              <w:widowControl/>
              <w:jc w:val="left"/>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滨海</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5D318">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94</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01D74">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三星大厦 D幢</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6CDE6">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太平</w:t>
            </w:r>
          </w:p>
        </w:tc>
      </w:tr>
      <w:tr w14:paraId="4F624039">
        <w:tblPrEx>
          <w:tblCellMar>
            <w:top w:w="0" w:type="dxa"/>
            <w:left w:w="108" w:type="dxa"/>
            <w:bottom w:w="0" w:type="dxa"/>
            <w:right w:w="108" w:type="dxa"/>
          </w:tblCellMar>
        </w:tblPrEx>
        <w:trPr>
          <w:trHeight w:val="39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2BDF0">
            <w:pPr>
              <w:widowControl/>
              <w:jc w:val="center"/>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46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D74A3">
            <w:pPr>
              <w:widowControl/>
              <w:jc w:val="left"/>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云锦花园</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03987">
            <w:pPr>
              <w:widowControl/>
              <w:jc w:val="left"/>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大溪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BBF3E">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95</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48724">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综合市场商住楼</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12CD9">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太平</w:t>
            </w:r>
          </w:p>
        </w:tc>
      </w:tr>
      <w:tr w14:paraId="185F3FAA">
        <w:tblPrEx>
          <w:tblCellMar>
            <w:top w:w="0" w:type="dxa"/>
            <w:left w:w="108" w:type="dxa"/>
            <w:bottom w:w="0" w:type="dxa"/>
            <w:right w:w="108" w:type="dxa"/>
          </w:tblCellMar>
        </w:tblPrEx>
        <w:trPr>
          <w:trHeight w:val="39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697D0">
            <w:pPr>
              <w:widowControl/>
              <w:jc w:val="center"/>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47</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B684">
            <w:pPr>
              <w:widowControl/>
              <w:jc w:val="left"/>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鸿威公寓</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8C961">
            <w:pPr>
              <w:widowControl/>
              <w:jc w:val="left"/>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温峤</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28FDE">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96</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5F445">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东城路1号</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8AC85">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太平</w:t>
            </w:r>
          </w:p>
        </w:tc>
      </w:tr>
      <w:tr w14:paraId="241C954E">
        <w:tblPrEx>
          <w:tblCellMar>
            <w:top w:w="0" w:type="dxa"/>
            <w:left w:w="108" w:type="dxa"/>
            <w:bottom w:w="0" w:type="dxa"/>
            <w:right w:w="108" w:type="dxa"/>
          </w:tblCellMar>
        </w:tblPrEx>
        <w:trPr>
          <w:trHeight w:val="39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A0BF7">
            <w:pPr>
              <w:widowControl/>
              <w:jc w:val="center"/>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48</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9C6D8">
            <w:pPr>
              <w:widowControl/>
              <w:jc w:val="left"/>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万和园</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E0438">
            <w:pPr>
              <w:widowControl/>
              <w:jc w:val="left"/>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箬横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49137">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97</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3BFA6">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东湖怡景苑</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C26E2">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城东</w:t>
            </w:r>
          </w:p>
        </w:tc>
      </w:tr>
      <w:tr w14:paraId="4AAA0269">
        <w:tblPrEx>
          <w:tblCellMar>
            <w:top w:w="0" w:type="dxa"/>
            <w:left w:w="108" w:type="dxa"/>
            <w:bottom w:w="0" w:type="dxa"/>
            <w:right w:w="108" w:type="dxa"/>
          </w:tblCellMar>
        </w:tblPrEx>
        <w:trPr>
          <w:trHeight w:val="39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885B5">
            <w:pPr>
              <w:widowControl/>
              <w:jc w:val="center"/>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49</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E6FAF">
            <w:pPr>
              <w:widowControl/>
              <w:jc w:val="left"/>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泰和园</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F5AE0">
            <w:pPr>
              <w:widowControl/>
              <w:jc w:val="left"/>
              <w:textAlignment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箬横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E1619">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98</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284EF">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锦峤商城</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2CC73">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温峤</w:t>
            </w:r>
          </w:p>
        </w:tc>
      </w:tr>
    </w:tbl>
    <w:p w14:paraId="772B5D8B">
      <w:pPr>
        <w:spacing w:line="360" w:lineRule="auto"/>
        <w:ind w:firstLine="480" w:firstLineChars="200"/>
        <w:jc w:val="left"/>
        <w:rPr>
          <w:rFonts w:ascii="宋体" w:hAnsi="宋体" w:cs="宋体"/>
          <w:color w:val="000000"/>
          <w:sz w:val="24"/>
        </w:rPr>
      </w:pPr>
      <w:r>
        <w:rPr>
          <w:rFonts w:hint="eastAsia" w:ascii="宋体" w:hAnsi="宋体" w:cs="宋体"/>
          <w:color w:val="000000"/>
          <w:sz w:val="24"/>
        </w:rPr>
        <w:t>注：以上泵房数量为已接收移交的数量，还有部分未接收移交的小区泵房，实际泵房数量以采购人确认后的数量为准，请投标人充分考虑风险。</w:t>
      </w:r>
    </w:p>
    <w:p w14:paraId="55B090CF">
      <w:pPr>
        <w:spacing w:line="360" w:lineRule="auto"/>
        <w:rPr>
          <w:rFonts w:ascii="宋体" w:hAnsi="宋体" w:cs="宋体"/>
          <w:sz w:val="24"/>
        </w:rPr>
      </w:pPr>
      <w:r>
        <w:rPr>
          <w:rFonts w:hint="eastAsia" w:ascii="宋体" w:hAnsi="宋体" w:cs="宋体"/>
          <w:b/>
          <w:bCs/>
          <w:sz w:val="24"/>
        </w:rPr>
        <w:t>三、养护内容：</w:t>
      </w:r>
      <w:r>
        <w:rPr>
          <w:rFonts w:hint="eastAsia" w:ascii="宋体" w:hAnsi="宋体" w:cs="宋体"/>
          <w:sz w:val="24"/>
        </w:rPr>
        <w:t xml:space="preserve"> </w:t>
      </w:r>
    </w:p>
    <w:p w14:paraId="71B04404">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1.例行巡检：对泵房内泵组、自控柜、各类仪表、泵房工艺管道、供电系统、排污系统、及附属设施(含灭火器)按要求进行巡检。</w:t>
      </w:r>
    </w:p>
    <w:p w14:paraId="122E4019">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2.专项检测：定期在泵房现场通过专用检测仪器检测数据，结合实际运行工况分析确定设备运行状态定期出具一份泵房检测报告，对泵房内设备设施更换、维修提出合理化建议。 </w:t>
      </w:r>
    </w:p>
    <w:p w14:paraId="135DAF1D">
      <w:pPr>
        <w:spacing w:line="360" w:lineRule="auto"/>
        <w:ind w:firstLine="480" w:firstLineChars="200"/>
        <w:jc w:val="left"/>
        <w:rPr>
          <w:rFonts w:ascii="宋体" w:hAnsi="宋体" w:cs="宋体"/>
          <w:color w:val="000000"/>
          <w:sz w:val="24"/>
        </w:rPr>
      </w:pPr>
      <w:r>
        <w:rPr>
          <w:rFonts w:hint="eastAsia" w:ascii="宋体" w:hAnsi="宋体" w:cs="宋体"/>
          <w:color w:val="000000"/>
          <w:sz w:val="24"/>
        </w:rPr>
        <w:t>3.保养：包括设备润滑、防松紧固、阀门启闭、水箱清洗、设备除尘和泵房卫生打扫。</w:t>
      </w:r>
    </w:p>
    <w:p w14:paraId="0C13AF93">
      <w:pPr>
        <w:spacing w:line="360" w:lineRule="auto"/>
        <w:ind w:firstLine="480" w:firstLineChars="200"/>
        <w:jc w:val="left"/>
        <w:rPr>
          <w:rFonts w:ascii="宋体" w:hAnsi="宋体" w:cs="宋体"/>
          <w:color w:val="000000"/>
          <w:sz w:val="24"/>
        </w:rPr>
      </w:pPr>
      <w:r>
        <w:rPr>
          <w:rFonts w:hint="eastAsia" w:ascii="宋体" w:hAnsi="宋体" w:cs="宋体"/>
          <w:color w:val="000000"/>
          <w:sz w:val="24"/>
        </w:rPr>
        <w:t>4.维修及更换：根据实际情况和专项检测报告审批结果，经采购人确认后，对水泵、管道、 控制柜、仪表、门窗、排污泵、阀门等设施进行维修更换。</w:t>
      </w:r>
    </w:p>
    <w:p w14:paraId="6A434B2E">
      <w:pPr>
        <w:spacing w:line="360" w:lineRule="auto"/>
        <w:ind w:firstLine="480" w:firstLineChars="200"/>
        <w:jc w:val="left"/>
        <w:rPr>
          <w:rFonts w:ascii="宋体" w:hAnsi="宋体" w:cs="宋体"/>
          <w:color w:val="000000"/>
          <w:sz w:val="24"/>
        </w:rPr>
      </w:pPr>
      <w:r>
        <w:rPr>
          <w:rFonts w:hint="eastAsia" w:ascii="宋体" w:hAnsi="宋体" w:cs="宋体"/>
          <w:color w:val="000000"/>
          <w:sz w:val="24"/>
        </w:rPr>
        <w:t>5.应急服务：由于设备设施故障导致泵房停水或水压不稳定等问题，服务单位应在规定时间内响应、组织人力及物资赶赴现场，并采取有效措施确保居民供水。</w:t>
      </w:r>
    </w:p>
    <w:p w14:paraId="32A80711">
      <w:pPr>
        <w:spacing w:line="360" w:lineRule="auto"/>
        <w:jc w:val="left"/>
        <w:rPr>
          <w:rFonts w:ascii="宋体" w:hAnsi="宋体" w:cs="宋体"/>
          <w:color w:val="000000"/>
          <w:sz w:val="24"/>
        </w:rPr>
      </w:pPr>
      <w:r>
        <w:rPr>
          <w:rFonts w:hint="eastAsia" w:ascii="宋体" w:hAnsi="宋体" w:cs="宋体"/>
          <w:b/>
          <w:bCs/>
          <w:color w:val="000000"/>
          <w:sz w:val="24"/>
        </w:rPr>
        <w:t>四、泵房具体养护要求(包含但不限于以下要求)：</w:t>
      </w:r>
    </w:p>
    <w:p w14:paraId="7323EB78">
      <w:pPr>
        <w:spacing w:line="360" w:lineRule="auto"/>
        <w:ind w:firstLine="480" w:firstLineChars="200"/>
        <w:jc w:val="left"/>
        <w:rPr>
          <w:rFonts w:ascii="宋体" w:hAnsi="宋体" w:cs="宋体"/>
          <w:b/>
          <w:bCs/>
          <w:color w:val="000000"/>
          <w:sz w:val="24"/>
        </w:rPr>
      </w:pPr>
      <w:r>
        <w:rPr>
          <w:rFonts w:hint="eastAsia" w:ascii="宋体" w:hAnsi="宋体" w:cs="宋体"/>
          <w:b/>
          <w:bCs/>
          <w:color w:val="000000"/>
          <w:sz w:val="24"/>
        </w:rPr>
        <w:t>1.例行巡检：泵房巡检周期为一月二次。</w:t>
      </w:r>
    </w:p>
    <w:p w14:paraId="440D41B2">
      <w:pPr>
        <w:spacing w:line="360" w:lineRule="auto"/>
        <w:ind w:firstLine="480" w:firstLineChars="200"/>
        <w:jc w:val="left"/>
        <w:rPr>
          <w:rFonts w:ascii="宋体" w:hAnsi="宋体" w:cs="宋体"/>
          <w:b/>
          <w:bCs/>
          <w:color w:val="000000"/>
          <w:sz w:val="24"/>
        </w:rPr>
      </w:pPr>
      <w:r>
        <w:rPr>
          <w:rFonts w:hint="eastAsia" w:ascii="宋体" w:hAnsi="宋体" w:cs="宋体"/>
          <w:b/>
          <w:bCs/>
          <w:color w:val="000000"/>
          <w:sz w:val="24"/>
        </w:rPr>
        <w:t>1.1泵组：</w:t>
      </w:r>
    </w:p>
    <w:p w14:paraId="4B9E211B">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1.1.1检查水泵外露部件，应做到防腐有效，无锈蚀、不滴水、不漏油、不漏电、不漏气。</w:t>
      </w:r>
    </w:p>
    <w:p w14:paraId="0C68E1AD">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1.1.2检查机泵轴承温度，轴承温度不得超过 35℃，滚动轴承内极限温度不超过 75℃，滑动轴承温度不超过 70℃。</w:t>
      </w:r>
    </w:p>
    <w:p w14:paraId="2EA66DA9">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1.1.3电机运行时保证相位正确，接触良好，无灼伤、氧化过热痕迹，运转正常。</w:t>
      </w:r>
    </w:p>
    <w:p w14:paraId="41C9AEA2">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1.1.4触摸泵体，温度正常。</w:t>
      </w:r>
    </w:p>
    <w:p w14:paraId="713D4634">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1.1.5对于有备用泵的泵房，每运行1月应轮换开机一次。开机前进行点动试运转，状态良好后投入运行。</w:t>
      </w:r>
    </w:p>
    <w:p w14:paraId="56BB326C">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1.1.6观察水泵外体，设备铭牌以及有关标志应清楚醒目。</w:t>
      </w:r>
    </w:p>
    <w:p w14:paraId="668A4AE6">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1.1.7水泵运行时，聆听各接触部件的声音有无异常；嗅感是否有异味发出。</w:t>
      </w:r>
    </w:p>
    <w:p w14:paraId="62684872">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1.1.8 电动机运行时，检测电动机各部件振动及轴向窜动的变化状况是否在允许范围内。如发现缺油或断油情况，应及时补充润滑油，保证油位正常。</w:t>
      </w:r>
    </w:p>
    <w:p w14:paraId="55B03706">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1.1.9观察电动机通风系统是否符合要求，电机风扇有无堵塞。</w:t>
      </w:r>
    </w:p>
    <w:p w14:paraId="643BB373">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1.1.10检查水泵车脚螺丝有无松动，减震垫是否移位、老化。 </w:t>
      </w:r>
    </w:p>
    <w:p w14:paraId="61602D8C">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1.1.11振动，应符合行业标准《泵的振动测量与评价方法》中的 B 级要求。</w:t>
      </w:r>
    </w:p>
    <w:p w14:paraId="41C04DD8">
      <w:pPr>
        <w:spacing w:line="360" w:lineRule="auto"/>
        <w:ind w:firstLine="480" w:firstLineChars="200"/>
        <w:jc w:val="left"/>
        <w:rPr>
          <w:rFonts w:ascii="宋体" w:hAnsi="宋体" w:cs="宋体"/>
          <w:b/>
          <w:bCs/>
          <w:color w:val="000000"/>
          <w:sz w:val="24"/>
        </w:rPr>
      </w:pPr>
      <w:r>
        <w:rPr>
          <w:rFonts w:hint="eastAsia" w:ascii="宋体" w:hAnsi="宋体" w:cs="宋体"/>
          <w:b/>
          <w:bCs/>
          <w:color w:val="000000"/>
          <w:sz w:val="24"/>
        </w:rPr>
        <w:t>1.2电控柜：</w:t>
      </w:r>
    </w:p>
    <w:p w14:paraId="09772639">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1.2.1检查柜内熔断器是否完整、有无损伤，熔丝规格符合保护要求。</w:t>
      </w:r>
    </w:p>
    <w:p w14:paraId="3B020883">
      <w:pPr>
        <w:spacing w:line="360" w:lineRule="auto"/>
        <w:ind w:firstLine="480" w:firstLineChars="200"/>
        <w:jc w:val="left"/>
        <w:rPr>
          <w:rFonts w:ascii="宋体" w:hAnsi="宋体" w:cs="宋体"/>
          <w:color w:val="000000"/>
          <w:sz w:val="24"/>
        </w:rPr>
      </w:pPr>
      <w:r>
        <w:rPr>
          <w:rFonts w:hint="eastAsia" w:ascii="宋体" w:hAnsi="宋体" w:cs="宋体"/>
          <w:color w:val="000000"/>
          <w:sz w:val="24"/>
        </w:rPr>
        <w:t>观察电控柜外壳是否完好，有无变形、破损、腐蚀及灼烧痕迹，内部清洁程度有无积灰。</w:t>
      </w:r>
    </w:p>
    <w:p w14:paraId="580D5F15">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1.2.2 观察电控柜通风系统是否清洁畅通，有无灰尘，除尘。</w:t>
      </w:r>
    </w:p>
    <w:p w14:paraId="14058C23">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1.2.3 采用熔丝保护时，熔丝熔量不应大于电机额定电流的1.5到2.5倍，采用热继电器保护时，热继电器容量不应大于电机额定电流的1.1到1.25倍，搭二次回路系统采用继电保护装置时，其保护的整定值按设计手册的计算要求进行。</w:t>
      </w:r>
    </w:p>
    <w:p w14:paraId="33DDD695">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1.2.4观察电控柜控制面板，如发现控制面板上仪表指示异常或元器件损伤、失灵。内容应包括：</w:t>
      </w:r>
    </w:p>
    <w:p w14:paraId="607DF0FD">
      <w:pPr>
        <w:spacing w:line="360" w:lineRule="auto"/>
        <w:ind w:firstLine="420" w:firstLineChars="200"/>
        <w:jc w:val="left"/>
        <w:rPr>
          <w:rFonts w:ascii="宋体" w:hAnsi="宋体" w:cs="宋体"/>
          <w:color w:val="000000"/>
          <w:sz w:val="24"/>
        </w:rPr>
      </w:pPr>
      <w:r>
        <w:fldChar w:fldCharType="begin"/>
      </w:r>
      <w:r>
        <w:instrText xml:space="preserve"> HYPERLINK "1.2.3.1" </w:instrText>
      </w:r>
      <w:r>
        <w:fldChar w:fldCharType="separate"/>
      </w:r>
      <w:r>
        <w:rPr>
          <w:rFonts w:hint="eastAsia" w:ascii="宋体" w:hAnsi="宋体" w:cs="宋体"/>
          <w:color w:val="000000"/>
          <w:sz w:val="24"/>
        </w:rPr>
        <w:t>1.2.4.1</w:t>
      </w:r>
      <w:r>
        <w:rPr>
          <w:rFonts w:hint="eastAsia" w:ascii="宋体" w:hAnsi="宋体" w:cs="宋体"/>
          <w:color w:val="000000"/>
          <w:sz w:val="24"/>
        </w:rPr>
        <w:fldChar w:fldCharType="end"/>
      </w:r>
      <w:r>
        <w:rPr>
          <w:rFonts w:hint="eastAsia" w:ascii="宋体" w:hAnsi="宋体" w:cs="宋体"/>
          <w:color w:val="000000"/>
          <w:sz w:val="24"/>
        </w:rPr>
        <w:t>配电电压应在额定电压 95 →110范围内运行，三相电压应平衡；</w:t>
      </w:r>
    </w:p>
    <w:p w14:paraId="5A92F219">
      <w:pPr>
        <w:spacing w:line="360" w:lineRule="auto"/>
        <w:ind w:firstLine="420" w:firstLineChars="200"/>
        <w:jc w:val="left"/>
        <w:rPr>
          <w:rFonts w:ascii="宋体" w:hAnsi="宋体" w:cs="宋体"/>
          <w:color w:val="000000"/>
          <w:sz w:val="24"/>
        </w:rPr>
      </w:pPr>
      <w:r>
        <w:fldChar w:fldCharType="begin"/>
      </w:r>
      <w:r>
        <w:instrText xml:space="preserve"> HYPERLINK "1.2.3.2" </w:instrText>
      </w:r>
      <w:r>
        <w:fldChar w:fldCharType="separate"/>
      </w:r>
      <w:r>
        <w:rPr>
          <w:rFonts w:hint="eastAsia" w:ascii="宋体" w:hAnsi="宋体" w:cs="宋体"/>
          <w:color w:val="000000"/>
          <w:sz w:val="24"/>
        </w:rPr>
        <w:t>1.2.4</w:t>
      </w:r>
      <w:r>
        <w:rPr>
          <w:rFonts w:hint="eastAsia" w:ascii="宋体" w:hAnsi="宋体" w:cs="宋体"/>
          <w:color w:val="000000"/>
          <w:sz w:val="24"/>
        </w:rPr>
        <w:fldChar w:fldCharType="end"/>
      </w:r>
      <w:r>
        <w:rPr>
          <w:rFonts w:hint="eastAsia" w:ascii="宋体" w:hAnsi="宋体" w:cs="宋体"/>
          <w:color w:val="000000"/>
          <w:sz w:val="24"/>
        </w:rPr>
        <w:t>.2各种信号指示灯，光字牌无损坏，与端口的接触良好，指示明显、正确，附件齐全完好；</w:t>
      </w:r>
    </w:p>
    <w:p w14:paraId="525EA144">
      <w:pPr>
        <w:spacing w:line="360" w:lineRule="auto"/>
        <w:ind w:firstLine="420" w:firstLineChars="200"/>
        <w:jc w:val="left"/>
        <w:rPr>
          <w:rFonts w:ascii="宋体" w:hAnsi="宋体" w:cs="宋体"/>
          <w:color w:val="000000"/>
          <w:sz w:val="24"/>
        </w:rPr>
      </w:pPr>
      <w:r>
        <w:fldChar w:fldCharType="begin"/>
      </w:r>
      <w:r>
        <w:instrText xml:space="preserve"> HYPERLINK "1.2.3.3" </w:instrText>
      </w:r>
      <w:r>
        <w:fldChar w:fldCharType="separate"/>
      </w:r>
      <w:r>
        <w:rPr>
          <w:rFonts w:hint="eastAsia" w:ascii="宋体" w:hAnsi="宋体" w:cs="宋体"/>
          <w:color w:val="000000"/>
          <w:sz w:val="24"/>
        </w:rPr>
        <w:t>1.2.4.3</w:t>
      </w:r>
      <w:r>
        <w:rPr>
          <w:rFonts w:hint="eastAsia" w:ascii="宋体" w:hAnsi="宋体" w:cs="宋体"/>
          <w:color w:val="000000"/>
          <w:sz w:val="24"/>
        </w:rPr>
        <w:fldChar w:fldCharType="end"/>
      </w:r>
      <w:r>
        <w:rPr>
          <w:rFonts w:hint="eastAsia" w:ascii="宋体" w:hAnsi="宋体" w:cs="宋体"/>
          <w:color w:val="000000"/>
          <w:sz w:val="24"/>
        </w:rPr>
        <w:t>各种机械指示仪表应无损伤，指针动作应正常，指示显示应正确；各种数字仪表显示数值应正确无误。</w:t>
      </w:r>
    </w:p>
    <w:p w14:paraId="135D9508">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1.2.5 聆听、嗅感柜内各配电装置和低压电器有无异声、异味。</w:t>
      </w:r>
    </w:p>
    <w:p w14:paraId="082B19E5">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1.2.6检查柜内空气开关、起动器和接触器的运行是否正常、噪声是否过大、线圈是否过热，有无报警等现象。</w:t>
      </w:r>
    </w:p>
    <w:p w14:paraId="788D0C54">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1.2.7检查电路中各连接点有无过热现象，母线固定卡子有无松脱，低压绝缘卡子有无损伤及放电痕迹。</w:t>
      </w:r>
    </w:p>
    <w:p w14:paraId="561EDDD0">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1.2.8检查柜内照明是否完好，与灯口的接触应良好</w:t>
      </w:r>
    </w:p>
    <w:p w14:paraId="79305298">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1.2.9试验传动报警装置和灯光信号，要求灵敏、正确、可靠。</w:t>
      </w:r>
    </w:p>
    <w:p w14:paraId="4DDD8FD9">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1.2.10检查接地线连接是否完好，有无松动、腐蚀迹象。</w:t>
      </w:r>
    </w:p>
    <w:p w14:paraId="47E4509F">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1.2.11对变频器的巡检应符合下列规定：</w:t>
      </w:r>
    </w:p>
    <w:p w14:paraId="1CF5C6F8">
      <w:pPr>
        <w:spacing w:line="360" w:lineRule="auto"/>
        <w:ind w:firstLine="420" w:firstLineChars="200"/>
        <w:jc w:val="left"/>
        <w:rPr>
          <w:rFonts w:ascii="宋体" w:hAnsi="宋体" w:cs="宋体"/>
          <w:color w:val="000000"/>
          <w:sz w:val="24"/>
        </w:rPr>
      </w:pPr>
      <w:r>
        <w:fldChar w:fldCharType="begin"/>
      </w:r>
      <w:r>
        <w:instrText xml:space="preserve"> HYPERLINK "1.2.7.1" </w:instrText>
      </w:r>
      <w:r>
        <w:fldChar w:fldCharType="separate"/>
      </w:r>
      <w:r>
        <w:rPr>
          <w:rFonts w:hint="eastAsia" w:ascii="宋体" w:hAnsi="宋体" w:cs="宋体"/>
          <w:color w:val="000000"/>
          <w:sz w:val="24"/>
        </w:rPr>
        <w:t>1.2.11.1</w:t>
      </w:r>
      <w:r>
        <w:rPr>
          <w:rFonts w:hint="eastAsia" w:ascii="宋体" w:hAnsi="宋体" w:cs="宋体"/>
          <w:color w:val="000000"/>
          <w:sz w:val="24"/>
        </w:rPr>
        <w:fldChar w:fldCharType="end"/>
      </w:r>
      <w:r>
        <w:rPr>
          <w:rFonts w:hint="eastAsia" w:ascii="宋体" w:hAnsi="宋体" w:cs="宋体"/>
          <w:color w:val="000000"/>
          <w:sz w:val="24"/>
        </w:rPr>
        <w:t>应详细记录变频器各运行参数(频率、电压、电流、故障记录);</w:t>
      </w:r>
    </w:p>
    <w:p w14:paraId="1BDEDE74">
      <w:pPr>
        <w:spacing w:line="360" w:lineRule="auto"/>
        <w:ind w:firstLine="420" w:firstLineChars="200"/>
        <w:jc w:val="left"/>
        <w:rPr>
          <w:rFonts w:ascii="宋体" w:hAnsi="宋体" w:cs="宋体"/>
          <w:color w:val="000000"/>
          <w:sz w:val="24"/>
        </w:rPr>
      </w:pPr>
      <w:r>
        <w:fldChar w:fldCharType="begin"/>
      </w:r>
      <w:r>
        <w:instrText xml:space="preserve"> HYPERLINK "1.2.7.2" </w:instrText>
      </w:r>
      <w:r>
        <w:fldChar w:fldCharType="separate"/>
      </w:r>
      <w:r>
        <w:rPr>
          <w:rFonts w:hint="eastAsia" w:ascii="宋体" w:hAnsi="宋体" w:cs="宋体"/>
          <w:color w:val="000000"/>
          <w:sz w:val="24"/>
        </w:rPr>
        <w:t>1.2.11.2</w:t>
      </w:r>
      <w:r>
        <w:rPr>
          <w:rFonts w:hint="eastAsia" w:ascii="宋体" w:hAnsi="宋体" w:cs="宋体"/>
          <w:color w:val="000000"/>
          <w:sz w:val="24"/>
        </w:rPr>
        <w:fldChar w:fldCharType="end"/>
      </w:r>
      <w:r>
        <w:rPr>
          <w:rFonts w:hint="eastAsia" w:ascii="宋体" w:hAnsi="宋体" w:cs="宋体"/>
          <w:color w:val="000000"/>
          <w:sz w:val="24"/>
        </w:rPr>
        <w:t>变频器运行时有无异常的气味、异音；</w:t>
      </w:r>
    </w:p>
    <w:p w14:paraId="5008D11F">
      <w:pPr>
        <w:spacing w:line="360" w:lineRule="auto"/>
        <w:ind w:firstLine="420" w:firstLineChars="200"/>
        <w:jc w:val="left"/>
        <w:rPr>
          <w:rFonts w:ascii="宋体" w:hAnsi="宋体" w:cs="宋体"/>
          <w:color w:val="000000"/>
          <w:sz w:val="24"/>
        </w:rPr>
      </w:pPr>
      <w:r>
        <w:fldChar w:fldCharType="begin"/>
      </w:r>
      <w:r>
        <w:instrText xml:space="preserve"> HYPERLINK "1.2.7.3" </w:instrText>
      </w:r>
      <w:r>
        <w:fldChar w:fldCharType="separate"/>
      </w:r>
      <w:r>
        <w:rPr>
          <w:rFonts w:hint="eastAsia" w:ascii="宋体" w:hAnsi="宋体" w:cs="宋体"/>
          <w:color w:val="000000"/>
          <w:sz w:val="24"/>
        </w:rPr>
        <w:t>1.2.11.3</w:t>
      </w:r>
      <w:r>
        <w:rPr>
          <w:rFonts w:hint="eastAsia" w:ascii="宋体" w:hAnsi="宋体" w:cs="宋体"/>
          <w:color w:val="000000"/>
          <w:sz w:val="24"/>
        </w:rPr>
        <w:fldChar w:fldCharType="end"/>
      </w:r>
      <w:r>
        <w:rPr>
          <w:rFonts w:hint="eastAsia" w:ascii="宋体" w:hAnsi="宋体" w:cs="宋体"/>
          <w:color w:val="000000"/>
          <w:sz w:val="24"/>
        </w:rPr>
        <w:t>检查冷却风机是否运行正常。</w:t>
      </w:r>
    </w:p>
    <w:p w14:paraId="7D4B68F3">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1.2.12变频器的工作电压，（输入电压)不超出额定值±5%范围内。 </w:t>
      </w:r>
    </w:p>
    <w:p w14:paraId="5106388C">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1.2.13变频器的运行环境无腐蚀性气体及尘土，环境温度不应超过40度，湿度小于 90%(不结露)，必要时采用降温，除湿设备。 </w:t>
      </w:r>
    </w:p>
    <w:p w14:paraId="76B43FE1">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1.2.14对于长期未使用的变频器(半年以上)每隔半年通电一次，通电时30-60min。</w:t>
      </w:r>
    </w:p>
    <w:p w14:paraId="7C037F97">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1.2.15在环境潮湿或湿度较高的夏季增加巡检次数。</w:t>
      </w:r>
    </w:p>
    <w:p w14:paraId="2D42B06E">
      <w:pPr>
        <w:spacing w:line="360" w:lineRule="auto"/>
        <w:ind w:firstLine="480" w:firstLineChars="200"/>
        <w:jc w:val="left"/>
        <w:rPr>
          <w:rFonts w:ascii="宋体" w:hAnsi="宋体" w:cs="宋体"/>
          <w:b/>
          <w:bCs/>
          <w:color w:val="000000"/>
          <w:sz w:val="24"/>
        </w:rPr>
      </w:pPr>
      <w:r>
        <w:rPr>
          <w:rFonts w:hint="eastAsia" w:ascii="宋体" w:hAnsi="宋体" w:cs="宋体"/>
          <w:b/>
          <w:bCs/>
          <w:color w:val="000000"/>
          <w:sz w:val="24"/>
        </w:rPr>
        <w:t>1.3各类仪器、仪表：</w:t>
      </w:r>
    </w:p>
    <w:p w14:paraId="72772714">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1.3.1对机械及电子压力仪表进行检测，是否存在漏水，压力显示不准，锈蚀、指针卡死等 现象。</w:t>
      </w:r>
    </w:p>
    <w:p w14:paraId="6023102B">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1.3.2 对电子式压力仪表通过与机械式仪表进行比对，确定各类仪表显示准确性。 </w:t>
      </w:r>
    </w:p>
    <w:p w14:paraId="3C301CA9">
      <w:pPr>
        <w:spacing w:line="360" w:lineRule="auto"/>
        <w:ind w:firstLine="480" w:firstLineChars="200"/>
        <w:jc w:val="left"/>
        <w:rPr>
          <w:rFonts w:ascii="宋体" w:hAnsi="宋体" w:cs="宋体"/>
          <w:b/>
          <w:bCs/>
          <w:color w:val="000000"/>
          <w:sz w:val="24"/>
        </w:rPr>
      </w:pPr>
      <w:r>
        <w:rPr>
          <w:rFonts w:hint="eastAsia" w:ascii="宋体" w:hAnsi="宋体" w:cs="宋体"/>
          <w:b/>
          <w:bCs/>
          <w:color w:val="000000"/>
          <w:sz w:val="24"/>
        </w:rPr>
        <w:t>1.4管道工艺阀门：</w:t>
      </w:r>
    </w:p>
    <w:p w14:paraId="1CC84D79">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1.4.1检查各类阀门连接处紧固件松紧度，有无漏水，密封胶垫是否完好，连接处橡胶有 无老化破损。</w:t>
      </w:r>
    </w:p>
    <w:p w14:paraId="4B50D8C6">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1.4.2 检查泵房内Y型过滤器、倒流防止器、闸阀、止回阀、蝶阀、多功能水泵控制阀等阀门工作情况，有无泄露、锈蚀、堵塞、橡皮老化等现象。</w:t>
      </w:r>
    </w:p>
    <w:p w14:paraId="7798F825">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1.4.3 检查泵房内橡胶软件完好情况，有无鼓包、漏水、老化、龟裂现象。</w:t>
      </w:r>
    </w:p>
    <w:p w14:paraId="4274A9F0">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1.4.4检查附属管道的渗漏、表面锈蚀等情况；管道支(托)架、管卡等的安装应牢固无松动。</w:t>
      </w:r>
    </w:p>
    <w:p w14:paraId="10A837D4">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1.4.5管道各连接紧固处进行检查，看其有无松动、漏水、锈蚀、橡皮老化现象。</w:t>
      </w:r>
    </w:p>
    <w:p w14:paraId="2072791D">
      <w:pPr>
        <w:spacing w:line="360" w:lineRule="auto"/>
        <w:ind w:firstLine="480" w:firstLineChars="200"/>
        <w:jc w:val="left"/>
        <w:rPr>
          <w:rFonts w:ascii="宋体" w:hAnsi="宋体" w:cs="宋体"/>
          <w:b/>
          <w:bCs/>
          <w:color w:val="000000"/>
          <w:sz w:val="24"/>
        </w:rPr>
      </w:pPr>
      <w:r>
        <w:rPr>
          <w:rFonts w:hint="eastAsia" w:ascii="宋体" w:hAnsi="宋体" w:cs="宋体"/>
          <w:b/>
          <w:bCs/>
          <w:color w:val="000000"/>
          <w:sz w:val="24"/>
        </w:rPr>
        <w:t>1.5供电系统：</w:t>
      </w:r>
    </w:p>
    <w:p w14:paraId="629D10BE">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1.5.1检查泵房内供电动力柜输出是否稳定，柜内电器元件运行是否正常。接地接零可靠。</w:t>
      </w:r>
    </w:p>
    <w:p w14:paraId="3E98469B">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1.5.2检查各信号、动力电缆有无氧化破损。 </w:t>
      </w:r>
    </w:p>
    <w:p w14:paraId="72D96C44">
      <w:pPr>
        <w:spacing w:line="360" w:lineRule="auto"/>
        <w:ind w:firstLine="480" w:firstLineChars="200"/>
        <w:jc w:val="left"/>
        <w:rPr>
          <w:rFonts w:ascii="宋体" w:hAnsi="宋体" w:cs="宋体"/>
          <w:b/>
          <w:bCs/>
          <w:color w:val="000000"/>
          <w:sz w:val="24"/>
        </w:rPr>
      </w:pPr>
      <w:r>
        <w:rPr>
          <w:rFonts w:hint="eastAsia" w:ascii="宋体" w:hAnsi="宋体" w:cs="宋体"/>
          <w:b/>
          <w:bCs/>
          <w:color w:val="000000"/>
          <w:sz w:val="24"/>
        </w:rPr>
        <w:t>1.6排水系统：</w:t>
      </w:r>
    </w:p>
    <w:p w14:paraId="1A1B633E">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1.6.1检查集水井滤网有无破损锈蚀，井盖是否完好</w:t>
      </w:r>
    </w:p>
    <w:p w14:paraId="27BB02A3">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1.6.2检查集水井及排水沟是否清洁无垃圾堵塞，排水正常</w:t>
      </w:r>
    </w:p>
    <w:p w14:paraId="4C60FB22">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1.6.3检查排水泵是否正常运行，手自动运行是否可靠灵敏，运行时无振动，噪音，排水顺 畅。</w:t>
      </w:r>
    </w:p>
    <w:p w14:paraId="3F8F31FA">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1.6.4泵出口管路连接有无松动，漏水。</w:t>
      </w:r>
    </w:p>
    <w:p w14:paraId="737D0980">
      <w:pPr>
        <w:spacing w:line="360" w:lineRule="auto"/>
        <w:ind w:firstLine="480" w:firstLineChars="200"/>
        <w:jc w:val="left"/>
        <w:rPr>
          <w:rFonts w:ascii="宋体" w:hAnsi="宋体" w:cs="宋体"/>
          <w:b/>
          <w:bCs/>
          <w:color w:val="000000"/>
          <w:sz w:val="24"/>
        </w:rPr>
      </w:pPr>
      <w:r>
        <w:rPr>
          <w:rFonts w:hint="eastAsia" w:ascii="宋体" w:hAnsi="宋体" w:cs="宋体"/>
          <w:b/>
          <w:bCs/>
          <w:color w:val="000000"/>
          <w:sz w:val="24"/>
        </w:rPr>
        <w:t>1.7附属设备：</w:t>
      </w:r>
    </w:p>
    <w:p w14:paraId="1EE270DB">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1.7.1检查附属管道的渗漏、表面锈蚀等情况；管道支(托)架、管卡等的安装应牢固无松动。</w:t>
      </w:r>
    </w:p>
    <w:p w14:paraId="7010570D">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1.7.2对泵房内各连接紧固处进行检查，看其有无松动、漏水、锈蚀、橡皮老化现象。</w:t>
      </w:r>
    </w:p>
    <w:p w14:paraId="3DE8713A">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1.7.3检查泵房内照明、通风系统是否完好，环境卫生，门窗完好，消防器材、制度牌、标识牌是否齐全，标识是否清晰，并对泵房卫生及存在问题进行处理。</w:t>
      </w:r>
    </w:p>
    <w:p w14:paraId="194CA04E">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1.7.4 检查泵房内灭火器压力是否有效，灭火器的使用期限是否在规定时间，检查结束后 在灭火器登记卡上签名。</w:t>
      </w:r>
    </w:p>
    <w:p w14:paraId="2BAE88D5">
      <w:pPr>
        <w:spacing w:line="360" w:lineRule="auto"/>
        <w:ind w:firstLine="480" w:firstLineChars="200"/>
        <w:jc w:val="left"/>
        <w:rPr>
          <w:rFonts w:ascii="宋体" w:hAnsi="宋体" w:cs="宋体"/>
          <w:b/>
          <w:bCs/>
          <w:color w:val="000000"/>
          <w:sz w:val="24"/>
        </w:rPr>
      </w:pPr>
      <w:r>
        <w:rPr>
          <w:rFonts w:hint="eastAsia" w:ascii="宋体" w:hAnsi="宋体" w:cs="宋体"/>
          <w:b/>
          <w:bCs/>
          <w:color w:val="000000"/>
          <w:sz w:val="24"/>
        </w:rPr>
        <w:t>1.8设备监控上线：</w:t>
      </w:r>
    </w:p>
    <w:p w14:paraId="61C42B91">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1.8.1联系调度中心或通过设备监控平台查看设备监控远传是否正常、门禁视频监控是否正常。</w:t>
      </w:r>
    </w:p>
    <w:p w14:paraId="3DC851DC">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1.8.2 检查泵房网络是否通畅，若设备监控断、门禁视频也断，先重启下路由器，若网络不通再报修移动电信运营商。</w:t>
      </w:r>
    </w:p>
    <w:p w14:paraId="48F94C3F">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1.8.3 若门禁视频正常，网络通畅，检查控制柜并将离线设备监控调上线。</w:t>
      </w:r>
    </w:p>
    <w:p w14:paraId="1EEEF93C">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1.8.4若原设备商未做通过设备监控上线，及时报备采购人。 </w:t>
      </w:r>
    </w:p>
    <w:p w14:paraId="50DC3F4C">
      <w:pPr>
        <w:spacing w:line="360" w:lineRule="auto"/>
        <w:ind w:firstLine="480" w:firstLineChars="200"/>
        <w:jc w:val="left"/>
        <w:rPr>
          <w:rFonts w:ascii="宋体" w:hAnsi="宋体" w:cs="宋体"/>
          <w:b/>
          <w:bCs/>
          <w:color w:val="000000"/>
          <w:sz w:val="24"/>
        </w:rPr>
      </w:pPr>
      <w:r>
        <w:rPr>
          <w:rFonts w:hint="eastAsia" w:ascii="宋体" w:hAnsi="宋体" w:cs="宋体"/>
          <w:b/>
          <w:bCs/>
          <w:color w:val="000000"/>
          <w:sz w:val="24"/>
        </w:rPr>
        <w:t>1.9报表：</w:t>
      </w:r>
    </w:p>
    <w:p w14:paraId="2C7531E9">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1.9.1认真填写巡检工单，如实记录巡检过程。</w:t>
      </w:r>
    </w:p>
    <w:p w14:paraId="27086F51">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1.9.2每月对巡检中有问题的泵房进行情况说明，次月5日前提交汇总报表。</w:t>
      </w:r>
    </w:p>
    <w:p w14:paraId="09A34EB2">
      <w:pPr>
        <w:spacing w:line="360" w:lineRule="auto"/>
        <w:ind w:firstLine="480" w:firstLineChars="200"/>
        <w:jc w:val="left"/>
        <w:rPr>
          <w:rFonts w:ascii="宋体" w:hAnsi="宋体" w:cs="宋体"/>
          <w:b/>
          <w:bCs/>
          <w:color w:val="000000"/>
          <w:sz w:val="24"/>
        </w:rPr>
      </w:pPr>
      <w:r>
        <w:rPr>
          <w:rFonts w:hint="eastAsia" w:ascii="宋体" w:hAnsi="宋体" w:cs="宋体"/>
          <w:b/>
          <w:bCs/>
          <w:color w:val="000000"/>
          <w:sz w:val="24"/>
        </w:rPr>
        <w:t>2.专项检测：</w:t>
      </w:r>
    </w:p>
    <w:p w14:paraId="590EB517">
      <w:pPr>
        <w:spacing w:line="360" w:lineRule="auto"/>
        <w:ind w:firstLine="480" w:firstLineChars="200"/>
        <w:jc w:val="left"/>
        <w:rPr>
          <w:rFonts w:ascii="宋体" w:hAnsi="宋体" w:cs="宋体"/>
          <w:color w:val="000000"/>
          <w:sz w:val="24"/>
        </w:rPr>
      </w:pPr>
      <w:r>
        <w:rPr>
          <w:rFonts w:hint="eastAsia" w:ascii="宋体" w:hAnsi="宋体" w:cs="宋体"/>
          <w:b/>
          <w:bCs/>
          <w:color w:val="000000"/>
          <w:sz w:val="24"/>
        </w:rPr>
        <w:t>2.1检测周期：3个月一次。</w:t>
      </w:r>
    </w:p>
    <w:p w14:paraId="24461690">
      <w:pPr>
        <w:spacing w:line="360" w:lineRule="auto"/>
        <w:ind w:firstLine="480" w:firstLineChars="200"/>
        <w:jc w:val="left"/>
        <w:rPr>
          <w:rFonts w:ascii="宋体" w:hAnsi="宋体" w:cs="宋体"/>
          <w:color w:val="000000"/>
          <w:sz w:val="24"/>
        </w:rPr>
      </w:pPr>
      <w:r>
        <w:rPr>
          <w:rFonts w:hint="eastAsia" w:ascii="宋体" w:hAnsi="宋体" w:cs="宋体"/>
          <w:color w:val="000000"/>
          <w:sz w:val="24"/>
        </w:rPr>
        <w:t>2.1.1水泵温度检测：要求轴承温升不应超过35℃,滚动轴承内极限温度不得超过 75℃, 滑动轴承温度不得超过 70℃。</w:t>
      </w:r>
    </w:p>
    <w:p w14:paraId="2FDC58AC">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2.1.2机械及电子压力仪表：压力表的准确度等级和最大允许基本误差应符合精度等级。 </w:t>
      </w:r>
    </w:p>
    <w:p w14:paraId="33428777">
      <w:pPr>
        <w:spacing w:line="360" w:lineRule="auto"/>
        <w:ind w:firstLine="480" w:firstLineChars="200"/>
        <w:jc w:val="left"/>
        <w:rPr>
          <w:rFonts w:ascii="宋体" w:hAnsi="宋体" w:cs="宋体"/>
          <w:color w:val="000000"/>
          <w:sz w:val="24"/>
        </w:rPr>
      </w:pPr>
      <w:r>
        <w:rPr>
          <w:rFonts w:hint="eastAsia" w:ascii="宋体" w:hAnsi="宋体" w:cs="宋体"/>
          <w:b/>
          <w:bCs/>
          <w:color w:val="000000"/>
          <w:sz w:val="24"/>
        </w:rPr>
        <w:t>2.2检测周期：6个月一次。</w:t>
      </w:r>
    </w:p>
    <w:p w14:paraId="1A53B6ED">
      <w:pPr>
        <w:spacing w:line="360" w:lineRule="auto"/>
        <w:ind w:firstLine="480" w:firstLineChars="200"/>
        <w:jc w:val="left"/>
        <w:rPr>
          <w:rFonts w:ascii="宋体" w:hAnsi="宋体" w:cs="宋体"/>
          <w:color w:val="000000"/>
          <w:sz w:val="24"/>
        </w:rPr>
      </w:pPr>
      <w:r>
        <w:rPr>
          <w:rFonts w:hint="eastAsia" w:ascii="宋体" w:hAnsi="宋体" w:cs="宋体"/>
          <w:color w:val="000000"/>
          <w:sz w:val="24"/>
        </w:rPr>
        <w:t>2.2.1水泵噪音、振动检测：不应超过现行国家标准《泵的振动测量与评价方法》(GB10889)振动烈度C级的规定。</w:t>
      </w:r>
    </w:p>
    <w:p w14:paraId="189D5BA5">
      <w:pPr>
        <w:spacing w:line="360" w:lineRule="auto"/>
        <w:ind w:firstLine="480" w:firstLineChars="200"/>
        <w:jc w:val="left"/>
        <w:rPr>
          <w:rFonts w:ascii="宋体" w:hAnsi="宋体" w:cs="宋体"/>
          <w:color w:val="000000"/>
          <w:sz w:val="24"/>
        </w:rPr>
      </w:pPr>
      <w:r>
        <w:rPr>
          <w:rFonts w:hint="eastAsia" w:ascii="宋体" w:hAnsi="宋体" w:cs="宋体"/>
          <w:color w:val="000000"/>
          <w:sz w:val="24"/>
        </w:rPr>
        <w:t>2.2.2控制柜电压、电流表检测：仪表的准确度等级和最大允许基本误差应符合精度等级。</w:t>
      </w:r>
    </w:p>
    <w:p w14:paraId="67D18F99">
      <w:pPr>
        <w:spacing w:line="360" w:lineRule="auto"/>
        <w:ind w:firstLine="480" w:firstLineChars="200"/>
        <w:jc w:val="left"/>
        <w:rPr>
          <w:rFonts w:ascii="宋体" w:hAnsi="宋体" w:cs="宋体"/>
          <w:color w:val="000000"/>
          <w:sz w:val="24"/>
        </w:rPr>
      </w:pPr>
      <w:r>
        <w:rPr>
          <w:rFonts w:hint="eastAsia" w:ascii="宋体" w:hAnsi="宋体" w:cs="宋体"/>
          <w:color w:val="000000"/>
          <w:sz w:val="24"/>
        </w:rPr>
        <w:t>2.2.3电动阀开闭检测：达到水箱高、低液位设定值应可靠开闭。</w:t>
      </w:r>
    </w:p>
    <w:p w14:paraId="6D7EC56F">
      <w:pPr>
        <w:spacing w:line="360" w:lineRule="auto"/>
        <w:ind w:firstLine="480" w:firstLineChars="200"/>
        <w:jc w:val="left"/>
        <w:rPr>
          <w:rFonts w:ascii="宋体" w:hAnsi="宋体" w:cs="宋体"/>
          <w:color w:val="000000"/>
          <w:sz w:val="24"/>
        </w:rPr>
      </w:pPr>
      <w:r>
        <w:rPr>
          <w:rFonts w:hint="eastAsia" w:ascii="宋体" w:hAnsi="宋体" w:cs="宋体"/>
          <w:color w:val="000000"/>
          <w:sz w:val="24"/>
        </w:rPr>
        <w:t>2.2.4水箱液位检测：低位水箱液位仪随着液位变化数据应能正常调整。低位水箱液位到达 停泵水位时应能向自控系统发出准确停泵指令。高位水箱液位到达高、低位设定值时应能够准 确向自控系统发出指令，控制水泵的启停。</w:t>
      </w:r>
    </w:p>
    <w:p w14:paraId="33691FE5">
      <w:pPr>
        <w:spacing w:line="360" w:lineRule="auto"/>
        <w:ind w:firstLine="480" w:firstLineChars="200"/>
        <w:jc w:val="left"/>
        <w:rPr>
          <w:rFonts w:ascii="宋体" w:hAnsi="宋体" w:cs="宋体"/>
          <w:color w:val="000000"/>
          <w:sz w:val="24"/>
        </w:rPr>
      </w:pPr>
      <w:r>
        <w:rPr>
          <w:rFonts w:hint="eastAsia" w:ascii="宋体" w:hAnsi="宋体" w:cs="宋体"/>
          <w:color w:val="000000"/>
          <w:sz w:val="24"/>
        </w:rPr>
        <w:t>2.2.5压力开关检测：当进水压力低于最低停机设定值时压力开关应能立即动作发出指令关 停水泵，当压力恢复正常时应能及时复位，启动水泵。当出水压力高于设定值时压力开关应能 立即动作发出指令关停水泵，当压力恢复正常时应能及时复位。</w:t>
      </w:r>
    </w:p>
    <w:p w14:paraId="62F975AC">
      <w:pPr>
        <w:spacing w:line="360" w:lineRule="auto"/>
        <w:ind w:firstLine="480" w:firstLineChars="200"/>
        <w:jc w:val="left"/>
        <w:rPr>
          <w:rFonts w:ascii="宋体" w:hAnsi="宋体" w:cs="宋体"/>
          <w:color w:val="000000"/>
          <w:sz w:val="24"/>
        </w:rPr>
      </w:pPr>
      <w:r>
        <w:rPr>
          <w:rFonts w:hint="eastAsia" w:ascii="宋体" w:hAnsi="宋体" w:cs="宋体"/>
          <w:b/>
          <w:bCs/>
          <w:color w:val="000000"/>
          <w:sz w:val="24"/>
        </w:rPr>
        <w:t>2.3检测周期：12个月一次。</w:t>
      </w:r>
    </w:p>
    <w:p w14:paraId="17242D64">
      <w:pPr>
        <w:spacing w:line="360" w:lineRule="auto"/>
        <w:ind w:firstLine="480" w:firstLineChars="200"/>
        <w:jc w:val="left"/>
        <w:rPr>
          <w:rFonts w:ascii="宋体" w:hAnsi="宋体" w:cs="宋体"/>
          <w:color w:val="000000"/>
          <w:sz w:val="24"/>
        </w:rPr>
      </w:pPr>
      <w:r>
        <w:rPr>
          <w:rFonts w:hint="eastAsia" w:ascii="宋体" w:hAnsi="宋体" w:cs="宋体"/>
          <w:color w:val="000000"/>
          <w:sz w:val="24"/>
        </w:rPr>
        <w:t>2.3.1 继电器、接触器检测：继电器、接触器的运行是否正常，触电无打黑、氧化现象。</w:t>
      </w:r>
    </w:p>
    <w:p w14:paraId="61EE0A00">
      <w:pPr>
        <w:spacing w:line="360" w:lineRule="auto"/>
        <w:ind w:firstLine="480" w:firstLineChars="200"/>
        <w:jc w:val="left"/>
        <w:rPr>
          <w:rFonts w:ascii="宋体" w:hAnsi="宋体" w:cs="宋体"/>
          <w:color w:val="000000"/>
          <w:sz w:val="24"/>
        </w:rPr>
      </w:pPr>
      <w:r>
        <w:rPr>
          <w:rFonts w:hint="eastAsia" w:ascii="宋体" w:hAnsi="宋体" w:cs="宋体"/>
          <w:color w:val="000000"/>
          <w:sz w:val="24"/>
        </w:rPr>
        <w:t>2.3.2 热继保护检测：反应灵敏，可靠。</w:t>
      </w:r>
    </w:p>
    <w:p w14:paraId="04029671">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2.3.3 气压罐：对气压罐进行排水，为气囊充气，并检测气密性。 </w:t>
      </w:r>
    </w:p>
    <w:p w14:paraId="72522ADD">
      <w:pPr>
        <w:spacing w:line="360" w:lineRule="auto"/>
        <w:ind w:firstLine="480" w:firstLineChars="200"/>
        <w:jc w:val="left"/>
        <w:rPr>
          <w:rFonts w:ascii="宋体" w:hAnsi="宋体" w:cs="宋体"/>
          <w:color w:val="000000"/>
          <w:sz w:val="24"/>
        </w:rPr>
      </w:pPr>
      <w:r>
        <w:rPr>
          <w:rFonts w:hint="eastAsia" w:ascii="宋体" w:hAnsi="宋体" w:cs="宋体"/>
          <w:color w:val="000000"/>
          <w:sz w:val="24"/>
        </w:rPr>
        <w:t>2.4报表</w:t>
      </w:r>
    </w:p>
    <w:p w14:paraId="55435ADE">
      <w:pPr>
        <w:spacing w:line="360" w:lineRule="auto"/>
        <w:ind w:firstLine="480" w:firstLineChars="200"/>
        <w:jc w:val="left"/>
        <w:rPr>
          <w:rFonts w:ascii="宋体" w:hAnsi="宋体" w:cs="宋体"/>
          <w:color w:val="000000"/>
          <w:sz w:val="24"/>
        </w:rPr>
      </w:pPr>
      <w:r>
        <w:rPr>
          <w:rFonts w:hint="eastAsia" w:ascii="宋体" w:hAnsi="宋体" w:cs="宋体"/>
          <w:color w:val="000000"/>
          <w:sz w:val="24"/>
        </w:rPr>
        <w:t>2.4.1认真填写专项检测工单，如实记录专项检测过程。</w:t>
      </w:r>
    </w:p>
    <w:p w14:paraId="1401D6C9">
      <w:pPr>
        <w:spacing w:line="360" w:lineRule="auto"/>
        <w:ind w:firstLine="480" w:firstLineChars="200"/>
        <w:jc w:val="left"/>
        <w:rPr>
          <w:rFonts w:ascii="宋体" w:hAnsi="宋体" w:cs="宋体"/>
          <w:color w:val="000000"/>
          <w:sz w:val="24"/>
        </w:rPr>
      </w:pPr>
      <w:r>
        <w:rPr>
          <w:rFonts w:hint="eastAsia" w:ascii="宋体" w:hAnsi="宋体" w:cs="宋体"/>
          <w:color w:val="000000"/>
          <w:sz w:val="24"/>
        </w:rPr>
        <w:t>2.4.2每季度对专项检测中有问题的泵房进行情况说明，季度末25日前提交汇总报表。</w:t>
      </w:r>
    </w:p>
    <w:p w14:paraId="25999238">
      <w:pPr>
        <w:spacing w:line="360" w:lineRule="auto"/>
        <w:ind w:firstLine="480" w:firstLineChars="200"/>
        <w:jc w:val="left"/>
        <w:rPr>
          <w:rFonts w:ascii="宋体" w:hAnsi="宋体" w:cs="宋体"/>
          <w:b/>
          <w:bCs/>
          <w:color w:val="000000"/>
          <w:sz w:val="24"/>
        </w:rPr>
      </w:pPr>
      <w:r>
        <w:rPr>
          <w:rFonts w:hint="eastAsia" w:ascii="宋体" w:hAnsi="宋体" w:cs="宋体"/>
          <w:b/>
          <w:bCs/>
          <w:color w:val="000000"/>
          <w:sz w:val="24"/>
        </w:rPr>
        <w:t>3.保养：</w:t>
      </w:r>
    </w:p>
    <w:p w14:paraId="0F8B46D6">
      <w:pPr>
        <w:spacing w:line="360" w:lineRule="auto"/>
        <w:ind w:firstLine="480" w:firstLineChars="200"/>
        <w:jc w:val="left"/>
        <w:rPr>
          <w:rFonts w:ascii="宋体" w:hAnsi="宋体" w:cs="宋体"/>
          <w:b/>
          <w:bCs/>
          <w:color w:val="000000"/>
          <w:sz w:val="24"/>
        </w:rPr>
      </w:pPr>
      <w:r>
        <w:rPr>
          <w:rFonts w:hint="eastAsia" w:ascii="宋体" w:hAnsi="宋体" w:cs="宋体"/>
          <w:b/>
          <w:bCs/>
          <w:color w:val="000000"/>
          <w:sz w:val="24"/>
        </w:rPr>
        <w:t>3.1保养周期：半年一次。</w:t>
      </w:r>
    </w:p>
    <w:p w14:paraId="6D294712">
      <w:pPr>
        <w:spacing w:line="360" w:lineRule="auto"/>
        <w:ind w:firstLine="480" w:firstLineChars="200"/>
        <w:jc w:val="left"/>
        <w:rPr>
          <w:rFonts w:ascii="宋体" w:hAnsi="宋体" w:cs="宋体"/>
          <w:color w:val="000000"/>
          <w:sz w:val="24"/>
        </w:rPr>
      </w:pPr>
      <w:r>
        <w:rPr>
          <w:rFonts w:hint="eastAsia" w:ascii="宋体" w:hAnsi="宋体" w:cs="宋体"/>
          <w:color w:val="000000"/>
          <w:sz w:val="24"/>
        </w:rPr>
        <w:t>3.1.1 阀门开启关闭：对各类长期开启或长期关闭的阀门操作一次，保证启闭灵活。</w:t>
      </w:r>
    </w:p>
    <w:p w14:paraId="63987ABE">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3.1.2 控制柜除尘：对控制柜内灰尘用吸尘器进行吸尘处理。 </w:t>
      </w:r>
    </w:p>
    <w:p w14:paraId="6BA9B8F1">
      <w:pPr>
        <w:spacing w:line="360" w:lineRule="auto"/>
        <w:ind w:firstLine="480" w:firstLineChars="200"/>
        <w:jc w:val="left"/>
        <w:rPr>
          <w:rFonts w:ascii="宋体" w:hAnsi="宋体" w:cs="宋体"/>
          <w:b/>
          <w:bCs/>
          <w:color w:val="000000"/>
          <w:sz w:val="24"/>
        </w:rPr>
      </w:pPr>
      <w:r>
        <w:rPr>
          <w:rFonts w:hint="eastAsia" w:ascii="宋体" w:hAnsi="宋体" w:cs="宋体"/>
          <w:b/>
          <w:bCs/>
          <w:color w:val="000000"/>
          <w:sz w:val="24"/>
        </w:rPr>
        <w:t>3.2保养周期：一年一次。</w:t>
      </w:r>
    </w:p>
    <w:p w14:paraId="6928E14C">
      <w:pPr>
        <w:spacing w:line="360" w:lineRule="auto"/>
        <w:ind w:firstLine="480" w:firstLineChars="200"/>
        <w:jc w:val="left"/>
        <w:rPr>
          <w:rFonts w:ascii="宋体" w:hAnsi="宋体" w:cs="宋体"/>
          <w:color w:val="000000"/>
          <w:sz w:val="24"/>
        </w:rPr>
      </w:pPr>
      <w:r>
        <w:rPr>
          <w:rFonts w:hint="eastAsia" w:ascii="宋体" w:hAnsi="宋体" w:cs="宋体"/>
          <w:color w:val="000000"/>
          <w:sz w:val="24"/>
        </w:rPr>
        <w:t>3.2.1泵组润滑、防松紧固。</w:t>
      </w:r>
    </w:p>
    <w:p w14:paraId="60580217">
      <w:pPr>
        <w:spacing w:line="360" w:lineRule="auto"/>
        <w:ind w:firstLine="420" w:firstLineChars="200"/>
        <w:jc w:val="left"/>
        <w:rPr>
          <w:rFonts w:ascii="宋体" w:hAnsi="宋体" w:cs="宋体"/>
          <w:color w:val="000000"/>
          <w:sz w:val="24"/>
        </w:rPr>
      </w:pPr>
      <w:r>
        <w:fldChar w:fldCharType="begin"/>
      </w:r>
      <w:r>
        <w:instrText xml:space="preserve"> HYPERLINK "3.2.1.1" </w:instrText>
      </w:r>
      <w:r>
        <w:fldChar w:fldCharType="separate"/>
      </w:r>
      <w:r>
        <w:rPr>
          <w:rFonts w:hint="eastAsia" w:ascii="宋体" w:hAnsi="宋体" w:cs="宋体"/>
          <w:color w:val="000000"/>
          <w:sz w:val="24"/>
        </w:rPr>
        <w:t>3.2.1.1</w:t>
      </w:r>
      <w:r>
        <w:rPr>
          <w:rFonts w:hint="eastAsia" w:ascii="宋体" w:hAnsi="宋体" w:cs="宋体"/>
          <w:color w:val="000000"/>
          <w:sz w:val="24"/>
        </w:rPr>
        <w:fldChar w:fldCharType="end"/>
      </w:r>
      <w:r>
        <w:rPr>
          <w:rFonts w:hint="eastAsia" w:ascii="宋体" w:hAnsi="宋体" w:cs="宋体"/>
          <w:color w:val="000000"/>
          <w:sz w:val="24"/>
        </w:rPr>
        <w:t>做好设备各旋转部位的润滑工作。</w:t>
      </w:r>
    </w:p>
    <w:p w14:paraId="2B551242">
      <w:pPr>
        <w:spacing w:line="360" w:lineRule="auto"/>
        <w:ind w:firstLine="420" w:firstLineChars="200"/>
        <w:jc w:val="left"/>
        <w:rPr>
          <w:rFonts w:ascii="宋体" w:hAnsi="宋体" w:cs="宋体"/>
          <w:color w:val="000000"/>
          <w:sz w:val="24"/>
        </w:rPr>
      </w:pPr>
      <w:r>
        <w:fldChar w:fldCharType="begin"/>
      </w:r>
      <w:r>
        <w:instrText xml:space="preserve"> HYPERLINK "3.2.1.2" </w:instrText>
      </w:r>
      <w:r>
        <w:fldChar w:fldCharType="separate"/>
      </w:r>
      <w:r>
        <w:rPr>
          <w:rFonts w:hint="eastAsia" w:ascii="宋体" w:hAnsi="宋体" w:cs="宋体"/>
          <w:color w:val="000000"/>
          <w:sz w:val="24"/>
        </w:rPr>
        <w:t>3.2.1.2</w:t>
      </w:r>
      <w:r>
        <w:rPr>
          <w:rFonts w:hint="eastAsia" w:ascii="宋体" w:hAnsi="宋体" w:cs="宋体"/>
          <w:color w:val="000000"/>
          <w:sz w:val="24"/>
        </w:rPr>
        <w:fldChar w:fldCharType="end"/>
      </w:r>
      <w:r>
        <w:rPr>
          <w:rFonts w:hint="eastAsia" w:ascii="宋体" w:hAnsi="宋体" w:cs="宋体"/>
          <w:color w:val="000000"/>
          <w:sz w:val="24"/>
        </w:rPr>
        <w:t>检查设备各连接部分的紧固程度。</w:t>
      </w:r>
    </w:p>
    <w:p w14:paraId="79AA4903">
      <w:pPr>
        <w:spacing w:line="360" w:lineRule="auto"/>
        <w:ind w:firstLine="480" w:firstLineChars="200"/>
        <w:jc w:val="left"/>
        <w:rPr>
          <w:rFonts w:ascii="宋体" w:hAnsi="宋体" w:cs="宋体"/>
          <w:b/>
          <w:bCs/>
          <w:color w:val="000000"/>
          <w:sz w:val="24"/>
        </w:rPr>
      </w:pPr>
      <w:r>
        <w:rPr>
          <w:rFonts w:hint="eastAsia" w:ascii="宋体" w:hAnsi="宋体" w:cs="宋体"/>
          <w:b/>
          <w:bCs/>
          <w:color w:val="000000"/>
          <w:sz w:val="24"/>
        </w:rPr>
        <w:t>3.3报表：</w:t>
      </w:r>
    </w:p>
    <w:p w14:paraId="14BFEC88">
      <w:pPr>
        <w:spacing w:line="360" w:lineRule="auto"/>
        <w:ind w:firstLine="480" w:firstLineChars="200"/>
        <w:jc w:val="left"/>
        <w:rPr>
          <w:rFonts w:ascii="宋体" w:hAnsi="宋体" w:cs="宋体"/>
          <w:color w:val="000000"/>
          <w:sz w:val="24"/>
        </w:rPr>
      </w:pPr>
      <w:r>
        <w:rPr>
          <w:rFonts w:hint="eastAsia" w:ascii="宋体" w:hAnsi="宋体" w:cs="宋体"/>
          <w:color w:val="000000"/>
          <w:sz w:val="24"/>
        </w:rPr>
        <w:t>3.3.1认真填写保养工单，如实记录保养过程。</w:t>
      </w:r>
    </w:p>
    <w:p w14:paraId="21E1DB39">
      <w:pPr>
        <w:spacing w:line="360" w:lineRule="auto"/>
        <w:ind w:firstLine="480" w:firstLineChars="200"/>
        <w:jc w:val="left"/>
        <w:rPr>
          <w:rFonts w:ascii="宋体" w:hAnsi="宋体" w:cs="宋体"/>
          <w:color w:val="000000"/>
          <w:sz w:val="24"/>
        </w:rPr>
      </w:pPr>
      <w:r>
        <w:rPr>
          <w:rFonts w:hint="eastAsia" w:ascii="宋体" w:hAnsi="宋体" w:cs="宋体"/>
          <w:color w:val="000000"/>
          <w:sz w:val="24"/>
        </w:rPr>
        <w:t>3.3.2每半年对保养中有问题的泵房进行情况说明，半年末25日前提交汇总报表。</w:t>
      </w:r>
    </w:p>
    <w:p w14:paraId="70A3EDEC">
      <w:pPr>
        <w:spacing w:line="360" w:lineRule="auto"/>
        <w:jc w:val="left"/>
        <w:rPr>
          <w:rFonts w:ascii="宋体" w:hAnsi="宋体" w:cs="宋体"/>
          <w:b/>
          <w:bCs/>
          <w:color w:val="000000"/>
          <w:sz w:val="24"/>
        </w:rPr>
      </w:pPr>
      <w:r>
        <w:rPr>
          <w:rFonts w:hint="eastAsia" w:ascii="宋体" w:hAnsi="宋体" w:cs="宋体"/>
          <w:b/>
          <w:bCs/>
          <w:color w:val="000000"/>
          <w:sz w:val="24"/>
        </w:rPr>
        <w:t>五、水箱清洗：</w:t>
      </w:r>
    </w:p>
    <w:p w14:paraId="5BEB7D3B">
      <w:pPr>
        <w:spacing w:line="360" w:lineRule="auto"/>
        <w:ind w:firstLine="480" w:firstLineChars="200"/>
        <w:jc w:val="left"/>
        <w:rPr>
          <w:rFonts w:ascii="宋体" w:hAnsi="宋体" w:cs="宋体"/>
          <w:b/>
          <w:bCs/>
          <w:color w:val="000000"/>
          <w:sz w:val="24"/>
        </w:rPr>
      </w:pPr>
      <w:r>
        <w:rPr>
          <w:rFonts w:hint="eastAsia" w:ascii="宋体" w:hAnsi="宋体" w:cs="宋体"/>
          <w:b/>
          <w:bCs/>
          <w:color w:val="000000"/>
          <w:sz w:val="24"/>
        </w:rPr>
        <w:t>1.水箱清洗消毒操作标准：</w:t>
      </w:r>
    </w:p>
    <w:p w14:paraId="74301C11">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1.1清洗周期一年二次，并建立台帐及相关清洗记录。 </w:t>
      </w:r>
    </w:p>
    <w:p w14:paraId="74B1BDFF">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1.2 水箱清洗消毒应按计划严格执行，须提前24 小时通知物业，由物业公司签字确认，并张贴停水通知单告知用户。 </w:t>
      </w:r>
    </w:p>
    <w:p w14:paraId="61D2C935">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1.3 水箱清洗前，待水位下降至无水停机位置，打开进水阀门对进水管进行冲洗，无浑水后，关闭水箱进水阀门，排空水箱，关闭水泵，打开排水阀，放空水箱。 </w:t>
      </w:r>
    </w:p>
    <w:p w14:paraId="6E7DF3E8">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1.4 对水箱外壁、箱顶及泵房整体卫生进行清理。 </w:t>
      </w:r>
    </w:p>
    <w:p w14:paraId="7102FC92">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1.5 作业人员进入储水设施前，须做缺氧试验，安装通风及照明装置，照明电源采用安全电压。 </w:t>
      </w:r>
    </w:p>
    <w:p w14:paraId="1AA05F75">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1.6 作业人员佩戴防护用品后进入水箱进行清洗作业，同时留一人在水箱外守望，随时与水箱内人员保持联系。 </w:t>
      </w:r>
    </w:p>
    <w:p w14:paraId="157ACD12">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1.7 清洗顺序依次从水箱顶部→四周箱壁（尤其是箱壁结合有折隙的地方）→箱底进行刷洗。 </w:t>
      </w:r>
    </w:p>
    <w:p w14:paraId="2319DC8B">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1.8 对顶部、箱壁四周、箱底进行喷洒消毒，用浓度为500毫克升的次氯酸钠溶液自上而下均匀喷洒，人员撤出，关闭人孔。待消毒30分钟后用清水将箱顶及箱壁冲洗干净，冲洗水从水箱排水阀排走。 </w:t>
      </w:r>
    </w:p>
    <w:p w14:paraId="322E9265">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1.9 清洗完毕后必须清点人数、设备、工具无误后，方可关闭水箱人孔。开启水箱进水阀缓慢进水。 </w:t>
      </w:r>
    </w:p>
    <w:p w14:paraId="3FB2F49F">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1.10 水质合格后，缓慢开启机组，恢复供水，保证庭院管网及立管无浑水。 </w:t>
      </w:r>
    </w:p>
    <w:p w14:paraId="4F5F5FFD">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1.11 所用的消毒剂、清洗剂和除垢剂等涉及饮用水的卫生安全产品，应获得卫生行政许可部门颁发的涉及饮用水卫生安全产品“卫生许可批件”。 </w:t>
      </w:r>
    </w:p>
    <w:p w14:paraId="18F239CA">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1.12 雷雨天气不应进行高位水箱的清洗消毒作业。 </w:t>
      </w:r>
    </w:p>
    <w:p w14:paraId="1F9FBBCC">
      <w:pPr>
        <w:spacing w:line="360" w:lineRule="auto"/>
        <w:ind w:firstLine="480" w:firstLineChars="200"/>
        <w:jc w:val="left"/>
        <w:rPr>
          <w:rFonts w:ascii="宋体" w:hAnsi="宋体" w:cs="宋体"/>
          <w:color w:val="000000"/>
          <w:sz w:val="24"/>
        </w:rPr>
      </w:pPr>
      <w:r>
        <w:rPr>
          <w:rFonts w:hint="eastAsia" w:ascii="宋体" w:hAnsi="宋体" w:cs="宋体"/>
          <w:b/>
          <w:bCs/>
          <w:color w:val="000000"/>
          <w:sz w:val="24"/>
        </w:rPr>
        <w:t>2.水箱清洗完成验收标准：</w:t>
      </w:r>
      <w:r>
        <w:rPr>
          <w:rFonts w:hint="eastAsia" w:ascii="宋体" w:hAnsi="宋体" w:cs="宋体"/>
          <w:color w:val="000000"/>
          <w:sz w:val="24"/>
        </w:rPr>
        <w:t xml:space="preserve"> </w:t>
      </w:r>
    </w:p>
    <w:p w14:paraId="4DF44A8A">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2.1 清洗完成后水箱壁达到用手触摸无腻滑感为止。 </w:t>
      </w:r>
    </w:p>
    <w:p w14:paraId="2FDC6A46">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2.2 保证水箱水质，目视水体清澈透明。 </w:t>
      </w:r>
    </w:p>
    <w:p w14:paraId="35E5C69D">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2.3 水箱内外部无渗漏、锈蚀和变形，拉筋结构完好，无安全隐患。 </w:t>
      </w:r>
    </w:p>
    <w:p w14:paraId="4B013DF1">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2.4 水箱人孔处无锈蚀，人孔锁鼻无断裂，正常上锁。 </w:t>
      </w:r>
    </w:p>
    <w:p w14:paraId="09B21647">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2.5 水箱内外爬梯牢固无锈蚀。 </w:t>
      </w:r>
    </w:p>
    <w:p w14:paraId="100D5F76">
      <w:pPr>
        <w:spacing w:line="360" w:lineRule="auto"/>
        <w:ind w:firstLine="480" w:firstLineChars="200"/>
        <w:jc w:val="left"/>
        <w:rPr>
          <w:rFonts w:ascii="宋体" w:hAnsi="宋体" w:cs="宋体"/>
          <w:color w:val="000000"/>
          <w:sz w:val="24"/>
        </w:rPr>
      </w:pPr>
      <w:r>
        <w:rPr>
          <w:rFonts w:hint="eastAsia" w:ascii="宋体" w:hAnsi="宋体" w:cs="宋体"/>
          <w:color w:val="000000"/>
          <w:sz w:val="24"/>
        </w:rPr>
        <w:t>2.6 水箱透气孔、溢流管防虫网罩无缺失，完好。</w:t>
      </w:r>
    </w:p>
    <w:p w14:paraId="6C13F826">
      <w:pPr>
        <w:spacing w:line="360" w:lineRule="auto"/>
        <w:ind w:firstLine="480" w:firstLineChars="200"/>
        <w:jc w:val="left"/>
        <w:rPr>
          <w:rFonts w:ascii="宋体" w:hAnsi="宋体" w:cs="宋体"/>
          <w:color w:val="000000"/>
          <w:sz w:val="24"/>
        </w:rPr>
      </w:pPr>
      <w:r>
        <w:rPr>
          <w:rFonts w:hint="eastAsia" w:ascii="宋体" w:hAnsi="宋体" w:cs="宋体"/>
          <w:color w:val="000000"/>
          <w:sz w:val="24"/>
        </w:rPr>
        <w:t>2.7 出具水质监测报告。</w:t>
      </w:r>
    </w:p>
    <w:p w14:paraId="5523B22E">
      <w:pPr>
        <w:spacing w:line="360" w:lineRule="auto"/>
        <w:jc w:val="left"/>
        <w:rPr>
          <w:rFonts w:ascii="宋体" w:hAnsi="宋体" w:cs="宋体"/>
          <w:b/>
          <w:bCs/>
          <w:color w:val="000000"/>
          <w:sz w:val="24"/>
        </w:rPr>
      </w:pPr>
      <w:r>
        <w:rPr>
          <w:rFonts w:hint="eastAsia" w:ascii="宋体" w:hAnsi="宋体" w:cs="宋体"/>
          <w:b/>
          <w:bCs/>
          <w:color w:val="000000"/>
          <w:sz w:val="24"/>
        </w:rPr>
        <w:t>六、日常维修更换：</w:t>
      </w:r>
    </w:p>
    <w:p w14:paraId="55776999">
      <w:pPr>
        <w:spacing w:line="360" w:lineRule="auto"/>
        <w:ind w:firstLine="480" w:firstLineChars="200"/>
        <w:jc w:val="left"/>
        <w:rPr>
          <w:rFonts w:ascii="宋体" w:hAnsi="宋体" w:cs="宋体"/>
          <w:color w:val="000000"/>
          <w:sz w:val="24"/>
        </w:rPr>
      </w:pPr>
      <w:r>
        <w:rPr>
          <w:rFonts w:hint="eastAsia" w:ascii="宋体" w:hAnsi="宋体" w:cs="宋体"/>
          <w:b/>
          <w:bCs/>
          <w:color w:val="000000"/>
          <w:sz w:val="24"/>
        </w:rPr>
        <w:t>1.维修类别：</w:t>
      </w:r>
      <w:r>
        <w:rPr>
          <w:rFonts w:hint="eastAsia" w:ascii="宋体" w:hAnsi="宋体" w:cs="宋体"/>
          <w:color w:val="000000"/>
          <w:sz w:val="24"/>
        </w:rPr>
        <w:t>水泵维修、管道维修、控制柜维修、仪表维修（不包含水质仪表维修）、门窗维修、排污泵维修、阀门维修。</w:t>
      </w:r>
    </w:p>
    <w:p w14:paraId="611AF915">
      <w:pPr>
        <w:spacing w:line="360" w:lineRule="auto"/>
        <w:ind w:firstLine="480" w:firstLineChars="200"/>
        <w:jc w:val="left"/>
        <w:rPr>
          <w:rFonts w:ascii="宋体" w:hAnsi="宋体" w:cs="宋体"/>
          <w:b/>
          <w:bCs/>
          <w:color w:val="000000"/>
          <w:sz w:val="24"/>
        </w:rPr>
      </w:pPr>
      <w:r>
        <w:rPr>
          <w:rFonts w:hint="eastAsia" w:ascii="宋体" w:hAnsi="宋体" w:cs="宋体"/>
          <w:b/>
          <w:bCs/>
          <w:color w:val="000000"/>
          <w:sz w:val="24"/>
        </w:rPr>
        <w:t>2.维修方式：</w:t>
      </w:r>
    </w:p>
    <w:p w14:paraId="62D2870C">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2.1维修：工作内容是修复设备缺陷,恢复设施设备应有的性能和功能，维修时间安排一定要及时，适时、有效,防止故障扩大影响正常供水。 </w:t>
      </w:r>
    </w:p>
    <w:p w14:paraId="4193D131">
      <w:pPr>
        <w:spacing w:line="360" w:lineRule="auto"/>
        <w:ind w:firstLine="480" w:firstLineChars="200"/>
        <w:jc w:val="left"/>
        <w:rPr>
          <w:rFonts w:ascii="宋体" w:hAnsi="宋体" w:cs="宋体"/>
          <w:color w:val="000000"/>
          <w:sz w:val="24"/>
        </w:rPr>
      </w:pPr>
      <w:r>
        <w:rPr>
          <w:rFonts w:hint="eastAsia" w:ascii="宋体" w:hAnsi="宋体" w:cs="宋体"/>
          <w:color w:val="000000"/>
          <w:sz w:val="24"/>
        </w:rPr>
        <w:t>2.2维修、抢修方案由中标人出具，经采购人同意后，由采购人提供维修、抢修配件，中标人免费更换。</w:t>
      </w:r>
    </w:p>
    <w:p w14:paraId="5ECD2BFA">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2.3突发设备、设施故障，致使无法供水的，运行员须30分钟内到达现场处理，排除故障，并及时通知采购人的相关部门。 </w:t>
      </w:r>
    </w:p>
    <w:p w14:paraId="001CF43C">
      <w:pPr>
        <w:spacing w:line="360" w:lineRule="auto"/>
        <w:ind w:firstLine="480" w:firstLineChars="200"/>
        <w:jc w:val="left"/>
        <w:rPr>
          <w:rFonts w:ascii="宋体" w:hAnsi="宋体" w:cs="宋体"/>
          <w:color w:val="000000"/>
          <w:sz w:val="24"/>
        </w:rPr>
      </w:pPr>
      <w:r>
        <w:rPr>
          <w:rFonts w:hint="eastAsia" w:ascii="宋体" w:hAnsi="宋体" w:cs="宋体"/>
          <w:color w:val="000000"/>
          <w:sz w:val="24"/>
        </w:rPr>
        <w:t>2.4故障不能及时排除，停水时间较长的，应通知物业管理部门张贴停水通知并上报采购人。停水最长时间不能超过8小时。</w:t>
      </w:r>
    </w:p>
    <w:p w14:paraId="71D2502D">
      <w:pPr>
        <w:spacing w:line="360" w:lineRule="auto"/>
        <w:ind w:firstLine="480" w:firstLineChars="200"/>
        <w:jc w:val="left"/>
        <w:rPr>
          <w:rFonts w:ascii="宋体" w:hAnsi="宋体" w:cs="宋体"/>
          <w:color w:val="000000"/>
          <w:sz w:val="24"/>
        </w:rPr>
      </w:pPr>
      <w:r>
        <w:rPr>
          <w:rFonts w:hint="eastAsia" w:ascii="宋体" w:hAnsi="宋体" w:cs="宋体"/>
          <w:color w:val="000000"/>
          <w:sz w:val="24"/>
        </w:rPr>
        <w:t>2.5如事态紧急，应组织维修人员及时抢修，并报备采购人，事后提交维修申请。</w:t>
      </w:r>
    </w:p>
    <w:p w14:paraId="2C5AB8E6">
      <w:pPr>
        <w:spacing w:line="360" w:lineRule="auto"/>
        <w:ind w:firstLine="480" w:firstLineChars="200"/>
        <w:jc w:val="left"/>
        <w:rPr>
          <w:rFonts w:ascii="宋体" w:hAnsi="宋体" w:cs="宋体"/>
          <w:color w:val="000000"/>
          <w:sz w:val="24"/>
        </w:rPr>
      </w:pPr>
      <w:r>
        <w:rPr>
          <w:rFonts w:hint="eastAsia" w:ascii="宋体" w:hAnsi="宋体" w:cs="宋体"/>
          <w:color w:val="000000"/>
          <w:sz w:val="24"/>
        </w:rPr>
        <w:t>2.6所有维修都需要按采购人的工单流程进行记录维修情况。且必须由二供办人员签字才算有效。</w:t>
      </w:r>
    </w:p>
    <w:p w14:paraId="2F741CA8">
      <w:pPr>
        <w:spacing w:line="360" w:lineRule="auto"/>
        <w:ind w:firstLine="480" w:firstLineChars="200"/>
        <w:jc w:val="left"/>
        <w:rPr>
          <w:rFonts w:ascii="宋体" w:hAnsi="宋体" w:cs="宋体"/>
          <w:color w:val="000000"/>
          <w:sz w:val="24"/>
        </w:rPr>
      </w:pPr>
      <w:r>
        <w:rPr>
          <w:rFonts w:hint="eastAsia" w:ascii="宋体" w:hAnsi="宋体" w:cs="宋体"/>
          <w:color w:val="000000"/>
          <w:sz w:val="24"/>
        </w:rPr>
        <w:t>2.7涉及自控柜 PLC编程方面故障维修，由采购人协调原设备商，双方配合解决。</w:t>
      </w:r>
    </w:p>
    <w:p w14:paraId="147C2F5A">
      <w:pPr>
        <w:pStyle w:val="42"/>
        <w:ind w:firstLine="0"/>
        <w:rPr>
          <w:rFonts w:ascii="宋体" w:hAnsi="宋体" w:cs="宋体"/>
          <w:color w:val="000000"/>
        </w:rPr>
      </w:pPr>
      <w:r>
        <w:rPr>
          <w:rFonts w:hint="eastAsia" w:ascii="宋体" w:hAnsi="宋体" w:cs="宋体"/>
          <w:color w:val="000000"/>
        </w:rPr>
        <w:t xml:space="preserve">    2.8二次加压供水设备在质保期内的出现的问题，均由原设备商负责修理与更换配件，中标方需派人现场监督并拍照留档于二供办。</w:t>
      </w:r>
    </w:p>
    <w:p w14:paraId="7B314CC2">
      <w:pPr>
        <w:spacing w:line="360" w:lineRule="auto"/>
        <w:ind w:firstLine="480" w:firstLineChars="200"/>
        <w:jc w:val="left"/>
        <w:rPr>
          <w:rFonts w:ascii="宋体" w:hAnsi="宋体" w:cs="宋体"/>
          <w:b/>
          <w:bCs/>
          <w:color w:val="000000"/>
          <w:sz w:val="24"/>
        </w:rPr>
      </w:pPr>
      <w:r>
        <w:rPr>
          <w:rFonts w:hint="eastAsia" w:ascii="宋体" w:hAnsi="宋体" w:cs="宋体"/>
          <w:color w:val="000000"/>
          <w:sz w:val="24"/>
          <w:szCs w:val="24"/>
        </w:rPr>
        <w:t>2.9维修前如需停水，应报请管理部门，在获得管</w:t>
      </w:r>
      <w:r>
        <w:rPr>
          <w:rFonts w:hint="eastAsia" w:ascii="宋体" w:hAnsi="宋体" w:cs="宋体"/>
          <w:color w:val="000000"/>
          <w:sz w:val="24"/>
        </w:rPr>
        <w:t>理部门书面同意后执行，并在公示后备案；紧急停水前，应有口头通知，事后补齐书面材料备案。</w:t>
      </w:r>
    </w:p>
    <w:p w14:paraId="2D5AB01B">
      <w:pPr>
        <w:spacing w:line="360" w:lineRule="auto"/>
        <w:jc w:val="left"/>
        <w:rPr>
          <w:rFonts w:ascii="宋体" w:hAnsi="宋体" w:cs="宋体"/>
          <w:b/>
          <w:bCs/>
          <w:color w:val="000000"/>
          <w:sz w:val="24"/>
        </w:rPr>
      </w:pPr>
      <w:r>
        <w:rPr>
          <w:rFonts w:hint="eastAsia" w:ascii="宋体" w:hAnsi="宋体" w:cs="宋体"/>
          <w:b/>
          <w:bCs/>
          <w:color w:val="000000"/>
          <w:sz w:val="24"/>
        </w:rPr>
        <w:t>七、应急服务：</w:t>
      </w:r>
    </w:p>
    <w:p w14:paraId="0B22B86E">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1.对各类涉水事件(电动阀卡死、停电、控制柜损坏、仪表损坏、其他人为原因及不确定因素导致的停水等)、防台防汛等重要事件进行应急响应。</w:t>
      </w:r>
    </w:p>
    <w:p w14:paraId="4E0A056A">
      <w:pPr>
        <w:spacing w:line="360" w:lineRule="auto"/>
        <w:ind w:firstLine="480" w:firstLineChars="200"/>
        <w:jc w:val="left"/>
        <w:rPr>
          <w:rFonts w:ascii="宋体" w:hAnsi="宋体" w:cs="宋体"/>
          <w:b/>
          <w:bCs/>
          <w:color w:val="000000"/>
          <w:sz w:val="24"/>
        </w:rPr>
      </w:pPr>
      <w:r>
        <w:rPr>
          <w:rFonts w:hint="eastAsia" w:ascii="宋体" w:hAnsi="宋体" w:cs="宋体"/>
          <w:b/>
          <w:bCs/>
          <w:color w:val="000000"/>
          <w:sz w:val="24"/>
        </w:rPr>
        <w:t>2.应急处理要求：</w:t>
      </w:r>
    </w:p>
    <w:p w14:paraId="717E88D9">
      <w:pPr>
        <w:spacing w:line="360" w:lineRule="auto"/>
        <w:ind w:firstLine="480" w:firstLineChars="200"/>
        <w:jc w:val="left"/>
        <w:rPr>
          <w:rFonts w:ascii="宋体" w:hAnsi="宋体" w:cs="宋体"/>
          <w:b/>
          <w:bCs/>
          <w:color w:val="FF0000"/>
          <w:sz w:val="24"/>
          <w:u w:val="single"/>
        </w:rPr>
      </w:pPr>
      <w:r>
        <w:rPr>
          <w:rFonts w:hint="eastAsia" w:ascii="宋体" w:hAnsi="宋体" w:cs="宋体"/>
          <w:b/>
          <w:bCs/>
          <w:color w:val="FF0000"/>
          <w:sz w:val="24"/>
          <w:u w:val="single"/>
        </w:rPr>
        <w:t>▲2.1接到通知后，人员和车辆5分钟内准备完毕出发，中心城区保证30分钟内到达现场，乡镇保证1小时到达现场，</w:t>
      </w:r>
      <w:r>
        <w:rPr>
          <w:rFonts w:hint="eastAsia" w:ascii="宋体" w:hAnsi="宋体" w:cs="宋体"/>
          <w:b/>
          <w:bCs/>
          <w:color w:val="FF0000"/>
          <w:sz w:val="24"/>
          <w:u w:val="single"/>
          <w:lang w:val="en-US" w:eastAsia="zh-CN"/>
        </w:rPr>
        <w:t>并</w:t>
      </w:r>
      <w:r>
        <w:rPr>
          <w:rFonts w:hint="eastAsia" w:ascii="宋体" w:hAnsi="宋体" w:cs="宋体"/>
          <w:b/>
          <w:bCs/>
          <w:color w:val="FF0000"/>
          <w:sz w:val="24"/>
          <w:u w:val="single"/>
        </w:rPr>
        <w:t>迅速开展工作。【必须提供承诺函以及相关导航软件截图加盖公章，否则作无效标处理。】</w:t>
      </w:r>
    </w:p>
    <w:p w14:paraId="1E54E8C4">
      <w:pPr>
        <w:spacing w:line="360" w:lineRule="auto"/>
        <w:ind w:firstLine="480" w:firstLineChars="200"/>
        <w:jc w:val="left"/>
        <w:rPr>
          <w:rFonts w:ascii="宋体" w:hAnsi="宋体" w:cs="宋体"/>
          <w:color w:val="000000"/>
          <w:sz w:val="24"/>
        </w:rPr>
      </w:pPr>
      <w:r>
        <w:rPr>
          <w:rFonts w:hint="eastAsia" w:ascii="宋体" w:hAnsi="宋体" w:cs="宋体"/>
          <w:color w:val="000000"/>
          <w:sz w:val="24"/>
        </w:rPr>
        <w:t>2.2 跟踪应急事件处置过程，及时通报、反馈信息，协助供水企业处理相关工作要求。</w:t>
      </w:r>
    </w:p>
    <w:p w14:paraId="3A726B50">
      <w:pPr>
        <w:spacing w:line="360" w:lineRule="auto"/>
        <w:ind w:firstLine="480" w:firstLineChars="200"/>
        <w:jc w:val="left"/>
        <w:rPr>
          <w:rFonts w:ascii="宋体" w:hAnsi="宋体" w:cs="宋体"/>
          <w:color w:val="000000"/>
          <w:sz w:val="24"/>
        </w:rPr>
      </w:pPr>
      <w:r>
        <w:rPr>
          <w:rFonts w:hint="eastAsia" w:ascii="宋体" w:hAnsi="宋体" w:cs="宋体"/>
          <w:color w:val="000000"/>
          <w:sz w:val="24"/>
        </w:rPr>
        <w:t>2.3应协助供水企业做好临时供水工作。</w:t>
      </w:r>
    </w:p>
    <w:p w14:paraId="528BBA2C">
      <w:pPr>
        <w:spacing w:line="360" w:lineRule="auto"/>
        <w:ind w:firstLine="480" w:firstLineChars="200"/>
        <w:jc w:val="left"/>
        <w:rPr>
          <w:rFonts w:ascii="宋体" w:hAnsi="宋体" w:cs="宋体"/>
          <w:color w:val="000000"/>
          <w:sz w:val="24"/>
        </w:rPr>
      </w:pPr>
      <w:r>
        <w:rPr>
          <w:rFonts w:hint="eastAsia" w:ascii="宋体" w:hAnsi="宋体" w:cs="宋体"/>
          <w:color w:val="000000"/>
          <w:sz w:val="24"/>
        </w:rPr>
        <w:t>2.4 根据现场处理情况，必要时请求相关单位协助配合。</w:t>
      </w:r>
    </w:p>
    <w:p w14:paraId="55720938">
      <w:pPr>
        <w:spacing w:line="360" w:lineRule="auto"/>
        <w:ind w:firstLine="480" w:firstLineChars="200"/>
        <w:jc w:val="left"/>
        <w:rPr>
          <w:rFonts w:ascii="宋体" w:hAnsi="宋体" w:cs="宋体"/>
          <w:color w:val="000000"/>
          <w:sz w:val="24"/>
        </w:rPr>
      </w:pPr>
      <w:r>
        <w:rPr>
          <w:rFonts w:hint="eastAsia" w:ascii="宋体" w:hAnsi="宋体" w:cs="宋体"/>
          <w:color w:val="000000"/>
          <w:sz w:val="24"/>
        </w:rPr>
        <w:t>3.设备监控上线维护：设备监控断线后要求在24小时内修复上线。因网络问题未解决延误上线的及时报备。</w:t>
      </w:r>
    </w:p>
    <w:p w14:paraId="12D87E04">
      <w:pPr>
        <w:spacing w:line="360" w:lineRule="auto"/>
        <w:jc w:val="left"/>
        <w:rPr>
          <w:rFonts w:ascii="宋体" w:hAnsi="宋体" w:cs="宋体"/>
          <w:b/>
          <w:bCs/>
          <w:color w:val="000000"/>
          <w:sz w:val="24"/>
        </w:rPr>
      </w:pPr>
      <w:r>
        <w:rPr>
          <w:rFonts w:hint="eastAsia" w:ascii="宋体" w:hAnsi="宋体" w:cs="宋体"/>
          <w:b/>
          <w:bCs/>
          <w:color w:val="000000"/>
          <w:sz w:val="24"/>
        </w:rPr>
        <w:t>八、服务要求：</w:t>
      </w:r>
    </w:p>
    <w:p w14:paraId="16671CAC">
      <w:pPr>
        <w:spacing w:line="360" w:lineRule="auto"/>
        <w:ind w:firstLine="480" w:firstLineChars="200"/>
        <w:jc w:val="left"/>
        <w:rPr>
          <w:rFonts w:ascii="宋体" w:hAnsi="宋体" w:cs="宋体"/>
          <w:b/>
          <w:bCs/>
          <w:color w:val="000000"/>
          <w:sz w:val="24"/>
        </w:rPr>
      </w:pPr>
      <w:r>
        <w:rPr>
          <w:rFonts w:hint="eastAsia" w:ascii="宋体" w:hAnsi="宋体" w:cs="宋体"/>
          <w:b/>
          <w:bCs/>
          <w:color w:val="000000"/>
          <w:sz w:val="24"/>
        </w:rPr>
        <w:t>1.人员及服务响应：</w:t>
      </w:r>
    </w:p>
    <w:p w14:paraId="0CC3B553">
      <w:pPr>
        <w:spacing w:line="360" w:lineRule="auto"/>
        <w:ind w:firstLine="480" w:firstLineChars="200"/>
        <w:jc w:val="left"/>
        <w:rPr>
          <w:rFonts w:ascii="宋体" w:hAnsi="宋体" w:cs="宋体"/>
          <w:b/>
          <w:bCs/>
          <w:color w:val="FF0000"/>
          <w:sz w:val="24"/>
          <w:u w:val="single"/>
          <w:lang w:val="zh-CN"/>
        </w:rPr>
      </w:pPr>
      <w:r>
        <w:rPr>
          <w:rFonts w:hint="eastAsia" w:ascii="宋体" w:hAnsi="宋体" w:cs="宋体"/>
          <w:b/>
          <w:bCs/>
          <w:color w:val="FF0000"/>
          <w:sz w:val="24"/>
          <w:u w:val="single"/>
        </w:rPr>
        <w:t>▲1.1人员要求：</w:t>
      </w:r>
      <w:r>
        <w:rPr>
          <w:rFonts w:hint="eastAsia" w:ascii="宋体" w:hAnsi="宋体" w:cs="宋体"/>
          <w:b/>
          <w:bCs/>
          <w:color w:val="FF0000"/>
          <w:sz w:val="24"/>
          <w:u w:val="single"/>
          <w:lang w:val="zh-CN"/>
        </w:rPr>
        <w:t>运维团队中，维修技术人员</w:t>
      </w:r>
      <w:r>
        <w:rPr>
          <w:rFonts w:hint="eastAsia" w:ascii="宋体" w:hAnsi="宋体" w:cs="宋体"/>
          <w:b/>
          <w:bCs/>
          <w:color w:val="FF0000"/>
          <w:sz w:val="24"/>
          <w:u w:val="single"/>
        </w:rPr>
        <w:t>须</w:t>
      </w:r>
      <w:r>
        <w:rPr>
          <w:rFonts w:hint="eastAsia" w:ascii="宋体" w:hAnsi="宋体" w:cs="宋体"/>
          <w:b/>
          <w:bCs/>
          <w:color w:val="FF0000"/>
          <w:sz w:val="24"/>
          <w:u w:val="single"/>
          <w:lang w:val="zh-CN"/>
        </w:rPr>
        <w:t>具有一定的设备维护经验，</w:t>
      </w:r>
      <w:r>
        <w:rPr>
          <w:rFonts w:hint="eastAsia" w:ascii="宋体" w:hAnsi="宋体" w:cs="宋体"/>
          <w:b/>
          <w:bCs/>
          <w:color w:val="FF0000"/>
          <w:sz w:val="24"/>
          <w:u w:val="single"/>
        </w:rPr>
        <w:t>至少配备</w:t>
      </w:r>
      <w:r>
        <w:rPr>
          <w:rFonts w:hint="eastAsia" w:ascii="宋体" w:hAnsi="宋体" w:cs="宋体"/>
          <w:b/>
          <w:bCs/>
          <w:color w:val="FF0000"/>
          <w:sz w:val="24"/>
          <w:u w:val="single"/>
          <w:lang w:val="zh-CN"/>
        </w:rPr>
        <w:t>10人，</w:t>
      </w:r>
      <w:r>
        <w:rPr>
          <w:rFonts w:hint="eastAsia" w:ascii="宋体" w:hAnsi="宋体" w:cs="宋体"/>
          <w:b/>
          <w:bCs/>
          <w:color w:val="FF0000"/>
          <w:sz w:val="24"/>
          <w:u w:val="single"/>
        </w:rPr>
        <w:t>必须具备</w:t>
      </w:r>
      <w:r>
        <w:rPr>
          <w:rFonts w:hint="eastAsia" w:ascii="宋体" w:hAnsi="宋体" w:cs="宋体"/>
          <w:b/>
          <w:bCs/>
          <w:color w:val="FF0000"/>
          <w:sz w:val="24"/>
          <w:u w:val="single"/>
          <w:lang w:val="zh-CN"/>
        </w:rPr>
        <w:t>机械类、电气类、自动化类、信息化类四</w:t>
      </w:r>
      <w:r>
        <w:rPr>
          <w:rFonts w:hint="eastAsia" w:ascii="宋体" w:hAnsi="宋体" w:cs="宋体"/>
          <w:b/>
          <w:bCs/>
          <w:color w:val="FF0000"/>
          <w:sz w:val="24"/>
          <w:u w:val="single"/>
        </w:rPr>
        <w:t>个专业，并</w:t>
      </w:r>
      <w:r>
        <w:rPr>
          <w:rFonts w:hint="eastAsia" w:ascii="宋体" w:hAnsi="宋体" w:cs="宋体"/>
          <w:b/>
          <w:bCs/>
          <w:color w:val="FF0000"/>
          <w:sz w:val="24"/>
          <w:u w:val="single"/>
          <w:lang w:val="zh-CN"/>
        </w:rPr>
        <w:t>且具有</w:t>
      </w:r>
      <w:r>
        <w:rPr>
          <w:rFonts w:hint="eastAsia" w:ascii="宋体" w:hAnsi="宋体" w:cs="宋体"/>
          <w:b/>
          <w:bCs/>
          <w:color w:val="FF0000"/>
          <w:sz w:val="24"/>
          <w:u w:val="single"/>
        </w:rPr>
        <w:t>相应</w:t>
      </w:r>
      <w:r>
        <w:rPr>
          <w:rFonts w:hint="eastAsia" w:ascii="宋体" w:hAnsi="宋体" w:cs="宋体"/>
          <w:b/>
          <w:bCs/>
          <w:color w:val="FF0000"/>
          <w:sz w:val="24"/>
          <w:u w:val="single"/>
          <w:lang w:val="zh-CN"/>
        </w:rPr>
        <w:t>的技术证书。</w:t>
      </w:r>
      <w:r>
        <w:rPr>
          <w:rFonts w:hint="eastAsia" w:ascii="宋体" w:hAnsi="宋体" w:cs="宋体"/>
          <w:b/>
          <w:bCs/>
          <w:color w:val="FF0000"/>
          <w:sz w:val="24"/>
          <w:u w:val="single"/>
        </w:rPr>
        <w:t>其中</w:t>
      </w:r>
      <w:r>
        <w:rPr>
          <w:rFonts w:hint="eastAsia" w:ascii="宋体" w:hAnsi="宋体" w:cs="宋体"/>
          <w:b/>
          <w:bCs/>
          <w:color w:val="FF0000"/>
          <w:sz w:val="24"/>
          <w:u w:val="single"/>
          <w:lang w:val="zh-CN"/>
        </w:rPr>
        <w:t>从事二次供水水箱清洗人员和从事泵房环境清洁作业人员</w:t>
      </w:r>
      <w:r>
        <w:rPr>
          <w:rFonts w:hint="eastAsia" w:ascii="宋体" w:hAnsi="宋体" w:cs="宋体"/>
          <w:b/>
          <w:bCs/>
          <w:color w:val="FF0000"/>
          <w:sz w:val="24"/>
          <w:u w:val="single"/>
        </w:rPr>
        <w:t>至少配备</w:t>
      </w:r>
      <w:r>
        <w:rPr>
          <w:rFonts w:hint="eastAsia" w:ascii="宋体" w:hAnsi="宋体" w:cs="宋体"/>
          <w:b/>
          <w:bCs/>
          <w:color w:val="FF0000"/>
          <w:sz w:val="24"/>
          <w:u w:val="single"/>
          <w:lang w:val="zh-CN"/>
        </w:rPr>
        <w:t>2人</w:t>
      </w:r>
      <w:r>
        <w:rPr>
          <w:rFonts w:hint="eastAsia" w:ascii="宋体" w:hAnsi="宋体" w:cs="宋体"/>
          <w:b/>
          <w:bCs/>
          <w:color w:val="FF0000"/>
          <w:sz w:val="24"/>
          <w:u w:val="single"/>
          <w:shd w:val="clear" w:color="auto"/>
          <w:lang w:val="zh-CN"/>
        </w:rPr>
        <w:t>（</w:t>
      </w:r>
      <w:r>
        <w:rPr>
          <w:rFonts w:hint="eastAsia" w:ascii="宋体" w:hAnsi="宋体" w:cs="宋体"/>
          <w:b/>
          <w:bCs/>
          <w:color w:val="FF0000"/>
          <w:sz w:val="24"/>
          <w:u w:val="single"/>
          <w:shd w:val="clear" w:color="auto"/>
        </w:rPr>
        <w:t>提供高空作业证书以及健康证</w:t>
      </w:r>
      <w:r>
        <w:rPr>
          <w:rFonts w:hint="eastAsia" w:ascii="宋体" w:hAnsi="宋体" w:cs="宋体"/>
          <w:b/>
          <w:bCs/>
          <w:color w:val="FF0000"/>
          <w:sz w:val="24"/>
          <w:u w:val="single"/>
          <w:shd w:val="clear" w:color="auto"/>
          <w:lang w:val="zh-CN"/>
        </w:rPr>
        <w:t>）</w:t>
      </w:r>
      <w:r>
        <w:rPr>
          <w:rFonts w:hint="eastAsia" w:ascii="宋体" w:hAnsi="宋体" w:cs="宋体"/>
          <w:b/>
          <w:bCs/>
          <w:color w:val="FF0000"/>
          <w:sz w:val="24"/>
          <w:u w:val="single"/>
          <w:lang w:val="zh-CN"/>
        </w:rPr>
        <w:t>。</w:t>
      </w:r>
    </w:p>
    <w:p w14:paraId="4B0FE587">
      <w:pPr>
        <w:spacing w:line="360" w:lineRule="auto"/>
        <w:ind w:firstLine="480" w:firstLineChars="200"/>
        <w:jc w:val="left"/>
        <w:rPr>
          <w:rFonts w:ascii="宋体" w:hAnsi="宋体" w:cs="宋体"/>
          <w:color w:val="000000"/>
          <w:sz w:val="24"/>
        </w:rPr>
      </w:pPr>
      <w:r>
        <w:rPr>
          <w:rFonts w:hint="eastAsia" w:ascii="宋体" w:hAnsi="宋体" w:cs="宋体"/>
          <w:color w:val="000000"/>
          <w:sz w:val="24"/>
          <w:lang w:val="zh-CN"/>
        </w:rPr>
        <w:t>【</w:t>
      </w:r>
      <w:r>
        <w:rPr>
          <w:rFonts w:hint="eastAsia" w:ascii="宋体" w:hAnsi="宋体" w:cs="宋体"/>
          <w:color w:val="000000"/>
          <w:sz w:val="24"/>
        </w:rPr>
        <w:t>以上人员提供证书扫描件或复印件（证书内必须能体现专业）、身份证复印件、加盖公章编入投标文件中，同时提供由社保部门出具的202</w:t>
      </w:r>
      <w:r>
        <w:rPr>
          <w:rFonts w:hint="eastAsia" w:ascii="宋体" w:hAnsi="宋体" w:cs="宋体"/>
          <w:color w:val="000000"/>
          <w:sz w:val="24"/>
          <w:lang w:val="en-US" w:eastAsia="zh-CN"/>
        </w:rPr>
        <w:t>4</w:t>
      </w:r>
      <w:r>
        <w:rPr>
          <w:rFonts w:hint="eastAsia" w:ascii="宋体" w:hAnsi="宋体" w:cs="宋体"/>
          <w:color w:val="000000"/>
          <w:sz w:val="24"/>
        </w:rPr>
        <w:t>年1</w:t>
      </w:r>
      <w:r>
        <w:rPr>
          <w:rFonts w:hint="eastAsia" w:ascii="宋体" w:hAnsi="宋体" w:cs="宋体"/>
          <w:color w:val="000000"/>
          <w:sz w:val="24"/>
          <w:lang w:val="en-US" w:eastAsia="zh-CN"/>
        </w:rPr>
        <w:t>2</w:t>
      </w:r>
      <w:r>
        <w:rPr>
          <w:rFonts w:hint="eastAsia" w:ascii="宋体" w:hAnsi="宋体" w:cs="宋体"/>
          <w:color w:val="000000"/>
          <w:sz w:val="24"/>
        </w:rPr>
        <w:t>月-2025年</w:t>
      </w:r>
      <w:r>
        <w:rPr>
          <w:rFonts w:hint="eastAsia" w:ascii="宋体" w:hAnsi="宋体" w:cs="宋体"/>
          <w:color w:val="000000"/>
          <w:sz w:val="24"/>
          <w:lang w:val="en-US" w:eastAsia="zh-CN"/>
        </w:rPr>
        <w:t>2</w:t>
      </w:r>
      <w:r>
        <w:rPr>
          <w:rFonts w:hint="eastAsia" w:ascii="宋体" w:hAnsi="宋体" w:cs="宋体"/>
          <w:color w:val="000000"/>
          <w:sz w:val="24"/>
        </w:rPr>
        <w:t>月投标人单位为其缴纳的社保证明材料复印件加盖公章，资料提供不全的作无效标处理。</w:t>
      </w:r>
      <w:r>
        <w:rPr>
          <w:rFonts w:hint="eastAsia" w:ascii="宋体" w:hAnsi="宋体" w:cs="宋体"/>
          <w:color w:val="000000"/>
          <w:sz w:val="24"/>
          <w:lang w:val="zh-CN"/>
        </w:rPr>
        <w:t>】</w:t>
      </w:r>
    </w:p>
    <w:p w14:paraId="3BE5449C">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1.2服务响应：接到通知后，人员和车辆5分钟内准备完毕出发，以各区属地供水分公司为中心，15公里范围内保证30分钟内到达现场，15公里外1小时到达现场，迅速开展工作。</w:t>
      </w:r>
    </w:p>
    <w:p w14:paraId="6585E2F8">
      <w:pPr>
        <w:spacing w:line="360" w:lineRule="auto"/>
        <w:ind w:firstLine="480" w:firstLineChars="200"/>
        <w:jc w:val="left"/>
        <w:rPr>
          <w:rFonts w:ascii="宋体" w:hAnsi="宋体" w:cs="宋体"/>
          <w:b/>
          <w:bCs/>
          <w:color w:val="000000"/>
          <w:sz w:val="24"/>
        </w:rPr>
      </w:pPr>
      <w:r>
        <w:rPr>
          <w:rFonts w:hint="eastAsia" w:ascii="宋体" w:hAnsi="宋体" w:cs="宋体"/>
          <w:b/>
          <w:bCs/>
          <w:color w:val="000000"/>
          <w:sz w:val="24"/>
        </w:rPr>
        <w:t>2.主要设备及配件要求：</w:t>
      </w:r>
    </w:p>
    <w:p w14:paraId="5C613D2D">
      <w:pPr>
        <w:spacing w:line="360" w:lineRule="auto"/>
        <w:ind w:firstLine="480" w:firstLineChars="200"/>
        <w:jc w:val="left"/>
        <w:rPr>
          <w:rFonts w:ascii="宋体" w:hAnsi="宋体" w:cs="宋体"/>
          <w:color w:val="000000"/>
          <w:sz w:val="24"/>
        </w:rPr>
      </w:pPr>
      <w:r>
        <w:rPr>
          <w:rFonts w:hint="eastAsia" w:ascii="宋体" w:hAnsi="宋体" w:cs="宋体"/>
          <w:color w:val="000000"/>
          <w:sz w:val="24"/>
        </w:rPr>
        <w:t>2.1投标人应建立备品仓库，须有本项目所需的设备主件、易损易耗件。</w:t>
      </w:r>
    </w:p>
    <w:p w14:paraId="1974D592">
      <w:pPr>
        <w:spacing w:line="360" w:lineRule="auto"/>
        <w:ind w:firstLine="480" w:firstLineChars="200"/>
        <w:jc w:val="left"/>
        <w:rPr>
          <w:rFonts w:ascii="宋体" w:hAnsi="宋体" w:cs="宋体"/>
          <w:color w:val="000000"/>
          <w:sz w:val="24"/>
        </w:rPr>
      </w:pPr>
      <w:r>
        <w:rPr>
          <w:rFonts w:hint="eastAsia" w:ascii="宋体" w:hAnsi="宋体" w:cs="宋体"/>
          <w:color w:val="000000"/>
          <w:sz w:val="24"/>
        </w:rPr>
        <w:t>2.2 设备主件、配件品牌、型号须符合投标人要求。</w:t>
      </w:r>
    </w:p>
    <w:p w14:paraId="3231FCEF">
      <w:pPr>
        <w:spacing w:line="360" w:lineRule="auto"/>
        <w:ind w:firstLine="480" w:firstLineChars="200"/>
        <w:jc w:val="left"/>
        <w:rPr>
          <w:rFonts w:ascii="宋体" w:hAnsi="宋体" w:cs="宋体"/>
          <w:color w:val="000000"/>
          <w:sz w:val="24"/>
        </w:rPr>
      </w:pPr>
      <w:r>
        <w:rPr>
          <w:rFonts w:hint="eastAsia" w:ascii="宋体" w:hAnsi="宋体" w:cs="宋体"/>
          <w:color w:val="000000"/>
          <w:sz w:val="24"/>
        </w:rPr>
        <w:t>2.3 主要设备要求：</w:t>
      </w:r>
    </w:p>
    <w:p w14:paraId="42C12DD2">
      <w:pPr>
        <w:spacing w:line="34" w:lineRule="exact"/>
      </w:pPr>
    </w:p>
    <w:tbl>
      <w:tblPr>
        <w:tblStyle w:val="257"/>
        <w:tblW w:w="9117" w:type="dxa"/>
        <w:tblInd w:w="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4"/>
        <w:gridCol w:w="2307"/>
        <w:gridCol w:w="960"/>
        <w:gridCol w:w="4886"/>
      </w:tblGrid>
      <w:tr w14:paraId="00C99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blHeader/>
        </w:trPr>
        <w:tc>
          <w:tcPr>
            <w:tcW w:w="964" w:type="dxa"/>
            <w:vAlign w:val="center"/>
          </w:tcPr>
          <w:p w14:paraId="0807B8B2">
            <w:pPr>
              <w:pStyle w:val="272"/>
              <w:spacing w:before="35" w:line="201" w:lineRule="auto"/>
              <w:jc w:val="center"/>
              <w:rPr>
                <w:b/>
                <w:bCs/>
                <w:spacing w:val="2"/>
                <w:sz w:val="24"/>
                <w:szCs w:val="24"/>
              </w:rPr>
            </w:pPr>
            <w:r>
              <w:rPr>
                <w:b/>
                <w:bCs/>
                <w:spacing w:val="2"/>
                <w:sz w:val="24"/>
                <w:szCs w:val="24"/>
              </w:rPr>
              <w:t>序号</w:t>
            </w:r>
          </w:p>
        </w:tc>
        <w:tc>
          <w:tcPr>
            <w:tcW w:w="2307" w:type="dxa"/>
            <w:vAlign w:val="center"/>
          </w:tcPr>
          <w:p w14:paraId="2B452B41">
            <w:pPr>
              <w:pStyle w:val="272"/>
              <w:spacing w:before="35" w:line="201" w:lineRule="auto"/>
              <w:jc w:val="center"/>
              <w:rPr>
                <w:b/>
                <w:bCs/>
                <w:sz w:val="24"/>
                <w:szCs w:val="24"/>
              </w:rPr>
            </w:pPr>
            <w:r>
              <w:rPr>
                <w:b/>
                <w:bCs/>
                <w:spacing w:val="2"/>
                <w:sz w:val="24"/>
                <w:szCs w:val="24"/>
              </w:rPr>
              <w:t>设备名称</w:t>
            </w:r>
          </w:p>
        </w:tc>
        <w:tc>
          <w:tcPr>
            <w:tcW w:w="960" w:type="dxa"/>
            <w:vAlign w:val="center"/>
          </w:tcPr>
          <w:p w14:paraId="179924FF">
            <w:pPr>
              <w:pStyle w:val="272"/>
              <w:spacing w:before="33" w:line="203" w:lineRule="auto"/>
              <w:jc w:val="center"/>
              <w:rPr>
                <w:b/>
                <w:bCs/>
                <w:sz w:val="24"/>
                <w:szCs w:val="24"/>
              </w:rPr>
            </w:pPr>
            <w:r>
              <w:rPr>
                <w:b/>
                <w:bCs/>
                <w:spacing w:val="-3"/>
                <w:sz w:val="24"/>
                <w:szCs w:val="24"/>
              </w:rPr>
              <w:t>数量</w:t>
            </w:r>
          </w:p>
        </w:tc>
        <w:tc>
          <w:tcPr>
            <w:tcW w:w="4886" w:type="dxa"/>
          </w:tcPr>
          <w:p w14:paraId="692D0FF1">
            <w:pPr>
              <w:pStyle w:val="272"/>
              <w:spacing w:before="36" w:line="196" w:lineRule="auto"/>
              <w:jc w:val="center"/>
              <w:rPr>
                <w:b/>
                <w:bCs/>
                <w:spacing w:val="2"/>
                <w:kern w:val="2"/>
                <w:sz w:val="24"/>
                <w:szCs w:val="24"/>
              </w:rPr>
            </w:pPr>
            <w:r>
              <w:rPr>
                <w:b/>
                <w:bCs/>
                <w:spacing w:val="2"/>
                <w:kern w:val="2"/>
                <w:sz w:val="24"/>
                <w:szCs w:val="24"/>
              </w:rPr>
              <w:t>备注</w:t>
            </w:r>
          </w:p>
        </w:tc>
      </w:tr>
      <w:tr w14:paraId="76205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64" w:type="dxa"/>
            <w:vAlign w:val="center"/>
          </w:tcPr>
          <w:p w14:paraId="4FDCEC9F">
            <w:pPr>
              <w:jc w:val="center"/>
              <w:rPr>
                <w:rFonts w:ascii="宋体" w:hAnsi="宋体" w:cs="宋体"/>
                <w:spacing w:val="2"/>
                <w:kern w:val="2"/>
                <w:sz w:val="24"/>
                <w:szCs w:val="24"/>
              </w:rPr>
            </w:pPr>
            <w:r>
              <w:rPr>
                <w:rFonts w:hint="eastAsia" w:ascii="宋体" w:hAnsi="宋体" w:cs="宋体"/>
                <w:spacing w:val="2"/>
                <w:kern w:val="2"/>
                <w:sz w:val="24"/>
                <w:szCs w:val="24"/>
              </w:rPr>
              <w:t>1</w:t>
            </w:r>
          </w:p>
        </w:tc>
        <w:tc>
          <w:tcPr>
            <w:tcW w:w="2307" w:type="dxa"/>
            <w:vAlign w:val="center"/>
          </w:tcPr>
          <w:p w14:paraId="696E6A6D">
            <w:pPr>
              <w:pStyle w:val="272"/>
              <w:spacing w:before="79" w:line="219" w:lineRule="auto"/>
              <w:jc w:val="center"/>
              <w:rPr>
                <w:sz w:val="24"/>
                <w:szCs w:val="24"/>
              </w:rPr>
            </w:pPr>
            <w:r>
              <w:rPr>
                <w:spacing w:val="6"/>
                <w:sz w:val="24"/>
                <w:szCs w:val="24"/>
              </w:rPr>
              <w:t>抢修车(客车)</w:t>
            </w:r>
          </w:p>
        </w:tc>
        <w:tc>
          <w:tcPr>
            <w:tcW w:w="960" w:type="dxa"/>
            <w:vAlign w:val="center"/>
          </w:tcPr>
          <w:p w14:paraId="4BF5B4A8">
            <w:pPr>
              <w:pStyle w:val="272"/>
              <w:spacing w:before="109" w:line="219" w:lineRule="auto"/>
              <w:jc w:val="center"/>
              <w:rPr>
                <w:sz w:val="24"/>
                <w:szCs w:val="24"/>
              </w:rPr>
            </w:pPr>
            <w:r>
              <w:rPr>
                <w:spacing w:val="-7"/>
                <w:sz w:val="24"/>
                <w:szCs w:val="24"/>
              </w:rPr>
              <w:t>3辆</w:t>
            </w:r>
          </w:p>
        </w:tc>
        <w:tc>
          <w:tcPr>
            <w:tcW w:w="4886" w:type="dxa"/>
            <w:vAlign w:val="center"/>
          </w:tcPr>
          <w:p w14:paraId="2C2081CD">
            <w:pPr>
              <w:pStyle w:val="272"/>
              <w:spacing w:before="36" w:line="196" w:lineRule="auto"/>
              <w:jc w:val="center"/>
              <w:rPr>
                <w:spacing w:val="2"/>
                <w:kern w:val="2"/>
                <w:sz w:val="24"/>
                <w:szCs w:val="24"/>
                <w:lang w:eastAsia="zh-CN"/>
              </w:rPr>
            </w:pPr>
            <w:r>
              <w:rPr>
                <w:rFonts w:hint="eastAsia"/>
                <w:spacing w:val="2"/>
                <w:kern w:val="2"/>
                <w:sz w:val="24"/>
                <w:szCs w:val="24"/>
                <w:lang w:eastAsia="zh-CN"/>
              </w:rPr>
              <w:t>/</w:t>
            </w:r>
          </w:p>
        </w:tc>
      </w:tr>
      <w:tr w14:paraId="2DC7B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64" w:type="dxa"/>
            <w:vAlign w:val="center"/>
          </w:tcPr>
          <w:p w14:paraId="51BAAB81">
            <w:pPr>
              <w:pStyle w:val="272"/>
              <w:spacing w:before="35" w:line="201" w:lineRule="auto"/>
              <w:jc w:val="center"/>
              <w:rPr>
                <w:spacing w:val="2"/>
                <w:kern w:val="2"/>
                <w:sz w:val="24"/>
                <w:szCs w:val="24"/>
              </w:rPr>
            </w:pPr>
            <w:r>
              <w:rPr>
                <w:spacing w:val="2"/>
                <w:kern w:val="2"/>
                <w:sz w:val="24"/>
                <w:szCs w:val="24"/>
              </w:rPr>
              <w:t>2</w:t>
            </w:r>
          </w:p>
        </w:tc>
        <w:tc>
          <w:tcPr>
            <w:tcW w:w="2307" w:type="dxa"/>
            <w:vAlign w:val="center"/>
          </w:tcPr>
          <w:p w14:paraId="01526815">
            <w:pPr>
              <w:pStyle w:val="272"/>
              <w:spacing w:before="30" w:line="201" w:lineRule="auto"/>
              <w:jc w:val="center"/>
              <w:rPr>
                <w:sz w:val="24"/>
                <w:szCs w:val="24"/>
              </w:rPr>
            </w:pPr>
            <w:r>
              <w:rPr>
                <w:spacing w:val="-2"/>
                <w:sz w:val="24"/>
                <w:szCs w:val="24"/>
              </w:rPr>
              <w:t>温度检测仪</w:t>
            </w:r>
          </w:p>
        </w:tc>
        <w:tc>
          <w:tcPr>
            <w:tcW w:w="960" w:type="dxa"/>
            <w:vAlign w:val="center"/>
          </w:tcPr>
          <w:p w14:paraId="516F968A">
            <w:pPr>
              <w:pStyle w:val="272"/>
              <w:spacing w:before="31" w:line="200" w:lineRule="auto"/>
              <w:jc w:val="center"/>
              <w:rPr>
                <w:sz w:val="24"/>
                <w:szCs w:val="24"/>
              </w:rPr>
            </w:pPr>
            <w:r>
              <w:rPr>
                <w:spacing w:val="-12"/>
                <w:sz w:val="24"/>
                <w:szCs w:val="24"/>
              </w:rPr>
              <w:t>1套</w:t>
            </w:r>
          </w:p>
        </w:tc>
        <w:tc>
          <w:tcPr>
            <w:tcW w:w="4886" w:type="dxa"/>
            <w:vAlign w:val="center"/>
          </w:tcPr>
          <w:p w14:paraId="40EF0CB8">
            <w:pPr>
              <w:pStyle w:val="272"/>
              <w:spacing w:before="36" w:line="196" w:lineRule="auto"/>
              <w:jc w:val="center"/>
              <w:rPr>
                <w:spacing w:val="2"/>
                <w:kern w:val="2"/>
                <w:sz w:val="24"/>
                <w:szCs w:val="24"/>
              </w:rPr>
            </w:pPr>
            <w:r>
              <w:rPr>
                <w:spacing w:val="2"/>
                <w:kern w:val="2"/>
                <w:sz w:val="24"/>
                <w:szCs w:val="24"/>
              </w:rPr>
              <w:t>红外式</w:t>
            </w:r>
          </w:p>
        </w:tc>
      </w:tr>
      <w:tr w14:paraId="48CB8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64" w:type="dxa"/>
            <w:vAlign w:val="center"/>
          </w:tcPr>
          <w:p w14:paraId="612918C0">
            <w:pPr>
              <w:pStyle w:val="272"/>
              <w:spacing w:before="35" w:line="201" w:lineRule="auto"/>
              <w:jc w:val="center"/>
              <w:rPr>
                <w:spacing w:val="2"/>
                <w:kern w:val="2"/>
                <w:sz w:val="24"/>
                <w:szCs w:val="24"/>
              </w:rPr>
            </w:pPr>
            <w:r>
              <w:rPr>
                <w:spacing w:val="2"/>
                <w:kern w:val="2"/>
                <w:sz w:val="24"/>
                <w:szCs w:val="24"/>
              </w:rPr>
              <w:t>3</w:t>
            </w:r>
          </w:p>
        </w:tc>
        <w:tc>
          <w:tcPr>
            <w:tcW w:w="2307" w:type="dxa"/>
            <w:vAlign w:val="center"/>
          </w:tcPr>
          <w:p w14:paraId="00A75CFD">
            <w:pPr>
              <w:pStyle w:val="272"/>
              <w:spacing w:before="31" w:line="201" w:lineRule="auto"/>
              <w:jc w:val="center"/>
              <w:rPr>
                <w:sz w:val="24"/>
                <w:szCs w:val="24"/>
              </w:rPr>
            </w:pPr>
            <w:r>
              <w:rPr>
                <w:spacing w:val="-2"/>
                <w:sz w:val="24"/>
                <w:szCs w:val="24"/>
              </w:rPr>
              <w:t>振动检测仪</w:t>
            </w:r>
          </w:p>
        </w:tc>
        <w:tc>
          <w:tcPr>
            <w:tcW w:w="960" w:type="dxa"/>
            <w:vAlign w:val="center"/>
          </w:tcPr>
          <w:p w14:paraId="2FA70438">
            <w:pPr>
              <w:pStyle w:val="272"/>
              <w:spacing w:before="32" w:line="200" w:lineRule="auto"/>
              <w:jc w:val="center"/>
              <w:rPr>
                <w:sz w:val="24"/>
                <w:szCs w:val="24"/>
              </w:rPr>
            </w:pPr>
            <w:r>
              <w:rPr>
                <w:spacing w:val="-12"/>
                <w:sz w:val="24"/>
                <w:szCs w:val="24"/>
              </w:rPr>
              <w:t>1套</w:t>
            </w:r>
          </w:p>
        </w:tc>
        <w:tc>
          <w:tcPr>
            <w:tcW w:w="4886" w:type="dxa"/>
            <w:vAlign w:val="center"/>
          </w:tcPr>
          <w:p w14:paraId="35599590">
            <w:pPr>
              <w:pStyle w:val="272"/>
              <w:spacing w:before="36" w:line="196" w:lineRule="auto"/>
              <w:jc w:val="center"/>
              <w:rPr>
                <w:spacing w:val="2"/>
                <w:kern w:val="2"/>
                <w:sz w:val="24"/>
                <w:szCs w:val="24"/>
              </w:rPr>
            </w:pPr>
            <w:r>
              <w:rPr>
                <w:spacing w:val="2"/>
                <w:kern w:val="2"/>
                <w:sz w:val="24"/>
                <w:szCs w:val="24"/>
              </w:rPr>
              <w:t>毫秒式</w:t>
            </w:r>
          </w:p>
        </w:tc>
      </w:tr>
      <w:tr w14:paraId="4AC72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64" w:type="dxa"/>
            <w:vAlign w:val="center"/>
          </w:tcPr>
          <w:p w14:paraId="428660B1">
            <w:pPr>
              <w:pStyle w:val="272"/>
              <w:spacing w:before="35" w:line="201" w:lineRule="auto"/>
              <w:jc w:val="center"/>
              <w:rPr>
                <w:spacing w:val="2"/>
                <w:kern w:val="2"/>
                <w:sz w:val="24"/>
                <w:szCs w:val="24"/>
              </w:rPr>
            </w:pPr>
            <w:r>
              <w:rPr>
                <w:spacing w:val="2"/>
                <w:kern w:val="2"/>
                <w:sz w:val="24"/>
                <w:szCs w:val="24"/>
              </w:rPr>
              <w:t>4</w:t>
            </w:r>
          </w:p>
        </w:tc>
        <w:tc>
          <w:tcPr>
            <w:tcW w:w="2307" w:type="dxa"/>
            <w:vAlign w:val="center"/>
          </w:tcPr>
          <w:p w14:paraId="38383F51">
            <w:pPr>
              <w:pStyle w:val="272"/>
              <w:spacing w:before="31" w:line="200" w:lineRule="auto"/>
              <w:jc w:val="center"/>
              <w:rPr>
                <w:sz w:val="24"/>
                <w:szCs w:val="24"/>
              </w:rPr>
            </w:pPr>
            <w:r>
              <w:rPr>
                <w:spacing w:val="3"/>
                <w:sz w:val="24"/>
                <w:szCs w:val="24"/>
              </w:rPr>
              <w:t>分贝仪</w:t>
            </w:r>
          </w:p>
        </w:tc>
        <w:tc>
          <w:tcPr>
            <w:tcW w:w="960" w:type="dxa"/>
            <w:vAlign w:val="center"/>
          </w:tcPr>
          <w:p w14:paraId="60E1D82C">
            <w:pPr>
              <w:pStyle w:val="272"/>
              <w:spacing w:before="32" w:line="199" w:lineRule="auto"/>
              <w:jc w:val="center"/>
              <w:rPr>
                <w:sz w:val="24"/>
                <w:szCs w:val="24"/>
              </w:rPr>
            </w:pPr>
            <w:r>
              <w:rPr>
                <w:spacing w:val="-12"/>
                <w:sz w:val="24"/>
                <w:szCs w:val="24"/>
              </w:rPr>
              <w:t>1套</w:t>
            </w:r>
          </w:p>
        </w:tc>
        <w:tc>
          <w:tcPr>
            <w:tcW w:w="4886" w:type="dxa"/>
            <w:vAlign w:val="center"/>
          </w:tcPr>
          <w:p w14:paraId="532EF057">
            <w:pPr>
              <w:pStyle w:val="272"/>
              <w:spacing w:before="36" w:line="196" w:lineRule="auto"/>
              <w:jc w:val="center"/>
              <w:rPr>
                <w:spacing w:val="2"/>
                <w:kern w:val="2"/>
                <w:sz w:val="24"/>
                <w:szCs w:val="24"/>
              </w:rPr>
            </w:pPr>
            <w:r>
              <w:rPr>
                <w:spacing w:val="2"/>
                <w:kern w:val="2"/>
                <w:sz w:val="24"/>
                <w:szCs w:val="24"/>
              </w:rPr>
              <w:t>频率式</w:t>
            </w:r>
          </w:p>
        </w:tc>
      </w:tr>
      <w:tr w14:paraId="5C0F9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64" w:type="dxa"/>
            <w:vAlign w:val="center"/>
          </w:tcPr>
          <w:p w14:paraId="55A5E707">
            <w:pPr>
              <w:pStyle w:val="272"/>
              <w:spacing w:before="35" w:line="201" w:lineRule="auto"/>
              <w:jc w:val="center"/>
              <w:rPr>
                <w:spacing w:val="2"/>
                <w:kern w:val="2"/>
                <w:sz w:val="24"/>
                <w:szCs w:val="24"/>
              </w:rPr>
            </w:pPr>
            <w:r>
              <w:rPr>
                <w:spacing w:val="2"/>
                <w:kern w:val="2"/>
                <w:sz w:val="24"/>
                <w:szCs w:val="24"/>
              </w:rPr>
              <w:t>5</w:t>
            </w:r>
          </w:p>
        </w:tc>
        <w:tc>
          <w:tcPr>
            <w:tcW w:w="2307" w:type="dxa"/>
            <w:vAlign w:val="center"/>
          </w:tcPr>
          <w:p w14:paraId="589CE65C">
            <w:pPr>
              <w:pStyle w:val="272"/>
              <w:spacing w:before="42" w:line="199" w:lineRule="auto"/>
              <w:jc w:val="center"/>
              <w:rPr>
                <w:sz w:val="24"/>
                <w:szCs w:val="24"/>
              </w:rPr>
            </w:pPr>
            <w:r>
              <w:rPr>
                <w:spacing w:val="-2"/>
                <w:sz w:val="24"/>
                <w:szCs w:val="24"/>
              </w:rPr>
              <w:t>信号发生器</w:t>
            </w:r>
          </w:p>
        </w:tc>
        <w:tc>
          <w:tcPr>
            <w:tcW w:w="960" w:type="dxa"/>
            <w:vAlign w:val="center"/>
          </w:tcPr>
          <w:p w14:paraId="163E4A11">
            <w:pPr>
              <w:pStyle w:val="272"/>
              <w:spacing w:before="42" w:line="199" w:lineRule="auto"/>
              <w:jc w:val="center"/>
              <w:rPr>
                <w:sz w:val="24"/>
                <w:szCs w:val="24"/>
              </w:rPr>
            </w:pPr>
            <w:r>
              <w:rPr>
                <w:spacing w:val="-12"/>
                <w:sz w:val="24"/>
                <w:szCs w:val="24"/>
              </w:rPr>
              <w:t>1套</w:t>
            </w:r>
          </w:p>
        </w:tc>
        <w:tc>
          <w:tcPr>
            <w:tcW w:w="4886" w:type="dxa"/>
            <w:vAlign w:val="center"/>
          </w:tcPr>
          <w:p w14:paraId="6EAC1E34">
            <w:pPr>
              <w:pStyle w:val="272"/>
              <w:spacing w:before="36" w:line="196" w:lineRule="auto"/>
              <w:jc w:val="center"/>
              <w:rPr>
                <w:spacing w:val="2"/>
                <w:kern w:val="2"/>
                <w:sz w:val="24"/>
                <w:szCs w:val="24"/>
              </w:rPr>
            </w:pPr>
            <w:r>
              <w:rPr>
                <w:spacing w:val="2"/>
                <w:kern w:val="2"/>
                <w:sz w:val="24"/>
                <w:szCs w:val="24"/>
              </w:rPr>
              <w:t>O-24V</w:t>
            </w:r>
          </w:p>
        </w:tc>
      </w:tr>
      <w:tr w14:paraId="48055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64" w:type="dxa"/>
            <w:vAlign w:val="center"/>
          </w:tcPr>
          <w:p w14:paraId="5DC53D06">
            <w:pPr>
              <w:pStyle w:val="272"/>
              <w:spacing w:before="35" w:line="201" w:lineRule="auto"/>
              <w:jc w:val="center"/>
              <w:rPr>
                <w:spacing w:val="2"/>
                <w:kern w:val="2"/>
                <w:sz w:val="24"/>
                <w:szCs w:val="24"/>
              </w:rPr>
            </w:pPr>
            <w:r>
              <w:rPr>
                <w:spacing w:val="2"/>
                <w:kern w:val="2"/>
                <w:sz w:val="24"/>
                <w:szCs w:val="24"/>
              </w:rPr>
              <w:t>6</w:t>
            </w:r>
          </w:p>
        </w:tc>
        <w:tc>
          <w:tcPr>
            <w:tcW w:w="2307" w:type="dxa"/>
            <w:vAlign w:val="center"/>
          </w:tcPr>
          <w:p w14:paraId="72C2F288">
            <w:pPr>
              <w:pStyle w:val="272"/>
              <w:spacing w:before="33" w:line="198" w:lineRule="auto"/>
              <w:jc w:val="center"/>
              <w:rPr>
                <w:sz w:val="24"/>
                <w:szCs w:val="24"/>
              </w:rPr>
            </w:pPr>
            <w:r>
              <w:rPr>
                <w:spacing w:val="1"/>
                <w:sz w:val="24"/>
                <w:szCs w:val="24"/>
              </w:rPr>
              <w:t>电阻测试仪</w:t>
            </w:r>
          </w:p>
        </w:tc>
        <w:tc>
          <w:tcPr>
            <w:tcW w:w="960" w:type="dxa"/>
            <w:vAlign w:val="center"/>
          </w:tcPr>
          <w:p w14:paraId="3BDF4610">
            <w:pPr>
              <w:pStyle w:val="272"/>
              <w:spacing w:before="33" w:line="198" w:lineRule="auto"/>
              <w:jc w:val="center"/>
              <w:rPr>
                <w:sz w:val="24"/>
                <w:szCs w:val="24"/>
              </w:rPr>
            </w:pPr>
            <w:r>
              <w:rPr>
                <w:spacing w:val="-12"/>
                <w:sz w:val="24"/>
                <w:szCs w:val="24"/>
              </w:rPr>
              <w:t>1套</w:t>
            </w:r>
          </w:p>
        </w:tc>
        <w:tc>
          <w:tcPr>
            <w:tcW w:w="4886" w:type="dxa"/>
            <w:vAlign w:val="center"/>
          </w:tcPr>
          <w:p w14:paraId="7F8FBAFC">
            <w:pPr>
              <w:pStyle w:val="272"/>
              <w:spacing w:before="36" w:line="196" w:lineRule="auto"/>
              <w:jc w:val="center"/>
              <w:rPr>
                <w:spacing w:val="2"/>
                <w:kern w:val="2"/>
                <w:sz w:val="24"/>
                <w:szCs w:val="24"/>
              </w:rPr>
            </w:pPr>
            <w:r>
              <w:rPr>
                <w:spacing w:val="2"/>
                <w:kern w:val="2"/>
                <w:sz w:val="24"/>
                <w:szCs w:val="24"/>
              </w:rPr>
              <w:t>V C 4 1 0 式</w:t>
            </w:r>
          </w:p>
        </w:tc>
      </w:tr>
      <w:tr w14:paraId="3E234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64" w:type="dxa"/>
            <w:vAlign w:val="center"/>
          </w:tcPr>
          <w:p w14:paraId="1066D089">
            <w:pPr>
              <w:pStyle w:val="272"/>
              <w:spacing w:before="35" w:line="201" w:lineRule="auto"/>
              <w:jc w:val="center"/>
              <w:rPr>
                <w:spacing w:val="2"/>
                <w:kern w:val="2"/>
                <w:sz w:val="24"/>
                <w:szCs w:val="24"/>
              </w:rPr>
            </w:pPr>
            <w:r>
              <w:rPr>
                <w:spacing w:val="2"/>
                <w:kern w:val="2"/>
                <w:sz w:val="24"/>
                <w:szCs w:val="24"/>
              </w:rPr>
              <w:t>7</w:t>
            </w:r>
          </w:p>
        </w:tc>
        <w:tc>
          <w:tcPr>
            <w:tcW w:w="2307" w:type="dxa"/>
            <w:vAlign w:val="center"/>
          </w:tcPr>
          <w:p w14:paraId="535ADBF4">
            <w:pPr>
              <w:pStyle w:val="272"/>
              <w:spacing w:before="44" w:line="197" w:lineRule="auto"/>
              <w:jc w:val="center"/>
              <w:rPr>
                <w:sz w:val="24"/>
                <w:szCs w:val="24"/>
              </w:rPr>
            </w:pPr>
            <w:r>
              <w:rPr>
                <w:spacing w:val="3"/>
                <w:sz w:val="24"/>
                <w:szCs w:val="24"/>
              </w:rPr>
              <w:t>万用表</w:t>
            </w:r>
          </w:p>
        </w:tc>
        <w:tc>
          <w:tcPr>
            <w:tcW w:w="960" w:type="dxa"/>
            <w:vAlign w:val="center"/>
          </w:tcPr>
          <w:p w14:paraId="5FB504B8">
            <w:pPr>
              <w:pStyle w:val="272"/>
              <w:spacing w:before="44" w:line="197" w:lineRule="auto"/>
              <w:jc w:val="center"/>
              <w:rPr>
                <w:sz w:val="24"/>
                <w:szCs w:val="24"/>
              </w:rPr>
            </w:pPr>
            <w:r>
              <w:rPr>
                <w:spacing w:val="-6"/>
                <w:sz w:val="24"/>
                <w:szCs w:val="24"/>
              </w:rPr>
              <w:t>2套</w:t>
            </w:r>
          </w:p>
        </w:tc>
        <w:tc>
          <w:tcPr>
            <w:tcW w:w="4886" w:type="dxa"/>
            <w:vAlign w:val="center"/>
          </w:tcPr>
          <w:p w14:paraId="3E82E1F5">
            <w:pPr>
              <w:pStyle w:val="272"/>
              <w:spacing w:before="36" w:line="196" w:lineRule="auto"/>
              <w:jc w:val="center"/>
              <w:rPr>
                <w:spacing w:val="2"/>
                <w:kern w:val="2"/>
                <w:sz w:val="24"/>
                <w:szCs w:val="24"/>
              </w:rPr>
            </w:pPr>
            <w:r>
              <w:rPr>
                <w:spacing w:val="2"/>
                <w:kern w:val="2"/>
                <w:sz w:val="24"/>
                <w:szCs w:val="24"/>
              </w:rPr>
              <w:t>常规</w:t>
            </w:r>
          </w:p>
        </w:tc>
      </w:tr>
      <w:tr w14:paraId="7874E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64" w:type="dxa"/>
            <w:vAlign w:val="center"/>
          </w:tcPr>
          <w:p w14:paraId="6AB6316A">
            <w:pPr>
              <w:pStyle w:val="272"/>
              <w:spacing w:before="35" w:line="201" w:lineRule="auto"/>
              <w:jc w:val="center"/>
              <w:rPr>
                <w:spacing w:val="2"/>
                <w:kern w:val="2"/>
                <w:sz w:val="24"/>
                <w:szCs w:val="24"/>
              </w:rPr>
            </w:pPr>
            <w:r>
              <w:rPr>
                <w:spacing w:val="2"/>
                <w:kern w:val="2"/>
                <w:sz w:val="24"/>
                <w:szCs w:val="24"/>
              </w:rPr>
              <w:t>8</w:t>
            </w:r>
          </w:p>
        </w:tc>
        <w:tc>
          <w:tcPr>
            <w:tcW w:w="2307" w:type="dxa"/>
            <w:vAlign w:val="center"/>
          </w:tcPr>
          <w:p w14:paraId="6A92AA76">
            <w:pPr>
              <w:pStyle w:val="272"/>
              <w:spacing w:before="34" w:line="197" w:lineRule="auto"/>
              <w:jc w:val="center"/>
              <w:rPr>
                <w:sz w:val="24"/>
                <w:szCs w:val="24"/>
              </w:rPr>
            </w:pPr>
            <w:r>
              <w:rPr>
                <w:spacing w:val="-2"/>
                <w:sz w:val="24"/>
                <w:szCs w:val="24"/>
              </w:rPr>
              <w:t>湿度检测仪</w:t>
            </w:r>
          </w:p>
        </w:tc>
        <w:tc>
          <w:tcPr>
            <w:tcW w:w="960" w:type="dxa"/>
            <w:vAlign w:val="center"/>
          </w:tcPr>
          <w:p w14:paraId="17A273D8">
            <w:pPr>
              <w:pStyle w:val="272"/>
              <w:spacing w:before="36" w:line="196" w:lineRule="auto"/>
              <w:jc w:val="center"/>
              <w:rPr>
                <w:sz w:val="24"/>
                <w:szCs w:val="24"/>
              </w:rPr>
            </w:pPr>
            <w:r>
              <w:rPr>
                <w:spacing w:val="-12"/>
                <w:sz w:val="24"/>
                <w:szCs w:val="24"/>
              </w:rPr>
              <w:t>1套</w:t>
            </w:r>
          </w:p>
        </w:tc>
        <w:tc>
          <w:tcPr>
            <w:tcW w:w="4886" w:type="dxa"/>
            <w:vAlign w:val="center"/>
          </w:tcPr>
          <w:p w14:paraId="4E42EC6D">
            <w:pPr>
              <w:pStyle w:val="272"/>
              <w:spacing w:before="36" w:line="196" w:lineRule="auto"/>
              <w:jc w:val="center"/>
              <w:rPr>
                <w:spacing w:val="2"/>
                <w:kern w:val="2"/>
                <w:sz w:val="24"/>
                <w:szCs w:val="24"/>
              </w:rPr>
            </w:pPr>
            <w:r>
              <w:rPr>
                <w:spacing w:val="2"/>
                <w:kern w:val="2"/>
                <w:sz w:val="24"/>
                <w:szCs w:val="24"/>
              </w:rPr>
              <w:t>常规</w:t>
            </w:r>
          </w:p>
        </w:tc>
      </w:tr>
      <w:tr w14:paraId="32B85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64" w:type="dxa"/>
            <w:vAlign w:val="center"/>
          </w:tcPr>
          <w:p w14:paraId="388D1874">
            <w:pPr>
              <w:pStyle w:val="272"/>
              <w:spacing w:before="35" w:line="201" w:lineRule="auto"/>
              <w:jc w:val="center"/>
              <w:rPr>
                <w:spacing w:val="2"/>
                <w:kern w:val="2"/>
                <w:sz w:val="24"/>
                <w:szCs w:val="24"/>
              </w:rPr>
            </w:pPr>
            <w:r>
              <w:rPr>
                <w:spacing w:val="2"/>
                <w:kern w:val="2"/>
                <w:sz w:val="24"/>
                <w:szCs w:val="24"/>
              </w:rPr>
              <w:t>9</w:t>
            </w:r>
          </w:p>
        </w:tc>
        <w:tc>
          <w:tcPr>
            <w:tcW w:w="2307" w:type="dxa"/>
            <w:vAlign w:val="center"/>
          </w:tcPr>
          <w:p w14:paraId="17EFFD20">
            <w:pPr>
              <w:pStyle w:val="272"/>
              <w:spacing w:before="36" w:line="196" w:lineRule="auto"/>
              <w:jc w:val="center"/>
              <w:rPr>
                <w:sz w:val="24"/>
                <w:szCs w:val="24"/>
              </w:rPr>
            </w:pPr>
            <w:r>
              <w:rPr>
                <w:spacing w:val="2"/>
                <w:sz w:val="24"/>
                <w:szCs w:val="24"/>
              </w:rPr>
              <w:t>紧固类工具</w:t>
            </w:r>
          </w:p>
        </w:tc>
        <w:tc>
          <w:tcPr>
            <w:tcW w:w="960" w:type="dxa"/>
            <w:vAlign w:val="center"/>
          </w:tcPr>
          <w:p w14:paraId="6CCE6613">
            <w:pPr>
              <w:pStyle w:val="272"/>
              <w:spacing w:before="37" w:line="195" w:lineRule="auto"/>
              <w:jc w:val="center"/>
              <w:rPr>
                <w:sz w:val="24"/>
                <w:szCs w:val="24"/>
              </w:rPr>
            </w:pPr>
            <w:r>
              <w:rPr>
                <w:spacing w:val="-6"/>
                <w:sz w:val="24"/>
                <w:szCs w:val="24"/>
              </w:rPr>
              <w:t>2套</w:t>
            </w:r>
          </w:p>
        </w:tc>
        <w:tc>
          <w:tcPr>
            <w:tcW w:w="4886" w:type="dxa"/>
            <w:vAlign w:val="center"/>
          </w:tcPr>
          <w:p w14:paraId="452EE29C">
            <w:pPr>
              <w:pStyle w:val="272"/>
              <w:spacing w:before="36" w:line="196" w:lineRule="auto"/>
              <w:jc w:val="center"/>
              <w:rPr>
                <w:spacing w:val="2"/>
                <w:kern w:val="2"/>
                <w:sz w:val="24"/>
                <w:szCs w:val="24"/>
              </w:rPr>
            </w:pPr>
            <w:r>
              <w:rPr>
                <w:spacing w:val="2"/>
                <w:kern w:val="2"/>
                <w:sz w:val="24"/>
                <w:szCs w:val="24"/>
              </w:rPr>
              <w:t>通用型</w:t>
            </w:r>
          </w:p>
        </w:tc>
      </w:tr>
      <w:tr w14:paraId="0DBDC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64" w:type="dxa"/>
            <w:vAlign w:val="center"/>
          </w:tcPr>
          <w:p w14:paraId="63EDFE81">
            <w:pPr>
              <w:pStyle w:val="272"/>
              <w:spacing w:before="35" w:line="201" w:lineRule="auto"/>
              <w:jc w:val="center"/>
              <w:rPr>
                <w:spacing w:val="2"/>
                <w:kern w:val="2"/>
                <w:sz w:val="24"/>
                <w:szCs w:val="24"/>
              </w:rPr>
            </w:pPr>
            <w:r>
              <w:rPr>
                <w:spacing w:val="2"/>
                <w:kern w:val="2"/>
                <w:sz w:val="24"/>
                <w:szCs w:val="24"/>
              </w:rPr>
              <w:t>10</w:t>
            </w:r>
          </w:p>
        </w:tc>
        <w:tc>
          <w:tcPr>
            <w:tcW w:w="2307" w:type="dxa"/>
            <w:vAlign w:val="center"/>
          </w:tcPr>
          <w:p w14:paraId="3C4974DA">
            <w:pPr>
              <w:pStyle w:val="272"/>
              <w:spacing w:before="38" w:line="194" w:lineRule="auto"/>
              <w:jc w:val="center"/>
              <w:rPr>
                <w:sz w:val="24"/>
                <w:szCs w:val="24"/>
              </w:rPr>
            </w:pPr>
            <w:r>
              <w:rPr>
                <w:spacing w:val="3"/>
                <w:sz w:val="24"/>
                <w:szCs w:val="24"/>
              </w:rPr>
              <w:t>吸尘器</w:t>
            </w:r>
          </w:p>
        </w:tc>
        <w:tc>
          <w:tcPr>
            <w:tcW w:w="960" w:type="dxa"/>
            <w:vAlign w:val="center"/>
          </w:tcPr>
          <w:p w14:paraId="6914AECD">
            <w:pPr>
              <w:pStyle w:val="272"/>
              <w:spacing w:before="38" w:line="194" w:lineRule="auto"/>
              <w:jc w:val="center"/>
              <w:rPr>
                <w:sz w:val="24"/>
                <w:szCs w:val="24"/>
              </w:rPr>
            </w:pPr>
            <w:r>
              <w:rPr>
                <w:spacing w:val="-12"/>
                <w:sz w:val="24"/>
                <w:szCs w:val="24"/>
              </w:rPr>
              <w:t>1套</w:t>
            </w:r>
          </w:p>
        </w:tc>
        <w:tc>
          <w:tcPr>
            <w:tcW w:w="4886" w:type="dxa"/>
            <w:vAlign w:val="center"/>
          </w:tcPr>
          <w:p w14:paraId="5982E5FB">
            <w:pPr>
              <w:jc w:val="center"/>
              <w:rPr>
                <w:rFonts w:ascii="宋体" w:hAnsi="宋体" w:cs="宋体"/>
                <w:spacing w:val="2"/>
                <w:kern w:val="2"/>
                <w:sz w:val="24"/>
                <w:szCs w:val="24"/>
              </w:rPr>
            </w:pPr>
            <w:r>
              <w:rPr>
                <w:rFonts w:hint="eastAsia" w:ascii="宋体" w:hAnsi="宋体" w:cs="宋体"/>
                <w:spacing w:val="2"/>
                <w:kern w:val="2"/>
                <w:sz w:val="24"/>
                <w:szCs w:val="24"/>
              </w:rPr>
              <w:t>/</w:t>
            </w:r>
          </w:p>
        </w:tc>
      </w:tr>
      <w:tr w14:paraId="6202D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64" w:type="dxa"/>
            <w:vAlign w:val="center"/>
          </w:tcPr>
          <w:p w14:paraId="4402B064">
            <w:pPr>
              <w:pStyle w:val="272"/>
              <w:spacing w:before="35" w:line="201" w:lineRule="auto"/>
              <w:jc w:val="center"/>
              <w:rPr>
                <w:spacing w:val="2"/>
                <w:kern w:val="2"/>
                <w:sz w:val="24"/>
                <w:szCs w:val="24"/>
              </w:rPr>
            </w:pPr>
            <w:r>
              <w:rPr>
                <w:spacing w:val="2"/>
                <w:kern w:val="2"/>
                <w:sz w:val="24"/>
                <w:szCs w:val="24"/>
              </w:rPr>
              <w:t>11</w:t>
            </w:r>
          </w:p>
        </w:tc>
        <w:tc>
          <w:tcPr>
            <w:tcW w:w="2307" w:type="dxa"/>
            <w:vAlign w:val="center"/>
          </w:tcPr>
          <w:p w14:paraId="3635B576">
            <w:pPr>
              <w:pStyle w:val="272"/>
              <w:spacing w:before="48" w:line="219" w:lineRule="auto"/>
              <w:jc w:val="center"/>
              <w:rPr>
                <w:sz w:val="24"/>
                <w:szCs w:val="24"/>
              </w:rPr>
            </w:pPr>
            <w:r>
              <w:rPr>
                <w:spacing w:val="2"/>
                <w:sz w:val="24"/>
                <w:szCs w:val="24"/>
              </w:rPr>
              <w:t>临时控制柜</w:t>
            </w:r>
          </w:p>
        </w:tc>
        <w:tc>
          <w:tcPr>
            <w:tcW w:w="960" w:type="dxa"/>
            <w:vAlign w:val="center"/>
          </w:tcPr>
          <w:p w14:paraId="457F2E22">
            <w:pPr>
              <w:pStyle w:val="272"/>
              <w:spacing w:before="39" w:line="220" w:lineRule="auto"/>
              <w:jc w:val="center"/>
              <w:rPr>
                <w:sz w:val="24"/>
                <w:szCs w:val="24"/>
              </w:rPr>
            </w:pPr>
            <w:r>
              <w:rPr>
                <w:spacing w:val="-12"/>
                <w:sz w:val="24"/>
                <w:szCs w:val="24"/>
              </w:rPr>
              <w:t>1套</w:t>
            </w:r>
          </w:p>
        </w:tc>
        <w:tc>
          <w:tcPr>
            <w:tcW w:w="4886" w:type="dxa"/>
            <w:vAlign w:val="center"/>
          </w:tcPr>
          <w:p w14:paraId="3B19A605">
            <w:pPr>
              <w:pStyle w:val="272"/>
              <w:spacing w:before="36" w:line="196" w:lineRule="auto"/>
              <w:jc w:val="center"/>
              <w:rPr>
                <w:spacing w:val="2"/>
                <w:sz w:val="24"/>
                <w:szCs w:val="24"/>
                <w:lang w:eastAsia="zh-CN"/>
              </w:rPr>
            </w:pPr>
            <w:r>
              <w:rPr>
                <w:spacing w:val="2"/>
                <w:sz w:val="24"/>
                <w:szCs w:val="24"/>
                <w:lang w:eastAsia="zh-CN"/>
              </w:rPr>
              <w:t>应急抢修需要，单台控制泵组功15KW。</w:t>
            </w:r>
          </w:p>
        </w:tc>
      </w:tr>
      <w:tr w14:paraId="46178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64" w:type="dxa"/>
            <w:vAlign w:val="center"/>
          </w:tcPr>
          <w:p w14:paraId="21BAC985">
            <w:pPr>
              <w:pStyle w:val="272"/>
              <w:spacing w:before="35" w:line="201" w:lineRule="auto"/>
              <w:jc w:val="center"/>
              <w:rPr>
                <w:spacing w:val="2"/>
                <w:kern w:val="2"/>
                <w:sz w:val="24"/>
                <w:szCs w:val="24"/>
                <w:lang w:eastAsia="zh-CN"/>
              </w:rPr>
            </w:pPr>
            <w:r>
              <w:rPr>
                <w:rFonts w:hint="eastAsia"/>
                <w:spacing w:val="2"/>
                <w:kern w:val="2"/>
                <w:sz w:val="24"/>
                <w:szCs w:val="24"/>
                <w:lang w:eastAsia="zh-CN"/>
              </w:rPr>
              <w:t>12</w:t>
            </w:r>
          </w:p>
        </w:tc>
        <w:tc>
          <w:tcPr>
            <w:tcW w:w="2307" w:type="dxa"/>
            <w:vAlign w:val="center"/>
          </w:tcPr>
          <w:p w14:paraId="15D1B6AE">
            <w:pPr>
              <w:pStyle w:val="272"/>
              <w:spacing w:before="48" w:line="219" w:lineRule="auto"/>
              <w:jc w:val="center"/>
              <w:rPr>
                <w:spacing w:val="2"/>
                <w:sz w:val="24"/>
                <w:szCs w:val="24"/>
                <w:lang w:eastAsia="zh-CN"/>
              </w:rPr>
            </w:pPr>
            <w:r>
              <w:rPr>
                <w:rFonts w:hint="eastAsia"/>
                <w:spacing w:val="2"/>
                <w:sz w:val="24"/>
                <w:szCs w:val="24"/>
                <w:lang w:eastAsia="zh-CN"/>
              </w:rPr>
              <w:t>临时供水成套设备</w:t>
            </w:r>
          </w:p>
        </w:tc>
        <w:tc>
          <w:tcPr>
            <w:tcW w:w="960" w:type="dxa"/>
            <w:vAlign w:val="center"/>
          </w:tcPr>
          <w:p w14:paraId="2959F001">
            <w:pPr>
              <w:pStyle w:val="272"/>
              <w:spacing w:before="39" w:line="220" w:lineRule="auto"/>
              <w:jc w:val="center"/>
              <w:rPr>
                <w:spacing w:val="-12"/>
                <w:sz w:val="24"/>
                <w:szCs w:val="24"/>
                <w:lang w:eastAsia="zh-CN"/>
              </w:rPr>
            </w:pPr>
            <w:r>
              <w:rPr>
                <w:rFonts w:hint="eastAsia"/>
                <w:spacing w:val="-12"/>
                <w:sz w:val="24"/>
                <w:szCs w:val="24"/>
                <w:lang w:eastAsia="zh-CN"/>
              </w:rPr>
              <w:t>2套</w:t>
            </w:r>
          </w:p>
        </w:tc>
        <w:tc>
          <w:tcPr>
            <w:tcW w:w="4886" w:type="dxa"/>
            <w:vAlign w:val="center"/>
          </w:tcPr>
          <w:p w14:paraId="7A591214">
            <w:pPr>
              <w:pStyle w:val="272"/>
              <w:spacing w:before="36" w:line="196" w:lineRule="auto"/>
              <w:jc w:val="center"/>
              <w:rPr>
                <w:spacing w:val="2"/>
                <w:sz w:val="24"/>
                <w:szCs w:val="24"/>
                <w:lang w:eastAsia="zh-CN"/>
              </w:rPr>
            </w:pPr>
            <w:r>
              <w:rPr>
                <w:rFonts w:hint="eastAsia"/>
                <w:spacing w:val="2"/>
                <w:sz w:val="24"/>
                <w:szCs w:val="24"/>
                <w:lang w:eastAsia="zh-CN"/>
              </w:rPr>
              <w:t>/</w:t>
            </w:r>
          </w:p>
        </w:tc>
      </w:tr>
    </w:tbl>
    <w:p w14:paraId="0EAB81A9">
      <w:pPr>
        <w:spacing w:line="360" w:lineRule="auto"/>
        <w:ind w:firstLine="480" w:firstLineChars="200"/>
        <w:jc w:val="left"/>
        <w:rPr>
          <w:rFonts w:ascii="宋体" w:hAnsi="宋体" w:cs="宋体"/>
          <w:color w:val="000000"/>
          <w:sz w:val="24"/>
        </w:rPr>
      </w:pPr>
      <w:r>
        <w:rPr>
          <w:rFonts w:hint="eastAsia" w:ascii="宋体" w:hAnsi="宋体" w:cs="宋体"/>
          <w:color w:val="000000"/>
          <w:sz w:val="24"/>
        </w:rPr>
        <w:t>2.4备品备件要求：</w:t>
      </w:r>
    </w:p>
    <w:p w14:paraId="6499DB1A">
      <w:pPr>
        <w:spacing w:line="27" w:lineRule="exact"/>
      </w:pPr>
    </w:p>
    <w:tbl>
      <w:tblPr>
        <w:tblStyle w:val="257"/>
        <w:tblW w:w="84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4"/>
        <w:gridCol w:w="1967"/>
        <w:gridCol w:w="1009"/>
        <w:gridCol w:w="4540"/>
      </w:tblGrid>
      <w:tr w14:paraId="6D011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blHeader/>
        </w:trPr>
        <w:tc>
          <w:tcPr>
            <w:tcW w:w="964" w:type="dxa"/>
            <w:vAlign w:val="center"/>
          </w:tcPr>
          <w:p w14:paraId="7D7762D0">
            <w:pPr>
              <w:pStyle w:val="272"/>
              <w:spacing w:before="33" w:line="198" w:lineRule="auto"/>
              <w:jc w:val="center"/>
              <w:rPr>
                <w:b/>
                <w:bCs/>
                <w:spacing w:val="1"/>
                <w:sz w:val="24"/>
                <w:szCs w:val="24"/>
              </w:rPr>
            </w:pPr>
            <w:r>
              <w:rPr>
                <w:b/>
                <w:bCs/>
                <w:spacing w:val="1"/>
                <w:sz w:val="24"/>
                <w:szCs w:val="24"/>
              </w:rPr>
              <w:t>序号</w:t>
            </w:r>
          </w:p>
        </w:tc>
        <w:tc>
          <w:tcPr>
            <w:tcW w:w="1967" w:type="dxa"/>
            <w:vAlign w:val="center"/>
          </w:tcPr>
          <w:p w14:paraId="6816B4C1">
            <w:pPr>
              <w:pStyle w:val="272"/>
              <w:spacing w:before="33" w:line="198" w:lineRule="auto"/>
              <w:jc w:val="center"/>
              <w:rPr>
                <w:b/>
                <w:bCs/>
                <w:spacing w:val="1"/>
                <w:sz w:val="24"/>
                <w:szCs w:val="24"/>
              </w:rPr>
            </w:pPr>
            <w:r>
              <w:rPr>
                <w:b/>
                <w:bCs/>
                <w:spacing w:val="1"/>
                <w:sz w:val="24"/>
                <w:szCs w:val="24"/>
              </w:rPr>
              <w:t>备品备件</w:t>
            </w:r>
          </w:p>
        </w:tc>
        <w:tc>
          <w:tcPr>
            <w:tcW w:w="1009" w:type="dxa"/>
            <w:vAlign w:val="center"/>
          </w:tcPr>
          <w:p w14:paraId="4A213F3B">
            <w:pPr>
              <w:pStyle w:val="272"/>
              <w:spacing w:before="33" w:line="198" w:lineRule="auto"/>
              <w:jc w:val="center"/>
              <w:rPr>
                <w:b/>
                <w:bCs/>
                <w:spacing w:val="1"/>
                <w:sz w:val="24"/>
                <w:szCs w:val="24"/>
              </w:rPr>
            </w:pPr>
            <w:r>
              <w:rPr>
                <w:b/>
                <w:bCs/>
                <w:spacing w:val="1"/>
                <w:sz w:val="24"/>
                <w:szCs w:val="24"/>
              </w:rPr>
              <w:t>数量</w:t>
            </w:r>
          </w:p>
        </w:tc>
        <w:tc>
          <w:tcPr>
            <w:tcW w:w="4540" w:type="dxa"/>
            <w:vAlign w:val="center"/>
          </w:tcPr>
          <w:p w14:paraId="7883A295">
            <w:pPr>
              <w:pStyle w:val="272"/>
              <w:spacing w:before="33" w:line="198" w:lineRule="auto"/>
              <w:jc w:val="center"/>
              <w:rPr>
                <w:b/>
                <w:bCs/>
                <w:spacing w:val="1"/>
                <w:sz w:val="24"/>
                <w:szCs w:val="24"/>
              </w:rPr>
            </w:pPr>
            <w:r>
              <w:rPr>
                <w:b/>
                <w:bCs/>
                <w:spacing w:val="1"/>
                <w:sz w:val="24"/>
                <w:szCs w:val="24"/>
              </w:rPr>
              <w:t>备注</w:t>
            </w:r>
          </w:p>
        </w:tc>
      </w:tr>
      <w:tr w14:paraId="07EBE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64" w:type="dxa"/>
            <w:vAlign w:val="center"/>
          </w:tcPr>
          <w:p w14:paraId="5E5EA706">
            <w:pPr>
              <w:pStyle w:val="272"/>
              <w:spacing w:before="33" w:line="198" w:lineRule="auto"/>
              <w:jc w:val="center"/>
              <w:rPr>
                <w:spacing w:val="1"/>
                <w:sz w:val="24"/>
                <w:szCs w:val="24"/>
                <w:lang w:eastAsia="zh-CN"/>
              </w:rPr>
            </w:pPr>
            <w:r>
              <w:rPr>
                <w:rFonts w:hint="eastAsia"/>
                <w:spacing w:val="1"/>
                <w:sz w:val="24"/>
                <w:szCs w:val="24"/>
                <w:lang w:eastAsia="zh-CN"/>
              </w:rPr>
              <w:t>1</w:t>
            </w:r>
          </w:p>
        </w:tc>
        <w:tc>
          <w:tcPr>
            <w:tcW w:w="1967" w:type="dxa"/>
            <w:vAlign w:val="center"/>
          </w:tcPr>
          <w:p w14:paraId="703A87A4">
            <w:pPr>
              <w:pStyle w:val="272"/>
              <w:spacing w:before="33" w:line="198" w:lineRule="auto"/>
              <w:jc w:val="center"/>
              <w:rPr>
                <w:spacing w:val="1"/>
                <w:sz w:val="24"/>
                <w:szCs w:val="24"/>
              </w:rPr>
            </w:pPr>
            <w:r>
              <w:rPr>
                <w:spacing w:val="1"/>
                <w:sz w:val="24"/>
                <w:szCs w:val="24"/>
              </w:rPr>
              <w:t>压力开关</w:t>
            </w:r>
          </w:p>
        </w:tc>
        <w:tc>
          <w:tcPr>
            <w:tcW w:w="1009" w:type="dxa"/>
            <w:vAlign w:val="center"/>
          </w:tcPr>
          <w:p w14:paraId="10727F17">
            <w:pPr>
              <w:pStyle w:val="272"/>
              <w:spacing w:before="33" w:line="198" w:lineRule="auto"/>
              <w:jc w:val="center"/>
              <w:rPr>
                <w:spacing w:val="1"/>
                <w:sz w:val="24"/>
                <w:szCs w:val="24"/>
              </w:rPr>
            </w:pPr>
            <w:r>
              <w:rPr>
                <w:spacing w:val="1"/>
                <w:sz w:val="24"/>
                <w:szCs w:val="24"/>
              </w:rPr>
              <w:t>10套</w:t>
            </w:r>
          </w:p>
        </w:tc>
        <w:tc>
          <w:tcPr>
            <w:tcW w:w="4540" w:type="dxa"/>
            <w:vAlign w:val="center"/>
          </w:tcPr>
          <w:p w14:paraId="13824709">
            <w:pPr>
              <w:pStyle w:val="272"/>
              <w:spacing w:before="33" w:line="198" w:lineRule="auto"/>
              <w:jc w:val="center"/>
              <w:rPr>
                <w:spacing w:val="1"/>
                <w:sz w:val="24"/>
                <w:szCs w:val="24"/>
              </w:rPr>
            </w:pPr>
            <w:r>
              <w:rPr>
                <w:spacing w:val="1"/>
                <w:sz w:val="24"/>
                <w:szCs w:val="24"/>
              </w:rPr>
              <w:t>丹佛斯</w:t>
            </w:r>
          </w:p>
        </w:tc>
      </w:tr>
      <w:tr w14:paraId="79981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64" w:type="dxa"/>
            <w:vAlign w:val="center"/>
          </w:tcPr>
          <w:p w14:paraId="00360FBE">
            <w:pPr>
              <w:pStyle w:val="272"/>
              <w:spacing w:before="33" w:line="198" w:lineRule="auto"/>
              <w:jc w:val="center"/>
              <w:rPr>
                <w:spacing w:val="1"/>
                <w:sz w:val="24"/>
                <w:szCs w:val="24"/>
              </w:rPr>
            </w:pPr>
            <w:r>
              <w:rPr>
                <w:spacing w:val="1"/>
                <w:sz w:val="24"/>
                <w:szCs w:val="24"/>
              </w:rPr>
              <w:t>2</w:t>
            </w:r>
          </w:p>
        </w:tc>
        <w:tc>
          <w:tcPr>
            <w:tcW w:w="1967" w:type="dxa"/>
            <w:vAlign w:val="center"/>
          </w:tcPr>
          <w:p w14:paraId="35068AE5">
            <w:pPr>
              <w:pStyle w:val="272"/>
              <w:spacing w:before="33" w:line="198" w:lineRule="auto"/>
              <w:jc w:val="center"/>
              <w:rPr>
                <w:spacing w:val="1"/>
                <w:sz w:val="24"/>
                <w:szCs w:val="24"/>
              </w:rPr>
            </w:pPr>
            <w:r>
              <w:rPr>
                <w:spacing w:val="1"/>
                <w:sz w:val="24"/>
                <w:szCs w:val="24"/>
              </w:rPr>
              <w:t>机械压力表</w:t>
            </w:r>
          </w:p>
        </w:tc>
        <w:tc>
          <w:tcPr>
            <w:tcW w:w="1009" w:type="dxa"/>
            <w:vAlign w:val="center"/>
          </w:tcPr>
          <w:p w14:paraId="570B46BD">
            <w:pPr>
              <w:pStyle w:val="272"/>
              <w:spacing w:before="33" w:line="198" w:lineRule="auto"/>
              <w:jc w:val="center"/>
              <w:rPr>
                <w:spacing w:val="1"/>
                <w:sz w:val="24"/>
                <w:szCs w:val="24"/>
              </w:rPr>
            </w:pPr>
            <w:r>
              <w:rPr>
                <w:spacing w:val="1"/>
                <w:sz w:val="24"/>
                <w:szCs w:val="24"/>
              </w:rPr>
              <w:t>10套</w:t>
            </w:r>
          </w:p>
        </w:tc>
        <w:tc>
          <w:tcPr>
            <w:tcW w:w="4540" w:type="dxa"/>
            <w:vAlign w:val="center"/>
          </w:tcPr>
          <w:p w14:paraId="66A596D3">
            <w:pPr>
              <w:pStyle w:val="272"/>
              <w:spacing w:before="33" w:line="198" w:lineRule="auto"/>
              <w:jc w:val="center"/>
              <w:rPr>
                <w:spacing w:val="1"/>
                <w:sz w:val="24"/>
                <w:szCs w:val="24"/>
              </w:rPr>
            </w:pPr>
            <w:r>
              <w:rPr>
                <w:spacing w:val="1"/>
                <w:sz w:val="24"/>
                <w:szCs w:val="24"/>
              </w:rPr>
              <w:t>耐震式</w:t>
            </w:r>
          </w:p>
        </w:tc>
      </w:tr>
      <w:tr w14:paraId="750E5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64" w:type="dxa"/>
            <w:vAlign w:val="center"/>
          </w:tcPr>
          <w:p w14:paraId="5AF116BB">
            <w:pPr>
              <w:pStyle w:val="272"/>
              <w:spacing w:before="33" w:line="198" w:lineRule="auto"/>
              <w:jc w:val="center"/>
              <w:rPr>
                <w:spacing w:val="1"/>
                <w:sz w:val="24"/>
                <w:szCs w:val="24"/>
              </w:rPr>
            </w:pPr>
            <w:r>
              <w:rPr>
                <w:spacing w:val="1"/>
                <w:sz w:val="24"/>
                <w:szCs w:val="24"/>
              </w:rPr>
              <w:t>3</w:t>
            </w:r>
          </w:p>
        </w:tc>
        <w:tc>
          <w:tcPr>
            <w:tcW w:w="1967" w:type="dxa"/>
            <w:vAlign w:val="center"/>
          </w:tcPr>
          <w:p w14:paraId="6E01E629">
            <w:pPr>
              <w:pStyle w:val="272"/>
              <w:spacing w:before="33" w:line="198" w:lineRule="auto"/>
              <w:jc w:val="center"/>
              <w:rPr>
                <w:spacing w:val="1"/>
                <w:sz w:val="24"/>
                <w:szCs w:val="24"/>
              </w:rPr>
            </w:pPr>
            <w:r>
              <w:rPr>
                <w:spacing w:val="1"/>
                <w:sz w:val="24"/>
                <w:szCs w:val="24"/>
              </w:rPr>
              <w:t>中间继电器</w:t>
            </w:r>
          </w:p>
        </w:tc>
        <w:tc>
          <w:tcPr>
            <w:tcW w:w="1009" w:type="dxa"/>
            <w:vAlign w:val="center"/>
          </w:tcPr>
          <w:p w14:paraId="59E7B81E">
            <w:pPr>
              <w:pStyle w:val="272"/>
              <w:spacing w:before="33" w:line="198" w:lineRule="auto"/>
              <w:jc w:val="center"/>
              <w:rPr>
                <w:spacing w:val="1"/>
                <w:sz w:val="24"/>
                <w:szCs w:val="24"/>
              </w:rPr>
            </w:pPr>
            <w:r>
              <w:rPr>
                <w:rFonts w:hint="eastAsia"/>
                <w:spacing w:val="1"/>
                <w:sz w:val="24"/>
                <w:szCs w:val="24"/>
                <w:lang w:eastAsia="zh-CN"/>
              </w:rPr>
              <w:t>1</w:t>
            </w:r>
            <w:r>
              <w:rPr>
                <w:spacing w:val="1"/>
                <w:sz w:val="24"/>
                <w:szCs w:val="24"/>
              </w:rPr>
              <w:t>0套</w:t>
            </w:r>
          </w:p>
        </w:tc>
        <w:tc>
          <w:tcPr>
            <w:tcW w:w="4540" w:type="dxa"/>
            <w:vAlign w:val="center"/>
          </w:tcPr>
          <w:p w14:paraId="298F2F17">
            <w:pPr>
              <w:pStyle w:val="272"/>
              <w:spacing w:before="33" w:line="198" w:lineRule="auto"/>
              <w:jc w:val="center"/>
              <w:rPr>
                <w:spacing w:val="1"/>
                <w:sz w:val="24"/>
                <w:szCs w:val="24"/>
              </w:rPr>
            </w:pPr>
            <w:r>
              <w:rPr>
                <w:spacing w:val="1"/>
                <w:sz w:val="24"/>
                <w:szCs w:val="24"/>
              </w:rPr>
              <w:t>丹佛斯</w:t>
            </w:r>
          </w:p>
        </w:tc>
      </w:tr>
      <w:tr w14:paraId="701D2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64" w:type="dxa"/>
            <w:vAlign w:val="center"/>
          </w:tcPr>
          <w:p w14:paraId="423340AD">
            <w:pPr>
              <w:pStyle w:val="272"/>
              <w:spacing w:before="33" w:line="198" w:lineRule="auto"/>
              <w:jc w:val="center"/>
              <w:rPr>
                <w:spacing w:val="1"/>
                <w:sz w:val="24"/>
                <w:szCs w:val="24"/>
              </w:rPr>
            </w:pPr>
            <w:r>
              <w:rPr>
                <w:spacing w:val="1"/>
                <w:sz w:val="24"/>
                <w:szCs w:val="24"/>
              </w:rPr>
              <w:t>4</w:t>
            </w:r>
          </w:p>
        </w:tc>
        <w:tc>
          <w:tcPr>
            <w:tcW w:w="1967" w:type="dxa"/>
            <w:vAlign w:val="center"/>
          </w:tcPr>
          <w:p w14:paraId="4344F2E8">
            <w:pPr>
              <w:pStyle w:val="272"/>
              <w:spacing w:before="33" w:line="198" w:lineRule="auto"/>
              <w:jc w:val="center"/>
              <w:rPr>
                <w:spacing w:val="1"/>
                <w:sz w:val="24"/>
                <w:szCs w:val="24"/>
              </w:rPr>
            </w:pPr>
            <w:r>
              <w:rPr>
                <w:spacing w:val="1"/>
                <w:sz w:val="24"/>
                <w:szCs w:val="24"/>
              </w:rPr>
              <w:t>开关电源</w:t>
            </w:r>
          </w:p>
        </w:tc>
        <w:tc>
          <w:tcPr>
            <w:tcW w:w="1009" w:type="dxa"/>
            <w:vAlign w:val="center"/>
          </w:tcPr>
          <w:p w14:paraId="472781C0">
            <w:pPr>
              <w:spacing w:before="33" w:line="198" w:lineRule="auto"/>
              <w:jc w:val="center"/>
              <w:rPr>
                <w:rFonts w:ascii="宋体" w:hAnsi="宋体" w:cs="宋体"/>
                <w:spacing w:val="1"/>
                <w:sz w:val="24"/>
                <w:szCs w:val="24"/>
              </w:rPr>
            </w:pPr>
            <w:r>
              <w:rPr>
                <w:rFonts w:hint="eastAsia" w:ascii="宋体" w:hAnsi="宋体" w:cs="宋体"/>
                <w:spacing w:val="1"/>
                <w:sz w:val="24"/>
                <w:szCs w:val="24"/>
              </w:rPr>
              <w:t>1</w:t>
            </w:r>
            <w:r>
              <w:rPr>
                <w:rFonts w:ascii="宋体" w:hAnsi="宋体" w:cs="宋体"/>
                <w:spacing w:val="1"/>
                <w:sz w:val="24"/>
                <w:szCs w:val="24"/>
              </w:rPr>
              <w:t>0套</w:t>
            </w:r>
          </w:p>
        </w:tc>
        <w:tc>
          <w:tcPr>
            <w:tcW w:w="4540" w:type="dxa"/>
            <w:vAlign w:val="center"/>
          </w:tcPr>
          <w:p w14:paraId="51A989ED">
            <w:pPr>
              <w:pStyle w:val="272"/>
              <w:spacing w:before="33" w:line="198" w:lineRule="auto"/>
              <w:jc w:val="center"/>
              <w:rPr>
                <w:spacing w:val="1"/>
                <w:sz w:val="24"/>
                <w:szCs w:val="24"/>
              </w:rPr>
            </w:pPr>
            <w:r>
              <w:rPr>
                <w:spacing w:val="1"/>
                <w:sz w:val="24"/>
                <w:szCs w:val="24"/>
              </w:rPr>
              <w:t>O-24V</w:t>
            </w:r>
          </w:p>
        </w:tc>
      </w:tr>
      <w:tr w14:paraId="00C7C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64" w:type="dxa"/>
            <w:vAlign w:val="center"/>
          </w:tcPr>
          <w:p w14:paraId="29817AF9">
            <w:pPr>
              <w:pStyle w:val="272"/>
              <w:spacing w:before="33" w:line="198" w:lineRule="auto"/>
              <w:jc w:val="center"/>
              <w:rPr>
                <w:spacing w:val="1"/>
                <w:sz w:val="24"/>
                <w:szCs w:val="24"/>
              </w:rPr>
            </w:pPr>
            <w:r>
              <w:rPr>
                <w:spacing w:val="1"/>
                <w:sz w:val="24"/>
                <w:szCs w:val="24"/>
              </w:rPr>
              <w:t>5</w:t>
            </w:r>
          </w:p>
        </w:tc>
        <w:tc>
          <w:tcPr>
            <w:tcW w:w="1967" w:type="dxa"/>
            <w:vAlign w:val="center"/>
          </w:tcPr>
          <w:p w14:paraId="675766B7">
            <w:pPr>
              <w:pStyle w:val="272"/>
              <w:spacing w:before="33" w:line="198" w:lineRule="auto"/>
              <w:jc w:val="center"/>
              <w:rPr>
                <w:spacing w:val="1"/>
                <w:sz w:val="24"/>
                <w:szCs w:val="24"/>
              </w:rPr>
            </w:pPr>
            <w:r>
              <w:rPr>
                <w:spacing w:val="1"/>
                <w:sz w:val="24"/>
                <w:szCs w:val="24"/>
              </w:rPr>
              <w:t>压力变送器</w:t>
            </w:r>
          </w:p>
        </w:tc>
        <w:tc>
          <w:tcPr>
            <w:tcW w:w="1009" w:type="dxa"/>
            <w:vAlign w:val="center"/>
          </w:tcPr>
          <w:p w14:paraId="1F0C6688">
            <w:pPr>
              <w:spacing w:before="33" w:line="198" w:lineRule="auto"/>
              <w:jc w:val="center"/>
              <w:rPr>
                <w:rFonts w:ascii="宋体" w:hAnsi="宋体" w:cs="宋体"/>
                <w:spacing w:val="1"/>
                <w:sz w:val="24"/>
                <w:szCs w:val="24"/>
              </w:rPr>
            </w:pPr>
            <w:r>
              <w:rPr>
                <w:rFonts w:hint="eastAsia" w:ascii="宋体" w:hAnsi="宋体" w:cs="宋体"/>
                <w:spacing w:val="1"/>
                <w:sz w:val="24"/>
                <w:szCs w:val="24"/>
              </w:rPr>
              <w:t>1</w:t>
            </w:r>
            <w:r>
              <w:rPr>
                <w:rFonts w:ascii="宋体" w:hAnsi="宋体" w:cs="宋体"/>
                <w:spacing w:val="1"/>
                <w:sz w:val="24"/>
                <w:szCs w:val="24"/>
              </w:rPr>
              <w:t>0套</w:t>
            </w:r>
          </w:p>
        </w:tc>
        <w:tc>
          <w:tcPr>
            <w:tcW w:w="4540" w:type="dxa"/>
            <w:vAlign w:val="center"/>
          </w:tcPr>
          <w:p w14:paraId="39C62009">
            <w:pPr>
              <w:pStyle w:val="272"/>
              <w:spacing w:before="33" w:line="198" w:lineRule="auto"/>
              <w:jc w:val="center"/>
              <w:rPr>
                <w:spacing w:val="1"/>
                <w:sz w:val="24"/>
                <w:szCs w:val="24"/>
              </w:rPr>
            </w:pPr>
            <w:r>
              <w:rPr>
                <w:spacing w:val="1"/>
                <w:sz w:val="24"/>
                <w:szCs w:val="24"/>
              </w:rPr>
              <w:t>丹佛斯，带数显表头</w:t>
            </w:r>
          </w:p>
        </w:tc>
      </w:tr>
      <w:tr w14:paraId="5E120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64" w:type="dxa"/>
            <w:vAlign w:val="center"/>
          </w:tcPr>
          <w:p w14:paraId="0C51127A">
            <w:pPr>
              <w:pStyle w:val="272"/>
              <w:spacing w:before="33" w:line="198" w:lineRule="auto"/>
              <w:jc w:val="center"/>
              <w:rPr>
                <w:spacing w:val="1"/>
                <w:sz w:val="24"/>
                <w:szCs w:val="24"/>
              </w:rPr>
            </w:pPr>
            <w:r>
              <w:rPr>
                <w:spacing w:val="1"/>
                <w:sz w:val="24"/>
                <w:szCs w:val="24"/>
              </w:rPr>
              <w:t>6</w:t>
            </w:r>
          </w:p>
        </w:tc>
        <w:tc>
          <w:tcPr>
            <w:tcW w:w="1967" w:type="dxa"/>
            <w:vAlign w:val="center"/>
          </w:tcPr>
          <w:p w14:paraId="1D3E9250">
            <w:pPr>
              <w:pStyle w:val="272"/>
              <w:spacing w:before="33" w:line="198" w:lineRule="auto"/>
              <w:jc w:val="center"/>
              <w:rPr>
                <w:spacing w:val="1"/>
                <w:sz w:val="24"/>
                <w:szCs w:val="24"/>
              </w:rPr>
            </w:pPr>
            <w:r>
              <w:rPr>
                <w:spacing w:val="1"/>
                <w:sz w:val="24"/>
                <w:szCs w:val="24"/>
              </w:rPr>
              <w:t>信号分配器</w:t>
            </w:r>
          </w:p>
        </w:tc>
        <w:tc>
          <w:tcPr>
            <w:tcW w:w="1009" w:type="dxa"/>
            <w:vAlign w:val="center"/>
          </w:tcPr>
          <w:p w14:paraId="047FCAB0">
            <w:pPr>
              <w:spacing w:before="33" w:line="198" w:lineRule="auto"/>
              <w:jc w:val="center"/>
              <w:rPr>
                <w:rFonts w:ascii="宋体" w:hAnsi="宋体" w:cs="宋体"/>
                <w:spacing w:val="1"/>
                <w:sz w:val="24"/>
                <w:szCs w:val="24"/>
              </w:rPr>
            </w:pPr>
            <w:r>
              <w:rPr>
                <w:rFonts w:hint="eastAsia" w:ascii="宋体" w:hAnsi="宋体" w:cs="宋体"/>
                <w:spacing w:val="1"/>
                <w:sz w:val="24"/>
                <w:szCs w:val="24"/>
              </w:rPr>
              <w:t>1</w:t>
            </w:r>
            <w:r>
              <w:rPr>
                <w:rFonts w:ascii="宋体" w:hAnsi="宋体" w:cs="宋体"/>
                <w:spacing w:val="1"/>
                <w:sz w:val="24"/>
                <w:szCs w:val="24"/>
              </w:rPr>
              <w:t>0套</w:t>
            </w:r>
          </w:p>
        </w:tc>
        <w:tc>
          <w:tcPr>
            <w:tcW w:w="4540" w:type="dxa"/>
            <w:vAlign w:val="center"/>
          </w:tcPr>
          <w:p w14:paraId="358F85F0">
            <w:pPr>
              <w:pStyle w:val="272"/>
              <w:spacing w:before="33" w:line="198" w:lineRule="auto"/>
              <w:jc w:val="center"/>
              <w:rPr>
                <w:spacing w:val="1"/>
                <w:sz w:val="24"/>
                <w:szCs w:val="24"/>
              </w:rPr>
            </w:pPr>
            <w:r>
              <w:rPr>
                <w:spacing w:val="1"/>
                <w:sz w:val="24"/>
                <w:szCs w:val="24"/>
              </w:rPr>
              <w:t>1进4出</w:t>
            </w:r>
          </w:p>
        </w:tc>
      </w:tr>
      <w:tr w14:paraId="6343F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64" w:type="dxa"/>
            <w:vAlign w:val="center"/>
          </w:tcPr>
          <w:p w14:paraId="74E33407">
            <w:pPr>
              <w:pStyle w:val="272"/>
              <w:spacing w:before="33" w:line="198" w:lineRule="auto"/>
              <w:jc w:val="center"/>
              <w:rPr>
                <w:spacing w:val="1"/>
                <w:sz w:val="24"/>
                <w:szCs w:val="24"/>
              </w:rPr>
            </w:pPr>
            <w:r>
              <w:rPr>
                <w:spacing w:val="1"/>
                <w:sz w:val="24"/>
                <w:szCs w:val="24"/>
              </w:rPr>
              <w:t>7</w:t>
            </w:r>
          </w:p>
        </w:tc>
        <w:tc>
          <w:tcPr>
            <w:tcW w:w="1967" w:type="dxa"/>
            <w:vAlign w:val="center"/>
          </w:tcPr>
          <w:p w14:paraId="4B4FDB51">
            <w:pPr>
              <w:pStyle w:val="272"/>
              <w:spacing w:before="33" w:line="198" w:lineRule="auto"/>
              <w:jc w:val="center"/>
              <w:rPr>
                <w:spacing w:val="1"/>
                <w:sz w:val="24"/>
                <w:szCs w:val="24"/>
              </w:rPr>
            </w:pPr>
            <w:r>
              <w:rPr>
                <w:spacing w:val="1"/>
                <w:sz w:val="24"/>
                <w:szCs w:val="24"/>
              </w:rPr>
              <w:t>机械密封</w:t>
            </w:r>
          </w:p>
        </w:tc>
        <w:tc>
          <w:tcPr>
            <w:tcW w:w="1009" w:type="dxa"/>
            <w:vAlign w:val="center"/>
          </w:tcPr>
          <w:p w14:paraId="519D861F">
            <w:pPr>
              <w:pStyle w:val="272"/>
              <w:spacing w:before="33" w:line="198" w:lineRule="auto"/>
              <w:jc w:val="center"/>
              <w:rPr>
                <w:spacing w:val="1"/>
                <w:sz w:val="24"/>
                <w:szCs w:val="24"/>
              </w:rPr>
            </w:pPr>
            <w:r>
              <w:rPr>
                <w:spacing w:val="1"/>
                <w:sz w:val="24"/>
                <w:szCs w:val="24"/>
              </w:rPr>
              <w:t>各5套</w:t>
            </w:r>
          </w:p>
        </w:tc>
        <w:tc>
          <w:tcPr>
            <w:tcW w:w="4540" w:type="dxa"/>
            <w:vAlign w:val="center"/>
          </w:tcPr>
          <w:p w14:paraId="232F28FB">
            <w:pPr>
              <w:pStyle w:val="272"/>
              <w:spacing w:before="33" w:line="198" w:lineRule="auto"/>
              <w:jc w:val="center"/>
              <w:rPr>
                <w:spacing w:val="1"/>
                <w:sz w:val="24"/>
                <w:szCs w:val="24"/>
              </w:rPr>
            </w:pPr>
            <w:r>
              <w:rPr>
                <w:spacing w:val="1"/>
                <w:sz w:val="24"/>
                <w:szCs w:val="24"/>
              </w:rPr>
              <w:t>按不同水泵品牌</w:t>
            </w:r>
          </w:p>
        </w:tc>
      </w:tr>
      <w:tr w14:paraId="25204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64" w:type="dxa"/>
            <w:vAlign w:val="center"/>
          </w:tcPr>
          <w:p w14:paraId="4170684D">
            <w:pPr>
              <w:pStyle w:val="272"/>
              <w:spacing w:before="33" w:line="198" w:lineRule="auto"/>
              <w:jc w:val="center"/>
              <w:rPr>
                <w:spacing w:val="1"/>
                <w:sz w:val="24"/>
                <w:szCs w:val="24"/>
              </w:rPr>
            </w:pPr>
            <w:r>
              <w:rPr>
                <w:spacing w:val="1"/>
                <w:sz w:val="24"/>
                <w:szCs w:val="24"/>
              </w:rPr>
              <w:t>8</w:t>
            </w:r>
          </w:p>
        </w:tc>
        <w:tc>
          <w:tcPr>
            <w:tcW w:w="1967" w:type="dxa"/>
            <w:vAlign w:val="center"/>
          </w:tcPr>
          <w:p w14:paraId="105E31F6">
            <w:pPr>
              <w:pStyle w:val="272"/>
              <w:spacing w:before="33" w:line="198" w:lineRule="auto"/>
              <w:jc w:val="center"/>
              <w:rPr>
                <w:spacing w:val="1"/>
                <w:sz w:val="24"/>
                <w:szCs w:val="24"/>
              </w:rPr>
            </w:pPr>
            <w:r>
              <w:rPr>
                <w:spacing w:val="1"/>
                <w:sz w:val="24"/>
                <w:szCs w:val="24"/>
              </w:rPr>
              <w:t>螺丝、螺母</w:t>
            </w:r>
          </w:p>
        </w:tc>
        <w:tc>
          <w:tcPr>
            <w:tcW w:w="1009" w:type="dxa"/>
            <w:vAlign w:val="center"/>
          </w:tcPr>
          <w:p w14:paraId="08AF51A2">
            <w:pPr>
              <w:pStyle w:val="272"/>
              <w:spacing w:before="33" w:line="198" w:lineRule="auto"/>
              <w:jc w:val="center"/>
              <w:rPr>
                <w:spacing w:val="1"/>
                <w:sz w:val="24"/>
                <w:szCs w:val="24"/>
              </w:rPr>
            </w:pPr>
            <w:r>
              <w:rPr>
                <w:spacing w:val="1"/>
                <w:sz w:val="24"/>
                <w:szCs w:val="24"/>
              </w:rPr>
              <w:t>1套</w:t>
            </w:r>
          </w:p>
        </w:tc>
        <w:tc>
          <w:tcPr>
            <w:tcW w:w="4540" w:type="dxa"/>
            <w:vAlign w:val="center"/>
          </w:tcPr>
          <w:p w14:paraId="48DB6E38">
            <w:pPr>
              <w:pStyle w:val="272"/>
              <w:spacing w:before="33" w:line="198" w:lineRule="auto"/>
              <w:jc w:val="center"/>
              <w:rPr>
                <w:spacing w:val="1"/>
                <w:sz w:val="24"/>
                <w:szCs w:val="24"/>
              </w:rPr>
            </w:pPr>
            <w:r>
              <w:rPr>
                <w:spacing w:val="1"/>
                <w:sz w:val="24"/>
                <w:szCs w:val="24"/>
              </w:rPr>
              <w:t>304不锈钢</w:t>
            </w:r>
          </w:p>
        </w:tc>
      </w:tr>
      <w:tr w14:paraId="67504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64" w:type="dxa"/>
            <w:vAlign w:val="center"/>
          </w:tcPr>
          <w:p w14:paraId="625BBFC4">
            <w:pPr>
              <w:pStyle w:val="272"/>
              <w:spacing w:before="33" w:line="198" w:lineRule="auto"/>
              <w:jc w:val="center"/>
              <w:rPr>
                <w:spacing w:val="1"/>
                <w:sz w:val="24"/>
                <w:szCs w:val="24"/>
              </w:rPr>
            </w:pPr>
            <w:r>
              <w:rPr>
                <w:spacing w:val="1"/>
                <w:sz w:val="24"/>
                <w:szCs w:val="24"/>
              </w:rPr>
              <w:t>9</w:t>
            </w:r>
          </w:p>
        </w:tc>
        <w:tc>
          <w:tcPr>
            <w:tcW w:w="1967" w:type="dxa"/>
            <w:vAlign w:val="center"/>
          </w:tcPr>
          <w:p w14:paraId="74D8B2E4">
            <w:pPr>
              <w:pStyle w:val="272"/>
              <w:spacing w:before="33" w:line="198" w:lineRule="auto"/>
              <w:jc w:val="center"/>
              <w:rPr>
                <w:spacing w:val="1"/>
                <w:sz w:val="24"/>
                <w:szCs w:val="24"/>
              </w:rPr>
            </w:pPr>
            <w:r>
              <w:rPr>
                <w:spacing w:val="1"/>
                <w:sz w:val="24"/>
                <w:szCs w:val="24"/>
              </w:rPr>
              <w:t>空气开关</w:t>
            </w:r>
          </w:p>
        </w:tc>
        <w:tc>
          <w:tcPr>
            <w:tcW w:w="1009" w:type="dxa"/>
            <w:vAlign w:val="center"/>
          </w:tcPr>
          <w:p w14:paraId="3853DC39">
            <w:pPr>
              <w:pStyle w:val="272"/>
              <w:spacing w:before="33" w:line="198" w:lineRule="auto"/>
              <w:jc w:val="center"/>
              <w:rPr>
                <w:spacing w:val="1"/>
                <w:sz w:val="24"/>
                <w:szCs w:val="24"/>
              </w:rPr>
            </w:pPr>
            <w:r>
              <w:rPr>
                <w:spacing w:val="1"/>
                <w:sz w:val="24"/>
                <w:szCs w:val="24"/>
              </w:rPr>
              <w:t>5套</w:t>
            </w:r>
          </w:p>
        </w:tc>
        <w:tc>
          <w:tcPr>
            <w:tcW w:w="4540" w:type="dxa"/>
            <w:vAlign w:val="center"/>
          </w:tcPr>
          <w:p w14:paraId="0434593E">
            <w:pPr>
              <w:pStyle w:val="272"/>
              <w:spacing w:before="33" w:line="198" w:lineRule="auto"/>
              <w:jc w:val="center"/>
              <w:rPr>
                <w:spacing w:val="1"/>
                <w:sz w:val="24"/>
                <w:szCs w:val="24"/>
              </w:rPr>
            </w:pPr>
            <w:r>
              <w:rPr>
                <w:spacing w:val="1"/>
                <w:sz w:val="24"/>
                <w:szCs w:val="24"/>
              </w:rPr>
              <w:t>三相</w:t>
            </w:r>
          </w:p>
        </w:tc>
      </w:tr>
      <w:tr w14:paraId="4483B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64" w:type="dxa"/>
            <w:vAlign w:val="center"/>
          </w:tcPr>
          <w:p w14:paraId="0EBB221E">
            <w:pPr>
              <w:pStyle w:val="272"/>
              <w:spacing w:before="33" w:line="198" w:lineRule="auto"/>
              <w:jc w:val="center"/>
              <w:rPr>
                <w:spacing w:val="1"/>
                <w:sz w:val="24"/>
                <w:szCs w:val="24"/>
              </w:rPr>
            </w:pPr>
            <w:r>
              <w:rPr>
                <w:spacing w:val="1"/>
                <w:sz w:val="24"/>
                <w:szCs w:val="24"/>
              </w:rPr>
              <w:t>10</w:t>
            </w:r>
          </w:p>
        </w:tc>
        <w:tc>
          <w:tcPr>
            <w:tcW w:w="1967" w:type="dxa"/>
            <w:vAlign w:val="center"/>
          </w:tcPr>
          <w:p w14:paraId="3C1885DB">
            <w:pPr>
              <w:pStyle w:val="272"/>
              <w:spacing w:before="33" w:line="198" w:lineRule="auto"/>
              <w:jc w:val="center"/>
              <w:rPr>
                <w:spacing w:val="1"/>
                <w:sz w:val="24"/>
                <w:szCs w:val="24"/>
              </w:rPr>
            </w:pPr>
            <w:r>
              <w:rPr>
                <w:spacing w:val="1"/>
                <w:sz w:val="24"/>
                <w:szCs w:val="24"/>
              </w:rPr>
              <w:t>空气开关</w:t>
            </w:r>
          </w:p>
        </w:tc>
        <w:tc>
          <w:tcPr>
            <w:tcW w:w="1009" w:type="dxa"/>
            <w:vAlign w:val="center"/>
          </w:tcPr>
          <w:p w14:paraId="13D3FBCD">
            <w:pPr>
              <w:pStyle w:val="272"/>
              <w:spacing w:before="33" w:line="198" w:lineRule="auto"/>
              <w:jc w:val="center"/>
              <w:rPr>
                <w:spacing w:val="1"/>
                <w:sz w:val="24"/>
                <w:szCs w:val="24"/>
              </w:rPr>
            </w:pPr>
            <w:r>
              <w:rPr>
                <w:spacing w:val="1"/>
                <w:sz w:val="24"/>
                <w:szCs w:val="24"/>
              </w:rPr>
              <w:t>5套</w:t>
            </w:r>
          </w:p>
        </w:tc>
        <w:tc>
          <w:tcPr>
            <w:tcW w:w="4540" w:type="dxa"/>
            <w:vAlign w:val="center"/>
          </w:tcPr>
          <w:p w14:paraId="466FA7C3">
            <w:pPr>
              <w:pStyle w:val="272"/>
              <w:spacing w:before="33" w:line="198" w:lineRule="auto"/>
              <w:jc w:val="center"/>
              <w:rPr>
                <w:spacing w:val="1"/>
                <w:sz w:val="24"/>
                <w:szCs w:val="24"/>
              </w:rPr>
            </w:pPr>
            <w:r>
              <w:rPr>
                <w:spacing w:val="1"/>
                <w:sz w:val="24"/>
                <w:szCs w:val="24"/>
              </w:rPr>
              <w:t>单极</w:t>
            </w:r>
          </w:p>
        </w:tc>
      </w:tr>
      <w:tr w14:paraId="15B9F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64" w:type="dxa"/>
            <w:vAlign w:val="center"/>
          </w:tcPr>
          <w:p w14:paraId="0C3057F9">
            <w:pPr>
              <w:pStyle w:val="272"/>
              <w:spacing w:before="33" w:line="198" w:lineRule="auto"/>
              <w:jc w:val="center"/>
              <w:rPr>
                <w:spacing w:val="1"/>
                <w:sz w:val="24"/>
                <w:szCs w:val="24"/>
                <w:lang w:eastAsia="zh-CN"/>
              </w:rPr>
            </w:pPr>
            <w:r>
              <w:rPr>
                <w:rFonts w:hint="eastAsia"/>
                <w:spacing w:val="1"/>
                <w:sz w:val="24"/>
                <w:szCs w:val="24"/>
                <w:lang w:eastAsia="zh-CN"/>
              </w:rPr>
              <w:t>11</w:t>
            </w:r>
          </w:p>
        </w:tc>
        <w:tc>
          <w:tcPr>
            <w:tcW w:w="1967" w:type="dxa"/>
            <w:vAlign w:val="center"/>
          </w:tcPr>
          <w:p w14:paraId="35ABAD05">
            <w:pPr>
              <w:pStyle w:val="272"/>
              <w:spacing w:before="33" w:line="198" w:lineRule="auto"/>
              <w:jc w:val="center"/>
              <w:rPr>
                <w:spacing w:val="1"/>
                <w:sz w:val="24"/>
                <w:szCs w:val="24"/>
                <w:lang w:eastAsia="zh-CN"/>
              </w:rPr>
            </w:pPr>
            <w:r>
              <w:rPr>
                <w:rFonts w:hint="eastAsia"/>
                <w:spacing w:val="1"/>
                <w:sz w:val="24"/>
                <w:szCs w:val="24"/>
                <w:lang w:eastAsia="zh-CN"/>
              </w:rPr>
              <w:t>变频器</w:t>
            </w:r>
          </w:p>
        </w:tc>
        <w:tc>
          <w:tcPr>
            <w:tcW w:w="1009" w:type="dxa"/>
            <w:vAlign w:val="center"/>
          </w:tcPr>
          <w:p w14:paraId="16197030">
            <w:pPr>
              <w:pStyle w:val="272"/>
              <w:spacing w:before="33" w:line="198" w:lineRule="auto"/>
              <w:jc w:val="center"/>
              <w:rPr>
                <w:spacing w:val="1"/>
                <w:sz w:val="24"/>
                <w:szCs w:val="24"/>
                <w:lang w:eastAsia="zh-CN"/>
              </w:rPr>
            </w:pPr>
            <w:r>
              <w:rPr>
                <w:rFonts w:hint="eastAsia"/>
                <w:spacing w:val="1"/>
                <w:sz w:val="24"/>
                <w:szCs w:val="24"/>
                <w:lang w:eastAsia="zh-CN"/>
              </w:rPr>
              <w:t>3套</w:t>
            </w:r>
          </w:p>
        </w:tc>
        <w:tc>
          <w:tcPr>
            <w:tcW w:w="4540" w:type="dxa"/>
            <w:vAlign w:val="center"/>
          </w:tcPr>
          <w:p w14:paraId="68F18CF8">
            <w:pPr>
              <w:pStyle w:val="272"/>
              <w:spacing w:before="33" w:line="198" w:lineRule="auto"/>
              <w:jc w:val="center"/>
              <w:rPr>
                <w:spacing w:val="1"/>
                <w:sz w:val="24"/>
                <w:szCs w:val="24"/>
                <w:lang w:eastAsia="zh-CN"/>
              </w:rPr>
            </w:pPr>
            <w:r>
              <w:rPr>
                <w:rFonts w:hint="eastAsia"/>
                <w:spacing w:val="1"/>
                <w:sz w:val="24"/>
                <w:szCs w:val="24"/>
                <w:lang w:eastAsia="zh-CN"/>
              </w:rPr>
              <w:t>施耐德、ABB</w:t>
            </w:r>
          </w:p>
        </w:tc>
      </w:tr>
      <w:tr w14:paraId="13660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64" w:type="dxa"/>
            <w:vAlign w:val="center"/>
          </w:tcPr>
          <w:p w14:paraId="19E16231">
            <w:pPr>
              <w:pStyle w:val="272"/>
              <w:spacing w:before="33" w:line="198" w:lineRule="auto"/>
              <w:jc w:val="center"/>
              <w:rPr>
                <w:spacing w:val="1"/>
                <w:sz w:val="24"/>
                <w:szCs w:val="24"/>
                <w:lang w:eastAsia="zh-CN"/>
              </w:rPr>
            </w:pPr>
            <w:r>
              <w:rPr>
                <w:rFonts w:hint="eastAsia"/>
                <w:spacing w:val="1"/>
                <w:sz w:val="24"/>
                <w:szCs w:val="24"/>
                <w:lang w:eastAsia="zh-CN"/>
              </w:rPr>
              <w:t>12</w:t>
            </w:r>
          </w:p>
        </w:tc>
        <w:tc>
          <w:tcPr>
            <w:tcW w:w="1967" w:type="dxa"/>
            <w:vAlign w:val="center"/>
          </w:tcPr>
          <w:p w14:paraId="7680BEAD">
            <w:pPr>
              <w:pStyle w:val="272"/>
              <w:spacing w:before="33" w:line="198" w:lineRule="auto"/>
              <w:jc w:val="center"/>
              <w:rPr>
                <w:spacing w:val="1"/>
                <w:sz w:val="24"/>
                <w:szCs w:val="24"/>
                <w:lang w:eastAsia="zh-CN"/>
              </w:rPr>
            </w:pPr>
            <w:r>
              <w:rPr>
                <w:rFonts w:hint="eastAsia"/>
                <w:spacing w:val="1"/>
                <w:sz w:val="24"/>
                <w:szCs w:val="24"/>
                <w:lang w:eastAsia="zh-CN"/>
              </w:rPr>
              <w:t>排污泵</w:t>
            </w:r>
          </w:p>
        </w:tc>
        <w:tc>
          <w:tcPr>
            <w:tcW w:w="1009" w:type="dxa"/>
            <w:vAlign w:val="center"/>
          </w:tcPr>
          <w:p w14:paraId="441FDAA0">
            <w:pPr>
              <w:pStyle w:val="272"/>
              <w:spacing w:before="33" w:line="198" w:lineRule="auto"/>
              <w:jc w:val="center"/>
              <w:rPr>
                <w:spacing w:val="1"/>
                <w:sz w:val="24"/>
                <w:szCs w:val="24"/>
                <w:lang w:eastAsia="zh-CN"/>
              </w:rPr>
            </w:pPr>
            <w:r>
              <w:rPr>
                <w:rFonts w:hint="eastAsia"/>
                <w:spacing w:val="1"/>
                <w:sz w:val="24"/>
                <w:szCs w:val="24"/>
                <w:lang w:eastAsia="zh-CN"/>
              </w:rPr>
              <w:t>2组</w:t>
            </w:r>
          </w:p>
        </w:tc>
        <w:tc>
          <w:tcPr>
            <w:tcW w:w="4540" w:type="dxa"/>
            <w:vAlign w:val="center"/>
          </w:tcPr>
          <w:p w14:paraId="1512F5A2">
            <w:pPr>
              <w:pStyle w:val="272"/>
              <w:spacing w:before="33" w:line="198" w:lineRule="auto"/>
              <w:jc w:val="center"/>
              <w:rPr>
                <w:spacing w:val="1"/>
                <w:sz w:val="24"/>
                <w:szCs w:val="24"/>
              </w:rPr>
            </w:pPr>
          </w:p>
        </w:tc>
      </w:tr>
      <w:tr w14:paraId="4D2EA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64" w:type="dxa"/>
            <w:vAlign w:val="center"/>
          </w:tcPr>
          <w:p w14:paraId="4B7E6AA4">
            <w:pPr>
              <w:pStyle w:val="272"/>
              <w:spacing w:before="33" w:line="198" w:lineRule="auto"/>
              <w:jc w:val="center"/>
              <w:rPr>
                <w:spacing w:val="1"/>
                <w:sz w:val="24"/>
                <w:szCs w:val="24"/>
                <w:lang w:eastAsia="zh-CN"/>
              </w:rPr>
            </w:pPr>
            <w:r>
              <w:rPr>
                <w:rFonts w:hint="eastAsia"/>
                <w:spacing w:val="1"/>
                <w:sz w:val="24"/>
                <w:szCs w:val="24"/>
                <w:lang w:eastAsia="zh-CN"/>
              </w:rPr>
              <w:t>13</w:t>
            </w:r>
          </w:p>
        </w:tc>
        <w:tc>
          <w:tcPr>
            <w:tcW w:w="1967" w:type="dxa"/>
            <w:vAlign w:val="center"/>
          </w:tcPr>
          <w:p w14:paraId="4BCE0539">
            <w:pPr>
              <w:pStyle w:val="272"/>
              <w:spacing w:before="33" w:line="198" w:lineRule="auto"/>
              <w:jc w:val="center"/>
              <w:rPr>
                <w:spacing w:val="1"/>
                <w:sz w:val="24"/>
                <w:szCs w:val="24"/>
                <w:lang w:eastAsia="zh-CN"/>
              </w:rPr>
            </w:pPr>
            <w:r>
              <w:rPr>
                <w:rFonts w:hint="eastAsia"/>
                <w:spacing w:val="1"/>
                <w:sz w:val="24"/>
                <w:szCs w:val="24"/>
                <w:lang w:eastAsia="zh-CN"/>
              </w:rPr>
              <w:t>切割机</w:t>
            </w:r>
          </w:p>
        </w:tc>
        <w:tc>
          <w:tcPr>
            <w:tcW w:w="1009" w:type="dxa"/>
            <w:vAlign w:val="center"/>
          </w:tcPr>
          <w:p w14:paraId="39AB27E9">
            <w:pPr>
              <w:pStyle w:val="272"/>
              <w:spacing w:before="33" w:line="198" w:lineRule="auto"/>
              <w:jc w:val="center"/>
              <w:rPr>
                <w:spacing w:val="1"/>
                <w:sz w:val="24"/>
                <w:szCs w:val="24"/>
                <w:lang w:eastAsia="zh-CN"/>
              </w:rPr>
            </w:pPr>
            <w:r>
              <w:rPr>
                <w:rFonts w:hint="eastAsia"/>
                <w:spacing w:val="1"/>
                <w:sz w:val="24"/>
                <w:szCs w:val="24"/>
                <w:lang w:eastAsia="zh-CN"/>
              </w:rPr>
              <w:t>2套</w:t>
            </w:r>
          </w:p>
        </w:tc>
        <w:tc>
          <w:tcPr>
            <w:tcW w:w="4540" w:type="dxa"/>
            <w:vAlign w:val="center"/>
          </w:tcPr>
          <w:p w14:paraId="7626E511">
            <w:pPr>
              <w:pStyle w:val="272"/>
              <w:spacing w:before="33" w:line="198" w:lineRule="auto"/>
              <w:jc w:val="center"/>
              <w:rPr>
                <w:spacing w:val="1"/>
                <w:sz w:val="24"/>
                <w:szCs w:val="24"/>
              </w:rPr>
            </w:pPr>
          </w:p>
        </w:tc>
      </w:tr>
    </w:tbl>
    <w:p w14:paraId="127DA282">
      <w:pPr>
        <w:spacing w:line="360" w:lineRule="auto"/>
        <w:ind w:firstLine="480" w:firstLineChars="200"/>
        <w:jc w:val="left"/>
        <w:rPr>
          <w:rFonts w:ascii="宋体" w:hAnsi="宋体" w:cs="宋体"/>
          <w:b/>
          <w:bCs/>
          <w:color w:val="000000"/>
          <w:sz w:val="24"/>
        </w:rPr>
      </w:pPr>
      <w:r>
        <w:rPr>
          <w:rFonts w:hint="eastAsia" w:ascii="宋体" w:hAnsi="宋体" w:cs="宋体"/>
          <w:b/>
          <w:bCs/>
          <w:color w:val="000000"/>
          <w:sz w:val="24"/>
        </w:rPr>
        <w:t>3.运维服务报告：</w:t>
      </w:r>
    </w:p>
    <w:p w14:paraId="78D01CB4">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1.投标人应每月按时提交相应的维护报表及事故分析报告(主要包括泵房巡检异常情况 汇总表、泵房设备专项检测异常情况汇总表、泵房设备保养异常情况汇总表、泵房设备维修情 况记录表等，样表见附件)</w:t>
      </w:r>
    </w:p>
    <w:p w14:paraId="62EA3088">
      <w:pPr>
        <w:spacing w:line="360" w:lineRule="auto"/>
        <w:ind w:firstLine="480" w:firstLineChars="200"/>
        <w:jc w:val="left"/>
        <w:rPr>
          <w:rFonts w:ascii="宋体" w:hAnsi="宋体" w:cs="宋体"/>
          <w:color w:val="000000"/>
          <w:sz w:val="24"/>
        </w:rPr>
      </w:pPr>
      <w:r>
        <w:rPr>
          <w:rFonts w:hint="eastAsia" w:ascii="宋体" w:hAnsi="宋体" w:cs="宋体"/>
          <w:color w:val="000000"/>
          <w:sz w:val="24"/>
        </w:rPr>
        <w:t>2.采购人可根据实际情况需要，要求投标人就特定事件提交说明报告。</w:t>
      </w:r>
    </w:p>
    <w:p w14:paraId="4D54B715">
      <w:pPr>
        <w:spacing w:line="336" w:lineRule="auto"/>
        <w:jc w:val="left"/>
        <w:rPr>
          <w:rFonts w:ascii="宋体" w:hAnsi="宋体" w:cs="宋体"/>
          <w:b/>
          <w:bCs/>
          <w:sz w:val="24"/>
        </w:rPr>
      </w:pPr>
      <w:r>
        <w:rPr>
          <w:rFonts w:hint="eastAsia" w:ascii="宋体" w:hAnsi="宋体" w:cs="宋体"/>
          <w:b/>
          <w:bCs/>
          <w:sz w:val="24"/>
        </w:rPr>
        <w:t>九、其他要求：</w:t>
      </w:r>
    </w:p>
    <w:p w14:paraId="46008D20">
      <w:pPr>
        <w:spacing w:line="336" w:lineRule="auto"/>
        <w:ind w:firstLine="480" w:firstLineChars="200"/>
        <w:rPr>
          <w:rFonts w:ascii="宋体" w:hAnsi="宋体" w:cs="宋体"/>
          <w:sz w:val="24"/>
        </w:rPr>
      </w:pPr>
      <w:r>
        <w:rPr>
          <w:rFonts w:hint="eastAsia" w:ascii="宋体" w:hAnsi="宋体" w:cs="宋体"/>
          <w:sz w:val="24"/>
        </w:rPr>
        <w:t>1.为保证应急抢修等服务工作的顺利开展，中标单位应在服务区域配备相关技术人员24小时值班服务（包括节假日），为采购人提供维修、维护保养服务及技术支持，提供24小时的电话热线服务或远程网络在线服务，解答服务内容范围内的技术咨询。</w:t>
      </w:r>
    </w:p>
    <w:p w14:paraId="1E32DF11">
      <w:pPr>
        <w:spacing w:line="336" w:lineRule="auto"/>
        <w:ind w:firstLine="480" w:firstLineChars="200"/>
        <w:rPr>
          <w:rFonts w:ascii="宋体" w:hAnsi="宋体" w:cs="宋体"/>
          <w:sz w:val="24"/>
        </w:rPr>
      </w:pPr>
      <w:r>
        <w:rPr>
          <w:rFonts w:hint="eastAsia" w:ascii="宋体" w:hAnsi="宋体" w:cs="宋体"/>
          <w:sz w:val="24"/>
        </w:rPr>
        <w:t>2.遇有重大设备或系统故障，需立即响应，电话或网络指导用户应急处理，维修维护人员按照应急处理要求的响应时间到达现场服务，直至故障排除，系统恢复。</w:t>
      </w:r>
    </w:p>
    <w:p w14:paraId="20A44BDF">
      <w:pPr>
        <w:spacing w:line="336" w:lineRule="auto"/>
        <w:ind w:firstLine="480" w:firstLineChars="200"/>
        <w:rPr>
          <w:rFonts w:ascii="宋体" w:hAnsi="宋体" w:cs="宋体"/>
          <w:sz w:val="24"/>
        </w:rPr>
      </w:pPr>
      <w:r>
        <w:rPr>
          <w:rFonts w:hint="eastAsia" w:ascii="宋体" w:hAnsi="宋体" w:cs="宋体"/>
          <w:sz w:val="24"/>
        </w:rPr>
        <w:t>3.分类建立建全各设备的电子身份证及电子档案，包括设备名称、规格型号、品牌、产地、出厂日期、维修保养记录、零部件更换记录等，并随时供采购人查询打印。</w:t>
      </w:r>
    </w:p>
    <w:p w14:paraId="59FF626E">
      <w:pPr>
        <w:spacing w:line="336" w:lineRule="auto"/>
        <w:ind w:firstLine="480" w:firstLineChars="200"/>
        <w:rPr>
          <w:rFonts w:ascii="宋体" w:hAnsi="宋体" w:cs="宋体"/>
          <w:sz w:val="24"/>
        </w:rPr>
      </w:pPr>
      <w:r>
        <w:rPr>
          <w:rFonts w:hint="eastAsia" w:ascii="宋体" w:hAnsi="宋体" w:cs="宋体"/>
          <w:sz w:val="24"/>
        </w:rPr>
        <w:t>4.在服务区域内建立建全常用易损件、密封件、各类电气元器件、工艺配件库存。紧急情况下，随抢修服务人员第一时间到达现场使用，险情解除后，以优惠价格结算给采购人，但采购人有权事后自备和更换相关设备，应急设备退还中标单位，只作适当折旧补偿，不影响使用销售时，无偿临时借用。</w:t>
      </w:r>
    </w:p>
    <w:p w14:paraId="35700D8C">
      <w:pPr>
        <w:spacing w:line="336" w:lineRule="auto"/>
        <w:ind w:firstLine="480" w:firstLineChars="200"/>
        <w:rPr>
          <w:rFonts w:ascii="宋体" w:hAnsi="宋体" w:cs="宋体"/>
          <w:sz w:val="24"/>
        </w:rPr>
      </w:pPr>
      <w:r>
        <w:rPr>
          <w:rFonts w:hint="eastAsia" w:ascii="宋体" w:hAnsi="宋体" w:cs="宋体"/>
          <w:sz w:val="24"/>
        </w:rPr>
        <w:t>5.遇有需送厂家检修或由厂家派人现场服务的设备应及时通报给采购人，并配合采购人做好返修和现场安装调试工作。</w:t>
      </w:r>
    </w:p>
    <w:p w14:paraId="26C489CE">
      <w:pPr>
        <w:spacing w:line="336" w:lineRule="auto"/>
        <w:ind w:firstLine="480" w:firstLineChars="200"/>
        <w:rPr>
          <w:rFonts w:ascii="宋体" w:hAnsi="宋体" w:cs="宋体"/>
          <w:sz w:val="24"/>
        </w:rPr>
      </w:pPr>
      <w:r>
        <w:rPr>
          <w:rFonts w:hint="eastAsia" w:ascii="宋体" w:hAnsi="宋体" w:cs="宋体"/>
          <w:sz w:val="24"/>
        </w:rPr>
        <w:t>6.系统运行维修保养过程中需返回厂家检修或请厂家技术人员现场服务的仪器或设备，费用另计，服务人员做好配合工作。</w:t>
      </w:r>
    </w:p>
    <w:p w14:paraId="5CE7646C">
      <w:pPr>
        <w:spacing w:line="336" w:lineRule="auto"/>
        <w:ind w:firstLine="480" w:firstLineChars="200"/>
        <w:rPr>
          <w:rFonts w:ascii="宋体" w:hAnsi="宋体" w:cs="宋体"/>
          <w:sz w:val="24"/>
        </w:rPr>
      </w:pPr>
      <w:r>
        <w:rPr>
          <w:rFonts w:hint="eastAsia" w:ascii="宋体" w:hAnsi="宋体" w:cs="宋体"/>
          <w:sz w:val="24"/>
        </w:rPr>
        <w:t>7.根据采购人需要，配合采购人相关部门做好各类人员的培训计划和培训工作。</w:t>
      </w:r>
    </w:p>
    <w:p w14:paraId="3404731A">
      <w:pPr>
        <w:spacing w:line="336" w:lineRule="auto"/>
        <w:jc w:val="left"/>
        <w:rPr>
          <w:rFonts w:ascii="宋体" w:hAnsi="宋体" w:cs="宋体"/>
          <w:b/>
          <w:bCs/>
          <w:color w:val="000000"/>
          <w:sz w:val="24"/>
        </w:rPr>
      </w:pPr>
      <w:r>
        <w:rPr>
          <w:rFonts w:hint="eastAsia" w:ascii="宋体" w:hAnsi="宋体" w:cs="宋体"/>
          <w:b/>
          <w:color w:val="000000"/>
          <w:sz w:val="24"/>
        </w:rPr>
        <w:t>七、服务期限</w:t>
      </w:r>
      <w:r>
        <w:rPr>
          <w:rFonts w:hint="eastAsia" w:ascii="宋体" w:hAnsi="宋体" w:cs="宋体"/>
          <w:bCs/>
          <w:color w:val="000000"/>
          <w:sz w:val="24"/>
        </w:rPr>
        <w:t>：本项目采用1+1+1（即3年）模式，合同一年一签，即服务期1年满后采购人根据中标供应商上一年度的合同履约及考核情况决定是否续签合同。</w:t>
      </w:r>
    </w:p>
    <w:p w14:paraId="29C08D8E">
      <w:pPr>
        <w:spacing w:line="336" w:lineRule="auto"/>
        <w:rPr>
          <w:rFonts w:ascii="宋体" w:hAnsi="宋体" w:cs="宋体"/>
          <w:b/>
          <w:bCs/>
          <w:color w:val="000000"/>
          <w:sz w:val="24"/>
        </w:rPr>
      </w:pPr>
      <w:r>
        <w:rPr>
          <w:rFonts w:hint="eastAsia" w:ascii="宋体" w:hAnsi="宋体" w:cs="宋体"/>
          <w:b/>
          <w:bCs/>
          <w:color w:val="000000"/>
          <w:sz w:val="24"/>
        </w:rPr>
        <w:t>八、付款方式：</w:t>
      </w:r>
    </w:p>
    <w:p w14:paraId="5B0343A5">
      <w:pPr>
        <w:pStyle w:val="43"/>
        <w:spacing w:line="336" w:lineRule="auto"/>
        <w:ind w:left="0" w:firstLine="480" w:firstLineChars="200"/>
        <w:rPr>
          <w:rFonts w:hint="default" w:eastAsia="宋体"/>
          <w:shd w:val="clear" w:color="auto" w:fill="FFFF00"/>
          <w:lang w:val="en-US" w:eastAsia="zh-CN"/>
        </w:rPr>
      </w:pPr>
      <w:r>
        <w:rPr>
          <w:rFonts w:hint="eastAsia"/>
          <w:sz w:val="24"/>
          <w:szCs w:val="24"/>
        </w:rPr>
        <w:t>合同签订后，养护清单内的小区按季度支付运维服务费：</w:t>
      </w:r>
      <w:r>
        <w:rPr>
          <w:rFonts w:hint="eastAsia"/>
          <w:b/>
          <w:bCs/>
          <w:sz w:val="24"/>
          <w:szCs w:val="24"/>
          <w:u w:val="single"/>
        </w:rPr>
        <w:t>（投标报价*98/4-考核扣除的相应费用）</w:t>
      </w:r>
      <w:r>
        <w:rPr>
          <w:rFonts w:hint="eastAsia"/>
          <w:sz w:val="24"/>
          <w:szCs w:val="24"/>
        </w:rPr>
        <w:t>；</w:t>
      </w:r>
      <w:r>
        <w:rPr>
          <w:rFonts w:hint="eastAsia"/>
          <w:sz w:val="24"/>
          <w:szCs w:val="24"/>
          <w:shd w:val="clear" w:color="auto"/>
        </w:rPr>
        <w:t>新移交的小区泵房按月支付运维服务费：</w:t>
      </w:r>
      <w:r>
        <w:rPr>
          <w:rFonts w:hint="eastAsia"/>
          <w:b/>
          <w:bCs/>
          <w:sz w:val="24"/>
          <w:szCs w:val="24"/>
          <w:u w:val="single"/>
          <w:shd w:val="clear" w:color="auto"/>
        </w:rPr>
        <w:t>（投标报价/12*</w:t>
      </w:r>
      <w:r>
        <w:rPr>
          <w:rFonts w:hint="eastAsia"/>
          <w:b/>
          <w:bCs/>
          <w:sz w:val="24"/>
          <w:szCs w:val="24"/>
          <w:u w:val="single"/>
          <w:shd w:val="clear" w:color="auto"/>
          <w:lang w:val="en-US" w:eastAsia="zh-CN"/>
        </w:rPr>
        <w:t>实际</w:t>
      </w:r>
      <w:r>
        <w:rPr>
          <w:rFonts w:hint="eastAsia"/>
          <w:b/>
          <w:bCs/>
          <w:sz w:val="24"/>
          <w:szCs w:val="24"/>
          <w:u w:val="single"/>
          <w:shd w:val="clear" w:color="auto"/>
        </w:rPr>
        <w:t>服务月数-考核扣除的相应费用）</w:t>
      </w:r>
      <w:r>
        <w:rPr>
          <w:rFonts w:hint="eastAsia"/>
          <w:b/>
          <w:bCs/>
          <w:sz w:val="24"/>
          <w:szCs w:val="24"/>
          <w:u w:val="single"/>
          <w:shd w:val="clear" w:color="auto"/>
          <w:lang w:eastAsia="zh-CN"/>
        </w:rPr>
        <w:t>，</w:t>
      </w:r>
      <w:r>
        <w:rPr>
          <w:rFonts w:hint="eastAsia"/>
          <w:b/>
          <w:bCs/>
          <w:sz w:val="24"/>
          <w:szCs w:val="24"/>
          <w:u w:val="single"/>
          <w:shd w:val="clear" w:color="auto"/>
          <w:lang w:val="en-US" w:eastAsia="zh-CN"/>
        </w:rPr>
        <w:t>实际结算费用不得超过830000元。</w:t>
      </w:r>
    </w:p>
    <w:p w14:paraId="27470096">
      <w:pPr>
        <w:spacing w:line="312" w:lineRule="auto"/>
        <w:rPr>
          <w:rFonts w:ascii="宋体" w:hAnsi="宋体" w:cs="宋体"/>
          <w:b/>
          <w:bCs/>
          <w:color w:val="FF0000"/>
          <w:sz w:val="24"/>
          <w:szCs w:val="32"/>
          <w:u w:val="single"/>
        </w:rPr>
      </w:pPr>
    </w:p>
    <w:p w14:paraId="69EE46B1">
      <w:pPr>
        <w:spacing w:line="312" w:lineRule="auto"/>
        <w:ind w:firstLine="480" w:firstLineChars="200"/>
        <w:rPr>
          <w:rFonts w:ascii="宋体" w:hAnsi="宋体" w:cs="宋体"/>
          <w:b/>
          <w:bCs/>
          <w:color w:val="FF0000"/>
          <w:sz w:val="24"/>
          <w:szCs w:val="32"/>
          <w:u w:val="single"/>
        </w:rPr>
      </w:pPr>
      <w:r>
        <w:rPr>
          <w:rFonts w:hint="eastAsia" w:ascii="宋体" w:hAnsi="宋体" w:cs="宋体"/>
          <w:b/>
          <w:bCs/>
          <w:color w:val="FF0000"/>
          <w:sz w:val="24"/>
          <w:szCs w:val="32"/>
          <w:u w:val="single"/>
        </w:rPr>
        <w:t>注：“▲”为实质性响应条款，若未响应，将作无效标处理。</w:t>
      </w:r>
    </w:p>
    <w:p w14:paraId="751AEA16">
      <w:pPr>
        <w:suppressLineNumbers/>
        <w:spacing w:line="360" w:lineRule="auto"/>
        <w:ind w:firstLine="720" w:firstLineChars="200"/>
        <w:rPr>
          <w:rFonts w:hAnsi="宋体" w:cs="宋体"/>
          <w:color w:val="000000"/>
          <w:sz w:val="32"/>
          <w:szCs w:val="32"/>
          <w:lang w:bidi="ar"/>
        </w:rPr>
      </w:pPr>
      <w:r>
        <w:rPr>
          <w:rFonts w:ascii="宋体" w:cs="宋体"/>
          <w:b/>
          <w:bCs/>
          <w:sz w:val="36"/>
          <w:szCs w:val="36"/>
        </w:rPr>
        <w:br w:type="page"/>
      </w:r>
      <w:r>
        <w:rPr>
          <w:rFonts w:hint="eastAsia" w:hAnsi="宋体" w:cs="宋体"/>
          <w:color w:val="000000"/>
          <w:sz w:val="32"/>
          <w:szCs w:val="32"/>
          <w:lang w:bidi="ar"/>
        </w:rPr>
        <w:t xml:space="preserve">             </w:t>
      </w:r>
      <w:r>
        <w:rPr>
          <w:rFonts w:hint="eastAsia" w:ascii="宋体" w:hAnsi="宋体" w:cs="宋体"/>
          <w:b/>
          <w:color w:val="000000"/>
          <w:kern w:val="44"/>
          <w:sz w:val="32"/>
          <w:szCs w:val="32"/>
          <w:lang w:bidi="ar"/>
        </w:rPr>
        <w:t>第四章  合同文本（草稿）</w:t>
      </w:r>
      <w:bookmarkEnd w:id="31"/>
      <w:bookmarkEnd w:id="32"/>
    </w:p>
    <w:p w14:paraId="24933C83">
      <w:pPr>
        <w:spacing w:line="440" w:lineRule="exact"/>
        <w:ind w:firstLine="480" w:firstLineChars="200"/>
        <w:rPr>
          <w:rFonts w:hAnsi="宋体"/>
          <w:sz w:val="24"/>
        </w:rPr>
      </w:pPr>
    </w:p>
    <w:bookmarkEnd w:id="33"/>
    <w:bookmarkEnd w:id="34"/>
    <w:bookmarkEnd w:id="35"/>
    <w:bookmarkEnd w:id="36"/>
    <w:bookmarkEnd w:id="37"/>
    <w:p w14:paraId="3F85446F">
      <w:pPr>
        <w:spacing w:line="420" w:lineRule="exact"/>
        <w:rPr>
          <w:rFonts w:ascii="宋体" w:hAnsi="宋体" w:cs="宋体"/>
          <w:sz w:val="24"/>
        </w:rPr>
      </w:pPr>
      <w:r>
        <w:rPr>
          <w:rFonts w:hint="eastAsia" w:ascii="宋体" w:hAnsi="宋体" w:cs="宋体"/>
          <w:sz w:val="24"/>
        </w:rPr>
        <w:t>甲方：（采购人）</w:t>
      </w:r>
    </w:p>
    <w:p w14:paraId="769F1DCE">
      <w:pPr>
        <w:spacing w:line="420" w:lineRule="exact"/>
        <w:rPr>
          <w:rFonts w:ascii="宋体" w:hAnsi="宋体" w:cs="宋体"/>
          <w:sz w:val="24"/>
        </w:rPr>
      </w:pPr>
      <w:r>
        <w:rPr>
          <w:rFonts w:hint="eastAsia" w:ascii="宋体" w:hAnsi="宋体" w:cs="宋体"/>
          <w:sz w:val="24"/>
        </w:rPr>
        <w:t>乙方：（供应商）</w:t>
      </w:r>
    </w:p>
    <w:p w14:paraId="51474C9D">
      <w:pPr>
        <w:spacing w:line="440" w:lineRule="exact"/>
        <w:rPr>
          <w:rFonts w:ascii="宋体" w:hAnsi="宋体" w:cs="宋体"/>
          <w:sz w:val="24"/>
        </w:rPr>
      </w:pPr>
    </w:p>
    <w:p w14:paraId="375308B7">
      <w:pPr>
        <w:spacing w:line="360" w:lineRule="auto"/>
        <w:ind w:right="-153" w:rightChars="-73" w:firstLine="480" w:firstLineChars="200"/>
        <w:rPr>
          <w:rFonts w:ascii="宋体" w:hAnsi="宋体" w:cs="宋体"/>
          <w:sz w:val="24"/>
        </w:rPr>
      </w:pPr>
      <w:r>
        <w:rPr>
          <w:rFonts w:hint="eastAsia" w:ascii="宋体" w:hAnsi="宋体" w:cs="宋体"/>
          <w:sz w:val="24"/>
        </w:rPr>
        <w:t xml:space="preserve">根据 </w:t>
      </w:r>
      <w:r>
        <w:rPr>
          <w:rFonts w:hint="eastAsia" w:ascii="宋体" w:hAnsi="宋体" w:cs="宋体"/>
          <w:sz w:val="24"/>
          <w:u w:val="single"/>
        </w:rPr>
        <w:t xml:space="preserve">2024年  </w:t>
      </w:r>
      <w:r>
        <w:rPr>
          <w:rFonts w:hint="eastAsia" w:ascii="宋体" w:hAnsi="宋体" w:cs="宋体"/>
          <w:sz w:val="24"/>
        </w:rPr>
        <w:t>月  日二次供水泵房设备巡检养护采购招标结果和招标文件要求，并依照《中华人民共和国民法典》及其他等有关法律、行政法规的规定，同时在平等、公平、诚实和信用的原则下，经双方协商一致，订立本合同。</w:t>
      </w:r>
    </w:p>
    <w:p w14:paraId="07821A9E">
      <w:pPr>
        <w:spacing w:line="360" w:lineRule="auto"/>
        <w:rPr>
          <w:rFonts w:ascii="宋体" w:hAnsi="宋体" w:cs="宋体"/>
          <w:color w:val="000000"/>
          <w:sz w:val="24"/>
        </w:rPr>
      </w:pPr>
      <w:r>
        <w:rPr>
          <w:rFonts w:hint="eastAsia" w:ascii="宋体" w:hAnsi="宋体" w:cs="宋体"/>
          <w:b/>
          <w:color w:val="000000"/>
          <w:sz w:val="24"/>
        </w:rPr>
        <w:t>第一条、</w:t>
      </w:r>
      <w:r>
        <w:rPr>
          <w:rFonts w:hint="eastAsia" w:ascii="宋体" w:hAnsi="宋体" w:cs="宋体"/>
          <w:b/>
          <w:bCs/>
          <w:color w:val="000000"/>
          <w:sz w:val="24"/>
        </w:rPr>
        <w:t>项目概况：</w:t>
      </w:r>
    </w:p>
    <w:p w14:paraId="2543D37A">
      <w:pPr>
        <w:spacing w:line="360" w:lineRule="auto"/>
        <w:ind w:firstLine="480" w:firstLineChars="200"/>
        <w:jc w:val="left"/>
        <w:rPr>
          <w:rFonts w:ascii="宋体" w:hAnsi="宋体" w:cs="宋体"/>
          <w:sz w:val="24"/>
        </w:rPr>
      </w:pPr>
      <w:r>
        <w:rPr>
          <w:rFonts w:hint="eastAsia" w:ascii="宋体" w:hAnsi="宋体" w:cs="宋体"/>
          <w:color w:val="000000"/>
          <w:sz w:val="24"/>
        </w:rPr>
        <w:t>二次供水泵房设备巡检养护主要工作内容包含泵房内二次供水成套设备、管道、阀门、水箱(池)、排水系统及泵房附属设施的巡检、养护及其他技术服务，按养护周期定期开展养护工作，确保泵房安全正常供水。</w:t>
      </w:r>
    </w:p>
    <w:p w14:paraId="3614AC03">
      <w:pPr>
        <w:spacing w:line="360" w:lineRule="auto"/>
        <w:rPr>
          <w:rFonts w:ascii="宋体" w:hAnsi="宋体" w:cs="宋体"/>
          <w:b/>
          <w:bCs/>
          <w:color w:val="000000"/>
          <w:sz w:val="24"/>
        </w:rPr>
      </w:pPr>
      <w:r>
        <w:rPr>
          <w:rFonts w:hint="eastAsia" w:ascii="宋体" w:hAnsi="宋体" w:cs="宋体"/>
          <w:b/>
          <w:color w:val="000000"/>
          <w:sz w:val="24"/>
        </w:rPr>
        <w:t>第二条、养护清单：</w:t>
      </w:r>
    </w:p>
    <w:p w14:paraId="5217CDE0">
      <w:pPr>
        <w:spacing w:line="360" w:lineRule="auto"/>
        <w:rPr>
          <w:rFonts w:ascii="宋体" w:hAnsi="宋体" w:cs="宋体"/>
          <w:b/>
          <w:color w:val="000000"/>
          <w:sz w:val="24"/>
        </w:rPr>
      </w:pPr>
      <w:r>
        <w:rPr>
          <w:rFonts w:hint="eastAsia" w:ascii="宋体" w:hAnsi="宋体" w:cs="宋体"/>
          <w:b/>
          <w:color w:val="000000"/>
          <w:sz w:val="24"/>
        </w:rPr>
        <w:t>第三条、</w:t>
      </w:r>
      <w:r>
        <w:rPr>
          <w:rFonts w:hint="eastAsia" w:ascii="宋体" w:hAnsi="宋体" w:cs="宋体"/>
          <w:b/>
          <w:bCs/>
          <w:sz w:val="24"/>
        </w:rPr>
        <w:t>养护内容：</w:t>
      </w:r>
    </w:p>
    <w:p w14:paraId="7641DB98">
      <w:pPr>
        <w:spacing w:line="360" w:lineRule="auto"/>
        <w:rPr>
          <w:rFonts w:ascii="宋体" w:hAnsi="宋体" w:cs="宋体"/>
          <w:sz w:val="24"/>
        </w:rPr>
      </w:pPr>
      <w:r>
        <w:rPr>
          <w:rFonts w:hint="eastAsia" w:ascii="宋体" w:hAnsi="宋体" w:cs="宋体"/>
          <w:b/>
          <w:bCs/>
          <w:color w:val="000000"/>
          <w:sz w:val="24"/>
        </w:rPr>
        <w:t>第四条：合同总价：</w:t>
      </w:r>
      <w:r>
        <w:rPr>
          <w:rFonts w:hint="eastAsia" w:ascii="宋体" w:hAnsi="宋体" w:cs="宋体"/>
          <w:sz w:val="24"/>
        </w:rPr>
        <w:t xml:space="preserve"> 人民币万元整</w:t>
      </w:r>
    </w:p>
    <w:p w14:paraId="57925286">
      <w:pPr>
        <w:spacing w:line="360" w:lineRule="auto"/>
        <w:ind w:firstLine="480" w:firstLineChars="200"/>
        <w:rPr>
          <w:rFonts w:ascii="宋体" w:hAnsi="宋体" w:cs="宋体"/>
          <w:b/>
          <w:color w:val="000000"/>
          <w:sz w:val="24"/>
        </w:rPr>
      </w:pPr>
      <w:r>
        <w:rPr>
          <w:rFonts w:hint="eastAsia" w:ascii="宋体" w:hAnsi="宋体" w:cs="宋体"/>
          <w:sz w:val="24"/>
        </w:rPr>
        <w:t>合同总价为完成本服务所需的人力成本费、交通车旅、食宿费、工具及工具折旧费、办公耗材费、管理费、利润及税金等全部费用。服务费不包括服务过程中所需更换的设备、零部件、易损件、设备耗材及设备返厂维修等费用。</w:t>
      </w:r>
    </w:p>
    <w:p w14:paraId="2374C5B5">
      <w:pPr>
        <w:spacing w:line="360" w:lineRule="auto"/>
        <w:rPr>
          <w:rFonts w:ascii="宋体" w:hAnsi="宋体" w:cs="宋体"/>
          <w:color w:val="FF0000"/>
          <w:sz w:val="24"/>
        </w:rPr>
      </w:pPr>
      <w:r>
        <w:rPr>
          <w:rFonts w:hint="eastAsia" w:ascii="宋体" w:hAnsi="宋体" w:cs="宋体"/>
          <w:b/>
          <w:color w:val="000000"/>
          <w:sz w:val="24"/>
        </w:rPr>
        <w:t>第五条、</w:t>
      </w:r>
      <w:r>
        <w:rPr>
          <w:rFonts w:hint="eastAsia" w:ascii="宋体" w:hAnsi="宋体" w:cs="宋体"/>
          <w:b/>
          <w:bCs/>
          <w:color w:val="000000"/>
          <w:sz w:val="24"/>
        </w:rPr>
        <w:t>服务期限：</w:t>
      </w:r>
    </w:p>
    <w:p w14:paraId="51D1813A">
      <w:pPr>
        <w:spacing w:line="360" w:lineRule="auto"/>
        <w:rPr>
          <w:rFonts w:ascii="宋体" w:hAnsi="宋体" w:cs="宋体"/>
          <w:color w:val="FF0000"/>
          <w:kern w:val="21"/>
          <w:sz w:val="24"/>
        </w:rPr>
      </w:pPr>
      <w:r>
        <w:rPr>
          <w:rFonts w:hint="eastAsia" w:ascii="宋体" w:hAnsi="宋体" w:cs="宋体"/>
          <w:b/>
          <w:bCs/>
          <w:color w:val="000000"/>
          <w:sz w:val="24"/>
        </w:rPr>
        <w:t>第六条、付款方式：</w:t>
      </w:r>
      <w:r>
        <w:rPr>
          <w:rFonts w:hint="eastAsia" w:ascii="宋体" w:hAnsi="宋体" w:cs="宋体"/>
          <w:sz w:val="24"/>
        </w:rPr>
        <w:t xml:space="preserve"> </w:t>
      </w:r>
    </w:p>
    <w:p w14:paraId="6D576B0E">
      <w:pPr>
        <w:spacing w:line="360" w:lineRule="auto"/>
        <w:ind w:right="-333" w:rightChars="-159"/>
      </w:pPr>
      <w:r>
        <w:rPr>
          <w:rFonts w:hint="eastAsia" w:ascii="宋体" w:hAnsi="宋体" w:cs="宋体"/>
          <w:b/>
          <w:bCs/>
          <w:color w:val="000000"/>
          <w:sz w:val="24"/>
        </w:rPr>
        <w:t>第七条、履约保证金：</w:t>
      </w:r>
    </w:p>
    <w:p w14:paraId="4DB2E1E2">
      <w:pPr>
        <w:spacing w:line="360" w:lineRule="auto"/>
        <w:ind w:right="-333" w:rightChars="-159" w:firstLine="480" w:firstLineChars="200"/>
        <w:rPr>
          <w:rFonts w:ascii="宋体" w:hAnsi="宋体" w:cs="宋体"/>
          <w:sz w:val="24"/>
        </w:rPr>
      </w:pPr>
      <w:r>
        <w:rPr>
          <w:rFonts w:hint="eastAsia" w:ascii="宋体" w:hAnsi="宋体" w:cs="宋体"/>
          <w:sz w:val="24"/>
        </w:rPr>
        <w:t>1.金额：签约合同价的1%。</w:t>
      </w:r>
    </w:p>
    <w:p w14:paraId="62908739">
      <w:pPr>
        <w:spacing w:line="360" w:lineRule="auto"/>
        <w:ind w:right="-333" w:rightChars="-159" w:firstLine="480" w:firstLineChars="200"/>
        <w:rPr>
          <w:rFonts w:ascii="宋体" w:hAnsi="宋体" w:cs="宋体"/>
          <w:sz w:val="24"/>
        </w:rPr>
      </w:pPr>
      <w:r>
        <w:rPr>
          <w:rFonts w:hint="eastAsia" w:ascii="宋体" w:hAnsi="宋体" w:cs="宋体"/>
          <w:sz w:val="24"/>
        </w:rPr>
        <w:t>2.收取方式：网银、汇票、电汇、转账支付或银行保函、保险公司保单形式（具体形式由甲方指定，在合同签订前递交）；</w:t>
      </w:r>
    </w:p>
    <w:p w14:paraId="5DA073AA">
      <w:pPr>
        <w:spacing w:line="360" w:lineRule="auto"/>
        <w:ind w:right="-333" w:rightChars="-159" w:firstLine="480" w:firstLineChars="200"/>
      </w:pPr>
      <w:r>
        <w:rPr>
          <w:rFonts w:hint="eastAsia" w:ascii="宋体" w:hAnsi="宋体" w:cs="宋体"/>
          <w:sz w:val="24"/>
        </w:rPr>
        <w:t>3. 履约保证金的退还：履约保证金在合同履行期限届满确认中标人无违约行为后10个工作日内无息返还（采用保函或保单形式的，在合同约定的合同履行期限届满确认中标人无违约行为情况下自动解除）。</w:t>
      </w:r>
    </w:p>
    <w:p w14:paraId="6F82386A">
      <w:pPr>
        <w:spacing w:line="360" w:lineRule="auto"/>
        <w:ind w:right="-333" w:rightChars="-159"/>
        <w:rPr>
          <w:rFonts w:ascii="宋体" w:hAnsi="宋体" w:cs="宋体"/>
          <w:b/>
          <w:bCs/>
          <w:color w:val="000000"/>
          <w:sz w:val="24"/>
        </w:rPr>
      </w:pPr>
      <w:r>
        <w:rPr>
          <w:rFonts w:hint="eastAsia" w:ascii="宋体" w:hAnsi="宋体" w:cs="宋体"/>
          <w:b/>
          <w:bCs/>
          <w:color w:val="000000"/>
          <w:sz w:val="24"/>
        </w:rPr>
        <w:t>第八条、知识产权：</w:t>
      </w:r>
    </w:p>
    <w:p w14:paraId="71BB3DC8">
      <w:pPr>
        <w:spacing w:line="360" w:lineRule="auto"/>
        <w:ind w:right="-333" w:rightChars="-159" w:firstLine="480" w:firstLineChars="200"/>
        <w:rPr>
          <w:rFonts w:ascii="宋体" w:hAnsi="宋体" w:cs="宋体"/>
          <w:sz w:val="24"/>
        </w:rPr>
      </w:pPr>
      <w:r>
        <w:rPr>
          <w:rFonts w:hint="eastAsia" w:ascii="宋体" w:hAnsi="宋体" w:cs="宋体"/>
          <w:sz w:val="24"/>
        </w:rPr>
        <w:t>乙方应保证甲方在其接受该服务或其任何一部分时不受第三方提出的侵犯专利权、著作权、商标 权和工业设计权等的起诉。如果任何第三方提出侵权指控，乙方须与第三方交涉并承担由此发生的一切责任、费用和经济赔偿。</w:t>
      </w:r>
    </w:p>
    <w:p w14:paraId="373E047D">
      <w:pPr>
        <w:spacing w:line="360" w:lineRule="auto"/>
        <w:ind w:right="-333" w:rightChars="-159"/>
        <w:rPr>
          <w:rFonts w:ascii="宋体" w:hAnsi="宋体" w:cs="宋体"/>
          <w:b/>
          <w:bCs/>
          <w:sz w:val="24"/>
        </w:rPr>
      </w:pPr>
      <w:r>
        <w:rPr>
          <w:rFonts w:hint="eastAsia" w:ascii="宋体" w:hAnsi="宋体" w:cs="宋体"/>
          <w:b/>
          <w:bCs/>
          <w:sz w:val="24"/>
        </w:rPr>
        <w:t>第九条、检验和验收：</w:t>
      </w:r>
    </w:p>
    <w:p w14:paraId="613EF95D">
      <w:pPr>
        <w:spacing w:line="360" w:lineRule="auto"/>
        <w:ind w:right="-333" w:rightChars="-159" w:firstLine="480" w:firstLineChars="200"/>
        <w:rPr>
          <w:rFonts w:ascii="宋体" w:hAnsi="宋体" w:cs="宋体"/>
          <w:sz w:val="24"/>
        </w:rPr>
      </w:pPr>
      <w:r>
        <w:rPr>
          <w:rFonts w:hint="eastAsia" w:ascii="宋体" w:hAnsi="宋体" w:cs="宋体"/>
          <w:sz w:val="24"/>
        </w:rPr>
        <w:t>1.采购人依法组织履约验收工作。采购人应当根据采购项目的具体情况, 自行组织项目验收。</w:t>
      </w:r>
    </w:p>
    <w:p w14:paraId="47F14957">
      <w:pPr>
        <w:spacing w:line="360" w:lineRule="auto"/>
        <w:ind w:right="-333" w:rightChars="-159" w:firstLine="480" w:firstLineChars="200"/>
        <w:rPr>
          <w:rFonts w:ascii="宋体" w:hAnsi="宋体" w:cs="宋体"/>
          <w:sz w:val="24"/>
        </w:rPr>
      </w:pPr>
      <w:r>
        <w:rPr>
          <w:rFonts w:hint="eastAsia" w:ascii="宋体" w:hAnsi="宋体" w:cs="宋体"/>
          <w:sz w:val="24"/>
        </w:rPr>
        <w:t>2.采购人应当根据项目特点制定验收方案,明确履约验收的时间、方式、程序等内容。</w:t>
      </w:r>
    </w:p>
    <w:p w14:paraId="0E975F4E">
      <w:pPr>
        <w:spacing w:line="360" w:lineRule="auto"/>
        <w:ind w:right="-333" w:rightChars="-159" w:firstLine="480" w:firstLineChars="200"/>
        <w:rPr>
          <w:rFonts w:ascii="宋体" w:hAnsi="宋体" w:cs="宋体"/>
          <w:sz w:val="24"/>
        </w:rPr>
      </w:pPr>
      <w:r>
        <w:rPr>
          <w:rFonts w:hint="eastAsia" w:ascii="宋体" w:hAnsi="宋体" w:cs="宋体"/>
          <w:sz w:val="24"/>
        </w:rPr>
        <w:t>3.采购人按照采购合同的约定对供应商履约情况进行验收。验收时, 应当按照采购合同的约定对每一项技术、服务、安全标准的履约情况进行确认。验收结束后,应当出具验收书,列明各项标准的验收情况及项目总体评价,由验收双方共同签署。履约验收的各项资料应当存档备查。</w:t>
      </w:r>
    </w:p>
    <w:p w14:paraId="602FFEDD">
      <w:pPr>
        <w:spacing w:line="360" w:lineRule="auto"/>
        <w:ind w:right="-333" w:rightChars="-159" w:firstLine="480" w:firstLineChars="200"/>
        <w:rPr>
          <w:rFonts w:ascii="宋体" w:hAnsi="宋体" w:cs="宋体"/>
          <w:sz w:val="24"/>
        </w:rPr>
      </w:pPr>
      <w:r>
        <w:rPr>
          <w:rFonts w:hint="eastAsia" w:ascii="宋体" w:hAnsi="宋体" w:cs="宋体"/>
          <w:sz w:val="24"/>
        </w:rPr>
        <w:t>4.验收合格的项目,采购人应当根据采购合同的约定及时向供应商支付采购资金。验收不合格的项目,采购人应当依法及时处理。</w:t>
      </w:r>
    </w:p>
    <w:p w14:paraId="2C5141B9">
      <w:pPr>
        <w:spacing w:line="360" w:lineRule="auto"/>
        <w:ind w:right="-333" w:rightChars="-159"/>
        <w:rPr>
          <w:rFonts w:ascii="宋体" w:hAnsi="宋体" w:cs="宋体"/>
          <w:sz w:val="24"/>
        </w:rPr>
      </w:pPr>
      <w:r>
        <w:rPr>
          <w:rFonts w:hint="eastAsia" w:ascii="宋体" w:hAnsi="宋体" w:cs="宋体"/>
          <w:b/>
          <w:bCs/>
          <w:sz w:val="24"/>
        </w:rPr>
        <w:t>第十条、中标供应商履约延误和误期赔偿：</w:t>
      </w:r>
    </w:p>
    <w:p w14:paraId="44531D17">
      <w:pPr>
        <w:spacing w:line="360" w:lineRule="auto"/>
        <w:ind w:right="-333" w:rightChars="-159" w:firstLine="480" w:firstLineChars="200"/>
        <w:rPr>
          <w:rFonts w:ascii="宋体" w:hAnsi="宋体" w:cs="宋体"/>
          <w:sz w:val="24"/>
        </w:rPr>
      </w:pPr>
      <w:r>
        <w:rPr>
          <w:rFonts w:hint="eastAsia" w:ascii="宋体" w:hAnsi="宋体" w:cs="宋体"/>
          <w:sz w:val="24"/>
        </w:rPr>
        <w:t>1.如中标供应商无正当理由而拖延提供服务，采购人有权提出误期赔偿或解除合同。</w:t>
      </w:r>
    </w:p>
    <w:p w14:paraId="438FCEC0">
      <w:pPr>
        <w:spacing w:line="360" w:lineRule="auto"/>
        <w:ind w:right="-333" w:rightChars="-159" w:firstLine="480" w:firstLineChars="200"/>
        <w:rPr>
          <w:rFonts w:ascii="宋体" w:hAnsi="宋体" w:cs="宋体"/>
          <w:sz w:val="24"/>
        </w:rPr>
      </w:pPr>
      <w:r>
        <w:rPr>
          <w:rFonts w:hint="eastAsia" w:ascii="宋体" w:hAnsi="宋体" w:cs="宋体"/>
          <w:sz w:val="24"/>
        </w:rPr>
        <w:t>2.在履行合同过程中，如果中标供应商遇到妨碍按时提供服务的情况时，应及时以书面形式将拖延的事实，可能拖延的期限和理由通知采购人。采购人在收到中标供应商通知后，应尽快对情况进行评价，并确定是否通过修改合同，酌情延长提供服务时间。</w:t>
      </w:r>
    </w:p>
    <w:p w14:paraId="7EFB7BF4">
      <w:pPr>
        <w:spacing w:line="360" w:lineRule="auto"/>
        <w:ind w:right="-333" w:rightChars="-159" w:firstLine="480" w:firstLineChars="200"/>
        <w:rPr>
          <w:rFonts w:ascii="宋体" w:hAnsi="宋体" w:cs="宋体"/>
          <w:sz w:val="24"/>
        </w:rPr>
      </w:pPr>
      <w:r>
        <w:rPr>
          <w:rFonts w:hint="eastAsia" w:ascii="宋体" w:hAnsi="宋体" w:cs="宋体"/>
          <w:sz w:val="24"/>
        </w:rPr>
        <w:t>3.除不可抗力外，如果中标供应商没有按照合同规定的时间提供服务，采购人可要求中标供应商支付违约金。违约金按每周未提供服务费用的0.5%计收，但违约金的最高限额为未提供服务的合同价格的5%。一周按7天计算，不足7天按一周计算。如果达到最高限额，采购人有权解除合同。</w:t>
      </w:r>
    </w:p>
    <w:p w14:paraId="10CF488A">
      <w:pPr>
        <w:spacing w:line="360" w:lineRule="auto"/>
        <w:ind w:right="-333" w:rightChars="-159"/>
        <w:rPr>
          <w:rFonts w:ascii="宋体" w:hAnsi="宋体" w:cs="宋体"/>
          <w:b/>
          <w:bCs/>
          <w:sz w:val="24"/>
        </w:rPr>
      </w:pPr>
      <w:r>
        <w:rPr>
          <w:rFonts w:hint="eastAsia" w:ascii="宋体" w:hAnsi="宋体" w:cs="宋体"/>
          <w:b/>
          <w:bCs/>
          <w:sz w:val="24"/>
        </w:rPr>
        <w:t>第十一条、不可抗力：</w:t>
      </w:r>
    </w:p>
    <w:p w14:paraId="7B1E8436">
      <w:pPr>
        <w:spacing w:line="360" w:lineRule="auto"/>
        <w:ind w:right="-333" w:rightChars="-159" w:firstLine="480" w:firstLineChars="200"/>
        <w:rPr>
          <w:rFonts w:ascii="宋体" w:hAnsi="宋体" w:cs="宋体"/>
          <w:sz w:val="24"/>
        </w:rPr>
      </w:pPr>
      <w:r>
        <w:rPr>
          <w:rFonts w:hint="eastAsia" w:ascii="宋体" w:hAnsi="宋体" w:cs="宋体"/>
          <w:sz w:val="24"/>
        </w:rPr>
        <w:t>1.如果中标供应商因不可抗力而导致合同实施延误或不能履行合同义务的话，在不可抗力影响的范围内中标供应商的履约保证金或者应支付给中标供应商的合同款项不能被没收，也不应该承担违约赔偿或终止合同的责任。</w:t>
      </w:r>
    </w:p>
    <w:p w14:paraId="5CC300A7">
      <w:pPr>
        <w:spacing w:line="360" w:lineRule="auto"/>
        <w:ind w:right="-333" w:rightChars="-159" w:firstLine="480" w:firstLineChars="200"/>
        <w:rPr>
          <w:rFonts w:ascii="宋体" w:hAnsi="宋体" w:cs="宋体"/>
          <w:sz w:val="24"/>
        </w:rPr>
      </w:pPr>
      <w:r>
        <w:rPr>
          <w:rFonts w:hint="eastAsia" w:ascii="宋体" w:hAnsi="宋体" w:cs="宋体"/>
          <w:sz w:val="24"/>
        </w:rPr>
        <w:t>2.本条所述的“不可抗力 ”是指那些中标供应商无法控制、不可预见的事件，但不包括中标供应商的违约 或疏忽。不可抗力事件包括，但不限于：战争、严重火灾、洪水、台风、地震、防疫限制和禁运及其他双方商定的事件。</w:t>
      </w:r>
    </w:p>
    <w:p w14:paraId="3FFCFC3B">
      <w:pPr>
        <w:spacing w:line="360" w:lineRule="auto"/>
        <w:ind w:right="-333" w:rightChars="-159" w:firstLine="480" w:firstLineChars="200"/>
        <w:rPr>
          <w:rFonts w:ascii="宋体" w:hAnsi="宋体" w:cs="宋体"/>
          <w:sz w:val="24"/>
        </w:rPr>
      </w:pPr>
      <w:r>
        <w:rPr>
          <w:rFonts w:hint="eastAsia" w:ascii="宋体" w:hAnsi="宋体" w:cs="宋体"/>
          <w:sz w:val="24"/>
        </w:rPr>
        <w:t>3.在不可抗力事件发生后，中标供应商应尽快以书面形式将不可抗力的情况和原因通知采购人。除采购人书面另行要求外，中标供应商应尽可能继续履行合同义务，以及寻求采取合理的方案履行不受不可抗力影响的其他事项。如果不可抗力事件影响延续超过 120 天，双方应通过友好协商在合理的时间内就进一步实施合同达成协 议。</w:t>
      </w:r>
    </w:p>
    <w:p w14:paraId="67653D0C">
      <w:pPr>
        <w:spacing w:line="360" w:lineRule="auto"/>
        <w:ind w:right="-333" w:rightChars="-159" w:firstLine="480" w:firstLineChars="200"/>
        <w:rPr>
          <w:rFonts w:ascii="宋体" w:hAnsi="宋体" w:cs="宋体"/>
          <w:sz w:val="24"/>
        </w:rPr>
      </w:pPr>
      <w:r>
        <w:rPr>
          <w:rFonts w:hint="eastAsia" w:ascii="宋体" w:hAnsi="宋体" w:cs="宋体"/>
          <w:sz w:val="24"/>
        </w:rPr>
        <w:t>4.不可抗力使合同的某些内容有变更必要的，双方应通过协商达成进一步履行合同的协议，因不可抗力致使合同不能履行的，合同终止。</w:t>
      </w:r>
    </w:p>
    <w:p w14:paraId="31E3D87E">
      <w:pPr>
        <w:spacing w:line="360" w:lineRule="auto"/>
        <w:ind w:right="-333" w:rightChars="-159"/>
        <w:rPr>
          <w:rFonts w:ascii="宋体" w:hAnsi="宋体" w:cs="宋体"/>
          <w:b/>
          <w:bCs/>
          <w:color w:val="000000"/>
          <w:sz w:val="24"/>
        </w:rPr>
      </w:pPr>
      <w:r>
        <w:rPr>
          <w:rFonts w:hint="eastAsia" w:ascii="宋体" w:hAnsi="宋体" w:cs="宋体"/>
          <w:b/>
          <w:bCs/>
          <w:color w:val="000000"/>
          <w:sz w:val="24"/>
        </w:rPr>
        <w:t>第十二条、违约责任：</w:t>
      </w:r>
    </w:p>
    <w:p w14:paraId="0CF5192B">
      <w:pPr>
        <w:spacing w:line="360" w:lineRule="auto"/>
        <w:ind w:right="-333" w:rightChars="-159" w:firstLine="480" w:firstLineChars="200"/>
        <w:rPr>
          <w:rFonts w:ascii="宋体" w:hAnsi="宋体" w:cs="宋体"/>
          <w:sz w:val="24"/>
        </w:rPr>
      </w:pPr>
      <w:r>
        <w:rPr>
          <w:rFonts w:hint="eastAsia" w:ascii="宋体" w:hAnsi="宋体" w:cs="宋体"/>
          <w:sz w:val="24"/>
        </w:rPr>
        <w:t>1.擅自更换派驻现场项目人员的违约责任：因生病住院、终止劳动合同关系（提供相关部门或单位证明材料）、被责令停止执业、羁押或判刑情形，无法继续担任相应岗位工作，乙方向甲方提出申请，甲方应同意更换，更换到位的项目人员资质不低于原项目人员；除上述情形外不允许更换。如乙方擅自更换，从合同款项中扣除1000元/人.次作为违约金，此事件一年内发生两次的，甲方有权单方面解除合同，并没收全额履约保证金。</w:t>
      </w:r>
    </w:p>
    <w:p w14:paraId="31D32D5C">
      <w:pPr>
        <w:spacing w:line="360" w:lineRule="auto"/>
        <w:ind w:right="-333" w:rightChars="-159" w:firstLine="480" w:firstLineChars="200"/>
        <w:rPr>
          <w:rFonts w:ascii="宋体" w:hAnsi="宋体" w:cs="宋体"/>
          <w:sz w:val="24"/>
        </w:rPr>
      </w:pPr>
      <w:r>
        <w:rPr>
          <w:rFonts w:hint="eastAsia" w:ascii="宋体" w:hAnsi="宋体" w:cs="宋体"/>
          <w:sz w:val="24"/>
        </w:rPr>
        <w:t>2.未经过甲方同意擅自减少派驻现场项目人员的，每发现一次从合同款项中扣除1000元/人，累计出现3次（含3次），甲方有权单方面解除合同，并没收全额履约保证金。</w:t>
      </w:r>
    </w:p>
    <w:p w14:paraId="0D7FF8BE">
      <w:pPr>
        <w:spacing w:line="360" w:lineRule="auto"/>
        <w:ind w:right="-333" w:rightChars="-159" w:firstLine="480" w:firstLineChars="200"/>
        <w:rPr>
          <w:rFonts w:ascii="宋体" w:hAnsi="宋体" w:cs="宋体"/>
          <w:sz w:val="24"/>
        </w:rPr>
      </w:pPr>
      <w:r>
        <w:rPr>
          <w:rFonts w:hint="eastAsia" w:ascii="宋体" w:hAnsi="宋体" w:cs="宋体"/>
          <w:sz w:val="24"/>
        </w:rPr>
        <w:t>3.因中标人责任所造成的任何损失由中标人承担，情节严重的解除合同,并不予退还履约保证金。</w:t>
      </w:r>
    </w:p>
    <w:p w14:paraId="01764E18">
      <w:pPr>
        <w:spacing w:line="360" w:lineRule="auto"/>
        <w:ind w:right="-333" w:rightChars="-159" w:firstLine="480" w:firstLineChars="200"/>
        <w:rPr>
          <w:rFonts w:ascii="宋体" w:hAnsi="宋体" w:cs="宋体"/>
          <w:sz w:val="24"/>
        </w:rPr>
      </w:pPr>
      <w:r>
        <w:rPr>
          <w:rFonts w:hint="eastAsia" w:ascii="宋体" w:hAnsi="宋体" w:cs="宋体"/>
          <w:sz w:val="24"/>
        </w:rPr>
        <w:t>4.验收过程中发现作业人员有未按要求佩戴防护用品、无证上岗或与报备人员不符情况的，每次扣除 200 元，并立即进行整改，整改不到位的，招标人有权终止合同，并不予退还履约保证金。</w:t>
      </w:r>
    </w:p>
    <w:p w14:paraId="329EA39F">
      <w:pPr>
        <w:spacing w:line="360" w:lineRule="auto"/>
        <w:ind w:right="-333" w:rightChars="-159" w:firstLine="480" w:firstLineChars="200"/>
        <w:rPr>
          <w:rFonts w:ascii="宋体" w:hAnsi="宋体" w:cs="宋体"/>
          <w:sz w:val="24"/>
        </w:rPr>
      </w:pPr>
      <w:r>
        <w:rPr>
          <w:rFonts w:hint="eastAsia" w:ascii="宋体" w:hAnsi="宋体" w:cs="宋体"/>
          <w:sz w:val="24"/>
        </w:rPr>
        <w:t>5.招标人对中标人的维护巡检情况、巡检记录不定时抽查，如发生弄虚作假的情况，第1次发现扣除 200 元，第2次发现扣除 500 元并约谈，第3次发现甲方有权单方终止合同，并不予退还履约保证金。</w:t>
      </w:r>
    </w:p>
    <w:p w14:paraId="0AF7C762">
      <w:pPr>
        <w:spacing w:line="360" w:lineRule="auto"/>
        <w:ind w:right="-333" w:rightChars="-159" w:firstLine="480" w:firstLineChars="200"/>
        <w:rPr>
          <w:rFonts w:ascii="宋体" w:hAnsi="宋体" w:cs="宋体"/>
          <w:sz w:val="24"/>
        </w:rPr>
      </w:pPr>
      <w:r>
        <w:rPr>
          <w:rFonts w:hint="eastAsia" w:ascii="宋体" w:hAnsi="宋体" w:cs="宋体"/>
          <w:sz w:val="24"/>
        </w:rPr>
        <w:t>6.中标人在设备、设施维保过程中受到用户及物业公司的投诉，媒体负面曝光等影响招标人形象的，经查实第1次扣除500元并更换作业人员，第2 次扣除1000元并约谈，第3次甲方有权单方终止合同，并不予退还履约保证金。</w:t>
      </w:r>
    </w:p>
    <w:p w14:paraId="5EA8B78E">
      <w:pPr>
        <w:spacing w:line="360" w:lineRule="auto"/>
        <w:ind w:right="-333" w:rightChars="-159" w:firstLine="480" w:firstLineChars="200"/>
        <w:rPr>
          <w:rFonts w:ascii="宋体" w:hAnsi="宋体" w:cs="宋体"/>
          <w:sz w:val="24"/>
        </w:rPr>
      </w:pPr>
      <w:r>
        <w:rPr>
          <w:rFonts w:hint="eastAsia" w:ascii="宋体" w:hAnsi="宋体" w:cs="宋体"/>
          <w:sz w:val="24"/>
        </w:rPr>
        <w:t>7.乙方未严格按照招标文件要求进行维修维护保养服务，或不能及时履行合同所规定的服务条款，或对甲方工作造成严重延误时，甲方每发现一次扣除伍仟元合同价款作为违约金。累计出现3次（含3次），甲方有权单方解除合同，并没收全额履约保证金。</w:t>
      </w:r>
    </w:p>
    <w:p w14:paraId="0996A695">
      <w:pPr>
        <w:spacing w:line="360" w:lineRule="auto"/>
        <w:ind w:right="-333" w:rightChars="-159" w:firstLine="480" w:firstLineChars="200"/>
        <w:rPr>
          <w:rFonts w:ascii="宋体" w:hAnsi="宋体" w:cs="宋体"/>
          <w:sz w:val="24"/>
        </w:rPr>
      </w:pPr>
      <w:r>
        <w:rPr>
          <w:rFonts w:hint="eastAsia" w:ascii="宋体" w:hAnsi="宋体" w:cs="宋体"/>
          <w:sz w:val="24"/>
        </w:rPr>
        <w:t>8.若遇有设备故障乙方未在第一时间赶赴现场，执行必要的应急措施和操作，甲方有权扣除伍仟元合同价款作为违约金。累计出现3次（含3次），甲方有权单方解除合同，并没收全额履约保证金。</w:t>
      </w:r>
    </w:p>
    <w:p w14:paraId="738151C8">
      <w:pPr>
        <w:spacing w:line="360" w:lineRule="auto"/>
        <w:ind w:right="-333" w:rightChars="-159" w:firstLine="480" w:firstLineChars="200"/>
        <w:rPr>
          <w:rFonts w:ascii="宋体" w:hAnsi="宋体" w:cs="宋体"/>
          <w:sz w:val="24"/>
        </w:rPr>
      </w:pPr>
      <w:r>
        <w:rPr>
          <w:rFonts w:hint="eastAsia" w:ascii="宋体" w:hAnsi="宋体" w:cs="宋体"/>
          <w:sz w:val="24"/>
        </w:rPr>
        <w:t>9.中标人应按招标人要求提供维保计划、相应台账及维保记录，未按采购人要求提供的第1次扣除 500 元，第2次扣除 1000 元，第3次甲方有权单方终止合同，并不予退还履约保证金。</w:t>
      </w:r>
    </w:p>
    <w:p w14:paraId="432B5394">
      <w:pPr>
        <w:spacing w:line="360" w:lineRule="auto"/>
        <w:ind w:right="-333" w:rightChars="-159" w:firstLine="480" w:firstLineChars="200"/>
        <w:rPr>
          <w:rFonts w:ascii="宋体" w:hAnsi="宋体" w:cs="宋体"/>
          <w:sz w:val="24"/>
        </w:rPr>
      </w:pPr>
      <w:r>
        <w:rPr>
          <w:rFonts w:hint="eastAsia" w:ascii="宋体" w:hAnsi="宋体" w:cs="宋体"/>
          <w:sz w:val="24"/>
        </w:rPr>
        <w:t>10.泵房周围及泵房内环境卫生不符合要求的，第1次扣除 200 元，第2次扣除500元，第3次及以上扣除1000元并约谈，拒不整改的甲方有权单方终止合同，并不予退还履约保证金。</w:t>
      </w:r>
    </w:p>
    <w:p w14:paraId="70321A39">
      <w:pPr>
        <w:spacing w:line="360" w:lineRule="auto"/>
        <w:ind w:right="-333" w:rightChars="-159" w:firstLine="480" w:firstLineChars="200"/>
        <w:rPr>
          <w:rFonts w:ascii="宋体" w:hAnsi="宋体" w:cs="宋体"/>
          <w:sz w:val="24"/>
        </w:rPr>
      </w:pPr>
      <w:r>
        <w:rPr>
          <w:rFonts w:hint="eastAsia" w:ascii="宋体" w:hAnsi="宋体" w:cs="宋体"/>
          <w:sz w:val="24"/>
        </w:rPr>
        <w:t>11.二次供水泵房、设备设施漏水、漏油及其它不符合设备、设施维护保养要求的第1次扣除500元，第2次扣除1000元，第3次及以上扣除1500元并约谈，拒不整改的甲方有权单方终止合同，并不予退还履约保证金。</w:t>
      </w:r>
    </w:p>
    <w:p w14:paraId="4D24E528">
      <w:pPr>
        <w:spacing w:line="360" w:lineRule="auto"/>
        <w:ind w:right="-333" w:rightChars="-159" w:firstLine="480" w:firstLineChars="200"/>
        <w:rPr>
          <w:rFonts w:ascii="宋体" w:hAnsi="宋体" w:cs="宋体"/>
          <w:sz w:val="24"/>
        </w:rPr>
      </w:pPr>
      <w:r>
        <w:rPr>
          <w:rFonts w:hint="eastAsia" w:ascii="宋体" w:hAnsi="宋体" w:cs="宋体"/>
          <w:sz w:val="24"/>
        </w:rPr>
        <w:t>12.在二次供水水箱清洗过程中，水箱清洗消毒结束后，由于中标人原因造成多户用户投诉水浑或者水压不稳的，第1次扣除200元，第2次及以上每次扣除500元并约谈；若水箱清洗现场验收不合格，第1次扣除200元，第2次扣除500元并约谈；若水箱清洗消毒后水质检测报告不合格，第1次扣除200元，第2次及以上扣除 500 元。</w:t>
      </w:r>
    </w:p>
    <w:p w14:paraId="1B781151">
      <w:pPr>
        <w:spacing w:line="360" w:lineRule="auto"/>
        <w:ind w:right="-333" w:rightChars="-159" w:firstLine="480" w:firstLineChars="200"/>
        <w:rPr>
          <w:rFonts w:ascii="宋体" w:hAnsi="宋体" w:cs="宋体"/>
          <w:sz w:val="24"/>
        </w:rPr>
      </w:pPr>
      <w:r>
        <w:rPr>
          <w:rFonts w:hint="eastAsia" w:ascii="宋体" w:hAnsi="宋体" w:cs="宋体"/>
          <w:sz w:val="24"/>
        </w:rPr>
        <w:t>注：出现违约情况优先执行违约责任，执行违约责任时将不重复扣除考核分值。</w:t>
      </w:r>
    </w:p>
    <w:p w14:paraId="683D0579">
      <w:pPr>
        <w:spacing w:line="360" w:lineRule="auto"/>
        <w:ind w:right="-333" w:rightChars="-159"/>
        <w:rPr>
          <w:rFonts w:ascii="宋体" w:hAnsi="宋体" w:cs="宋体"/>
          <w:b/>
          <w:bCs/>
          <w:sz w:val="24"/>
        </w:rPr>
      </w:pPr>
      <w:r>
        <w:rPr>
          <w:rFonts w:hint="eastAsia" w:ascii="宋体" w:hAnsi="宋体" w:cs="宋体"/>
          <w:b/>
          <w:bCs/>
          <w:sz w:val="24"/>
        </w:rPr>
        <w:t>第十三条、转让和分包：</w:t>
      </w:r>
    </w:p>
    <w:p w14:paraId="0807E3E1">
      <w:pPr>
        <w:spacing w:line="360" w:lineRule="auto"/>
        <w:ind w:right="-333" w:rightChars="-159" w:firstLine="480" w:firstLineChars="200"/>
        <w:rPr>
          <w:rFonts w:ascii="宋体" w:hAnsi="宋体" w:cs="宋体"/>
          <w:sz w:val="24"/>
        </w:rPr>
      </w:pPr>
      <w:r>
        <w:rPr>
          <w:rFonts w:hint="eastAsia" w:ascii="宋体" w:hAnsi="宋体" w:cs="宋体"/>
          <w:sz w:val="24"/>
        </w:rPr>
        <w:t>1.合同不能擅自转让或分包。</w:t>
      </w:r>
    </w:p>
    <w:p w14:paraId="31BDD7F3">
      <w:pPr>
        <w:spacing w:line="360" w:lineRule="auto"/>
        <w:ind w:right="-333" w:rightChars="-159" w:firstLine="480" w:firstLineChars="200"/>
        <w:rPr>
          <w:rFonts w:ascii="宋体" w:hAnsi="宋体" w:cs="宋体"/>
          <w:sz w:val="24"/>
        </w:rPr>
      </w:pPr>
      <w:r>
        <w:rPr>
          <w:rFonts w:hint="eastAsia" w:ascii="宋体" w:hAnsi="宋体" w:cs="宋体"/>
          <w:sz w:val="24"/>
        </w:rPr>
        <w:t>2.经采购人和同级政府采购监督管理部门事先书面同意，中标供应商可以将合同项下非主体、非关键性工 作分包给他人完成。接受分包的人应当具备相应的资格条件，并不得再次分包。分包后不能终止中标供应商履行 合同的责任和义务，接受分包的人与中标供应商共同对采购人连带承担合同的责任和义务。</w:t>
      </w:r>
    </w:p>
    <w:p w14:paraId="5B125B5E">
      <w:pPr>
        <w:spacing w:line="360" w:lineRule="auto"/>
        <w:ind w:right="-42" w:rightChars="-20"/>
        <w:rPr>
          <w:rFonts w:ascii="宋体" w:hAnsi="宋体" w:cs="宋体"/>
          <w:b/>
          <w:bCs/>
          <w:color w:val="000000"/>
          <w:sz w:val="24"/>
        </w:rPr>
      </w:pPr>
      <w:r>
        <w:rPr>
          <w:rFonts w:hint="eastAsia" w:ascii="宋体" w:hAnsi="宋体" w:cs="宋体"/>
          <w:b/>
          <w:bCs/>
          <w:color w:val="000000"/>
          <w:sz w:val="24"/>
        </w:rPr>
        <w:t>第十四条、争议的解决：</w:t>
      </w:r>
    </w:p>
    <w:p w14:paraId="6A481A09">
      <w:pPr>
        <w:autoSpaceDE w:val="0"/>
        <w:autoSpaceDN w:val="0"/>
        <w:spacing w:line="360" w:lineRule="auto"/>
        <w:ind w:firstLine="480" w:firstLineChars="200"/>
        <w:rPr>
          <w:rFonts w:ascii="宋体" w:hAnsi="宋体" w:cs="宋体"/>
          <w:sz w:val="24"/>
        </w:rPr>
      </w:pPr>
      <w:r>
        <w:rPr>
          <w:rFonts w:hint="eastAsia" w:ascii="宋体" w:hAnsi="宋体" w:cs="宋体"/>
          <w:sz w:val="24"/>
        </w:rPr>
        <w:t>本合同条款在履行过程中如发生纠纷，尽量通过友好协商解决，协商不成可向甲方所在地法院提起诉讼，对方有权追究违约方的责任或提出经济赔偿。</w:t>
      </w:r>
    </w:p>
    <w:p w14:paraId="6B1BB2E5">
      <w:pPr>
        <w:spacing w:line="360" w:lineRule="auto"/>
        <w:ind w:right="-42" w:rightChars="-20"/>
        <w:rPr>
          <w:rFonts w:ascii="宋体" w:hAnsi="宋体" w:cs="宋体"/>
          <w:b/>
          <w:bCs/>
          <w:color w:val="000000"/>
          <w:sz w:val="24"/>
        </w:rPr>
      </w:pPr>
      <w:r>
        <w:rPr>
          <w:rFonts w:hint="eastAsia" w:ascii="宋体" w:hAnsi="宋体" w:cs="宋体"/>
          <w:b/>
          <w:bCs/>
          <w:color w:val="000000"/>
          <w:sz w:val="24"/>
        </w:rPr>
        <w:t>第十五条、合同的生效：</w:t>
      </w:r>
    </w:p>
    <w:p w14:paraId="20AADD0D">
      <w:pPr>
        <w:spacing w:line="360" w:lineRule="auto"/>
        <w:ind w:right="-42" w:rightChars="-20" w:firstLine="480" w:firstLineChars="200"/>
        <w:rPr>
          <w:rFonts w:ascii="宋体" w:hAnsi="宋体" w:cs="宋体"/>
          <w:sz w:val="24"/>
        </w:rPr>
      </w:pPr>
      <w:r>
        <w:rPr>
          <w:rFonts w:hint="eastAsia" w:ascii="宋体" w:hAnsi="宋体" w:cs="宋体"/>
          <w:sz w:val="24"/>
        </w:rPr>
        <w:t>1.本合同经甲方、乙方法定代表人或其委托人签字并加盖公章后生效。</w:t>
      </w:r>
    </w:p>
    <w:p w14:paraId="55EEF7BD">
      <w:pPr>
        <w:spacing w:line="360" w:lineRule="auto"/>
        <w:ind w:right="-42" w:rightChars="-20" w:firstLine="480" w:firstLineChars="200"/>
        <w:rPr>
          <w:rFonts w:ascii="宋体" w:hAnsi="宋体" w:cs="宋体"/>
          <w:sz w:val="24"/>
        </w:rPr>
      </w:pPr>
      <w:r>
        <w:rPr>
          <w:rFonts w:hint="eastAsia" w:ascii="宋体" w:hAnsi="宋体" w:cs="宋体"/>
          <w:sz w:val="24"/>
        </w:rPr>
        <w:t>2.本合同一式捌份，甲方、乙方双方各执贰份，其余送有关部门备案。</w:t>
      </w:r>
    </w:p>
    <w:p w14:paraId="4BA2FA75">
      <w:pPr>
        <w:spacing w:line="360" w:lineRule="auto"/>
        <w:ind w:right="-42" w:rightChars="-20" w:firstLine="480" w:firstLineChars="200"/>
        <w:rPr>
          <w:rFonts w:ascii="宋体" w:hAnsi="宋体" w:cs="宋体"/>
          <w:sz w:val="24"/>
        </w:rPr>
      </w:pPr>
      <w:r>
        <w:rPr>
          <w:rFonts w:hint="eastAsia" w:ascii="宋体" w:hAnsi="宋体" w:cs="宋体"/>
          <w:sz w:val="24"/>
        </w:rPr>
        <w:t>3.相关招标文件、投标文件与本合同具有同等法律效力。</w:t>
      </w:r>
    </w:p>
    <w:p w14:paraId="466F2A74">
      <w:pPr>
        <w:spacing w:line="480" w:lineRule="exact"/>
        <w:jc w:val="left"/>
        <w:rPr>
          <w:rFonts w:ascii="宋体" w:hAnsi="宋体" w:cs="宋体"/>
          <w:sz w:val="24"/>
        </w:rPr>
      </w:pPr>
    </w:p>
    <w:p w14:paraId="31BC76B6">
      <w:pPr>
        <w:spacing w:line="480" w:lineRule="exact"/>
        <w:jc w:val="left"/>
        <w:rPr>
          <w:rFonts w:ascii="宋体" w:hAnsi="宋体" w:cs="宋体"/>
          <w:sz w:val="24"/>
        </w:rPr>
      </w:pPr>
    </w:p>
    <w:p w14:paraId="26230467">
      <w:pPr>
        <w:spacing w:line="480" w:lineRule="exact"/>
        <w:ind w:left="1920" w:hanging="1920" w:hangingChars="800"/>
        <w:jc w:val="left"/>
        <w:rPr>
          <w:rFonts w:ascii="宋体" w:hAnsi="宋体" w:cs="宋体"/>
          <w:sz w:val="24"/>
        </w:rPr>
      </w:pPr>
      <w:r>
        <w:rPr>
          <w:rFonts w:hint="eastAsia" w:ascii="宋体" w:hAnsi="宋体" w:cs="宋体"/>
          <w:sz w:val="24"/>
        </w:rPr>
        <w:t>甲方（公章）:                        乙方（公章）：</w:t>
      </w:r>
    </w:p>
    <w:p w14:paraId="286CA68E">
      <w:pPr>
        <w:spacing w:line="480" w:lineRule="exact"/>
        <w:jc w:val="left"/>
        <w:rPr>
          <w:rFonts w:ascii="宋体" w:hAnsi="宋体" w:cs="宋体"/>
          <w:sz w:val="24"/>
        </w:rPr>
      </w:pPr>
      <w:r>
        <w:rPr>
          <w:rFonts w:hint="eastAsia" w:ascii="宋体" w:hAnsi="宋体" w:cs="宋体"/>
          <w:sz w:val="24"/>
        </w:rPr>
        <w:t>法定代表人：                         法定代表人：</w:t>
      </w:r>
    </w:p>
    <w:p w14:paraId="6B3E65D5">
      <w:pPr>
        <w:spacing w:line="480" w:lineRule="exact"/>
        <w:rPr>
          <w:rFonts w:ascii="宋体" w:hAnsi="宋体" w:cs="宋体"/>
          <w:sz w:val="24"/>
        </w:rPr>
      </w:pPr>
      <w:r>
        <w:rPr>
          <w:rFonts w:hint="eastAsia" w:ascii="宋体" w:hAnsi="宋体" w:cs="宋体"/>
          <w:sz w:val="24"/>
        </w:rPr>
        <w:t>委托代理人：                         委托代理人：</w:t>
      </w:r>
    </w:p>
    <w:p w14:paraId="53D58AD3">
      <w:pPr>
        <w:spacing w:line="480" w:lineRule="exact"/>
        <w:rPr>
          <w:rFonts w:ascii="宋体" w:hAnsi="宋体" w:cs="宋体"/>
          <w:sz w:val="24"/>
        </w:rPr>
      </w:pPr>
      <w:r>
        <w:rPr>
          <w:rFonts w:hint="eastAsia" w:ascii="宋体" w:hAnsi="宋体" w:cs="宋体"/>
          <w:sz w:val="24"/>
        </w:rPr>
        <w:t>地址：                               地址：</w:t>
      </w:r>
    </w:p>
    <w:p w14:paraId="423B9073">
      <w:pPr>
        <w:spacing w:line="480" w:lineRule="exact"/>
        <w:rPr>
          <w:rFonts w:ascii="宋体" w:hAnsi="宋体" w:cs="宋体"/>
          <w:sz w:val="24"/>
        </w:rPr>
      </w:pPr>
      <w:r>
        <w:rPr>
          <w:rFonts w:hint="eastAsia" w:ascii="宋体" w:hAnsi="宋体" w:cs="宋体"/>
          <w:sz w:val="24"/>
        </w:rPr>
        <w:t>电话：                               电话：</w:t>
      </w:r>
    </w:p>
    <w:p w14:paraId="022176C7">
      <w:pPr>
        <w:spacing w:line="480" w:lineRule="exact"/>
        <w:rPr>
          <w:rFonts w:ascii="宋体" w:hAnsi="宋体" w:cs="宋体"/>
          <w:sz w:val="24"/>
        </w:rPr>
      </w:pPr>
      <w:r>
        <w:rPr>
          <w:rFonts w:hint="eastAsia" w:ascii="宋体" w:hAnsi="宋体" w:cs="宋体"/>
          <w:sz w:val="24"/>
        </w:rPr>
        <w:t>开户银行：                           开户银行：</w:t>
      </w:r>
    </w:p>
    <w:p w14:paraId="58D67274">
      <w:pPr>
        <w:spacing w:line="480" w:lineRule="exact"/>
        <w:rPr>
          <w:rFonts w:ascii="宋体" w:hAnsi="宋体" w:cs="宋体"/>
          <w:sz w:val="24"/>
        </w:rPr>
      </w:pPr>
      <w:r>
        <w:rPr>
          <w:rFonts w:hint="eastAsia" w:ascii="宋体" w:hAnsi="宋体" w:cs="宋体"/>
          <w:sz w:val="24"/>
        </w:rPr>
        <w:t>账号：                               账号：</w:t>
      </w:r>
    </w:p>
    <w:p w14:paraId="35F1B4E5">
      <w:pPr>
        <w:spacing w:line="440" w:lineRule="exact"/>
        <w:ind w:right="-153" w:rightChars="-73"/>
        <w:rPr>
          <w:rFonts w:ascii="宋体" w:hAnsi="宋体" w:cs="宋体"/>
          <w:sz w:val="24"/>
        </w:rPr>
      </w:pPr>
      <w:r>
        <w:rPr>
          <w:rFonts w:hint="eastAsia" w:ascii="宋体" w:hAnsi="宋体" w:cs="宋体"/>
          <w:sz w:val="24"/>
        </w:rPr>
        <w:t>签约时间：年  月   日                签约地址：</w:t>
      </w:r>
    </w:p>
    <w:p w14:paraId="14B57D20">
      <w:pPr>
        <w:pStyle w:val="251"/>
        <w:widowControl/>
        <w:numPr>
          <w:ilvl w:val="0"/>
          <w:numId w:val="0"/>
        </w:numPr>
        <w:spacing w:before="0" w:after="0" w:line="240" w:lineRule="auto"/>
        <w:jc w:val="center"/>
        <w:rPr>
          <w:rFonts w:hAnsi="宋体" w:cs="宋体"/>
          <w:color w:val="000000"/>
          <w:sz w:val="32"/>
          <w:szCs w:val="32"/>
          <w:lang w:bidi="ar"/>
        </w:rPr>
      </w:pPr>
    </w:p>
    <w:p w14:paraId="118DF67D">
      <w:pPr>
        <w:pStyle w:val="251"/>
        <w:widowControl/>
        <w:numPr>
          <w:ilvl w:val="0"/>
          <w:numId w:val="0"/>
        </w:numPr>
        <w:spacing w:before="0" w:after="0" w:line="240" w:lineRule="auto"/>
        <w:jc w:val="center"/>
        <w:rPr>
          <w:rFonts w:hAnsi="宋体" w:cs="宋体"/>
          <w:color w:val="000000"/>
          <w:sz w:val="32"/>
          <w:szCs w:val="32"/>
          <w:lang w:bidi="ar"/>
        </w:rPr>
      </w:pPr>
    </w:p>
    <w:p w14:paraId="0E35E64A">
      <w:pPr>
        <w:pStyle w:val="251"/>
        <w:widowControl/>
        <w:numPr>
          <w:ilvl w:val="0"/>
          <w:numId w:val="0"/>
        </w:numPr>
        <w:spacing w:before="0" w:after="0" w:line="240" w:lineRule="auto"/>
        <w:jc w:val="center"/>
        <w:rPr>
          <w:rFonts w:hAnsi="宋体" w:cs="宋体"/>
          <w:color w:val="000000"/>
          <w:sz w:val="32"/>
          <w:szCs w:val="32"/>
          <w:lang w:bidi="ar"/>
        </w:rPr>
      </w:pPr>
    </w:p>
    <w:p w14:paraId="44D0664C">
      <w:pPr>
        <w:pStyle w:val="251"/>
        <w:widowControl/>
        <w:numPr>
          <w:ilvl w:val="0"/>
          <w:numId w:val="0"/>
        </w:numPr>
        <w:spacing w:before="0" w:after="0" w:line="240" w:lineRule="auto"/>
        <w:rPr>
          <w:rFonts w:hAnsi="宋体" w:cs="宋体"/>
          <w:color w:val="000000"/>
          <w:sz w:val="32"/>
          <w:szCs w:val="32"/>
          <w:lang w:bidi="ar"/>
        </w:rPr>
      </w:pPr>
      <w:r>
        <w:rPr>
          <w:rFonts w:hAnsi="宋体" w:cs="宋体"/>
          <w:color w:val="000000"/>
          <w:sz w:val="32"/>
          <w:szCs w:val="32"/>
          <w:lang w:bidi="ar"/>
        </w:rPr>
        <w:br w:type="page"/>
      </w:r>
      <w:r>
        <w:rPr>
          <w:rFonts w:hint="eastAsia" w:ascii="宋体" w:hAnsi="宋体" w:cs="宋体"/>
          <w:kern w:val="2"/>
          <w:sz w:val="24"/>
          <w:szCs w:val="24"/>
          <w:lang w:bidi="zh-CN"/>
        </w:rPr>
        <w:t>附件1：</w:t>
      </w:r>
    </w:p>
    <w:p w14:paraId="09F13B0B">
      <w:pPr>
        <w:pStyle w:val="251"/>
        <w:widowControl/>
        <w:numPr>
          <w:ilvl w:val="0"/>
          <w:numId w:val="0"/>
        </w:numPr>
        <w:spacing w:before="0" w:after="0" w:line="240" w:lineRule="auto"/>
        <w:jc w:val="center"/>
        <w:rPr>
          <w:rFonts w:hAnsi="宋体" w:cs="宋体"/>
          <w:color w:val="000000"/>
          <w:sz w:val="32"/>
          <w:szCs w:val="32"/>
          <w:lang w:bidi="ar"/>
        </w:rPr>
      </w:pPr>
      <w:r>
        <w:rPr>
          <w:rFonts w:hint="eastAsia" w:hAnsi="宋体" w:cs="宋体"/>
          <w:color w:val="000000"/>
          <w:sz w:val="32"/>
          <w:szCs w:val="32"/>
          <w:lang w:bidi="ar"/>
        </w:rPr>
        <w:t>二次供水泵房设备巡检养护采购考核办法</w:t>
      </w:r>
    </w:p>
    <w:p w14:paraId="0672C8C6">
      <w:pPr>
        <w:snapToGrid w:val="0"/>
        <w:spacing w:line="348" w:lineRule="auto"/>
        <w:ind w:firstLine="480" w:firstLineChars="200"/>
        <w:rPr>
          <w:rFonts w:ascii="宋体" w:hAnsi="宋体" w:cs="宋体"/>
          <w:sz w:val="24"/>
          <w:szCs w:val="24"/>
        </w:rPr>
      </w:pPr>
      <w:r>
        <w:rPr>
          <w:rFonts w:hint="eastAsia" w:ascii="宋体" w:hAnsi="宋体" w:cs="宋体"/>
          <w:sz w:val="24"/>
          <w:szCs w:val="24"/>
        </w:rPr>
        <w:t>1、考核方式：采用定期或不定期、日常巡查、统一检查和突击检查等多种方式进行检查考核，考核分按检查或投诉情况纳入季度考核总成绩中。起评分为100分，达标分为60（含）分， 低于60分为不达标。若季度考核总成绩低于60分的，采购人有权终止合同，且不退还履约保证金。</w:t>
      </w:r>
    </w:p>
    <w:p w14:paraId="7C8D1B1C">
      <w:pPr>
        <w:snapToGrid w:val="0"/>
        <w:spacing w:line="348" w:lineRule="auto"/>
        <w:ind w:firstLine="480" w:firstLineChars="200"/>
        <w:rPr>
          <w:rFonts w:hAnsi="宋体" w:cs="Arial"/>
          <w:b/>
          <w:bCs/>
          <w:color w:val="000000"/>
          <w:sz w:val="24"/>
          <w:szCs w:val="24"/>
        </w:rPr>
      </w:pPr>
      <w:r>
        <w:rPr>
          <w:rFonts w:hint="eastAsia" w:ascii="宋体" w:hAnsi="宋体" w:cs="宋体"/>
          <w:b/>
          <w:bCs/>
          <w:color w:val="000000"/>
          <w:sz w:val="24"/>
          <w:szCs w:val="24"/>
        </w:rPr>
        <w:t>2、奖惩办法：</w:t>
      </w:r>
      <w:r>
        <w:rPr>
          <w:rFonts w:hAnsi="宋体" w:cs="Arial"/>
          <w:b/>
          <w:bCs/>
          <w:color w:val="000000"/>
          <w:sz w:val="24"/>
          <w:szCs w:val="24"/>
        </w:rPr>
        <w:t>考核将实行</w:t>
      </w:r>
      <w:r>
        <w:rPr>
          <w:rFonts w:hint="eastAsia" w:hAnsi="宋体" w:cs="Arial"/>
          <w:b/>
          <w:bCs/>
          <w:color w:val="000000"/>
          <w:sz w:val="24"/>
          <w:szCs w:val="24"/>
        </w:rPr>
        <w:t>季</w:t>
      </w:r>
      <w:r>
        <w:rPr>
          <w:rFonts w:hAnsi="宋体" w:cs="Arial"/>
          <w:b/>
          <w:bCs/>
          <w:color w:val="000000"/>
          <w:sz w:val="24"/>
          <w:szCs w:val="24"/>
        </w:rPr>
        <w:t>评制，凡</w:t>
      </w:r>
      <w:r>
        <w:rPr>
          <w:rFonts w:hint="eastAsia" w:hAnsi="宋体" w:cs="Arial"/>
          <w:b/>
          <w:bCs/>
          <w:color w:val="000000"/>
          <w:sz w:val="24"/>
          <w:szCs w:val="24"/>
        </w:rPr>
        <w:t>季</w:t>
      </w:r>
      <w:r>
        <w:rPr>
          <w:rFonts w:hAnsi="宋体" w:cs="Arial"/>
          <w:b/>
          <w:bCs/>
          <w:color w:val="000000"/>
          <w:sz w:val="24"/>
          <w:szCs w:val="24"/>
        </w:rPr>
        <w:t>评不达标的，将按照处罚标准进行相应的经济处罚：</w:t>
      </w:r>
    </w:p>
    <w:p w14:paraId="4C55F071">
      <w:pPr>
        <w:snapToGrid w:val="0"/>
        <w:spacing w:line="348" w:lineRule="auto"/>
        <w:ind w:firstLine="480" w:firstLineChars="200"/>
        <w:rPr>
          <w:rFonts w:ascii="宋体" w:hAnsi="宋体" w:cs="宋体"/>
          <w:sz w:val="24"/>
          <w:szCs w:val="24"/>
        </w:rPr>
      </w:pPr>
      <w:r>
        <w:rPr>
          <w:rFonts w:hint="eastAsia" w:ascii="宋体" w:hAnsi="宋体" w:cs="宋体"/>
          <w:sz w:val="24"/>
          <w:szCs w:val="24"/>
        </w:rPr>
        <w:t>①考核总分</w:t>
      </w:r>
      <w:r>
        <w:rPr>
          <w:sz w:val="24"/>
          <w:szCs w:val="24"/>
        </w:rPr>
        <w:t>&lt;</w:t>
      </w:r>
      <w:r>
        <w:rPr>
          <w:rFonts w:hint="eastAsia" w:ascii="宋体" w:hAnsi="宋体" w:cs="宋体"/>
          <w:sz w:val="24"/>
          <w:szCs w:val="24"/>
        </w:rPr>
        <w:t xml:space="preserve">60分，不支付服务费用，采购人有权终止合同，且不退还履约保证金。 </w:t>
      </w:r>
    </w:p>
    <w:p w14:paraId="17F5EEDA">
      <w:pPr>
        <w:snapToGrid w:val="0"/>
        <w:spacing w:line="348" w:lineRule="auto"/>
        <w:ind w:firstLine="480" w:firstLineChars="200"/>
        <w:rPr>
          <w:rFonts w:ascii="宋体" w:hAnsi="宋体" w:cs="宋体"/>
          <w:sz w:val="24"/>
          <w:szCs w:val="24"/>
        </w:rPr>
      </w:pPr>
      <w:r>
        <w:rPr>
          <w:rFonts w:hint="eastAsia" w:ascii="宋体" w:hAnsi="宋体" w:cs="宋体"/>
          <w:sz w:val="24"/>
          <w:szCs w:val="24"/>
        </w:rPr>
        <w:t>②60分≦考核总分</w:t>
      </w:r>
      <w:r>
        <w:rPr>
          <w:sz w:val="24"/>
          <w:szCs w:val="24"/>
        </w:rPr>
        <w:t>&lt;</w:t>
      </w:r>
      <w:r>
        <w:rPr>
          <w:rFonts w:hint="eastAsia" w:ascii="宋体" w:hAnsi="宋体" w:cs="宋体"/>
          <w:sz w:val="24"/>
          <w:szCs w:val="24"/>
        </w:rPr>
        <w:t>80分，支付服务费用的80％。</w:t>
      </w:r>
    </w:p>
    <w:p w14:paraId="50D8E5D4">
      <w:pPr>
        <w:snapToGrid w:val="0"/>
        <w:spacing w:line="348" w:lineRule="auto"/>
        <w:ind w:firstLine="480" w:firstLineChars="200"/>
        <w:rPr>
          <w:rFonts w:ascii="宋体" w:hAnsi="宋体" w:cs="宋体"/>
          <w:sz w:val="24"/>
          <w:szCs w:val="24"/>
        </w:rPr>
      </w:pPr>
      <w:r>
        <w:rPr>
          <w:rFonts w:hint="eastAsia" w:ascii="宋体" w:hAnsi="宋体" w:cs="宋体"/>
          <w:sz w:val="24"/>
          <w:szCs w:val="24"/>
        </w:rPr>
        <w:t>③80分≦考核总分</w:t>
      </w:r>
      <w:r>
        <w:rPr>
          <w:rFonts w:ascii="宋体" w:hAnsi="宋体" w:cs="宋体"/>
          <w:sz w:val="24"/>
          <w:szCs w:val="24"/>
        </w:rPr>
        <w:t>&lt;</w:t>
      </w:r>
      <w:r>
        <w:rPr>
          <w:rFonts w:hint="eastAsia" w:ascii="宋体" w:hAnsi="宋体" w:cs="宋体"/>
          <w:sz w:val="24"/>
          <w:szCs w:val="24"/>
        </w:rPr>
        <w:t>90分，支付服务费用的90％。</w:t>
      </w:r>
    </w:p>
    <w:p w14:paraId="2BF5DE8B">
      <w:pPr>
        <w:snapToGrid w:val="0"/>
        <w:spacing w:line="348" w:lineRule="auto"/>
        <w:ind w:firstLine="480" w:firstLineChars="200"/>
        <w:rPr>
          <w:rFonts w:ascii="宋体" w:hAnsi="宋体" w:cs="宋体"/>
          <w:sz w:val="24"/>
          <w:szCs w:val="24"/>
        </w:rPr>
      </w:pPr>
      <w:r>
        <w:rPr>
          <w:rFonts w:hint="eastAsia" w:ascii="宋体" w:hAnsi="宋体" w:cs="宋体"/>
          <w:sz w:val="24"/>
          <w:szCs w:val="24"/>
        </w:rPr>
        <w:t>④90分≦考核总分</w:t>
      </w:r>
      <w:r>
        <w:rPr>
          <w:rFonts w:ascii="宋体" w:hAnsi="宋体" w:cs="宋体"/>
          <w:sz w:val="24"/>
          <w:szCs w:val="24"/>
        </w:rPr>
        <w:t>&lt;</w:t>
      </w:r>
      <w:r>
        <w:rPr>
          <w:rFonts w:hint="eastAsia" w:ascii="宋体" w:hAnsi="宋体" w:cs="宋体"/>
          <w:sz w:val="24"/>
          <w:szCs w:val="24"/>
        </w:rPr>
        <w:t>100分，支付服务费用的100％。</w:t>
      </w:r>
    </w:p>
    <w:p w14:paraId="12673CE3">
      <w:pPr>
        <w:snapToGrid w:val="0"/>
        <w:spacing w:line="348" w:lineRule="auto"/>
        <w:ind w:firstLine="480" w:firstLineChars="200"/>
        <w:rPr>
          <w:rFonts w:ascii="宋体" w:hAnsi="宋体" w:cs="宋体"/>
          <w:sz w:val="24"/>
          <w:szCs w:val="24"/>
        </w:rPr>
      </w:pPr>
      <w:r>
        <w:rPr>
          <w:rFonts w:hint="eastAsia" w:ascii="宋体" w:hAnsi="宋体" w:cs="宋体"/>
          <w:sz w:val="24"/>
          <w:szCs w:val="24"/>
        </w:rPr>
        <w:t>罚款从每季承包经费中扣除。</w:t>
      </w:r>
    </w:p>
    <w:p w14:paraId="1D978165">
      <w:pPr>
        <w:snapToGrid w:val="0"/>
        <w:spacing w:line="348" w:lineRule="auto"/>
        <w:ind w:firstLine="480" w:firstLineChars="200"/>
        <w:rPr>
          <w:rFonts w:ascii="宋体" w:hAnsi="宋体" w:cs="宋体"/>
          <w:sz w:val="24"/>
          <w:szCs w:val="24"/>
        </w:rPr>
      </w:pPr>
      <w:r>
        <w:rPr>
          <w:rFonts w:hint="eastAsia" w:ascii="宋体" w:hAnsi="宋体" w:cs="宋体"/>
          <w:sz w:val="24"/>
          <w:szCs w:val="24"/>
        </w:rPr>
        <w:t>3、考核小组：由采购人组建考核小组，根据现场检查和平常掌握的情况进行评分，考核小组每次检查需填写考核打分表并有影像记录，每次检查、考核结果作为考核和支付合同款的依据。</w:t>
      </w:r>
    </w:p>
    <w:p w14:paraId="584BCA9E">
      <w:pPr>
        <w:pStyle w:val="251"/>
        <w:widowControl/>
        <w:numPr>
          <w:ilvl w:val="0"/>
          <w:numId w:val="0"/>
        </w:numPr>
        <w:spacing w:before="0" w:after="0" w:line="240" w:lineRule="auto"/>
        <w:rPr>
          <w:rFonts w:hAnsi="宋体" w:cs="宋体"/>
          <w:color w:val="000000"/>
          <w:sz w:val="32"/>
          <w:szCs w:val="32"/>
          <w:lang w:bidi="ar"/>
        </w:rPr>
        <w:sectPr>
          <w:headerReference r:id="rId6" w:type="default"/>
          <w:footerReference r:id="rId7" w:type="default"/>
          <w:pgSz w:w="11907" w:h="16840"/>
          <w:pgMar w:top="1440" w:right="1531" w:bottom="1440" w:left="1928" w:header="851" w:footer="1304" w:gutter="0"/>
          <w:cols w:space="720" w:num="1"/>
          <w:docGrid w:type="linesAndChars" w:linePitch="312" w:charSpace="0"/>
        </w:sectPr>
      </w:pPr>
    </w:p>
    <w:p w14:paraId="6EA901D0">
      <w:pPr>
        <w:pStyle w:val="42"/>
        <w:ind w:firstLine="0"/>
        <w:rPr>
          <w:rFonts w:ascii="宋体" w:hAnsi="宋体" w:cs="宋体"/>
          <w:b/>
          <w:bCs/>
        </w:rPr>
      </w:pPr>
      <w:r>
        <w:rPr>
          <w:rFonts w:hint="eastAsia" w:ascii="宋体" w:hAnsi="宋体" w:cs="宋体"/>
          <w:b/>
          <w:bCs/>
        </w:rPr>
        <w:t>附件2：</w:t>
      </w:r>
    </w:p>
    <w:p w14:paraId="64B77069">
      <w:pPr>
        <w:spacing w:line="410" w:lineRule="exact"/>
        <w:ind w:firstLine="320" w:firstLineChars="100"/>
        <w:jc w:val="center"/>
        <w:rPr>
          <w:rFonts w:ascii="宋体" w:hAnsi="宋体" w:cs="宋体"/>
          <w:sz w:val="32"/>
          <w:szCs w:val="32"/>
        </w:rPr>
      </w:pPr>
      <w:r>
        <w:rPr>
          <w:rFonts w:hint="eastAsia" w:ascii="宋体" w:hAnsi="宋体" w:cs="宋体"/>
          <w:b/>
          <w:bCs/>
          <w:sz w:val="32"/>
          <w:szCs w:val="32"/>
        </w:rPr>
        <w:t>《二次供水泵房设备巡检养护采购季度考核表》</w:t>
      </w:r>
    </w:p>
    <w:p w14:paraId="6C6062E7">
      <w:pPr>
        <w:spacing w:line="410" w:lineRule="exact"/>
        <w:ind w:firstLine="240" w:firstLineChars="100"/>
      </w:pPr>
      <w:r>
        <w:rPr>
          <w:rFonts w:hint="eastAsia" w:ascii="宋体" w:hAnsi="宋体" w:cs="宋体"/>
          <w:sz w:val="24"/>
          <w:szCs w:val="24"/>
        </w:rPr>
        <w:t xml:space="preserve">考核日期：                                                           </w:t>
      </w:r>
    </w:p>
    <w:tbl>
      <w:tblPr>
        <w:tblStyle w:val="45"/>
        <w:tblW w:w="14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0"/>
        <w:gridCol w:w="2490"/>
        <w:gridCol w:w="750"/>
        <w:gridCol w:w="5070"/>
        <w:gridCol w:w="1215"/>
        <w:gridCol w:w="1335"/>
        <w:gridCol w:w="825"/>
        <w:gridCol w:w="1035"/>
      </w:tblGrid>
      <w:tr w14:paraId="6EEC7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380" w:type="dxa"/>
            <w:vAlign w:val="center"/>
          </w:tcPr>
          <w:p w14:paraId="48BF344C">
            <w:pPr>
              <w:jc w:val="center"/>
              <w:rPr>
                <w:rFonts w:ascii="宋体" w:hAnsi="宋体" w:cs="宋体"/>
                <w:b/>
                <w:bCs/>
                <w:sz w:val="24"/>
                <w:szCs w:val="24"/>
              </w:rPr>
            </w:pPr>
            <w:r>
              <w:rPr>
                <w:rFonts w:hint="eastAsia" w:ascii="宋体" w:hAnsi="宋体" w:cs="宋体"/>
                <w:b/>
                <w:bCs/>
                <w:sz w:val="24"/>
                <w:szCs w:val="24"/>
              </w:rPr>
              <w:t>考核角度</w:t>
            </w:r>
          </w:p>
        </w:tc>
        <w:tc>
          <w:tcPr>
            <w:tcW w:w="2490" w:type="dxa"/>
            <w:vAlign w:val="center"/>
          </w:tcPr>
          <w:p w14:paraId="6A463587">
            <w:pPr>
              <w:jc w:val="center"/>
              <w:rPr>
                <w:rFonts w:ascii="宋体" w:hAnsi="宋体" w:cs="宋体"/>
                <w:b/>
                <w:bCs/>
                <w:sz w:val="24"/>
                <w:szCs w:val="24"/>
              </w:rPr>
            </w:pPr>
            <w:r>
              <w:rPr>
                <w:rFonts w:hint="eastAsia" w:ascii="宋体" w:hAnsi="宋体" w:cs="宋体"/>
                <w:b/>
                <w:bCs/>
                <w:sz w:val="24"/>
                <w:szCs w:val="24"/>
              </w:rPr>
              <w:t>指标名称</w:t>
            </w:r>
          </w:p>
        </w:tc>
        <w:tc>
          <w:tcPr>
            <w:tcW w:w="750" w:type="dxa"/>
            <w:vAlign w:val="center"/>
          </w:tcPr>
          <w:p w14:paraId="228067CB">
            <w:pPr>
              <w:jc w:val="center"/>
              <w:rPr>
                <w:rFonts w:ascii="宋体" w:hAnsi="宋体" w:cs="宋体"/>
                <w:b/>
                <w:bCs/>
                <w:sz w:val="24"/>
                <w:szCs w:val="24"/>
              </w:rPr>
            </w:pPr>
            <w:r>
              <w:rPr>
                <w:rFonts w:hint="eastAsia" w:ascii="宋体" w:hAnsi="宋体" w:cs="宋体"/>
                <w:b/>
                <w:bCs/>
                <w:sz w:val="24"/>
                <w:szCs w:val="24"/>
              </w:rPr>
              <w:t>分值</w:t>
            </w:r>
          </w:p>
        </w:tc>
        <w:tc>
          <w:tcPr>
            <w:tcW w:w="5070" w:type="dxa"/>
            <w:vAlign w:val="center"/>
          </w:tcPr>
          <w:p w14:paraId="331A91DE">
            <w:pPr>
              <w:jc w:val="center"/>
              <w:rPr>
                <w:rFonts w:ascii="宋体" w:hAnsi="宋体" w:cs="宋体"/>
                <w:b/>
                <w:bCs/>
                <w:sz w:val="24"/>
                <w:szCs w:val="24"/>
              </w:rPr>
            </w:pPr>
            <w:r>
              <w:rPr>
                <w:rFonts w:hint="eastAsia" w:ascii="宋体" w:hAnsi="宋体" w:cs="宋体"/>
                <w:b/>
                <w:bCs/>
                <w:sz w:val="24"/>
                <w:szCs w:val="24"/>
              </w:rPr>
              <w:t>标准</w:t>
            </w:r>
          </w:p>
        </w:tc>
        <w:tc>
          <w:tcPr>
            <w:tcW w:w="1215" w:type="dxa"/>
            <w:vAlign w:val="center"/>
          </w:tcPr>
          <w:p w14:paraId="1D5AB131">
            <w:pPr>
              <w:jc w:val="center"/>
              <w:rPr>
                <w:rFonts w:ascii="宋体" w:hAnsi="宋体" w:cs="宋体"/>
                <w:b/>
                <w:bCs/>
                <w:sz w:val="24"/>
                <w:szCs w:val="24"/>
              </w:rPr>
            </w:pPr>
            <w:r>
              <w:rPr>
                <w:rFonts w:hint="eastAsia" w:ascii="宋体" w:hAnsi="宋体" w:cs="宋体"/>
                <w:b/>
                <w:bCs/>
                <w:sz w:val="24"/>
                <w:szCs w:val="24"/>
              </w:rPr>
              <w:t>结果</w:t>
            </w:r>
          </w:p>
        </w:tc>
        <w:tc>
          <w:tcPr>
            <w:tcW w:w="1335" w:type="dxa"/>
            <w:vAlign w:val="center"/>
          </w:tcPr>
          <w:p w14:paraId="3B4C597A">
            <w:pPr>
              <w:jc w:val="center"/>
              <w:rPr>
                <w:rFonts w:ascii="宋体" w:hAnsi="宋体" w:cs="宋体"/>
                <w:b/>
                <w:bCs/>
                <w:sz w:val="24"/>
                <w:szCs w:val="24"/>
              </w:rPr>
            </w:pPr>
            <w:r>
              <w:rPr>
                <w:rFonts w:hint="eastAsia" w:ascii="宋体" w:hAnsi="宋体" w:cs="宋体"/>
                <w:b/>
                <w:bCs/>
                <w:sz w:val="24"/>
                <w:szCs w:val="24"/>
              </w:rPr>
              <w:t>说明</w:t>
            </w:r>
          </w:p>
        </w:tc>
        <w:tc>
          <w:tcPr>
            <w:tcW w:w="825" w:type="dxa"/>
            <w:vAlign w:val="center"/>
          </w:tcPr>
          <w:p w14:paraId="7B116B64">
            <w:pPr>
              <w:jc w:val="center"/>
              <w:rPr>
                <w:rFonts w:ascii="宋体" w:hAnsi="宋体" w:cs="宋体"/>
                <w:b/>
                <w:bCs/>
                <w:sz w:val="24"/>
                <w:szCs w:val="24"/>
              </w:rPr>
            </w:pPr>
            <w:r>
              <w:rPr>
                <w:rFonts w:hint="eastAsia" w:ascii="宋体" w:hAnsi="宋体" w:cs="宋体"/>
                <w:b/>
                <w:bCs/>
                <w:sz w:val="24"/>
                <w:szCs w:val="24"/>
              </w:rPr>
              <w:t>计分</w:t>
            </w:r>
          </w:p>
        </w:tc>
        <w:tc>
          <w:tcPr>
            <w:tcW w:w="1035" w:type="dxa"/>
            <w:vAlign w:val="center"/>
          </w:tcPr>
          <w:p w14:paraId="6651E5DE">
            <w:pPr>
              <w:jc w:val="center"/>
              <w:rPr>
                <w:rFonts w:ascii="宋体" w:hAnsi="宋体" w:cs="宋体"/>
                <w:b/>
                <w:bCs/>
                <w:sz w:val="24"/>
                <w:szCs w:val="24"/>
              </w:rPr>
            </w:pPr>
            <w:r>
              <w:rPr>
                <w:rFonts w:hint="eastAsia" w:ascii="宋体" w:hAnsi="宋体" w:cs="宋体"/>
                <w:b/>
                <w:bCs/>
                <w:sz w:val="24"/>
                <w:szCs w:val="24"/>
              </w:rPr>
              <w:t>备注</w:t>
            </w:r>
          </w:p>
        </w:tc>
      </w:tr>
      <w:tr w14:paraId="782F8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0" w:type="dxa"/>
            <w:vMerge w:val="restart"/>
            <w:vAlign w:val="center"/>
          </w:tcPr>
          <w:p w14:paraId="7F9D476F">
            <w:pPr>
              <w:jc w:val="center"/>
              <w:rPr>
                <w:rFonts w:ascii="宋体" w:hAnsi="宋体" w:cs="宋体"/>
                <w:sz w:val="24"/>
                <w:szCs w:val="24"/>
              </w:rPr>
            </w:pPr>
            <w:r>
              <w:rPr>
                <w:rFonts w:hint="eastAsia" w:ascii="宋体" w:hAnsi="宋体" w:cs="宋体"/>
                <w:sz w:val="24"/>
                <w:szCs w:val="24"/>
              </w:rPr>
              <w:t>日常工作</w:t>
            </w:r>
          </w:p>
        </w:tc>
        <w:tc>
          <w:tcPr>
            <w:tcW w:w="2490" w:type="dxa"/>
            <w:vMerge w:val="restart"/>
            <w:vAlign w:val="center"/>
          </w:tcPr>
          <w:p w14:paraId="4FCA6B21">
            <w:pPr>
              <w:jc w:val="center"/>
              <w:rPr>
                <w:rFonts w:ascii="宋体" w:hAnsi="宋体" w:cs="宋体"/>
                <w:sz w:val="24"/>
                <w:szCs w:val="24"/>
              </w:rPr>
            </w:pPr>
            <w:r>
              <w:rPr>
                <w:rFonts w:hint="eastAsia" w:ascii="宋体" w:hAnsi="宋体" w:cs="宋体"/>
                <w:sz w:val="24"/>
                <w:szCs w:val="24"/>
              </w:rPr>
              <w:t>工作计划上报</w:t>
            </w:r>
          </w:p>
        </w:tc>
        <w:tc>
          <w:tcPr>
            <w:tcW w:w="750" w:type="dxa"/>
            <w:vAlign w:val="center"/>
          </w:tcPr>
          <w:p w14:paraId="237CA9EE">
            <w:pPr>
              <w:jc w:val="center"/>
              <w:rPr>
                <w:rFonts w:ascii="宋体" w:hAnsi="宋体" w:cs="宋体"/>
                <w:sz w:val="24"/>
                <w:szCs w:val="24"/>
              </w:rPr>
            </w:pPr>
            <w:r>
              <w:rPr>
                <w:rFonts w:hint="eastAsia" w:ascii="宋体" w:hAnsi="宋体" w:cs="宋体"/>
                <w:sz w:val="24"/>
                <w:szCs w:val="24"/>
              </w:rPr>
              <w:t>2</w:t>
            </w:r>
          </w:p>
        </w:tc>
        <w:tc>
          <w:tcPr>
            <w:tcW w:w="5070" w:type="dxa"/>
          </w:tcPr>
          <w:p w14:paraId="008FDA3E">
            <w:pPr>
              <w:rPr>
                <w:rFonts w:ascii="宋体" w:hAnsi="宋体" w:cs="宋体"/>
                <w:sz w:val="24"/>
                <w:szCs w:val="24"/>
              </w:rPr>
            </w:pPr>
            <w:r>
              <w:rPr>
                <w:rFonts w:hint="eastAsia" w:ascii="宋体" w:hAnsi="宋体" w:cs="宋体"/>
                <w:sz w:val="24"/>
                <w:szCs w:val="24"/>
              </w:rPr>
              <w:t>供应商于每三季度末的28日17：00前上报次季度养护工作计划。书面（需加盖公章）和电子文档同时上报。未按时上报工作计划的，扣当季考核成绩2分。</w:t>
            </w:r>
          </w:p>
        </w:tc>
        <w:tc>
          <w:tcPr>
            <w:tcW w:w="1215" w:type="dxa"/>
          </w:tcPr>
          <w:p w14:paraId="29B43AA4">
            <w:pPr>
              <w:rPr>
                <w:rFonts w:ascii="宋体" w:hAnsi="宋体" w:cs="宋体"/>
                <w:sz w:val="24"/>
                <w:szCs w:val="24"/>
              </w:rPr>
            </w:pPr>
          </w:p>
        </w:tc>
        <w:tc>
          <w:tcPr>
            <w:tcW w:w="1335" w:type="dxa"/>
          </w:tcPr>
          <w:p w14:paraId="023A6F50">
            <w:pPr>
              <w:rPr>
                <w:rFonts w:ascii="宋体" w:hAnsi="宋体" w:cs="宋体"/>
                <w:sz w:val="24"/>
                <w:szCs w:val="24"/>
              </w:rPr>
            </w:pPr>
          </w:p>
        </w:tc>
        <w:tc>
          <w:tcPr>
            <w:tcW w:w="825" w:type="dxa"/>
          </w:tcPr>
          <w:p w14:paraId="16CD04DA">
            <w:pPr>
              <w:rPr>
                <w:rFonts w:ascii="宋体" w:hAnsi="宋体" w:cs="宋体"/>
                <w:sz w:val="24"/>
                <w:szCs w:val="24"/>
              </w:rPr>
            </w:pPr>
          </w:p>
        </w:tc>
        <w:tc>
          <w:tcPr>
            <w:tcW w:w="1035" w:type="dxa"/>
          </w:tcPr>
          <w:p w14:paraId="523FE48B">
            <w:pPr>
              <w:rPr>
                <w:rFonts w:ascii="宋体" w:hAnsi="宋体" w:cs="宋体"/>
                <w:sz w:val="24"/>
                <w:szCs w:val="24"/>
              </w:rPr>
            </w:pPr>
          </w:p>
        </w:tc>
      </w:tr>
      <w:tr w14:paraId="1514B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0" w:type="dxa"/>
            <w:vMerge w:val="continue"/>
            <w:vAlign w:val="center"/>
          </w:tcPr>
          <w:p w14:paraId="52DA112D">
            <w:pPr>
              <w:jc w:val="center"/>
              <w:rPr>
                <w:rFonts w:ascii="宋体" w:hAnsi="宋体" w:cs="宋体"/>
                <w:sz w:val="24"/>
                <w:szCs w:val="24"/>
              </w:rPr>
            </w:pPr>
          </w:p>
        </w:tc>
        <w:tc>
          <w:tcPr>
            <w:tcW w:w="2490" w:type="dxa"/>
            <w:vMerge w:val="continue"/>
            <w:vAlign w:val="center"/>
          </w:tcPr>
          <w:p w14:paraId="12D1DDC4">
            <w:pPr>
              <w:jc w:val="center"/>
              <w:rPr>
                <w:rFonts w:ascii="宋体" w:hAnsi="宋体" w:cs="宋体"/>
                <w:sz w:val="24"/>
                <w:szCs w:val="24"/>
              </w:rPr>
            </w:pPr>
          </w:p>
        </w:tc>
        <w:tc>
          <w:tcPr>
            <w:tcW w:w="750" w:type="dxa"/>
            <w:vAlign w:val="center"/>
          </w:tcPr>
          <w:p w14:paraId="183569B1">
            <w:pPr>
              <w:jc w:val="center"/>
              <w:rPr>
                <w:rFonts w:ascii="宋体" w:hAnsi="宋体" w:cs="宋体"/>
                <w:sz w:val="24"/>
                <w:szCs w:val="24"/>
              </w:rPr>
            </w:pPr>
            <w:r>
              <w:rPr>
                <w:rFonts w:hint="eastAsia" w:ascii="宋体" w:hAnsi="宋体" w:cs="宋体"/>
                <w:sz w:val="24"/>
                <w:szCs w:val="24"/>
              </w:rPr>
              <w:t>3</w:t>
            </w:r>
          </w:p>
        </w:tc>
        <w:tc>
          <w:tcPr>
            <w:tcW w:w="5070" w:type="dxa"/>
          </w:tcPr>
          <w:p w14:paraId="54247BB3">
            <w:pPr>
              <w:rPr>
                <w:rFonts w:ascii="宋体" w:hAnsi="宋体" w:cs="宋体"/>
                <w:sz w:val="24"/>
                <w:szCs w:val="24"/>
              </w:rPr>
            </w:pPr>
            <w:r>
              <w:rPr>
                <w:rFonts w:hint="eastAsia" w:ascii="宋体" w:hAnsi="宋体" w:cs="宋体"/>
                <w:sz w:val="24"/>
                <w:szCs w:val="24"/>
              </w:rPr>
              <w:t>不上报次季度工作计划的扣当季考核成绩3分。</w:t>
            </w:r>
          </w:p>
        </w:tc>
        <w:tc>
          <w:tcPr>
            <w:tcW w:w="1215" w:type="dxa"/>
          </w:tcPr>
          <w:p w14:paraId="16AA580C">
            <w:pPr>
              <w:rPr>
                <w:rFonts w:ascii="宋体" w:hAnsi="宋体" w:cs="宋体"/>
                <w:sz w:val="24"/>
                <w:szCs w:val="24"/>
              </w:rPr>
            </w:pPr>
          </w:p>
        </w:tc>
        <w:tc>
          <w:tcPr>
            <w:tcW w:w="1335" w:type="dxa"/>
          </w:tcPr>
          <w:p w14:paraId="20008BEB">
            <w:pPr>
              <w:rPr>
                <w:rFonts w:ascii="宋体" w:hAnsi="宋体" w:cs="宋体"/>
                <w:sz w:val="24"/>
                <w:szCs w:val="24"/>
              </w:rPr>
            </w:pPr>
          </w:p>
        </w:tc>
        <w:tc>
          <w:tcPr>
            <w:tcW w:w="825" w:type="dxa"/>
          </w:tcPr>
          <w:p w14:paraId="50047BC1">
            <w:pPr>
              <w:rPr>
                <w:rFonts w:ascii="宋体" w:hAnsi="宋体" w:cs="宋体"/>
                <w:sz w:val="24"/>
                <w:szCs w:val="24"/>
              </w:rPr>
            </w:pPr>
          </w:p>
        </w:tc>
        <w:tc>
          <w:tcPr>
            <w:tcW w:w="1035" w:type="dxa"/>
          </w:tcPr>
          <w:p w14:paraId="570C7C98">
            <w:pPr>
              <w:rPr>
                <w:rFonts w:ascii="宋体" w:hAnsi="宋体" w:cs="宋体"/>
                <w:sz w:val="24"/>
                <w:szCs w:val="24"/>
              </w:rPr>
            </w:pPr>
          </w:p>
        </w:tc>
      </w:tr>
      <w:tr w14:paraId="5F185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0" w:type="dxa"/>
            <w:vMerge w:val="continue"/>
            <w:vAlign w:val="center"/>
          </w:tcPr>
          <w:p w14:paraId="570EB54C">
            <w:pPr>
              <w:jc w:val="center"/>
              <w:rPr>
                <w:rFonts w:ascii="宋体" w:hAnsi="宋体" w:cs="宋体"/>
                <w:sz w:val="24"/>
                <w:szCs w:val="24"/>
              </w:rPr>
            </w:pPr>
          </w:p>
        </w:tc>
        <w:tc>
          <w:tcPr>
            <w:tcW w:w="2490" w:type="dxa"/>
            <w:vMerge w:val="restart"/>
            <w:vAlign w:val="center"/>
          </w:tcPr>
          <w:p w14:paraId="6A4E190C">
            <w:pPr>
              <w:jc w:val="center"/>
              <w:rPr>
                <w:rFonts w:ascii="宋体" w:hAnsi="宋体" w:cs="宋体"/>
                <w:sz w:val="24"/>
                <w:szCs w:val="24"/>
              </w:rPr>
            </w:pPr>
            <w:r>
              <w:rPr>
                <w:rFonts w:hint="eastAsia" w:ascii="宋体" w:hAnsi="宋体" w:cs="宋体"/>
                <w:sz w:val="24"/>
                <w:szCs w:val="24"/>
              </w:rPr>
              <w:t>台帐资料</w:t>
            </w:r>
          </w:p>
        </w:tc>
        <w:tc>
          <w:tcPr>
            <w:tcW w:w="750" w:type="dxa"/>
            <w:vAlign w:val="center"/>
          </w:tcPr>
          <w:p w14:paraId="5123C58A">
            <w:pPr>
              <w:jc w:val="center"/>
              <w:rPr>
                <w:rFonts w:ascii="宋体" w:hAnsi="宋体" w:cs="宋体"/>
                <w:sz w:val="24"/>
                <w:szCs w:val="24"/>
              </w:rPr>
            </w:pPr>
            <w:r>
              <w:rPr>
                <w:rFonts w:hint="eastAsia" w:ascii="宋体" w:hAnsi="宋体" w:cs="宋体"/>
                <w:sz w:val="24"/>
                <w:szCs w:val="24"/>
              </w:rPr>
              <w:t>2</w:t>
            </w:r>
          </w:p>
        </w:tc>
        <w:tc>
          <w:tcPr>
            <w:tcW w:w="5070" w:type="dxa"/>
          </w:tcPr>
          <w:p w14:paraId="645E135A">
            <w:pPr>
              <w:rPr>
                <w:rFonts w:ascii="宋体" w:hAnsi="宋体" w:cs="宋体"/>
                <w:sz w:val="24"/>
                <w:szCs w:val="24"/>
              </w:rPr>
            </w:pPr>
            <w:r>
              <w:rPr>
                <w:rFonts w:hint="eastAsia" w:ascii="宋体" w:hAnsi="宋体" w:cs="宋体"/>
                <w:sz w:val="24"/>
                <w:szCs w:val="24"/>
              </w:rPr>
              <w:t>当季台帐资料于次季度5日前上报。未在规定时限内上报台帐资料的扣当季考核成绩2分。</w:t>
            </w:r>
          </w:p>
        </w:tc>
        <w:tc>
          <w:tcPr>
            <w:tcW w:w="1215" w:type="dxa"/>
          </w:tcPr>
          <w:p w14:paraId="081943D5">
            <w:pPr>
              <w:rPr>
                <w:rFonts w:ascii="宋体" w:hAnsi="宋体" w:cs="宋体"/>
                <w:sz w:val="24"/>
                <w:szCs w:val="24"/>
              </w:rPr>
            </w:pPr>
          </w:p>
        </w:tc>
        <w:tc>
          <w:tcPr>
            <w:tcW w:w="1335" w:type="dxa"/>
          </w:tcPr>
          <w:p w14:paraId="4C4BF794">
            <w:pPr>
              <w:rPr>
                <w:rFonts w:ascii="宋体" w:hAnsi="宋体" w:cs="宋体"/>
                <w:sz w:val="24"/>
                <w:szCs w:val="24"/>
              </w:rPr>
            </w:pPr>
          </w:p>
        </w:tc>
        <w:tc>
          <w:tcPr>
            <w:tcW w:w="825" w:type="dxa"/>
          </w:tcPr>
          <w:p w14:paraId="1965C142">
            <w:pPr>
              <w:rPr>
                <w:rFonts w:ascii="宋体" w:hAnsi="宋体" w:cs="宋体"/>
                <w:sz w:val="24"/>
                <w:szCs w:val="24"/>
              </w:rPr>
            </w:pPr>
          </w:p>
        </w:tc>
        <w:tc>
          <w:tcPr>
            <w:tcW w:w="1035" w:type="dxa"/>
          </w:tcPr>
          <w:p w14:paraId="6FB3C84E">
            <w:pPr>
              <w:rPr>
                <w:rFonts w:ascii="宋体" w:hAnsi="宋体" w:cs="宋体"/>
                <w:sz w:val="24"/>
                <w:szCs w:val="24"/>
              </w:rPr>
            </w:pPr>
          </w:p>
        </w:tc>
      </w:tr>
      <w:tr w14:paraId="476CB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0" w:type="dxa"/>
            <w:vMerge w:val="continue"/>
            <w:vAlign w:val="center"/>
          </w:tcPr>
          <w:p w14:paraId="43967D0D">
            <w:pPr>
              <w:jc w:val="center"/>
              <w:rPr>
                <w:rFonts w:ascii="宋体" w:hAnsi="宋体" w:cs="宋体"/>
                <w:sz w:val="24"/>
                <w:szCs w:val="24"/>
              </w:rPr>
            </w:pPr>
          </w:p>
        </w:tc>
        <w:tc>
          <w:tcPr>
            <w:tcW w:w="2490" w:type="dxa"/>
            <w:vMerge w:val="continue"/>
            <w:vAlign w:val="center"/>
          </w:tcPr>
          <w:p w14:paraId="7F484777">
            <w:pPr>
              <w:jc w:val="center"/>
              <w:rPr>
                <w:rFonts w:ascii="宋体" w:hAnsi="宋体" w:cs="宋体"/>
                <w:sz w:val="24"/>
                <w:szCs w:val="24"/>
              </w:rPr>
            </w:pPr>
          </w:p>
        </w:tc>
        <w:tc>
          <w:tcPr>
            <w:tcW w:w="750" w:type="dxa"/>
            <w:vAlign w:val="center"/>
          </w:tcPr>
          <w:p w14:paraId="12EAA814">
            <w:pPr>
              <w:jc w:val="center"/>
              <w:rPr>
                <w:rFonts w:ascii="宋体" w:hAnsi="宋体" w:cs="宋体"/>
                <w:sz w:val="24"/>
                <w:szCs w:val="24"/>
              </w:rPr>
            </w:pPr>
            <w:r>
              <w:rPr>
                <w:rFonts w:hint="eastAsia" w:ascii="宋体" w:hAnsi="宋体" w:cs="宋体"/>
                <w:sz w:val="24"/>
                <w:szCs w:val="24"/>
              </w:rPr>
              <w:t>3</w:t>
            </w:r>
          </w:p>
        </w:tc>
        <w:tc>
          <w:tcPr>
            <w:tcW w:w="5070" w:type="dxa"/>
          </w:tcPr>
          <w:p w14:paraId="4F3EC6E1">
            <w:pPr>
              <w:rPr>
                <w:rFonts w:ascii="宋体" w:hAnsi="宋体" w:cs="宋体"/>
                <w:sz w:val="24"/>
                <w:szCs w:val="24"/>
              </w:rPr>
            </w:pPr>
            <w:r>
              <w:rPr>
                <w:rFonts w:hint="eastAsia" w:ascii="宋体" w:hAnsi="宋体" w:cs="宋体"/>
                <w:sz w:val="24"/>
                <w:szCs w:val="24"/>
              </w:rPr>
              <w:t>台帐资料记录不完整、不清晰的扣1-3分。</w:t>
            </w:r>
          </w:p>
        </w:tc>
        <w:tc>
          <w:tcPr>
            <w:tcW w:w="1215" w:type="dxa"/>
          </w:tcPr>
          <w:p w14:paraId="366087BF">
            <w:pPr>
              <w:rPr>
                <w:rFonts w:ascii="宋体" w:hAnsi="宋体" w:cs="宋体"/>
                <w:sz w:val="24"/>
                <w:szCs w:val="24"/>
              </w:rPr>
            </w:pPr>
          </w:p>
        </w:tc>
        <w:tc>
          <w:tcPr>
            <w:tcW w:w="1335" w:type="dxa"/>
          </w:tcPr>
          <w:p w14:paraId="30447458">
            <w:pPr>
              <w:rPr>
                <w:rFonts w:ascii="宋体" w:hAnsi="宋体" w:cs="宋体"/>
                <w:sz w:val="24"/>
                <w:szCs w:val="24"/>
              </w:rPr>
            </w:pPr>
          </w:p>
        </w:tc>
        <w:tc>
          <w:tcPr>
            <w:tcW w:w="825" w:type="dxa"/>
          </w:tcPr>
          <w:p w14:paraId="4D301229">
            <w:pPr>
              <w:rPr>
                <w:rFonts w:ascii="宋体" w:hAnsi="宋体" w:cs="宋体"/>
                <w:sz w:val="24"/>
                <w:szCs w:val="24"/>
              </w:rPr>
            </w:pPr>
          </w:p>
        </w:tc>
        <w:tc>
          <w:tcPr>
            <w:tcW w:w="1035" w:type="dxa"/>
          </w:tcPr>
          <w:p w14:paraId="48357F98">
            <w:pPr>
              <w:rPr>
                <w:rFonts w:ascii="宋体" w:hAnsi="宋体" w:cs="宋体"/>
                <w:sz w:val="24"/>
                <w:szCs w:val="24"/>
              </w:rPr>
            </w:pPr>
          </w:p>
        </w:tc>
      </w:tr>
      <w:tr w14:paraId="4A255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0" w:type="dxa"/>
            <w:vMerge w:val="continue"/>
            <w:vAlign w:val="center"/>
          </w:tcPr>
          <w:p w14:paraId="30853DD3">
            <w:pPr>
              <w:jc w:val="center"/>
              <w:rPr>
                <w:rFonts w:ascii="宋体" w:hAnsi="宋体" w:cs="宋体"/>
                <w:sz w:val="24"/>
                <w:szCs w:val="24"/>
              </w:rPr>
            </w:pPr>
          </w:p>
        </w:tc>
        <w:tc>
          <w:tcPr>
            <w:tcW w:w="2490" w:type="dxa"/>
            <w:vAlign w:val="center"/>
          </w:tcPr>
          <w:p w14:paraId="02A18E8A">
            <w:pPr>
              <w:jc w:val="center"/>
              <w:rPr>
                <w:rFonts w:ascii="宋体" w:hAnsi="宋体" w:cs="宋体"/>
                <w:sz w:val="24"/>
                <w:szCs w:val="24"/>
              </w:rPr>
            </w:pPr>
            <w:r>
              <w:rPr>
                <w:rFonts w:hint="eastAsia" w:ascii="宋体" w:hAnsi="宋体" w:cs="宋体"/>
                <w:sz w:val="24"/>
                <w:szCs w:val="24"/>
              </w:rPr>
              <w:t>运维人员上岗</w:t>
            </w:r>
          </w:p>
        </w:tc>
        <w:tc>
          <w:tcPr>
            <w:tcW w:w="750" w:type="dxa"/>
            <w:vAlign w:val="center"/>
          </w:tcPr>
          <w:p w14:paraId="0AE5F12B">
            <w:pPr>
              <w:jc w:val="center"/>
              <w:rPr>
                <w:rFonts w:ascii="宋体" w:hAnsi="宋体" w:cs="宋体"/>
                <w:sz w:val="24"/>
                <w:szCs w:val="24"/>
              </w:rPr>
            </w:pPr>
            <w:r>
              <w:rPr>
                <w:rFonts w:hint="eastAsia" w:ascii="宋体" w:hAnsi="宋体" w:cs="宋体"/>
                <w:sz w:val="24"/>
                <w:szCs w:val="24"/>
              </w:rPr>
              <w:t>5</w:t>
            </w:r>
          </w:p>
        </w:tc>
        <w:tc>
          <w:tcPr>
            <w:tcW w:w="5070" w:type="dxa"/>
          </w:tcPr>
          <w:p w14:paraId="3261B878">
            <w:pPr>
              <w:rPr>
                <w:rFonts w:ascii="宋体" w:hAnsi="宋体" w:cs="宋体"/>
                <w:sz w:val="24"/>
                <w:szCs w:val="24"/>
              </w:rPr>
            </w:pPr>
            <w:r>
              <w:rPr>
                <w:rFonts w:hint="eastAsia" w:ascii="宋体" w:hAnsi="宋体" w:cs="宋体"/>
                <w:sz w:val="24"/>
                <w:szCs w:val="24"/>
              </w:rPr>
              <w:t>运维人员经核查在规定时限不在岗的，每人次扣 0.5 分。</w:t>
            </w:r>
          </w:p>
        </w:tc>
        <w:tc>
          <w:tcPr>
            <w:tcW w:w="1215" w:type="dxa"/>
          </w:tcPr>
          <w:p w14:paraId="69EEA6C1">
            <w:pPr>
              <w:rPr>
                <w:rFonts w:ascii="宋体" w:hAnsi="宋体" w:cs="宋体"/>
                <w:sz w:val="24"/>
                <w:szCs w:val="24"/>
              </w:rPr>
            </w:pPr>
          </w:p>
        </w:tc>
        <w:tc>
          <w:tcPr>
            <w:tcW w:w="1335" w:type="dxa"/>
          </w:tcPr>
          <w:p w14:paraId="03801C89">
            <w:pPr>
              <w:rPr>
                <w:rFonts w:ascii="宋体" w:hAnsi="宋体" w:cs="宋体"/>
                <w:sz w:val="24"/>
                <w:szCs w:val="24"/>
              </w:rPr>
            </w:pPr>
          </w:p>
        </w:tc>
        <w:tc>
          <w:tcPr>
            <w:tcW w:w="825" w:type="dxa"/>
          </w:tcPr>
          <w:p w14:paraId="64D36A8A">
            <w:pPr>
              <w:rPr>
                <w:rFonts w:ascii="宋体" w:hAnsi="宋体" w:cs="宋体"/>
                <w:sz w:val="24"/>
                <w:szCs w:val="24"/>
              </w:rPr>
            </w:pPr>
          </w:p>
        </w:tc>
        <w:tc>
          <w:tcPr>
            <w:tcW w:w="1035" w:type="dxa"/>
          </w:tcPr>
          <w:p w14:paraId="1DAB27DF">
            <w:pPr>
              <w:rPr>
                <w:rFonts w:ascii="宋体" w:hAnsi="宋体" w:cs="宋体"/>
                <w:sz w:val="24"/>
                <w:szCs w:val="24"/>
              </w:rPr>
            </w:pPr>
          </w:p>
        </w:tc>
      </w:tr>
      <w:tr w14:paraId="546AC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0" w:type="dxa"/>
            <w:vMerge w:val="continue"/>
            <w:vAlign w:val="center"/>
          </w:tcPr>
          <w:p w14:paraId="150240C1">
            <w:pPr>
              <w:jc w:val="center"/>
              <w:rPr>
                <w:rFonts w:ascii="宋体" w:hAnsi="宋体" w:cs="宋体"/>
                <w:sz w:val="24"/>
                <w:szCs w:val="24"/>
              </w:rPr>
            </w:pPr>
          </w:p>
        </w:tc>
        <w:tc>
          <w:tcPr>
            <w:tcW w:w="2490" w:type="dxa"/>
            <w:vAlign w:val="center"/>
          </w:tcPr>
          <w:p w14:paraId="127AF65F">
            <w:pPr>
              <w:jc w:val="center"/>
              <w:rPr>
                <w:rFonts w:ascii="宋体" w:hAnsi="宋体" w:cs="宋体"/>
                <w:sz w:val="24"/>
                <w:szCs w:val="24"/>
              </w:rPr>
            </w:pPr>
            <w:r>
              <w:rPr>
                <w:rFonts w:hint="eastAsia" w:ascii="宋体" w:hAnsi="宋体" w:cs="宋体"/>
                <w:sz w:val="24"/>
                <w:szCs w:val="24"/>
              </w:rPr>
              <w:t>信息报送</w:t>
            </w:r>
          </w:p>
        </w:tc>
        <w:tc>
          <w:tcPr>
            <w:tcW w:w="750" w:type="dxa"/>
            <w:vAlign w:val="center"/>
          </w:tcPr>
          <w:p w14:paraId="124A4E37">
            <w:pPr>
              <w:jc w:val="center"/>
              <w:rPr>
                <w:rFonts w:ascii="宋体" w:hAnsi="宋体" w:cs="宋体"/>
                <w:sz w:val="24"/>
                <w:szCs w:val="24"/>
              </w:rPr>
            </w:pPr>
            <w:r>
              <w:rPr>
                <w:rFonts w:hint="eastAsia" w:ascii="宋体" w:hAnsi="宋体" w:cs="宋体"/>
                <w:sz w:val="24"/>
                <w:szCs w:val="24"/>
              </w:rPr>
              <w:t>5</w:t>
            </w:r>
          </w:p>
        </w:tc>
        <w:tc>
          <w:tcPr>
            <w:tcW w:w="5070" w:type="dxa"/>
          </w:tcPr>
          <w:p w14:paraId="47A75432">
            <w:pPr>
              <w:rPr>
                <w:rFonts w:ascii="宋体" w:hAnsi="宋体" w:cs="宋体"/>
                <w:sz w:val="24"/>
                <w:szCs w:val="24"/>
              </w:rPr>
            </w:pPr>
            <w:r>
              <w:rPr>
                <w:rFonts w:hint="eastAsia" w:ascii="宋体" w:hAnsi="宋体" w:cs="宋体"/>
                <w:sz w:val="24"/>
                <w:szCs w:val="24"/>
              </w:rPr>
              <w:t>设备停水维修信息未及时报送供水公司和物业公司，造成用户投诉，每次扣 0.5分。</w:t>
            </w:r>
          </w:p>
        </w:tc>
        <w:tc>
          <w:tcPr>
            <w:tcW w:w="1215" w:type="dxa"/>
          </w:tcPr>
          <w:p w14:paraId="7955CF30">
            <w:pPr>
              <w:rPr>
                <w:rFonts w:ascii="宋体" w:hAnsi="宋体" w:cs="宋体"/>
                <w:sz w:val="24"/>
                <w:szCs w:val="24"/>
              </w:rPr>
            </w:pPr>
          </w:p>
        </w:tc>
        <w:tc>
          <w:tcPr>
            <w:tcW w:w="1335" w:type="dxa"/>
          </w:tcPr>
          <w:p w14:paraId="6BFA5A26">
            <w:pPr>
              <w:rPr>
                <w:rFonts w:ascii="宋体" w:hAnsi="宋体" w:cs="宋体"/>
                <w:sz w:val="24"/>
                <w:szCs w:val="24"/>
              </w:rPr>
            </w:pPr>
          </w:p>
        </w:tc>
        <w:tc>
          <w:tcPr>
            <w:tcW w:w="825" w:type="dxa"/>
          </w:tcPr>
          <w:p w14:paraId="7E614B6D">
            <w:pPr>
              <w:rPr>
                <w:rFonts w:ascii="宋体" w:hAnsi="宋体" w:cs="宋体"/>
                <w:sz w:val="24"/>
                <w:szCs w:val="24"/>
              </w:rPr>
            </w:pPr>
          </w:p>
        </w:tc>
        <w:tc>
          <w:tcPr>
            <w:tcW w:w="1035" w:type="dxa"/>
          </w:tcPr>
          <w:p w14:paraId="75979CE4">
            <w:pPr>
              <w:rPr>
                <w:rFonts w:ascii="宋体" w:hAnsi="宋体" w:cs="宋体"/>
                <w:sz w:val="24"/>
                <w:szCs w:val="24"/>
              </w:rPr>
            </w:pPr>
          </w:p>
        </w:tc>
      </w:tr>
      <w:tr w14:paraId="24AB0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0" w:type="dxa"/>
            <w:vMerge w:val="restart"/>
            <w:vAlign w:val="center"/>
          </w:tcPr>
          <w:p w14:paraId="1E5E46F8">
            <w:pPr>
              <w:jc w:val="center"/>
              <w:rPr>
                <w:rFonts w:ascii="宋体" w:hAnsi="宋体" w:cs="宋体"/>
                <w:sz w:val="24"/>
                <w:szCs w:val="24"/>
              </w:rPr>
            </w:pPr>
            <w:r>
              <w:rPr>
                <w:rFonts w:hint="eastAsia" w:ascii="宋体" w:hAnsi="宋体" w:cs="宋体"/>
                <w:sz w:val="24"/>
                <w:szCs w:val="24"/>
              </w:rPr>
              <w:t>日常运维</w:t>
            </w:r>
          </w:p>
        </w:tc>
        <w:tc>
          <w:tcPr>
            <w:tcW w:w="2490" w:type="dxa"/>
            <w:vMerge w:val="restart"/>
            <w:vAlign w:val="center"/>
          </w:tcPr>
          <w:p w14:paraId="21D56B44">
            <w:pPr>
              <w:jc w:val="center"/>
              <w:rPr>
                <w:rFonts w:ascii="宋体" w:hAnsi="宋体" w:cs="宋体"/>
                <w:sz w:val="24"/>
                <w:szCs w:val="24"/>
              </w:rPr>
            </w:pPr>
            <w:r>
              <w:rPr>
                <w:rFonts w:hint="eastAsia" w:ascii="宋体" w:hAnsi="宋体" w:cs="宋体"/>
                <w:sz w:val="24"/>
                <w:szCs w:val="24"/>
              </w:rPr>
              <w:t>日常要求</w:t>
            </w:r>
          </w:p>
        </w:tc>
        <w:tc>
          <w:tcPr>
            <w:tcW w:w="750" w:type="dxa"/>
            <w:vMerge w:val="restart"/>
            <w:vAlign w:val="center"/>
          </w:tcPr>
          <w:p w14:paraId="1380DB02">
            <w:pPr>
              <w:jc w:val="center"/>
              <w:rPr>
                <w:rFonts w:ascii="宋体" w:hAnsi="宋体" w:cs="宋体"/>
                <w:sz w:val="24"/>
                <w:szCs w:val="24"/>
              </w:rPr>
            </w:pPr>
            <w:r>
              <w:rPr>
                <w:rFonts w:hint="eastAsia" w:ascii="宋体" w:hAnsi="宋体" w:cs="宋体"/>
                <w:sz w:val="24"/>
                <w:szCs w:val="24"/>
              </w:rPr>
              <w:t>10</w:t>
            </w:r>
          </w:p>
        </w:tc>
        <w:tc>
          <w:tcPr>
            <w:tcW w:w="5070" w:type="dxa"/>
          </w:tcPr>
          <w:p w14:paraId="515EA442">
            <w:pPr>
              <w:rPr>
                <w:rFonts w:ascii="宋体" w:hAnsi="宋体" w:cs="宋体"/>
                <w:sz w:val="24"/>
                <w:szCs w:val="24"/>
              </w:rPr>
            </w:pPr>
            <w:r>
              <w:rPr>
                <w:rFonts w:hint="eastAsia" w:ascii="宋体" w:hAnsi="宋体" w:cs="宋体"/>
                <w:sz w:val="24"/>
                <w:szCs w:val="24"/>
              </w:rPr>
              <w:t>供应商未在规定时限完成维保任务，下发书面通知,扣1-3分。</w:t>
            </w:r>
          </w:p>
        </w:tc>
        <w:tc>
          <w:tcPr>
            <w:tcW w:w="1215" w:type="dxa"/>
          </w:tcPr>
          <w:p w14:paraId="36D04B39">
            <w:pPr>
              <w:rPr>
                <w:rFonts w:ascii="宋体" w:hAnsi="宋体" w:cs="宋体"/>
                <w:sz w:val="24"/>
                <w:szCs w:val="24"/>
              </w:rPr>
            </w:pPr>
          </w:p>
        </w:tc>
        <w:tc>
          <w:tcPr>
            <w:tcW w:w="1335" w:type="dxa"/>
          </w:tcPr>
          <w:p w14:paraId="6FE29BFA">
            <w:pPr>
              <w:rPr>
                <w:rFonts w:ascii="宋体" w:hAnsi="宋体" w:cs="宋体"/>
                <w:sz w:val="24"/>
                <w:szCs w:val="24"/>
              </w:rPr>
            </w:pPr>
          </w:p>
        </w:tc>
        <w:tc>
          <w:tcPr>
            <w:tcW w:w="825" w:type="dxa"/>
          </w:tcPr>
          <w:p w14:paraId="6386B097">
            <w:pPr>
              <w:rPr>
                <w:rFonts w:ascii="宋体" w:hAnsi="宋体" w:cs="宋体"/>
                <w:sz w:val="24"/>
                <w:szCs w:val="24"/>
              </w:rPr>
            </w:pPr>
          </w:p>
        </w:tc>
        <w:tc>
          <w:tcPr>
            <w:tcW w:w="1035" w:type="dxa"/>
          </w:tcPr>
          <w:p w14:paraId="41318AEA">
            <w:pPr>
              <w:rPr>
                <w:rFonts w:ascii="宋体" w:hAnsi="宋体" w:cs="宋体"/>
                <w:sz w:val="24"/>
                <w:szCs w:val="24"/>
              </w:rPr>
            </w:pPr>
          </w:p>
        </w:tc>
      </w:tr>
      <w:tr w14:paraId="721E8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0" w:type="dxa"/>
            <w:vMerge w:val="continue"/>
          </w:tcPr>
          <w:p w14:paraId="507A999E">
            <w:pPr>
              <w:rPr>
                <w:rFonts w:ascii="宋体" w:hAnsi="宋体" w:cs="宋体"/>
                <w:sz w:val="24"/>
                <w:szCs w:val="24"/>
              </w:rPr>
            </w:pPr>
          </w:p>
        </w:tc>
        <w:tc>
          <w:tcPr>
            <w:tcW w:w="2490" w:type="dxa"/>
            <w:vMerge w:val="continue"/>
            <w:vAlign w:val="center"/>
          </w:tcPr>
          <w:p w14:paraId="0A641845">
            <w:pPr>
              <w:jc w:val="center"/>
              <w:rPr>
                <w:rFonts w:ascii="宋体" w:hAnsi="宋体" w:cs="宋体"/>
                <w:sz w:val="24"/>
                <w:szCs w:val="24"/>
              </w:rPr>
            </w:pPr>
          </w:p>
        </w:tc>
        <w:tc>
          <w:tcPr>
            <w:tcW w:w="750" w:type="dxa"/>
            <w:vMerge w:val="continue"/>
            <w:vAlign w:val="center"/>
          </w:tcPr>
          <w:p w14:paraId="3D03C8B0">
            <w:pPr>
              <w:jc w:val="center"/>
              <w:rPr>
                <w:rFonts w:ascii="宋体" w:hAnsi="宋体" w:cs="宋体"/>
                <w:sz w:val="24"/>
                <w:szCs w:val="24"/>
              </w:rPr>
            </w:pPr>
          </w:p>
        </w:tc>
        <w:tc>
          <w:tcPr>
            <w:tcW w:w="5070" w:type="dxa"/>
          </w:tcPr>
          <w:p w14:paraId="5536D590">
            <w:pPr>
              <w:rPr>
                <w:rFonts w:ascii="宋体" w:hAnsi="宋体" w:cs="宋体"/>
                <w:sz w:val="24"/>
                <w:szCs w:val="24"/>
              </w:rPr>
            </w:pPr>
            <w:r>
              <w:rPr>
                <w:rFonts w:hint="eastAsia" w:ascii="宋体" w:hAnsi="宋体" w:cs="宋体"/>
                <w:sz w:val="24"/>
                <w:szCs w:val="24"/>
              </w:rPr>
              <w:t>供应商接到书面通知后，未在要求时间内完成整改的，下发整改通知书，扣 1-3 分。</w:t>
            </w:r>
          </w:p>
        </w:tc>
        <w:tc>
          <w:tcPr>
            <w:tcW w:w="1215" w:type="dxa"/>
          </w:tcPr>
          <w:p w14:paraId="33ABD60C">
            <w:pPr>
              <w:rPr>
                <w:rFonts w:ascii="宋体" w:hAnsi="宋体" w:cs="宋体"/>
                <w:sz w:val="24"/>
                <w:szCs w:val="24"/>
              </w:rPr>
            </w:pPr>
          </w:p>
        </w:tc>
        <w:tc>
          <w:tcPr>
            <w:tcW w:w="1335" w:type="dxa"/>
          </w:tcPr>
          <w:p w14:paraId="623F50F1">
            <w:pPr>
              <w:rPr>
                <w:rFonts w:ascii="宋体" w:hAnsi="宋体" w:cs="宋体"/>
                <w:sz w:val="24"/>
                <w:szCs w:val="24"/>
              </w:rPr>
            </w:pPr>
          </w:p>
        </w:tc>
        <w:tc>
          <w:tcPr>
            <w:tcW w:w="825" w:type="dxa"/>
          </w:tcPr>
          <w:p w14:paraId="32110B70">
            <w:pPr>
              <w:rPr>
                <w:rFonts w:ascii="宋体" w:hAnsi="宋体" w:cs="宋体"/>
                <w:sz w:val="24"/>
                <w:szCs w:val="24"/>
              </w:rPr>
            </w:pPr>
          </w:p>
        </w:tc>
        <w:tc>
          <w:tcPr>
            <w:tcW w:w="1035" w:type="dxa"/>
          </w:tcPr>
          <w:p w14:paraId="52F09204">
            <w:pPr>
              <w:rPr>
                <w:rFonts w:ascii="宋体" w:hAnsi="宋体" w:cs="宋体"/>
                <w:sz w:val="24"/>
                <w:szCs w:val="24"/>
              </w:rPr>
            </w:pPr>
          </w:p>
        </w:tc>
      </w:tr>
      <w:tr w14:paraId="014BB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0" w:type="dxa"/>
            <w:vMerge w:val="continue"/>
          </w:tcPr>
          <w:p w14:paraId="17CD6B81">
            <w:pPr>
              <w:rPr>
                <w:rFonts w:ascii="宋体" w:hAnsi="宋体" w:cs="宋体"/>
                <w:sz w:val="24"/>
                <w:szCs w:val="24"/>
              </w:rPr>
            </w:pPr>
          </w:p>
        </w:tc>
        <w:tc>
          <w:tcPr>
            <w:tcW w:w="2490" w:type="dxa"/>
            <w:vMerge w:val="continue"/>
            <w:vAlign w:val="center"/>
          </w:tcPr>
          <w:p w14:paraId="3EA20144">
            <w:pPr>
              <w:jc w:val="center"/>
              <w:rPr>
                <w:rFonts w:ascii="宋体" w:hAnsi="宋体" w:cs="宋体"/>
                <w:sz w:val="24"/>
                <w:szCs w:val="24"/>
              </w:rPr>
            </w:pPr>
          </w:p>
        </w:tc>
        <w:tc>
          <w:tcPr>
            <w:tcW w:w="750" w:type="dxa"/>
            <w:vMerge w:val="continue"/>
            <w:vAlign w:val="center"/>
          </w:tcPr>
          <w:p w14:paraId="68175987">
            <w:pPr>
              <w:jc w:val="center"/>
              <w:rPr>
                <w:rFonts w:ascii="宋体" w:hAnsi="宋体" w:cs="宋体"/>
                <w:sz w:val="24"/>
                <w:szCs w:val="24"/>
              </w:rPr>
            </w:pPr>
          </w:p>
        </w:tc>
        <w:tc>
          <w:tcPr>
            <w:tcW w:w="5070" w:type="dxa"/>
          </w:tcPr>
          <w:p w14:paraId="62D2895A">
            <w:pPr>
              <w:rPr>
                <w:rFonts w:ascii="宋体" w:hAnsi="宋体" w:cs="宋体"/>
                <w:sz w:val="24"/>
                <w:szCs w:val="24"/>
              </w:rPr>
            </w:pPr>
            <w:r>
              <w:rPr>
                <w:rFonts w:hint="eastAsia" w:ascii="宋体" w:hAnsi="宋体" w:cs="宋体"/>
                <w:sz w:val="24"/>
                <w:szCs w:val="24"/>
              </w:rPr>
              <w:t>接整改通知书后仍不能在规定时限内完成整改的，下发通报批评，扣3-4 分。</w:t>
            </w:r>
          </w:p>
        </w:tc>
        <w:tc>
          <w:tcPr>
            <w:tcW w:w="1215" w:type="dxa"/>
          </w:tcPr>
          <w:p w14:paraId="41EC1E75">
            <w:pPr>
              <w:rPr>
                <w:rFonts w:ascii="宋体" w:hAnsi="宋体" w:cs="宋体"/>
                <w:sz w:val="24"/>
                <w:szCs w:val="24"/>
              </w:rPr>
            </w:pPr>
          </w:p>
        </w:tc>
        <w:tc>
          <w:tcPr>
            <w:tcW w:w="1335" w:type="dxa"/>
          </w:tcPr>
          <w:p w14:paraId="1A594366">
            <w:pPr>
              <w:rPr>
                <w:rFonts w:ascii="宋体" w:hAnsi="宋体" w:cs="宋体"/>
                <w:sz w:val="24"/>
                <w:szCs w:val="24"/>
              </w:rPr>
            </w:pPr>
          </w:p>
        </w:tc>
        <w:tc>
          <w:tcPr>
            <w:tcW w:w="825" w:type="dxa"/>
          </w:tcPr>
          <w:p w14:paraId="6D7B722C">
            <w:pPr>
              <w:rPr>
                <w:rFonts w:ascii="宋体" w:hAnsi="宋体" w:cs="宋体"/>
                <w:sz w:val="24"/>
                <w:szCs w:val="24"/>
              </w:rPr>
            </w:pPr>
          </w:p>
        </w:tc>
        <w:tc>
          <w:tcPr>
            <w:tcW w:w="1035" w:type="dxa"/>
          </w:tcPr>
          <w:p w14:paraId="33D8052F">
            <w:pPr>
              <w:rPr>
                <w:rFonts w:ascii="宋体" w:hAnsi="宋体" w:cs="宋体"/>
                <w:sz w:val="24"/>
                <w:szCs w:val="24"/>
              </w:rPr>
            </w:pPr>
          </w:p>
        </w:tc>
      </w:tr>
      <w:tr w14:paraId="4ABF6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0" w:type="dxa"/>
            <w:vMerge w:val="continue"/>
          </w:tcPr>
          <w:p w14:paraId="50DF200F">
            <w:pPr>
              <w:rPr>
                <w:rFonts w:ascii="宋体" w:hAnsi="宋体" w:cs="宋体"/>
                <w:sz w:val="24"/>
                <w:szCs w:val="24"/>
              </w:rPr>
            </w:pPr>
          </w:p>
        </w:tc>
        <w:tc>
          <w:tcPr>
            <w:tcW w:w="2490" w:type="dxa"/>
            <w:vMerge w:val="continue"/>
            <w:vAlign w:val="center"/>
          </w:tcPr>
          <w:p w14:paraId="1ADDB88B">
            <w:pPr>
              <w:jc w:val="center"/>
              <w:rPr>
                <w:rFonts w:ascii="宋体" w:hAnsi="宋体" w:cs="宋体"/>
                <w:sz w:val="24"/>
                <w:szCs w:val="24"/>
              </w:rPr>
            </w:pPr>
          </w:p>
        </w:tc>
        <w:tc>
          <w:tcPr>
            <w:tcW w:w="750" w:type="dxa"/>
            <w:vMerge w:val="continue"/>
            <w:vAlign w:val="center"/>
          </w:tcPr>
          <w:p w14:paraId="46FD6A50">
            <w:pPr>
              <w:jc w:val="center"/>
              <w:rPr>
                <w:rFonts w:ascii="宋体" w:hAnsi="宋体" w:cs="宋体"/>
                <w:sz w:val="24"/>
                <w:szCs w:val="24"/>
              </w:rPr>
            </w:pPr>
          </w:p>
        </w:tc>
        <w:tc>
          <w:tcPr>
            <w:tcW w:w="5070" w:type="dxa"/>
          </w:tcPr>
          <w:p w14:paraId="02E45349">
            <w:pPr>
              <w:rPr>
                <w:rFonts w:ascii="宋体" w:hAnsi="宋体" w:cs="宋体"/>
                <w:sz w:val="24"/>
                <w:szCs w:val="24"/>
              </w:rPr>
            </w:pPr>
            <w:r>
              <w:rPr>
                <w:rFonts w:hint="eastAsia" w:ascii="宋体" w:hAnsi="宋体" w:cs="宋体"/>
                <w:sz w:val="24"/>
                <w:szCs w:val="24"/>
              </w:rPr>
              <w:t>不能完成工作任务的，业主单位可指定他人代为整改，所需费用从责任供应商经费中扣除。</w:t>
            </w:r>
          </w:p>
        </w:tc>
        <w:tc>
          <w:tcPr>
            <w:tcW w:w="1215" w:type="dxa"/>
          </w:tcPr>
          <w:p w14:paraId="0C5BD14B">
            <w:pPr>
              <w:rPr>
                <w:rFonts w:ascii="宋体" w:hAnsi="宋体" w:cs="宋体"/>
                <w:sz w:val="24"/>
                <w:szCs w:val="24"/>
              </w:rPr>
            </w:pPr>
          </w:p>
        </w:tc>
        <w:tc>
          <w:tcPr>
            <w:tcW w:w="1335" w:type="dxa"/>
          </w:tcPr>
          <w:p w14:paraId="3978DF73">
            <w:pPr>
              <w:rPr>
                <w:rFonts w:ascii="宋体" w:hAnsi="宋体" w:cs="宋体"/>
                <w:sz w:val="24"/>
                <w:szCs w:val="24"/>
              </w:rPr>
            </w:pPr>
          </w:p>
        </w:tc>
        <w:tc>
          <w:tcPr>
            <w:tcW w:w="825" w:type="dxa"/>
          </w:tcPr>
          <w:p w14:paraId="6D2107E5">
            <w:pPr>
              <w:rPr>
                <w:rFonts w:ascii="宋体" w:hAnsi="宋体" w:cs="宋体"/>
                <w:sz w:val="24"/>
                <w:szCs w:val="24"/>
              </w:rPr>
            </w:pPr>
          </w:p>
        </w:tc>
        <w:tc>
          <w:tcPr>
            <w:tcW w:w="1035" w:type="dxa"/>
          </w:tcPr>
          <w:p w14:paraId="2738D7E6">
            <w:pPr>
              <w:rPr>
                <w:rFonts w:ascii="宋体" w:hAnsi="宋体" w:cs="宋体"/>
                <w:sz w:val="24"/>
                <w:szCs w:val="24"/>
              </w:rPr>
            </w:pPr>
          </w:p>
        </w:tc>
      </w:tr>
      <w:tr w14:paraId="6EF47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0" w:type="dxa"/>
            <w:vMerge w:val="continue"/>
          </w:tcPr>
          <w:p w14:paraId="2C0D379B">
            <w:pPr>
              <w:rPr>
                <w:rFonts w:ascii="宋体" w:hAnsi="宋体" w:cs="宋体"/>
                <w:sz w:val="24"/>
                <w:szCs w:val="24"/>
              </w:rPr>
            </w:pPr>
          </w:p>
        </w:tc>
        <w:tc>
          <w:tcPr>
            <w:tcW w:w="2490" w:type="dxa"/>
            <w:vMerge w:val="restart"/>
            <w:vAlign w:val="center"/>
          </w:tcPr>
          <w:p w14:paraId="121B0F4D">
            <w:pPr>
              <w:jc w:val="center"/>
              <w:rPr>
                <w:rFonts w:ascii="宋体" w:hAnsi="宋体" w:cs="宋体"/>
                <w:sz w:val="24"/>
                <w:szCs w:val="24"/>
              </w:rPr>
            </w:pPr>
            <w:r>
              <w:rPr>
                <w:rFonts w:hint="eastAsia" w:ascii="宋体" w:hAnsi="宋体" w:cs="宋体"/>
                <w:sz w:val="24"/>
                <w:szCs w:val="24"/>
              </w:rPr>
              <w:t>日常巡视管理</w:t>
            </w:r>
          </w:p>
        </w:tc>
        <w:tc>
          <w:tcPr>
            <w:tcW w:w="750" w:type="dxa"/>
            <w:vMerge w:val="restart"/>
            <w:vAlign w:val="center"/>
          </w:tcPr>
          <w:p w14:paraId="3326B638">
            <w:pPr>
              <w:jc w:val="center"/>
              <w:rPr>
                <w:rFonts w:ascii="宋体" w:hAnsi="宋体" w:cs="宋体"/>
                <w:sz w:val="24"/>
                <w:szCs w:val="24"/>
              </w:rPr>
            </w:pPr>
            <w:r>
              <w:rPr>
                <w:rFonts w:hint="eastAsia" w:ascii="宋体" w:hAnsi="宋体" w:cs="宋体"/>
                <w:sz w:val="24"/>
                <w:szCs w:val="24"/>
              </w:rPr>
              <w:t>5</w:t>
            </w:r>
          </w:p>
        </w:tc>
        <w:tc>
          <w:tcPr>
            <w:tcW w:w="5070" w:type="dxa"/>
          </w:tcPr>
          <w:p w14:paraId="6F29537D">
            <w:pPr>
              <w:rPr>
                <w:rFonts w:ascii="宋体" w:hAnsi="宋体" w:cs="宋体"/>
                <w:sz w:val="24"/>
                <w:szCs w:val="24"/>
              </w:rPr>
            </w:pPr>
            <w:r>
              <w:rPr>
                <w:rFonts w:hint="eastAsia" w:ascii="宋体" w:hAnsi="宋体" w:cs="宋体"/>
                <w:sz w:val="24"/>
                <w:szCs w:val="24"/>
              </w:rPr>
              <w:t>经查服务方未能按要求巡视，每人每次扣1-3分。</w:t>
            </w:r>
          </w:p>
        </w:tc>
        <w:tc>
          <w:tcPr>
            <w:tcW w:w="1215" w:type="dxa"/>
          </w:tcPr>
          <w:p w14:paraId="1F74D7C0">
            <w:pPr>
              <w:rPr>
                <w:rFonts w:ascii="宋体" w:hAnsi="宋体" w:cs="宋体"/>
                <w:sz w:val="24"/>
                <w:szCs w:val="24"/>
              </w:rPr>
            </w:pPr>
          </w:p>
        </w:tc>
        <w:tc>
          <w:tcPr>
            <w:tcW w:w="1335" w:type="dxa"/>
          </w:tcPr>
          <w:p w14:paraId="6085A575">
            <w:pPr>
              <w:rPr>
                <w:rFonts w:ascii="宋体" w:hAnsi="宋体" w:cs="宋体"/>
                <w:sz w:val="24"/>
                <w:szCs w:val="24"/>
              </w:rPr>
            </w:pPr>
          </w:p>
        </w:tc>
        <w:tc>
          <w:tcPr>
            <w:tcW w:w="825" w:type="dxa"/>
          </w:tcPr>
          <w:p w14:paraId="02296900">
            <w:pPr>
              <w:rPr>
                <w:rFonts w:ascii="宋体" w:hAnsi="宋体" w:cs="宋体"/>
                <w:sz w:val="24"/>
                <w:szCs w:val="24"/>
              </w:rPr>
            </w:pPr>
          </w:p>
        </w:tc>
        <w:tc>
          <w:tcPr>
            <w:tcW w:w="1035" w:type="dxa"/>
          </w:tcPr>
          <w:p w14:paraId="09ADE345">
            <w:pPr>
              <w:rPr>
                <w:rFonts w:ascii="宋体" w:hAnsi="宋体" w:cs="宋体"/>
                <w:sz w:val="24"/>
                <w:szCs w:val="24"/>
              </w:rPr>
            </w:pPr>
          </w:p>
        </w:tc>
      </w:tr>
      <w:tr w14:paraId="4CF50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0" w:type="dxa"/>
            <w:vMerge w:val="continue"/>
          </w:tcPr>
          <w:p w14:paraId="34C73DEA">
            <w:pPr>
              <w:rPr>
                <w:rFonts w:ascii="宋体" w:hAnsi="宋体" w:cs="宋体"/>
                <w:sz w:val="24"/>
                <w:szCs w:val="24"/>
              </w:rPr>
            </w:pPr>
          </w:p>
        </w:tc>
        <w:tc>
          <w:tcPr>
            <w:tcW w:w="2490" w:type="dxa"/>
            <w:vMerge w:val="continue"/>
            <w:vAlign w:val="center"/>
          </w:tcPr>
          <w:p w14:paraId="5A9EFF77">
            <w:pPr>
              <w:jc w:val="center"/>
              <w:rPr>
                <w:rFonts w:ascii="宋体" w:hAnsi="宋体" w:cs="宋体"/>
                <w:sz w:val="24"/>
                <w:szCs w:val="24"/>
              </w:rPr>
            </w:pPr>
          </w:p>
        </w:tc>
        <w:tc>
          <w:tcPr>
            <w:tcW w:w="750" w:type="dxa"/>
            <w:vMerge w:val="continue"/>
            <w:vAlign w:val="center"/>
          </w:tcPr>
          <w:p w14:paraId="20BB60AF">
            <w:pPr>
              <w:jc w:val="center"/>
              <w:rPr>
                <w:rFonts w:ascii="宋体" w:hAnsi="宋体" w:cs="宋体"/>
                <w:sz w:val="24"/>
                <w:szCs w:val="24"/>
              </w:rPr>
            </w:pPr>
          </w:p>
        </w:tc>
        <w:tc>
          <w:tcPr>
            <w:tcW w:w="5070" w:type="dxa"/>
          </w:tcPr>
          <w:p w14:paraId="4F78D4FE">
            <w:pPr>
              <w:rPr>
                <w:rFonts w:ascii="宋体" w:hAnsi="宋体" w:cs="宋体"/>
                <w:sz w:val="24"/>
                <w:szCs w:val="24"/>
              </w:rPr>
            </w:pPr>
            <w:r>
              <w:rPr>
                <w:rFonts w:hint="eastAsia" w:ascii="宋体" w:hAnsi="宋体" w:cs="宋体"/>
                <w:sz w:val="24"/>
                <w:szCs w:val="24"/>
              </w:rPr>
              <w:t>巡查记录出现漏填，虚填，每人每次扣1-2分。</w:t>
            </w:r>
          </w:p>
        </w:tc>
        <w:tc>
          <w:tcPr>
            <w:tcW w:w="1215" w:type="dxa"/>
          </w:tcPr>
          <w:p w14:paraId="698FEFAF">
            <w:pPr>
              <w:rPr>
                <w:rFonts w:ascii="宋体" w:hAnsi="宋体" w:cs="宋体"/>
                <w:sz w:val="24"/>
                <w:szCs w:val="24"/>
              </w:rPr>
            </w:pPr>
          </w:p>
        </w:tc>
        <w:tc>
          <w:tcPr>
            <w:tcW w:w="1335" w:type="dxa"/>
          </w:tcPr>
          <w:p w14:paraId="51EAFD7E">
            <w:pPr>
              <w:rPr>
                <w:rFonts w:ascii="宋体" w:hAnsi="宋体" w:cs="宋体"/>
                <w:sz w:val="24"/>
                <w:szCs w:val="24"/>
              </w:rPr>
            </w:pPr>
          </w:p>
        </w:tc>
        <w:tc>
          <w:tcPr>
            <w:tcW w:w="825" w:type="dxa"/>
          </w:tcPr>
          <w:p w14:paraId="3F0B9A59">
            <w:pPr>
              <w:rPr>
                <w:rFonts w:ascii="宋体" w:hAnsi="宋体" w:cs="宋体"/>
                <w:sz w:val="24"/>
                <w:szCs w:val="24"/>
              </w:rPr>
            </w:pPr>
          </w:p>
        </w:tc>
        <w:tc>
          <w:tcPr>
            <w:tcW w:w="1035" w:type="dxa"/>
          </w:tcPr>
          <w:p w14:paraId="3B2D1E6D">
            <w:pPr>
              <w:rPr>
                <w:rFonts w:ascii="宋体" w:hAnsi="宋体" w:cs="宋体"/>
                <w:sz w:val="24"/>
                <w:szCs w:val="24"/>
              </w:rPr>
            </w:pPr>
          </w:p>
        </w:tc>
      </w:tr>
      <w:tr w14:paraId="0FAEB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0" w:type="dxa"/>
            <w:vMerge w:val="continue"/>
          </w:tcPr>
          <w:p w14:paraId="6F922EE3">
            <w:pPr>
              <w:rPr>
                <w:rFonts w:ascii="宋体" w:hAnsi="宋体" w:cs="宋体"/>
                <w:sz w:val="24"/>
                <w:szCs w:val="24"/>
              </w:rPr>
            </w:pPr>
          </w:p>
        </w:tc>
        <w:tc>
          <w:tcPr>
            <w:tcW w:w="2490" w:type="dxa"/>
            <w:vAlign w:val="center"/>
          </w:tcPr>
          <w:p w14:paraId="561D9C52">
            <w:pPr>
              <w:jc w:val="center"/>
              <w:rPr>
                <w:rFonts w:ascii="宋体" w:hAnsi="宋体" w:cs="宋体"/>
                <w:sz w:val="24"/>
                <w:szCs w:val="24"/>
              </w:rPr>
            </w:pPr>
            <w:r>
              <w:rPr>
                <w:rFonts w:hint="eastAsia" w:ascii="宋体" w:hAnsi="宋体" w:cs="宋体"/>
                <w:sz w:val="24"/>
                <w:szCs w:val="24"/>
              </w:rPr>
              <w:t>设备运行管理</w:t>
            </w:r>
          </w:p>
        </w:tc>
        <w:tc>
          <w:tcPr>
            <w:tcW w:w="750" w:type="dxa"/>
            <w:vAlign w:val="center"/>
          </w:tcPr>
          <w:p w14:paraId="4902D82B">
            <w:pPr>
              <w:jc w:val="center"/>
              <w:rPr>
                <w:rFonts w:ascii="宋体" w:hAnsi="宋体" w:cs="宋体"/>
                <w:sz w:val="24"/>
                <w:szCs w:val="24"/>
              </w:rPr>
            </w:pPr>
            <w:r>
              <w:rPr>
                <w:rFonts w:hint="eastAsia" w:ascii="宋体" w:hAnsi="宋体" w:cs="宋体"/>
                <w:sz w:val="24"/>
                <w:szCs w:val="24"/>
              </w:rPr>
              <w:t>30</w:t>
            </w:r>
          </w:p>
        </w:tc>
        <w:tc>
          <w:tcPr>
            <w:tcW w:w="5070" w:type="dxa"/>
          </w:tcPr>
          <w:p w14:paraId="0D2BD66C">
            <w:pPr>
              <w:rPr>
                <w:rFonts w:ascii="宋体" w:hAnsi="宋体" w:cs="宋体"/>
                <w:sz w:val="24"/>
                <w:szCs w:val="24"/>
              </w:rPr>
            </w:pPr>
            <w:r>
              <w:rPr>
                <w:rFonts w:hint="eastAsia" w:ascii="宋体" w:hAnsi="宋体" w:cs="宋体"/>
                <w:sz w:val="24"/>
                <w:szCs w:val="24"/>
              </w:rPr>
              <w:t>设备运行管理包括供水设备运行完好率、排水设施运行完好率和排风设备运行完好率， 因此在日常巡视中未能及时发现设备设施异常、欺报、瞒报、设备带病工作等，每次扣1-5 分,造成严重后果的由供应商承担相关责任和经济损失。</w:t>
            </w:r>
          </w:p>
        </w:tc>
        <w:tc>
          <w:tcPr>
            <w:tcW w:w="1215" w:type="dxa"/>
          </w:tcPr>
          <w:p w14:paraId="65CD96D1">
            <w:pPr>
              <w:rPr>
                <w:rFonts w:ascii="宋体" w:hAnsi="宋体" w:cs="宋体"/>
                <w:sz w:val="24"/>
                <w:szCs w:val="24"/>
              </w:rPr>
            </w:pPr>
          </w:p>
        </w:tc>
        <w:tc>
          <w:tcPr>
            <w:tcW w:w="1335" w:type="dxa"/>
          </w:tcPr>
          <w:p w14:paraId="1B1FC8DD">
            <w:pPr>
              <w:rPr>
                <w:rFonts w:ascii="宋体" w:hAnsi="宋体" w:cs="宋体"/>
                <w:sz w:val="24"/>
                <w:szCs w:val="24"/>
              </w:rPr>
            </w:pPr>
          </w:p>
        </w:tc>
        <w:tc>
          <w:tcPr>
            <w:tcW w:w="825" w:type="dxa"/>
          </w:tcPr>
          <w:p w14:paraId="2D698035">
            <w:pPr>
              <w:rPr>
                <w:rFonts w:ascii="宋体" w:hAnsi="宋体" w:cs="宋体"/>
                <w:sz w:val="24"/>
                <w:szCs w:val="24"/>
              </w:rPr>
            </w:pPr>
          </w:p>
        </w:tc>
        <w:tc>
          <w:tcPr>
            <w:tcW w:w="1035" w:type="dxa"/>
          </w:tcPr>
          <w:p w14:paraId="43683464">
            <w:pPr>
              <w:rPr>
                <w:rFonts w:ascii="宋体" w:hAnsi="宋体" w:cs="宋体"/>
                <w:sz w:val="24"/>
                <w:szCs w:val="24"/>
              </w:rPr>
            </w:pPr>
          </w:p>
        </w:tc>
      </w:tr>
      <w:tr w14:paraId="60CC5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0" w:type="dxa"/>
            <w:vMerge w:val="continue"/>
          </w:tcPr>
          <w:p w14:paraId="3BB8E5D9">
            <w:pPr>
              <w:rPr>
                <w:rFonts w:ascii="宋体" w:hAnsi="宋体" w:cs="宋体"/>
                <w:sz w:val="24"/>
                <w:szCs w:val="24"/>
              </w:rPr>
            </w:pPr>
          </w:p>
        </w:tc>
        <w:tc>
          <w:tcPr>
            <w:tcW w:w="2490" w:type="dxa"/>
            <w:vMerge w:val="restart"/>
            <w:vAlign w:val="center"/>
          </w:tcPr>
          <w:p w14:paraId="3F5685A2">
            <w:pPr>
              <w:jc w:val="center"/>
              <w:rPr>
                <w:rFonts w:ascii="宋体" w:hAnsi="宋体" w:cs="宋体"/>
                <w:sz w:val="24"/>
                <w:szCs w:val="24"/>
              </w:rPr>
            </w:pPr>
            <w:r>
              <w:rPr>
                <w:rFonts w:hint="eastAsia" w:ascii="宋体" w:hAnsi="宋体" w:cs="宋体"/>
                <w:sz w:val="24"/>
                <w:szCs w:val="24"/>
              </w:rPr>
              <w:t>故障处置及时率</w:t>
            </w:r>
          </w:p>
        </w:tc>
        <w:tc>
          <w:tcPr>
            <w:tcW w:w="750" w:type="dxa"/>
            <w:vMerge w:val="restart"/>
            <w:vAlign w:val="center"/>
          </w:tcPr>
          <w:p w14:paraId="75515C7C">
            <w:pPr>
              <w:jc w:val="center"/>
              <w:rPr>
                <w:rFonts w:ascii="宋体" w:hAnsi="宋体" w:cs="宋体"/>
                <w:sz w:val="24"/>
                <w:szCs w:val="24"/>
              </w:rPr>
            </w:pPr>
            <w:r>
              <w:rPr>
                <w:rFonts w:hint="eastAsia" w:ascii="宋体" w:hAnsi="宋体" w:cs="宋体"/>
                <w:sz w:val="24"/>
                <w:szCs w:val="24"/>
              </w:rPr>
              <w:t>10</w:t>
            </w:r>
          </w:p>
        </w:tc>
        <w:tc>
          <w:tcPr>
            <w:tcW w:w="5070" w:type="dxa"/>
          </w:tcPr>
          <w:p w14:paraId="4D55E992">
            <w:pPr>
              <w:rPr>
                <w:rFonts w:ascii="宋体" w:hAnsi="宋体" w:cs="宋体"/>
                <w:sz w:val="24"/>
                <w:szCs w:val="24"/>
              </w:rPr>
            </w:pPr>
            <w:r>
              <w:rPr>
                <w:rFonts w:hint="eastAsia" w:ascii="宋体" w:hAnsi="宋体" w:cs="宋体"/>
                <w:sz w:val="24"/>
                <w:szCs w:val="24"/>
              </w:rPr>
              <w:t>未按计划对设备进行排冲，保养，扣1-3分。</w:t>
            </w:r>
          </w:p>
        </w:tc>
        <w:tc>
          <w:tcPr>
            <w:tcW w:w="1215" w:type="dxa"/>
          </w:tcPr>
          <w:p w14:paraId="73EE6EDC">
            <w:pPr>
              <w:rPr>
                <w:rFonts w:ascii="宋体" w:hAnsi="宋体" w:cs="宋体"/>
                <w:sz w:val="24"/>
                <w:szCs w:val="24"/>
              </w:rPr>
            </w:pPr>
          </w:p>
        </w:tc>
        <w:tc>
          <w:tcPr>
            <w:tcW w:w="1335" w:type="dxa"/>
          </w:tcPr>
          <w:p w14:paraId="1D1FF28C">
            <w:pPr>
              <w:rPr>
                <w:rFonts w:ascii="宋体" w:hAnsi="宋体" w:cs="宋体"/>
                <w:sz w:val="24"/>
                <w:szCs w:val="24"/>
              </w:rPr>
            </w:pPr>
          </w:p>
        </w:tc>
        <w:tc>
          <w:tcPr>
            <w:tcW w:w="825" w:type="dxa"/>
          </w:tcPr>
          <w:p w14:paraId="6DA8ABAA">
            <w:pPr>
              <w:rPr>
                <w:rFonts w:ascii="宋体" w:hAnsi="宋体" w:cs="宋体"/>
                <w:sz w:val="24"/>
                <w:szCs w:val="24"/>
              </w:rPr>
            </w:pPr>
          </w:p>
        </w:tc>
        <w:tc>
          <w:tcPr>
            <w:tcW w:w="1035" w:type="dxa"/>
          </w:tcPr>
          <w:p w14:paraId="7ACE8B8B">
            <w:pPr>
              <w:rPr>
                <w:rFonts w:ascii="宋体" w:hAnsi="宋体" w:cs="宋体"/>
                <w:sz w:val="24"/>
                <w:szCs w:val="24"/>
              </w:rPr>
            </w:pPr>
          </w:p>
        </w:tc>
      </w:tr>
      <w:tr w14:paraId="011E4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0" w:type="dxa"/>
            <w:vMerge w:val="continue"/>
          </w:tcPr>
          <w:p w14:paraId="1B4639AC">
            <w:pPr>
              <w:rPr>
                <w:rFonts w:ascii="宋体" w:hAnsi="宋体" w:cs="宋体"/>
                <w:sz w:val="24"/>
                <w:szCs w:val="24"/>
              </w:rPr>
            </w:pPr>
          </w:p>
        </w:tc>
        <w:tc>
          <w:tcPr>
            <w:tcW w:w="2490" w:type="dxa"/>
            <w:vMerge w:val="continue"/>
            <w:vAlign w:val="center"/>
          </w:tcPr>
          <w:p w14:paraId="701F33FA">
            <w:pPr>
              <w:jc w:val="center"/>
              <w:rPr>
                <w:rFonts w:ascii="宋体" w:hAnsi="宋体" w:cs="宋体"/>
                <w:sz w:val="24"/>
                <w:szCs w:val="24"/>
              </w:rPr>
            </w:pPr>
          </w:p>
        </w:tc>
        <w:tc>
          <w:tcPr>
            <w:tcW w:w="750" w:type="dxa"/>
            <w:vMerge w:val="continue"/>
            <w:vAlign w:val="center"/>
          </w:tcPr>
          <w:p w14:paraId="7819FC5F">
            <w:pPr>
              <w:jc w:val="center"/>
              <w:rPr>
                <w:rFonts w:ascii="宋体" w:hAnsi="宋体" w:cs="宋体"/>
                <w:sz w:val="24"/>
                <w:szCs w:val="24"/>
              </w:rPr>
            </w:pPr>
          </w:p>
        </w:tc>
        <w:tc>
          <w:tcPr>
            <w:tcW w:w="5070" w:type="dxa"/>
          </w:tcPr>
          <w:p w14:paraId="17F3C0C6">
            <w:pPr>
              <w:rPr>
                <w:rFonts w:ascii="宋体" w:hAnsi="宋体" w:cs="宋体"/>
                <w:sz w:val="24"/>
                <w:szCs w:val="24"/>
              </w:rPr>
            </w:pPr>
            <w:r>
              <w:rPr>
                <w:rFonts w:hint="eastAsia" w:ascii="宋体" w:hAnsi="宋体" w:cs="宋体"/>
                <w:sz w:val="24"/>
                <w:szCs w:val="24"/>
              </w:rPr>
              <w:t>出现故障服务方未能及时现场处理，未能及时上报供水公司，扣1-2分。</w:t>
            </w:r>
          </w:p>
        </w:tc>
        <w:tc>
          <w:tcPr>
            <w:tcW w:w="1215" w:type="dxa"/>
          </w:tcPr>
          <w:p w14:paraId="7D3733EF">
            <w:pPr>
              <w:rPr>
                <w:rFonts w:ascii="宋体" w:hAnsi="宋体" w:cs="宋体"/>
                <w:sz w:val="24"/>
                <w:szCs w:val="24"/>
              </w:rPr>
            </w:pPr>
          </w:p>
        </w:tc>
        <w:tc>
          <w:tcPr>
            <w:tcW w:w="1335" w:type="dxa"/>
          </w:tcPr>
          <w:p w14:paraId="49D04704">
            <w:pPr>
              <w:rPr>
                <w:rFonts w:ascii="宋体" w:hAnsi="宋体" w:cs="宋体"/>
                <w:sz w:val="24"/>
                <w:szCs w:val="24"/>
              </w:rPr>
            </w:pPr>
          </w:p>
        </w:tc>
        <w:tc>
          <w:tcPr>
            <w:tcW w:w="825" w:type="dxa"/>
          </w:tcPr>
          <w:p w14:paraId="56415392">
            <w:pPr>
              <w:rPr>
                <w:rFonts w:ascii="宋体" w:hAnsi="宋体" w:cs="宋体"/>
                <w:sz w:val="24"/>
                <w:szCs w:val="24"/>
              </w:rPr>
            </w:pPr>
          </w:p>
        </w:tc>
        <w:tc>
          <w:tcPr>
            <w:tcW w:w="1035" w:type="dxa"/>
          </w:tcPr>
          <w:p w14:paraId="232FF031">
            <w:pPr>
              <w:rPr>
                <w:rFonts w:ascii="宋体" w:hAnsi="宋体" w:cs="宋体"/>
                <w:sz w:val="24"/>
                <w:szCs w:val="24"/>
              </w:rPr>
            </w:pPr>
          </w:p>
        </w:tc>
      </w:tr>
      <w:tr w14:paraId="70393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0" w:type="dxa"/>
            <w:vMerge w:val="continue"/>
          </w:tcPr>
          <w:p w14:paraId="029804A8">
            <w:pPr>
              <w:rPr>
                <w:rFonts w:ascii="宋体" w:hAnsi="宋体" w:cs="宋体"/>
                <w:sz w:val="24"/>
                <w:szCs w:val="24"/>
              </w:rPr>
            </w:pPr>
          </w:p>
        </w:tc>
        <w:tc>
          <w:tcPr>
            <w:tcW w:w="2490" w:type="dxa"/>
            <w:vMerge w:val="continue"/>
            <w:vAlign w:val="center"/>
          </w:tcPr>
          <w:p w14:paraId="1CF743BA">
            <w:pPr>
              <w:jc w:val="center"/>
              <w:rPr>
                <w:rFonts w:ascii="宋体" w:hAnsi="宋体" w:cs="宋体"/>
                <w:sz w:val="24"/>
                <w:szCs w:val="24"/>
              </w:rPr>
            </w:pPr>
          </w:p>
        </w:tc>
        <w:tc>
          <w:tcPr>
            <w:tcW w:w="750" w:type="dxa"/>
            <w:vMerge w:val="continue"/>
            <w:vAlign w:val="center"/>
          </w:tcPr>
          <w:p w14:paraId="54EDF95E">
            <w:pPr>
              <w:jc w:val="center"/>
              <w:rPr>
                <w:rFonts w:ascii="宋体" w:hAnsi="宋体" w:cs="宋体"/>
                <w:sz w:val="24"/>
                <w:szCs w:val="24"/>
              </w:rPr>
            </w:pPr>
          </w:p>
        </w:tc>
        <w:tc>
          <w:tcPr>
            <w:tcW w:w="5070" w:type="dxa"/>
          </w:tcPr>
          <w:p w14:paraId="48845E95">
            <w:pPr>
              <w:rPr>
                <w:rFonts w:ascii="宋体" w:hAnsi="宋体" w:cs="宋体"/>
                <w:sz w:val="24"/>
                <w:szCs w:val="24"/>
              </w:rPr>
            </w:pPr>
            <w:r>
              <w:rPr>
                <w:rFonts w:hint="eastAsia" w:ascii="宋体" w:hAnsi="宋体" w:cs="宋体"/>
                <w:sz w:val="24"/>
                <w:szCs w:val="24"/>
              </w:rPr>
              <w:t>故障处理中未能采取有效的处理方式，造成长时间停水、业主投诉，扣 0.5-1分。</w:t>
            </w:r>
          </w:p>
        </w:tc>
        <w:tc>
          <w:tcPr>
            <w:tcW w:w="1215" w:type="dxa"/>
          </w:tcPr>
          <w:p w14:paraId="192D4AAE">
            <w:pPr>
              <w:rPr>
                <w:rFonts w:ascii="宋体" w:hAnsi="宋体" w:cs="宋体"/>
                <w:sz w:val="24"/>
                <w:szCs w:val="24"/>
              </w:rPr>
            </w:pPr>
          </w:p>
        </w:tc>
        <w:tc>
          <w:tcPr>
            <w:tcW w:w="1335" w:type="dxa"/>
          </w:tcPr>
          <w:p w14:paraId="7996B2CC">
            <w:pPr>
              <w:rPr>
                <w:rFonts w:ascii="宋体" w:hAnsi="宋体" w:cs="宋体"/>
                <w:sz w:val="24"/>
                <w:szCs w:val="24"/>
              </w:rPr>
            </w:pPr>
          </w:p>
        </w:tc>
        <w:tc>
          <w:tcPr>
            <w:tcW w:w="825" w:type="dxa"/>
          </w:tcPr>
          <w:p w14:paraId="25564827">
            <w:pPr>
              <w:rPr>
                <w:rFonts w:ascii="宋体" w:hAnsi="宋体" w:cs="宋体"/>
                <w:sz w:val="24"/>
                <w:szCs w:val="24"/>
              </w:rPr>
            </w:pPr>
          </w:p>
        </w:tc>
        <w:tc>
          <w:tcPr>
            <w:tcW w:w="1035" w:type="dxa"/>
          </w:tcPr>
          <w:p w14:paraId="7A1AC65F">
            <w:pPr>
              <w:rPr>
                <w:rFonts w:ascii="宋体" w:hAnsi="宋体" w:cs="宋体"/>
                <w:sz w:val="24"/>
                <w:szCs w:val="24"/>
              </w:rPr>
            </w:pPr>
          </w:p>
        </w:tc>
      </w:tr>
      <w:tr w14:paraId="7A493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0" w:type="dxa"/>
            <w:vMerge w:val="continue"/>
          </w:tcPr>
          <w:p w14:paraId="5D4AD317">
            <w:pPr>
              <w:rPr>
                <w:rFonts w:ascii="宋体" w:hAnsi="宋体" w:cs="宋体"/>
                <w:sz w:val="24"/>
                <w:szCs w:val="24"/>
              </w:rPr>
            </w:pPr>
          </w:p>
        </w:tc>
        <w:tc>
          <w:tcPr>
            <w:tcW w:w="2490" w:type="dxa"/>
            <w:vMerge w:val="continue"/>
            <w:vAlign w:val="center"/>
          </w:tcPr>
          <w:p w14:paraId="1A90F898">
            <w:pPr>
              <w:jc w:val="center"/>
              <w:rPr>
                <w:rFonts w:ascii="宋体" w:hAnsi="宋体" w:cs="宋体"/>
                <w:sz w:val="24"/>
                <w:szCs w:val="24"/>
              </w:rPr>
            </w:pPr>
          </w:p>
        </w:tc>
        <w:tc>
          <w:tcPr>
            <w:tcW w:w="750" w:type="dxa"/>
            <w:vMerge w:val="continue"/>
            <w:vAlign w:val="center"/>
          </w:tcPr>
          <w:p w14:paraId="469D8D86">
            <w:pPr>
              <w:jc w:val="center"/>
              <w:rPr>
                <w:rFonts w:ascii="宋体" w:hAnsi="宋体" w:cs="宋体"/>
                <w:sz w:val="24"/>
                <w:szCs w:val="24"/>
              </w:rPr>
            </w:pPr>
          </w:p>
        </w:tc>
        <w:tc>
          <w:tcPr>
            <w:tcW w:w="5070" w:type="dxa"/>
          </w:tcPr>
          <w:p w14:paraId="254B3143">
            <w:pPr>
              <w:rPr>
                <w:rFonts w:ascii="宋体" w:hAnsi="宋体" w:cs="宋体"/>
                <w:sz w:val="24"/>
                <w:szCs w:val="24"/>
              </w:rPr>
            </w:pPr>
            <w:r>
              <w:rPr>
                <w:rFonts w:hint="eastAsia" w:ascii="宋体" w:hAnsi="宋体" w:cs="宋体"/>
                <w:sz w:val="24"/>
                <w:szCs w:val="24"/>
              </w:rPr>
              <w:t>故障处理完毕未能及时反馈信息扣0.5-1分。</w:t>
            </w:r>
          </w:p>
        </w:tc>
        <w:tc>
          <w:tcPr>
            <w:tcW w:w="1215" w:type="dxa"/>
          </w:tcPr>
          <w:p w14:paraId="50AD9A2D">
            <w:pPr>
              <w:rPr>
                <w:rFonts w:ascii="宋体" w:hAnsi="宋体" w:cs="宋体"/>
                <w:sz w:val="24"/>
                <w:szCs w:val="24"/>
              </w:rPr>
            </w:pPr>
          </w:p>
        </w:tc>
        <w:tc>
          <w:tcPr>
            <w:tcW w:w="1335" w:type="dxa"/>
          </w:tcPr>
          <w:p w14:paraId="2F008B16">
            <w:pPr>
              <w:rPr>
                <w:rFonts w:ascii="宋体" w:hAnsi="宋体" w:cs="宋体"/>
                <w:sz w:val="24"/>
                <w:szCs w:val="24"/>
              </w:rPr>
            </w:pPr>
          </w:p>
        </w:tc>
        <w:tc>
          <w:tcPr>
            <w:tcW w:w="825" w:type="dxa"/>
          </w:tcPr>
          <w:p w14:paraId="42E4A38F">
            <w:pPr>
              <w:rPr>
                <w:rFonts w:ascii="宋体" w:hAnsi="宋体" w:cs="宋体"/>
                <w:sz w:val="24"/>
                <w:szCs w:val="24"/>
              </w:rPr>
            </w:pPr>
          </w:p>
        </w:tc>
        <w:tc>
          <w:tcPr>
            <w:tcW w:w="1035" w:type="dxa"/>
          </w:tcPr>
          <w:p w14:paraId="58637340">
            <w:pPr>
              <w:rPr>
                <w:rFonts w:ascii="宋体" w:hAnsi="宋体" w:cs="宋体"/>
                <w:sz w:val="24"/>
                <w:szCs w:val="24"/>
              </w:rPr>
            </w:pPr>
          </w:p>
        </w:tc>
      </w:tr>
      <w:tr w14:paraId="676F3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0" w:type="dxa"/>
            <w:vMerge w:val="continue"/>
          </w:tcPr>
          <w:p w14:paraId="64E88850">
            <w:pPr>
              <w:rPr>
                <w:rFonts w:ascii="宋体" w:hAnsi="宋体" w:cs="宋体"/>
                <w:sz w:val="24"/>
                <w:szCs w:val="24"/>
              </w:rPr>
            </w:pPr>
          </w:p>
        </w:tc>
        <w:tc>
          <w:tcPr>
            <w:tcW w:w="2490" w:type="dxa"/>
            <w:vMerge w:val="restart"/>
            <w:vAlign w:val="center"/>
          </w:tcPr>
          <w:p w14:paraId="47C24665">
            <w:pPr>
              <w:jc w:val="center"/>
              <w:rPr>
                <w:rFonts w:ascii="宋体" w:hAnsi="宋体" w:cs="宋体"/>
                <w:sz w:val="24"/>
                <w:szCs w:val="24"/>
              </w:rPr>
            </w:pPr>
            <w:r>
              <w:rPr>
                <w:rFonts w:hint="eastAsia" w:ascii="宋体" w:hAnsi="宋体" w:cs="宋体"/>
                <w:sz w:val="24"/>
                <w:szCs w:val="24"/>
              </w:rPr>
              <w:t>卫生保洁</w:t>
            </w:r>
          </w:p>
        </w:tc>
        <w:tc>
          <w:tcPr>
            <w:tcW w:w="750" w:type="dxa"/>
            <w:vMerge w:val="restart"/>
            <w:vAlign w:val="center"/>
          </w:tcPr>
          <w:p w14:paraId="031368A9">
            <w:pPr>
              <w:jc w:val="center"/>
              <w:rPr>
                <w:rFonts w:ascii="宋体" w:hAnsi="宋体" w:cs="宋体"/>
                <w:sz w:val="24"/>
                <w:szCs w:val="24"/>
              </w:rPr>
            </w:pPr>
            <w:r>
              <w:rPr>
                <w:rFonts w:hint="eastAsia" w:ascii="宋体" w:hAnsi="宋体" w:cs="宋体"/>
                <w:sz w:val="24"/>
                <w:szCs w:val="24"/>
              </w:rPr>
              <w:t>10</w:t>
            </w:r>
          </w:p>
        </w:tc>
        <w:tc>
          <w:tcPr>
            <w:tcW w:w="5070" w:type="dxa"/>
          </w:tcPr>
          <w:p w14:paraId="1AA2D850">
            <w:pPr>
              <w:rPr>
                <w:rFonts w:ascii="宋体" w:hAnsi="宋体" w:cs="宋体"/>
                <w:sz w:val="24"/>
                <w:szCs w:val="24"/>
              </w:rPr>
            </w:pPr>
            <w:r>
              <w:rPr>
                <w:rFonts w:hint="eastAsia" w:ascii="宋体" w:hAnsi="宋体" w:cs="宋体"/>
                <w:sz w:val="24"/>
                <w:szCs w:val="24"/>
              </w:rPr>
              <w:t>供水设备、设施表层有灰尘，扣1-2分。</w:t>
            </w:r>
          </w:p>
        </w:tc>
        <w:tc>
          <w:tcPr>
            <w:tcW w:w="1215" w:type="dxa"/>
          </w:tcPr>
          <w:p w14:paraId="74514263">
            <w:pPr>
              <w:rPr>
                <w:rFonts w:ascii="宋体" w:hAnsi="宋体" w:cs="宋体"/>
                <w:sz w:val="24"/>
                <w:szCs w:val="24"/>
              </w:rPr>
            </w:pPr>
          </w:p>
        </w:tc>
        <w:tc>
          <w:tcPr>
            <w:tcW w:w="1335" w:type="dxa"/>
          </w:tcPr>
          <w:p w14:paraId="6C6CD230">
            <w:pPr>
              <w:rPr>
                <w:rFonts w:ascii="宋体" w:hAnsi="宋体" w:cs="宋体"/>
                <w:sz w:val="24"/>
                <w:szCs w:val="24"/>
              </w:rPr>
            </w:pPr>
          </w:p>
        </w:tc>
        <w:tc>
          <w:tcPr>
            <w:tcW w:w="825" w:type="dxa"/>
          </w:tcPr>
          <w:p w14:paraId="25C86FCE">
            <w:pPr>
              <w:rPr>
                <w:rFonts w:ascii="宋体" w:hAnsi="宋体" w:cs="宋体"/>
                <w:sz w:val="24"/>
                <w:szCs w:val="24"/>
              </w:rPr>
            </w:pPr>
          </w:p>
        </w:tc>
        <w:tc>
          <w:tcPr>
            <w:tcW w:w="1035" w:type="dxa"/>
          </w:tcPr>
          <w:p w14:paraId="1575E8C3">
            <w:pPr>
              <w:rPr>
                <w:rFonts w:ascii="宋体" w:hAnsi="宋体" w:cs="宋体"/>
                <w:sz w:val="24"/>
                <w:szCs w:val="24"/>
              </w:rPr>
            </w:pPr>
          </w:p>
        </w:tc>
      </w:tr>
      <w:tr w14:paraId="78AF9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0" w:type="dxa"/>
            <w:vMerge w:val="continue"/>
          </w:tcPr>
          <w:p w14:paraId="3108AFA8">
            <w:pPr>
              <w:rPr>
                <w:rFonts w:ascii="宋体" w:hAnsi="宋体" w:cs="宋体"/>
                <w:sz w:val="24"/>
                <w:szCs w:val="24"/>
              </w:rPr>
            </w:pPr>
          </w:p>
        </w:tc>
        <w:tc>
          <w:tcPr>
            <w:tcW w:w="2490" w:type="dxa"/>
            <w:vMerge w:val="continue"/>
            <w:vAlign w:val="center"/>
          </w:tcPr>
          <w:p w14:paraId="35479F7E">
            <w:pPr>
              <w:jc w:val="center"/>
              <w:rPr>
                <w:rFonts w:ascii="宋体" w:hAnsi="宋体" w:cs="宋体"/>
                <w:sz w:val="24"/>
                <w:szCs w:val="24"/>
              </w:rPr>
            </w:pPr>
          </w:p>
        </w:tc>
        <w:tc>
          <w:tcPr>
            <w:tcW w:w="750" w:type="dxa"/>
            <w:vMerge w:val="continue"/>
            <w:vAlign w:val="center"/>
          </w:tcPr>
          <w:p w14:paraId="17BE67FD">
            <w:pPr>
              <w:jc w:val="center"/>
              <w:rPr>
                <w:rFonts w:ascii="宋体" w:hAnsi="宋体" w:cs="宋体"/>
                <w:sz w:val="24"/>
                <w:szCs w:val="24"/>
              </w:rPr>
            </w:pPr>
          </w:p>
        </w:tc>
        <w:tc>
          <w:tcPr>
            <w:tcW w:w="5070" w:type="dxa"/>
          </w:tcPr>
          <w:p w14:paraId="7EA805C3">
            <w:pPr>
              <w:rPr>
                <w:rFonts w:ascii="宋体" w:hAnsi="宋体" w:cs="宋体"/>
                <w:sz w:val="24"/>
                <w:szCs w:val="24"/>
              </w:rPr>
            </w:pPr>
            <w:r>
              <w:rPr>
                <w:rFonts w:hint="eastAsia" w:ascii="宋体" w:hAnsi="宋体" w:cs="宋体"/>
                <w:sz w:val="24"/>
                <w:szCs w:val="24"/>
              </w:rPr>
              <w:t>控制室杂乱无章不整洁，扣0.5-1分。</w:t>
            </w:r>
          </w:p>
        </w:tc>
        <w:tc>
          <w:tcPr>
            <w:tcW w:w="1215" w:type="dxa"/>
          </w:tcPr>
          <w:p w14:paraId="0EF1F42B">
            <w:pPr>
              <w:rPr>
                <w:rFonts w:ascii="宋体" w:hAnsi="宋体" w:cs="宋体"/>
                <w:sz w:val="24"/>
                <w:szCs w:val="24"/>
              </w:rPr>
            </w:pPr>
          </w:p>
        </w:tc>
        <w:tc>
          <w:tcPr>
            <w:tcW w:w="1335" w:type="dxa"/>
          </w:tcPr>
          <w:p w14:paraId="7330BF81">
            <w:pPr>
              <w:rPr>
                <w:rFonts w:ascii="宋体" w:hAnsi="宋体" w:cs="宋体"/>
                <w:sz w:val="24"/>
                <w:szCs w:val="24"/>
              </w:rPr>
            </w:pPr>
          </w:p>
        </w:tc>
        <w:tc>
          <w:tcPr>
            <w:tcW w:w="825" w:type="dxa"/>
          </w:tcPr>
          <w:p w14:paraId="302FA64F">
            <w:pPr>
              <w:rPr>
                <w:rFonts w:ascii="宋体" w:hAnsi="宋体" w:cs="宋体"/>
                <w:sz w:val="24"/>
                <w:szCs w:val="24"/>
              </w:rPr>
            </w:pPr>
          </w:p>
        </w:tc>
        <w:tc>
          <w:tcPr>
            <w:tcW w:w="1035" w:type="dxa"/>
          </w:tcPr>
          <w:p w14:paraId="2F0BF480">
            <w:pPr>
              <w:rPr>
                <w:rFonts w:ascii="宋体" w:hAnsi="宋体" w:cs="宋体"/>
                <w:sz w:val="24"/>
                <w:szCs w:val="24"/>
              </w:rPr>
            </w:pPr>
          </w:p>
        </w:tc>
      </w:tr>
      <w:tr w14:paraId="6BED0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0" w:type="dxa"/>
            <w:vMerge w:val="continue"/>
          </w:tcPr>
          <w:p w14:paraId="0345DBE1">
            <w:pPr>
              <w:rPr>
                <w:rFonts w:ascii="宋体" w:hAnsi="宋体" w:cs="宋体"/>
                <w:sz w:val="24"/>
                <w:szCs w:val="24"/>
              </w:rPr>
            </w:pPr>
          </w:p>
        </w:tc>
        <w:tc>
          <w:tcPr>
            <w:tcW w:w="2490" w:type="dxa"/>
            <w:vMerge w:val="continue"/>
            <w:vAlign w:val="center"/>
          </w:tcPr>
          <w:p w14:paraId="2A110934">
            <w:pPr>
              <w:jc w:val="center"/>
              <w:rPr>
                <w:rFonts w:ascii="宋体" w:hAnsi="宋体" w:cs="宋体"/>
                <w:sz w:val="24"/>
                <w:szCs w:val="24"/>
              </w:rPr>
            </w:pPr>
          </w:p>
        </w:tc>
        <w:tc>
          <w:tcPr>
            <w:tcW w:w="750" w:type="dxa"/>
            <w:vMerge w:val="continue"/>
            <w:vAlign w:val="center"/>
          </w:tcPr>
          <w:p w14:paraId="6A9AC7CA">
            <w:pPr>
              <w:jc w:val="center"/>
              <w:rPr>
                <w:rFonts w:ascii="宋体" w:hAnsi="宋体" w:cs="宋体"/>
                <w:sz w:val="24"/>
                <w:szCs w:val="24"/>
              </w:rPr>
            </w:pPr>
          </w:p>
        </w:tc>
        <w:tc>
          <w:tcPr>
            <w:tcW w:w="5070" w:type="dxa"/>
          </w:tcPr>
          <w:p w14:paraId="4EEF6E31">
            <w:pPr>
              <w:rPr>
                <w:rFonts w:ascii="宋体" w:hAnsi="宋体" w:cs="宋体"/>
                <w:sz w:val="24"/>
                <w:szCs w:val="24"/>
              </w:rPr>
            </w:pPr>
            <w:r>
              <w:rPr>
                <w:rFonts w:hint="eastAsia" w:ascii="宋体" w:hAnsi="宋体" w:cs="宋体"/>
                <w:sz w:val="24"/>
                <w:szCs w:val="24"/>
              </w:rPr>
              <w:t>地面、墙体未及时清扫，脏、乱、差，扣0.5-1分。</w:t>
            </w:r>
          </w:p>
        </w:tc>
        <w:tc>
          <w:tcPr>
            <w:tcW w:w="1215" w:type="dxa"/>
          </w:tcPr>
          <w:p w14:paraId="52633786">
            <w:pPr>
              <w:rPr>
                <w:rFonts w:ascii="宋体" w:hAnsi="宋体" w:cs="宋体"/>
                <w:sz w:val="24"/>
                <w:szCs w:val="24"/>
              </w:rPr>
            </w:pPr>
          </w:p>
        </w:tc>
        <w:tc>
          <w:tcPr>
            <w:tcW w:w="1335" w:type="dxa"/>
          </w:tcPr>
          <w:p w14:paraId="4355F4D5">
            <w:pPr>
              <w:rPr>
                <w:rFonts w:ascii="宋体" w:hAnsi="宋体" w:cs="宋体"/>
                <w:sz w:val="24"/>
                <w:szCs w:val="24"/>
              </w:rPr>
            </w:pPr>
          </w:p>
        </w:tc>
        <w:tc>
          <w:tcPr>
            <w:tcW w:w="825" w:type="dxa"/>
          </w:tcPr>
          <w:p w14:paraId="539E7176">
            <w:pPr>
              <w:rPr>
                <w:rFonts w:ascii="宋体" w:hAnsi="宋体" w:cs="宋体"/>
                <w:sz w:val="24"/>
                <w:szCs w:val="24"/>
              </w:rPr>
            </w:pPr>
          </w:p>
        </w:tc>
        <w:tc>
          <w:tcPr>
            <w:tcW w:w="1035" w:type="dxa"/>
          </w:tcPr>
          <w:p w14:paraId="00738CCB">
            <w:pPr>
              <w:rPr>
                <w:rFonts w:ascii="宋体" w:hAnsi="宋体" w:cs="宋体"/>
                <w:sz w:val="24"/>
                <w:szCs w:val="24"/>
              </w:rPr>
            </w:pPr>
          </w:p>
        </w:tc>
      </w:tr>
      <w:tr w14:paraId="1A7F5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0" w:type="dxa"/>
            <w:vMerge w:val="continue"/>
          </w:tcPr>
          <w:p w14:paraId="7E6B7FFF">
            <w:pPr>
              <w:rPr>
                <w:rFonts w:ascii="宋体" w:hAnsi="宋体" w:cs="宋体"/>
                <w:sz w:val="24"/>
                <w:szCs w:val="24"/>
              </w:rPr>
            </w:pPr>
          </w:p>
        </w:tc>
        <w:tc>
          <w:tcPr>
            <w:tcW w:w="2490" w:type="dxa"/>
            <w:vMerge w:val="restart"/>
            <w:vAlign w:val="center"/>
          </w:tcPr>
          <w:p w14:paraId="7D1A538B">
            <w:pPr>
              <w:jc w:val="center"/>
              <w:rPr>
                <w:rFonts w:ascii="宋体" w:hAnsi="宋体" w:cs="宋体"/>
                <w:sz w:val="24"/>
                <w:szCs w:val="24"/>
              </w:rPr>
            </w:pPr>
            <w:r>
              <w:rPr>
                <w:rFonts w:hint="eastAsia" w:ascii="宋体" w:hAnsi="宋体" w:cs="宋体"/>
                <w:sz w:val="24"/>
                <w:szCs w:val="24"/>
              </w:rPr>
              <w:t>设施维修</w:t>
            </w:r>
          </w:p>
          <w:p w14:paraId="7603E9B6">
            <w:pPr>
              <w:jc w:val="center"/>
              <w:rPr>
                <w:rFonts w:ascii="宋体" w:hAnsi="宋体" w:cs="宋体"/>
                <w:sz w:val="24"/>
                <w:szCs w:val="24"/>
              </w:rPr>
            </w:pPr>
            <w:r>
              <w:rPr>
                <w:rFonts w:hint="eastAsia" w:ascii="宋体" w:hAnsi="宋体" w:cs="宋体"/>
                <w:sz w:val="24"/>
                <w:szCs w:val="24"/>
              </w:rPr>
              <w:t>（设备完好率）</w:t>
            </w:r>
          </w:p>
        </w:tc>
        <w:tc>
          <w:tcPr>
            <w:tcW w:w="750" w:type="dxa"/>
            <w:vMerge w:val="restart"/>
            <w:vAlign w:val="center"/>
          </w:tcPr>
          <w:p w14:paraId="0F29F2D1">
            <w:pPr>
              <w:jc w:val="center"/>
              <w:rPr>
                <w:rFonts w:ascii="宋体" w:hAnsi="宋体" w:cs="宋体"/>
                <w:sz w:val="24"/>
                <w:szCs w:val="24"/>
              </w:rPr>
            </w:pPr>
            <w:r>
              <w:rPr>
                <w:rFonts w:hint="eastAsia" w:ascii="宋体" w:hAnsi="宋体" w:cs="宋体"/>
                <w:sz w:val="24"/>
                <w:szCs w:val="24"/>
              </w:rPr>
              <w:t>10</w:t>
            </w:r>
          </w:p>
        </w:tc>
        <w:tc>
          <w:tcPr>
            <w:tcW w:w="5070" w:type="dxa"/>
          </w:tcPr>
          <w:p w14:paraId="5754ED9A">
            <w:pPr>
              <w:rPr>
                <w:rFonts w:ascii="宋体" w:hAnsi="宋体" w:cs="宋体"/>
                <w:sz w:val="24"/>
                <w:szCs w:val="24"/>
              </w:rPr>
            </w:pPr>
            <w:r>
              <w:rPr>
                <w:rFonts w:hint="eastAsia" w:ascii="宋体" w:hAnsi="宋体" w:cs="宋体"/>
                <w:sz w:val="24"/>
                <w:szCs w:val="24"/>
              </w:rPr>
              <w:t>设备出现故障未及时申报维修，造成设备长时间带病工作，扣 1-3 分。</w:t>
            </w:r>
          </w:p>
        </w:tc>
        <w:tc>
          <w:tcPr>
            <w:tcW w:w="1215" w:type="dxa"/>
          </w:tcPr>
          <w:p w14:paraId="702C1731">
            <w:pPr>
              <w:rPr>
                <w:rFonts w:ascii="宋体" w:hAnsi="宋体" w:cs="宋体"/>
                <w:sz w:val="24"/>
                <w:szCs w:val="24"/>
              </w:rPr>
            </w:pPr>
          </w:p>
        </w:tc>
        <w:tc>
          <w:tcPr>
            <w:tcW w:w="1335" w:type="dxa"/>
          </w:tcPr>
          <w:p w14:paraId="6682A25E">
            <w:pPr>
              <w:rPr>
                <w:rFonts w:ascii="宋体" w:hAnsi="宋体" w:cs="宋体"/>
                <w:sz w:val="24"/>
                <w:szCs w:val="24"/>
              </w:rPr>
            </w:pPr>
          </w:p>
        </w:tc>
        <w:tc>
          <w:tcPr>
            <w:tcW w:w="825" w:type="dxa"/>
          </w:tcPr>
          <w:p w14:paraId="3C9BDBD2">
            <w:pPr>
              <w:rPr>
                <w:rFonts w:ascii="宋体" w:hAnsi="宋体" w:cs="宋体"/>
                <w:sz w:val="24"/>
                <w:szCs w:val="24"/>
              </w:rPr>
            </w:pPr>
          </w:p>
        </w:tc>
        <w:tc>
          <w:tcPr>
            <w:tcW w:w="1035" w:type="dxa"/>
          </w:tcPr>
          <w:p w14:paraId="424CE1CD">
            <w:pPr>
              <w:rPr>
                <w:rFonts w:ascii="宋体" w:hAnsi="宋体" w:cs="宋体"/>
                <w:sz w:val="24"/>
                <w:szCs w:val="24"/>
              </w:rPr>
            </w:pPr>
          </w:p>
        </w:tc>
      </w:tr>
      <w:tr w14:paraId="2B442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0" w:type="dxa"/>
            <w:vMerge w:val="continue"/>
          </w:tcPr>
          <w:p w14:paraId="237F65CD">
            <w:pPr>
              <w:rPr>
                <w:rFonts w:ascii="宋体" w:hAnsi="宋体" w:cs="宋体"/>
                <w:sz w:val="24"/>
                <w:szCs w:val="24"/>
              </w:rPr>
            </w:pPr>
          </w:p>
        </w:tc>
        <w:tc>
          <w:tcPr>
            <w:tcW w:w="2490" w:type="dxa"/>
            <w:vMerge w:val="continue"/>
            <w:vAlign w:val="center"/>
          </w:tcPr>
          <w:p w14:paraId="69713B11">
            <w:pPr>
              <w:jc w:val="center"/>
              <w:rPr>
                <w:rFonts w:ascii="宋体" w:hAnsi="宋体" w:cs="宋体"/>
                <w:sz w:val="24"/>
                <w:szCs w:val="24"/>
              </w:rPr>
            </w:pPr>
          </w:p>
        </w:tc>
        <w:tc>
          <w:tcPr>
            <w:tcW w:w="750" w:type="dxa"/>
            <w:vMerge w:val="continue"/>
            <w:vAlign w:val="center"/>
          </w:tcPr>
          <w:p w14:paraId="37F3F3F6">
            <w:pPr>
              <w:jc w:val="center"/>
              <w:rPr>
                <w:rFonts w:ascii="宋体" w:hAnsi="宋体" w:cs="宋体"/>
                <w:sz w:val="24"/>
                <w:szCs w:val="24"/>
              </w:rPr>
            </w:pPr>
          </w:p>
        </w:tc>
        <w:tc>
          <w:tcPr>
            <w:tcW w:w="5070" w:type="dxa"/>
          </w:tcPr>
          <w:p w14:paraId="24E2F6B7">
            <w:pPr>
              <w:rPr>
                <w:rFonts w:ascii="宋体" w:hAnsi="宋体" w:cs="宋体"/>
                <w:sz w:val="24"/>
                <w:szCs w:val="24"/>
              </w:rPr>
            </w:pPr>
            <w:r>
              <w:rPr>
                <w:rFonts w:hint="eastAsia" w:ascii="宋体" w:hAnsi="宋体" w:cs="宋体"/>
                <w:sz w:val="24"/>
                <w:szCs w:val="24"/>
              </w:rPr>
              <w:t>维修时出现故意损坏、虚报、多报，以次充好等，扣1-2分。</w:t>
            </w:r>
          </w:p>
        </w:tc>
        <w:tc>
          <w:tcPr>
            <w:tcW w:w="1215" w:type="dxa"/>
          </w:tcPr>
          <w:p w14:paraId="321F95DC">
            <w:pPr>
              <w:rPr>
                <w:rFonts w:ascii="宋体" w:hAnsi="宋体" w:cs="宋体"/>
                <w:sz w:val="24"/>
                <w:szCs w:val="24"/>
              </w:rPr>
            </w:pPr>
          </w:p>
        </w:tc>
        <w:tc>
          <w:tcPr>
            <w:tcW w:w="1335" w:type="dxa"/>
          </w:tcPr>
          <w:p w14:paraId="00C4E86D">
            <w:pPr>
              <w:rPr>
                <w:rFonts w:ascii="宋体" w:hAnsi="宋体" w:cs="宋体"/>
                <w:sz w:val="24"/>
                <w:szCs w:val="24"/>
              </w:rPr>
            </w:pPr>
          </w:p>
        </w:tc>
        <w:tc>
          <w:tcPr>
            <w:tcW w:w="825" w:type="dxa"/>
          </w:tcPr>
          <w:p w14:paraId="1D15465C">
            <w:pPr>
              <w:rPr>
                <w:rFonts w:ascii="宋体" w:hAnsi="宋体" w:cs="宋体"/>
                <w:sz w:val="24"/>
                <w:szCs w:val="24"/>
              </w:rPr>
            </w:pPr>
          </w:p>
        </w:tc>
        <w:tc>
          <w:tcPr>
            <w:tcW w:w="1035" w:type="dxa"/>
          </w:tcPr>
          <w:p w14:paraId="54390A11">
            <w:pPr>
              <w:rPr>
                <w:rFonts w:ascii="宋体" w:hAnsi="宋体" w:cs="宋体"/>
                <w:sz w:val="24"/>
                <w:szCs w:val="24"/>
              </w:rPr>
            </w:pPr>
          </w:p>
        </w:tc>
      </w:tr>
      <w:tr w14:paraId="516E2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0" w:type="dxa"/>
            <w:vMerge w:val="continue"/>
          </w:tcPr>
          <w:p w14:paraId="6FB01829">
            <w:pPr>
              <w:rPr>
                <w:rFonts w:ascii="宋体" w:hAnsi="宋体" w:cs="宋体"/>
                <w:sz w:val="24"/>
                <w:szCs w:val="24"/>
              </w:rPr>
            </w:pPr>
          </w:p>
        </w:tc>
        <w:tc>
          <w:tcPr>
            <w:tcW w:w="2490" w:type="dxa"/>
            <w:vAlign w:val="center"/>
          </w:tcPr>
          <w:p w14:paraId="519BC498">
            <w:pPr>
              <w:jc w:val="center"/>
              <w:rPr>
                <w:rFonts w:ascii="宋体" w:hAnsi="宋体" w:cs="宋体"/>
                <w:sz w:val="24"/>
                <w:szCs w:val="24"/>
              </w:rPr>
            </w:pPr>
            <w:r>
              <w:rPr>
                <w:rFonts w:hint="eastAsia" w:ascii="宋体" w:hAnsi="宋体" w:cs="宋体"/>
                <w:sz w:val="24"/>
                <w:szCs w:val="24"/>
              </w:rPr>
              <w:t>日常保养</w:t>
            </w:r>
          </w:p>
        </w:tc>
        <w:tc>
          <w:tcPr>
            <w:tcW w:w="750" w:type="dxa"/>
            <w:vAlign w:val="center"/>
          </w:tcPr>
          <w:p w14:paraId="5FD1E40B">
            <w:pPr>
              <w:jc w:val="center"/>
              <w:rPr>
                <w:rFonts w:ascii="宋体" w:hAnsi="宋体" w:cs="宋体"/>
                <w:sz w:val="24"/>
                <w:szCs w:val="24"/>
              </w:rPr>
            </w:pPr>
            <w:r>
              <w:rPr>
                <w:rFonts w:hint="eastAsia" w:ascii="宋体" w:hAnsi="宋体" w:cs="宋体"/>
                <w:sz w:val="24"/>
                <w:szCs w:val="24"/>
              </w:rPr>
              <w:t>5</w:t>
            </w:r>
          </w:p>
        </w:tc>
        <w:tc>
          <w:tcPr>
            <w:tcW w:w="5070" w:type="dxa"/>
          </w:tcPr>
          <w:p w14:paraId="12265842">
            <w:pPr>
              <w:rPr>
                <w:rFonts w:ascii="宋体" w:hAnsi="宋体" w:cs="宋体"/>
                <w:sz w:val="24"/>
                <w:szCs w:val="24"/>
              </w:rPr>
            </w:pPr>
            <w:r>
              <w:rPr>
                <w:rFonts w:hint="eastAsia" w:ascii="宋体" w:hAnsi="宋体" w:cs="宋体"/>
                <w:sz w:val="24"/>
                <w:szCs w:val="24"/>
              </w:rPr>
              <w:t>未制定当季保养计划，扣1-2分。未按计划实施保养、漏保、骗保，扣1-2分。</w:t>
            </w:r>
          </w:p>
        </w:tc>
        <w:tc>
          <w:tcPr>
            <w:tcW w:w="1215" w:type="dxa"/>
          </w:tcPr>
          <w:p w14:paraId="6414A2C8">
            <w:pPr>
              <w:rPr>
                <w:rFonts w:ascii="宋体" w:hAnsi="宋体" w:cs="宋体"/>
                <w:sz w:val="24"/>
                <w:szCs w:val="24"/>
              </w:rPr>
            </w:pPr>
          </w:p>
        </w:tc>
        <w:tc>
          <w:tcPr>
            <w:tcW w:w="1335" w:type="dxa"/>
          </w:tcPr>
          <w:p w14:paraId="06B5C573">
            <w:pPr>
              <w:rPr>
                <w:rFonts w:ascii="宋体" w:hAnsi="宋体" w:cs="宋体"/>
                <w:sz w:val="24"/>
                <w:szCs w:val="24"/>
              </w:rPr>
            </w:pPr>
          </w:p>
        </w:tc>
        <w:tc>
          <w:tcPr>
            <w:tcW w:w="825" w:type="dxa"/>
          </w:tcPr>
          <w:p w14:paraId="06648ABF">
            <w:pPr>
              <w:rPr>
                <w:rFonts w:ascii="宋体" w:hAnsi="宋体" w:cs="宋体"/>
                <w:sz w:val="24"/>
                <w:szCs w:val="24"/>
              </w:rPr>
            </w:pPr>
          </w:p>
        </w:tc>
        <w:tc>
          <w:tcPr>
            <w:tcW w:w="1035" w:type="dxa"/>
          </w:tcPr>
          <w:p w14:paraId="5A2B7D2E">
            <w:pPr>
              <w:rPr>
                <w:rFonts w:ascii="宋体" w:hAnsi="宋体" w:cs="宋体"/>
                <w:sz w:val="24"/>
                <w:szCs w:val="24"/>
              </w:rPr>
            </w:pPr>
          </w:p>
        </w:tc>
      </w:tr>
      <w:tr w14:paraId="6F492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0" w:type="dxa"/>
            <w:gridSpan w:val="2"/>
            <w:vAlign w:val="center"/>
          </w:tcPr>
          <w:p w14:paraId="09A56143">
            <w:pPr>
              <w:rPr>
                <w:rFonts w:ascii="宋体" w:hAnsi="宋体" w:cs="宋体"/>
                <w:sz w:val="24"/>
                <w:szCs w:val="24"/>
              </w:rPr>
            </w:pPr>
            <w:r>
              <w:rPr>
                <w:rFonts w:hint="eastAsia" w:ascii="宋体" w:hAnsi="宋体" w:cs="宋体"/>
                <w:sz w:val="24"/>
                <w:szCs w:val="24"/>
              </w:rPr>
              <w:t>其它重要工作内容（短期要求或临时任务）</w:t>
            </w:r>
          </w:p>
        </w:tc>
        <w:tc>
          <w:tcPr>
            <w:tcW w:w="750" w:type="dxa"/>
          </w:tcPr>
          <w:p w14:paraId="2890F26D">
            <w:pPr>
              <w:rPr>
                <w:rFonts w:ascii="宋体" w:hAnsi="宋体" w:cs="宋体"/>
                <w:sz w:val="24"/>
                <w:szCs w:val="24"/>
              </w:rPr>
            </w:pPr>
          </w:p>
        </w:tc>
        <w:tc>
          <w:tcPr>
            <w:tcW w:w="5070" w:type="dxa"/>
          </w:tcPr>
          <w:p w14:paraId="5BB10415">
            <w:pPr>
              <w:rPr>
                <w:rFonts w:ascii="宋体" w:hAnsi="宋体" w:cs="宋体"/>
                <w:sz w:val="24"/>
                <w:szCs w:val="24"/>
              </w:rPr>
            </w:pPr>
          </w:p>
        </w:tc>
        <w:tc>
          <w:tcPr>
            <w:tcW w:w="1215" w:type="dxa"/>
          </w:tcPr>
          <w:p w14:paraId="30F67438">
            <w:pPr>
              <w:rPr>
                <w:rFonts w:ascii="宋体" w:hAnsi="宋体" w:cs="宋体"/>
                <w:sz w:val="24"/>
                <w:szCs w:val="24"/>
              </w:rPr>
            </w:pPr>
          </w:p>
        </w:tc>
        <w:tc>
          <w:tcPr>
            <w:tcW w:w="1335" w:type="dxa"/>
          </w:tcPr>
          <w:p w14:paraId="79D552F8">
            <w:pPr>
              <w:rPr>
                <w:rFonts w:ascii="宋体" w:hAnsi="宋体" w:cs="宋体"/>
                <w:sz w:val="24"/>
                <w:szCs w:val="24"/>
              </w:rPr>
            </w:pPr>
          </w:p>
        </w:tc>
        <w:tc>
          <w:tcPr>
            <w:tcW w:w="825" w:type="dxa"/>
          </w:tcPr>
          <w:p w14:paraId="07DCF101">
            <w:pPr>
              <w:rPr>
                <w:rFonts w:ascii="宋体" w:hAnsi="宋体" w:cs="宋体"/>
                <w:sz w:val="24"/>
                <w:szCs w:val="24"/>
              </w:rPr>
            </w:pPr>
          </w:p>
        </w:tc>
        <w:tc>
          <w:tcPr>
            <w:tcW w:w="1035" w:type="dxa"/>
          </w:tcPr>
          <w:p w14:paraId="42165F0C">
            <w:pPr>
              <w:rPr>
                <w:rFonts w:ascii="宋体" w:hAnsi="宋体" w:cs="宋体"/>
                <w:sz w:val="24"/>
                <w:szCs w:val="24"/>
              </w:rPr>
            </w:pPr>
          </w:p>
        </w:tc>
      </w:tr>
      <w:tr w14:paraId="171E1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0" w:type="dxa"/>
            <w:gridSpan w:val="2"/>
            <w:vAlign w:val="center"/>
          </w:tcPr>
          <w:p w14:paraId="6426020D">
            <w:pPr>
              <w:rPr>
                <w:rFonts w:ascii="宋体" w:hAnsi="宋体" w:cs="宋体"/>
                <w:sz w:val="24"/>
                <w:szCs w:val="24"/>
              </w:rPr>
            </w:pPr>
            <w:r>
              <w:rPr>
                <w:rFonts w:hint="eastAsia" w:ascii="宋体" w:hAnsi="宋体" w:cs="宋体"/>
                <w:sz w:val="24"/>
                <w:szCs w:val="24"/>
              </w:rPr>
              <w:t>总分（100分）</w:t>
            </w:r>
          </w:p>
        </w:tc>
        <w:tc>
          <w:tcPr>
            <w:tcW w:w="750" w:type="dxa"/>
          </w:tcPr>
          <w:p w14:paraId="2129A0CA">
            <w:pPr>
              <w:rPr>
                <w:rFonts w:ascii="宋体" w:hAnsi="宋体" w:cs="宋体"/>
                <w:sz w:val="24"/>
                <w:szCs w:val="24"/>
              </w:rPr>
            </w:pPr>
          </w:p>
        </w:tc>
        <w:tc>
          <w:tcPr>
            <w:tcW w:w="5070" w:type="dxa"/>
          </w:tcPr>
          <w:p w14:paraId="550A26B8">
            <w:pPr>
              <w:rPr>
                <w:rFonts w:ascii="宋体" w:hAnsi="宋体" w:cs="宋体"/>
                <w:sz w:val="24"/>
                <w:szCs w:val="24"/>
              </w:rPr>
            </w:pPr>
          </w:p>
        </w:tc>
        <w:tc>
          <w:tcPr>
            <w:tcW w:w="1215" w:type="dxa"/>
          </w:tcPr>
          <w:p w14:paraId="017C49AC">
            <w:pPr>
              <w:rPr>
                <w:rFonts w:ascii="宋体" w:hAnsi="宋体" w:cs="宋体"/>
                <w:sz w:val="24"/>
                <w:szCs w:val="24"/>
              </w:rPr>
            </w:pPr>
          </w:p>
        </w:tc>
        <w:tc>
          <w:tcPr>
            <w:tcW w:w="1335" w:type="dxa"/>
          </w:tcPr>
          <w:p w14:paraId="18230362">
            <w:pPr>
              <w:rPr>
                <w:rFonts w:ascii="宋体" w:hAnsi="宋体" w:cs="宋体"/>
                <w:sz w:val="24"/>
                <w:szCs w:val="24"/>
              </w:rPr>
            </w:pPr>
          </w:p>
        </w:tc>
        <w:tc>
          <w:tcPr>
            <w:tcW w:w="825" w:type="dxa"/>
          </w:tcPr>
          <w:p w14:paraId="12458D6A">
            <w:pPr>
              <w:rPr>
                <w:rFonts w:ascii="宋体" w:hAnsi="宋体" w:cs="宋体"/>
                <w:sz w:val="24"/>
                <w:szCs w:val="24"/>
              </w:rPr>
            </w:pPr>
          </w:p>
        </w:tc>
        <w:tc>
          <w:tcPr>
            <w:tcW w:w="1035" w:type="dxa"/>
          </w:tcPr>
          <w:p w14:paraId="114ECD13">
            <w:pPr>
              <w:rPr>
                <w:rFonts w:ascii="宋体" w:hAnsi="宋体" w:cs="宋体"/>
                <w:sz w:val="24"/>
                <w:szCs w:val="24"/>
              </w:rPr>
            </w:pPr>
          </w:p>
        </w:tc>
      </w:tr>
      <w:tr w14:paraId="33BB0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0" w:type="dxa"/>
            <w:gridSpan w:val="2"/>
            <w:vAlign w:val="center"/>
          </w:tcPr>
          <w:p w14:paraId="79859085">
            <w:pPr>
              <w:rPr>
                <w:rFonts w:ascii="宋体" w:hAnsi="宋体" w:cs="宋体"/>
                <w:sz w:val="24"/>
                <w:szCs w:val="24"/>
              </w:rPr>
            </w:pPr>
            <w:r>
              <w:rPr>
                <w:rFonts w:hint="eastAsia" w:ascii="宋体" w:hAnsi="宋体" w:cs="宋体"/>
                <w:sz w:val="24"/>
                <w:szCs w:val="24"/>
              </w:rPr>
              <w:t>考核得分</w:t>
            </w:r>
          </w:p>
        </w:tc>
        <w:tc>
          <w:tcPr>
            <w:tcW w:w="750" w:type="dxa"/>
          </w:tcPr>
          <w:p w14:paraId="1406295B"/>
        </w:tc>
        <w:tc>
          <w:tcPr>
            <w:tcW w:w="5070" w:type="dxa"/>
          </w:tcPr>
          <w:p w14:paraId="4B6D3A7C"/>
        </w:tc>
        <w:tc>
          <w:tcPr>
            <w:tcW w:w="1215" w:type="dxa"/>
          </w:tcPr>
          <w:p w14:paraId="38698A41"/>
        </w:tc>
        <w:tc>
          <w:tcPr>
            <w:tcW w:w="1335" w:type="dxa"/>
          </w:tcPr>
          <w:p w14:paraId="43E9A5F9"/>
        </w:tc>
        <w:tc>
          <w:tcPr>
            <w:tcW w:w="825" w:type="dxa"/>
          </w:tcPr>
          <w:p w14:paraId="75910A6F"/>
        </w:tc>
        <w:tc>
          <w:tcPr>
            <w:tcW w:w="1035" w:type="dxa"/>
          </w:tcPr>
          <w:p w14:paraId="584A4161"/>
        </w:tc>
      </w:tr>
    </w:tbl>
    <w:p w14:paraId="28EA8656"/>
    <w:p w14:paraId="48304B9C">
      <w:pPr>
        <w:pStyle w:val="251"/>
        <w:widowControl/>
        <w:numPr>
          <w:ilvl w:val="0"/>
          <w:numId w:val="0"/>
        </w:numPr>
        <w:spacing w:before="0" w:after="0" w:line="240" w:lineRule="auto"/>
        <w:rPr>
          <w:rFonts w:hAnsi="宋体" w:cs="宋体"/>
          <w:color w:val="000000"/>
          <w:sz w:val="32"/>
          <w:szCs w:val="32"/>
          <w:lang w:bidi="ar"/>
        </w:rPr>
        <w:sectPr>
          <w:pgSz w:w="16840" w:h="11907" w:orient="landscape"/>
          <w:pgMar w:top="1928" w:right="1440" w:bottom="1531" w:left="1440" w:header="851" w:footer="1304" w:gutter="0"/>
          <w:cols w:space="720" w:num="1"/>
          <w:docGrid w:type="linesAndChars" w:linePitch="312" w:charSpace="0"/>
        </w:sectPr>
      </w:pPr>
    </w:p>
    <w:p w14:paraId="7FD18C9D">
      <w:pPr>
        <w:spacing w:line="360" w:lineRule="auto"/>
        <w:jc w:val="center"/>
        <w:rPr>
          <w:rFonts w:ascii="宋体" w:hAnsi="宋体" w:cs="宋体"/>
          <w:b/>
          <w:bCs/>
          <w:sz w:val="36"/>
          <w:szCs w:val="36"/>
        </w:rPr>
      </w:pPr>
    </w:p>
    <w:p w14:paraId="250C6749">
      <w:pPr>
        <w:spacing w:line="360" w:lineRule="auto"/>
        <w:jc w:val="center"/>
        <w:rPr>
          <w:rFonts w:ascii="宋体" w:hAnsi="宋体" w:cs="宋体"/>
          <w:b/>
          <w:bCs/>
          <w:sz w:val="36"/>
          <w:szCs w:val="36"/>
        </w:rPr>
      </w:pPr>
    </w:p>
    <w:p w14:paraId="67E325EC">
      <w:pPr>
        <w:spacing w:line="360" w:lineRule="auto"/>
        <w:jc w:val="center"/>
        <w:rPr>
          <w:rFonts w:ascii="宋体" w:hAnsi="宋体" w:cs="宋体"/>
          <w:b/>
          <w:bCs/>
          <w:sz w:val="36"/>
          <w:szCs w:val="36"/>
        </w:rPr>
      </w:pPr>
    </w:p>
    <w:p w14:paraId="1032B6BD">
      <w:pPr>
        <w:spacing w:line="360" w:lineRule="auto"/>
        <w:jc w:val="center"/>
        <w:rPr>
          <w:rFonts w:ascii="宋体" w:hAnsi="宋体" w:cs="宋体"/>
          <w:b/>
          <w:bCs/>
          <w:sz w:val="36"/>
          <w:szCs w:val="36"/>
        </w:rPr>
      </w:pPr>
    </w:p>
    <w:p w14:paraId="049928A3">
      <w:pPr>
        <w:spacing w:line="360" w:lineRule="auto"/>
        <w:jc w:val="center"/>
        <w:rPr>
          <w:rFonts w:ascii="宋体" w:hAnsi="宋体" w:cs="宋体"/>
          <w:b/>
          <w:bCs/>
          <w:sz w:val="36"/>
          <w:szCs w:val="36"/>
        </w:rPr>
      </w:pPr>
    </w:p>
    <w:p w14:paraId="02B89CA2">
      <w:pPr>
        <w:spacing w:line="360" w:lineRule="auto"/>
        <w:jc w:val="center"/>
        <w:rPr>
          <w:rFonts w:ascii="宋体" w:hAnsi="宋体" w:cs="宋体"/>
          <w:b/>
          <w:bCs/>
          <w:sz w:val="36"/>
          <w:szCs w:val="36"/>
        </w:rPr>
      </w:pPr>
    </w:p>
    <w:p w14:paraId="7F5D94CA">
      <w:pPr>
        <w:spacing w:line="360" w:lineRule="auto"/>
        <w:jc w:val="center"/>
        <w:rPr>
          <w:rFonts w:ascii="宋体" w:hAnsi="宋体" w:cs="宋体"/>
          <w:b/>
          <w:bCs/>
          <w:sz w:val="36"/>
          <w:szCs w:val="36"/>
        </w:rPr>
      </w:pPr>
    </w:p>
    <w:p w14:paraId="44221474">
      <w:pPr>
        <w:spacing w:line="360" w:lineRule="auto"/>
        <w:jc w:val="center"/>
        <w:outlineLvl w:val="0"/>
        <w:rPr>
          <w:rFonts w:ascii="宋体" w:cs="宋体"/>
          <w:b/>
          <w:bCs/>
          <w:sz w:val="36"/>
          <w:szCs w:val="36"/>
        </w:rPr>
      </w:pPr>
      <w:bookmarkStart w:id="38" w:name="_Toc21566"/>
      <w:bookmarkStart w:id="39" w:name="_Toc8890"/>
      <w:bookmarkStart w:id="40" w:name="_Toc12672"/>
      <w:bookmarkStart w:id="41" w:name="_Toc10409"/>
      <w:bookmarkStart w:id="42" w:name="_Toc28408"/>
      <w:r>
        <w:rPr>
          <w:rFonts w:hint="eastAsia" w:ascii="宋体" w:hAnsi="宋体" w:cs="宋体"/>
          <w:b/>
          <w:bCs/>
          <w:sz w:val="36"/>
          <w:szCs w:val="36"/>
        </w:rPr>
        <w:t>第六章</w:t>
      </w:r>
      <w:r>
        <w:rPr>
          <w:rFonts w:ascii="宋体" w:hAnsi="宋体" w:cs="宋体"/>
          <w:b/>
          <w:bCs/>
          <w:sz w:val="36"/>
          <w:szCs w:val="36"/>
        </w:rPr>
        <w:t xml:space="preserve"> </w:t>
      </w:r>
      <w:r>
        <w:rPr>
          <w:rFonts w:hint="eastAsia" w:ascii="宋体" w:hAnsi="宋体" w:cs="宋体"/>
          <w:b/>
          <w:bCs/>
          <w:sz w:val="36"/>
          <w:szCs w:val="36"/>
        </w:rPr>
        <w:t>投标文件格式附件</w:t>
      </w:r>
      <w:bookmarkEnd w:id="38"/>
      <w:bookmarkEnd w:id="39"/>
      <w:bookmarkEnd w:id="40"/>
      <w:bookmarkEnd w:id="41"/>
      <w:bookmarkEnd w:id="42"/>
    </w:p>
    <w:p w14:paraId="6A777556">
      <w:pPr>
        <w:rPr>
          <w:rFonts w:ascii="宋体"/>
          <w:b/>
          <w:bCs/>
          <w:sz w:val="28"/>
          <w:szCs w:val="28"/>
        </w:rPr>
      </w:pPr>
      <w:r>
        <w:rPr>
          <w:rFonts w:hint="eastAsia" w:ascii="宋体" w:hAnsi="宋体" w:cs="宋体"/>
          <w:b/>
          <w:bCs/>
          <w:sz w:val="28"/>
          <w:szCs w:val="28"/>
        </w:rPr>
        <w:br w:type="page" w:clear="all"/>
      </w:r>
    </w:p>
    <w:p w14:paraId="03DD6439">
      <w:pPr>
        <w:spacing w:line="360" w:lineRule="auto"/>
        <w:ind w:right="-108"/>
        <w:jc w:val="center"/>
        <w:outlineLvl w:val="0"/>
        <w:rPr>
          <w:rFonts w:ascii="宋体" w:hAnsi="宋体" w:cs="宋体"/>
          <w:spacing w:val="40"/>
          <w:sz w:val="32"/>
          <w:szCs w:val="32"/>
        </w:rPr>
      </w:pPr>
    </w:p>
    <w:p w14:paraId="320B56B6">
      <w:pPr>
        <w:jc w:val="center"/>
        <w:rPr>
          <w:rFonts w:hint="eastAsia" w:ascii="宋体" w:hAnsi="宋体" w:eastAsia="宋体" w:cs="宋体"/>
          <w:b/>
          <w:bCs/>
          <w:spacing w:val="40"/>
          <w:sz w:val="44"/>
          <w:szCs w:val="44"/>
          <w:lang w:eastAsia="zh-CN"/>
        </w:rPr>
      </w:pPr>
      <w:r>
        <w:rPr>
          <w:rFonts w:hint="eastAsia" w:ascii="宋体" w:hAnsi="宋体" w:eastAsia="宋体" w:cs="宋体"/>
          <w:b/>
          <w:bCs/>
          <w:spacing w:val="40"/>
          <w:sz w:val="44"/>
          <w:szCs w:val="44"/>
          <w:lang w:eastAsia="zh-CN"/>
        </w:rPr>
        <w:t>温岭市供水有限公司二次供水泵房运维服务采购</w:t>
      </w:r>
    </w:p>
    <w:p w14:paraId="31EF8C71">
      <w:pPr>
        <w:spacing w:line="360" w:lineRule="auto"/>
        <w:ind w:right="-108"/>
        <w:jc w:val="center"/>
        <w:rPr>
          <w:rFonts w:hint="eastAsia" w:ascii="宋体" w:hAnsi="宋体" w:cs="宋体"/>
          <w:sz w:val="32"/>
          <w:szCs w:val="32"/>
        </w:rPr>
      </w:pPr>
    </w:p>
    <w:p w14:paraId="780A5137">
      <w:pPr>
        <w:spacing w:line="360" w:lineRule="auto"/>
        <w:ind w:right="-108"/>
        <w:jc w:val="center"/>
        <w:rPr>
          <w:rFonts w:hint="eastAsia" w:ascii="宋体" w:hAnsi="宋体" w:eastAsia="宋体" w:cs="宋体"/>
          <w:sz w:val="32"/>
          <w:szCs w:val="32"/>
          <w:lang w:eastAsia="zh-CN"/>
        </w:rPr>
      </w:pPr>
      <w:r>
        <w:rPr>
          <w:rFonts w:hint="eastAsia" w:ascii="宋体" w:hAnsi="宋体" w:cs="宋体"/>
          <w:sz w:val="32"/>
          <w:szCs w:val="32"/>
        </w:rPr>
        <w:t>项目编号：</w:t>
      </w:r>
      <w:r>
        <w:rPr>
          <w:rFonts w:hint="eastAsia" w:ascii="宋体" w:hAnsi="宋体" w:cs="宋体"/>
          <w:sz w:val="32"/>
          <w:szCs w:val="32"/>
          <w:lang w:eastAsia="zh-CN"/>
        </w:rPr>
        <w:t>JJWL25031748</w:t>
      </w:r>
    </w:p>
    <w:p w14:paraId="3EDAA7A9">
      <w:pPr>
        <w:pStyle w:val="2"/>
        <w:outlineLvl w:val="9"/>
        <w:rPr>
          <w:sz w:val="24"/>
          <w:szCs w:val="24"/>
        </w:rPr>
      </w:pPr>
    </w:p>
    <w:p w14:paraId="655EE1D3">
      <w:pPr>
        <w:spacing w:line="360" w:lineRule="auto"/>
        <w:jc w:val="center"/>
        <w:rPr>
          <w:rFonts w:ascii="宋体"/>
          <w:sz w:val="84"/>
          <w:szCs w:val="84"/>
          <w:lang w:val="zh-CN"/>
        </w:rPr>
      </w:pPr>
      <w:r>
        <w:rPr>
          <w:rFonts w:hint="eastAsia" w:ascii="宋体" w:hAnsi="宋体" w:cs="宋体"/>
          <w:sz w:val="84"/>
          <w:szCs w:val="84"/>
          <w:lang w:val="zh-CN"/>
        </w:rPr>
        <w:t>投</w:t>
      </w:r>
    </w:p>
    <w:p w14:paraId="040A36EB">
      <w:pPr>
        <w:spacing w:line="360" w:lineRule="auto"/>
        <w:jc w:val="center"/>
        <w:rPr>
          <w:rFonts w:ascii="宋体"/>
          <w:sz w:val="84"/>
          <w:szCs w:val="84"/>
          <w:lang w:val="zh-CN"/>
        </w:rPr>
      </w:pPr>
      <w:r>
        <w:rPr>
          <w:rFonts w:hint="eastAsia" w:ascii="宋体" w:hAnsi="宋体" w:cs="宋体"/>
          <w:sz w:val="84"/>
          <w:szCs w:val="84"/>
          <w:lang w:val="zh-CN"/>
        </w:rPr>
        <w:t>标</w:t>
      </w:r>
    </w:p>
    <w:p w14:paraId="16E991FE">
      <w:pPr>
        <w:spacing w:line="360" w:lineRule="auto"/>
        <w:jc w:val="center"/>
        <w:rPr>
          <w:rFonts w:ascii="宋体"/>
          <w:sz w:val="84"/>
          <w:szCs w:val="84"/>
        </w:rPr>
      </w:pPr>
      <w:r>
        <w:rPr>
          <w:rFonts w:hint="eastAsia" w:ascii="宋体" w:hAnsi="宋体" w:cs="宋体"/>
          <w:sz w:val="84"/>
          <w:szCs w:val="84"/>
          <w:lang w:val="zh-CN"/>
        </w:rPr>
        <w:t>文</w:t>
      </w:r>
    </w:p>
    <w:p w14:paraId="19926EBB">
      <w:pPr>
        <w:spacing w:after="100" w:afterAutospacing="1" w:line="360" w:lineRule="auto"/>
        <w:ind w:right="-108"/>
        <w:jc w:val="center"/>
        <w:rPr>
          <w:rFonts w:ascii="宋体"/>
          <w:sz w:val="84"/>
          <w:szCs w:val="84"/>
          <w:lang w:val="zh-CN"/>
        </w:rPr>
      </w:pPr>
      <w:r>
        <w:rPr>
          <w:rFonts w:hint="eastAsia" w:ascii="宋体" w:hAnsi="宋体" w:cs="宋体"/>
          <w:sz w:val="84"/>
          <w:szCs w:val="84"/>
          <w:lang w:val="zh-CN"/>
        </w:rPr>
        <w:t>件</w:t>
      </w:r>
    </w:p>
    <w:p w14:paraId="21AEAAEA">
      <w:pPr>
        <w:spacing w:after="100" w:afterAutospacing="1" w:line="360" w:lineRule="auto"/>
        <w:ind w:right="-108"/>
        <w:jc w:val="center"/>
        <w:rPr>
          <w:rFonts w:ascii="宋体" w:hAnsi="宋体" w:cs="宋体"/>
          <w:sz w:val="36"/>
          <w:szCs w:val="36"/>
        </w:rPr>
      </w:pPr>
      <w:r>
        <w:rPr>
          <w:rFonts w:hint="eastAsia" w:ascii="宋体" w:hAnsi="宋体" w:cs="宋体"/>
          <w:b/>
          <w:bCs/>
          <w:spacing w:val="40"/>
          <w:sz w:val="28"/>
          <w:szCs w:val="28"/>
          <w:lang w:val="zh-CN"/>
        </w:rPr>
        <w:t>（</w:t>
      </w:r>
      <w:r>
        <w:rPr>
          <w:rFonts w:hint="eastAsia" w:ascii="宋体" w:hAnsi="宋体" w:cs="宋体"/>
          <w:b/>
          <w:bCs/>
          <w:spacing w:val="40"/>
          <w:sz w:val="28"/>
          <w:szCs w:val="28"/>
        </w:rPr>
        <w:t>资格证明文件）</w:t>
      </w:r>
    </w:p>
    <w:p w14:paraId="44DFA893">
      <w:pPr>
        <w:spacing w:line="360" w:lineRule="auto"/>
        <w:ind w:right="532" w:firstLine="720"/>
        <w:rPr>
          <w:rFonts w:ascii="宋体"/>
          <w:sz w:val="36"/>
          <w:szCs w:val="36"/>
        </w:rPr>
      </w:pPr>
      <w:r>
        <w:rPr>
          <w:rFonts w:hint="eastAsia" w:ascii="宋体" w:hAnsi="宋体" w:cs="宋体"/>
          <w:sz w:val="36"/>
          <w:szCs w:val="36"/>
        </w:rPr>
        <w:t>投标人全称（单位公章）：</w:t>
      </w:r>
    </w:p>
    <w:p w14:paraId="5352F9E0">
      <w:pPr>
        <w:spacing w:line="360" w:lineRule="auto"/>
        <w:ind w:right="532" w:firstLine="720"/>
        <w:rPr>
          <w:rFonts w:ascii="宋体"/>
          <w:sz w:val="36"/>
          <w:szCs w:val="36"/>
        </w:rPr>
      </w:pPr>
      <w:r>
        <w:rPr>
          <w:rFonts w:hint="eastAsia" w:ascii="宋体" w:hAnsi="宋体" w:cs="宋体"/>
          <w:sz w:val="36"/>
          <w:szCs w:val="36"/>
        </w:rPr>
        <w:t>地</w:t>
      </w:r>
      <w:r>
        <w:rPr>
          <w:rFonts w:ascii="宋体" w:hAnsi="宋体" w:cs="宋体"/>
          <w:sz w:val="36"/>
          <w:szCs w:val="36"/>
        </w:rPr>
        <w:t xml:space="preserve">    </w:t>
      </w:r>
      <w:r>
        <w:rPr>
          <w:rFonts w:hint="eastAsia" w:ascii="宋体" w:hAnsi="宋体" w:cs="宋体"/>
          <w:sz w:val="36"/>
          <w:szCs w:val="36"/>
        </w:rPr>
        <w:t>址：</w:t>
      </w:r>
    </w:p>
    <w:p w14:paraId="3148E47C">
      <w:pPr>
        <w:spacing w:line="360" w:lineRule="auto"/>
        <w:ind w:right="532" w:firstLine="720"/>
        <w:rPr>
          <w:rFonts w:ascii="宋体"/>
          <w:sz w:val="36"/>
          <w:szCs w:val="36"/>
        </w:rPr>
      </w:pPr>
      <w:r>
        <w:rPr>
          <w:rFonts w:hint="eastAsia" w:ascii="宋体" w:hAnsi="宋体" w:cs="宋体"/>
          <w:sz w:val="36"/>
          <w:szCs w:val="36"/>
        </w:rPr>
        <w:t>时</w:t>
      </w:r>
      <w:r>
        <w:rPr>
          <w:rFonts w:ascii="宋体" w:hAnsi="宋体" w:cs="宋体"/>
          <w:sz w:val="36"/>
          <w:szCs w:val="36"/>
        </w:rPr>
        <w:t xml:space="preserve">    </w:t>
      </w:r>
      <w:r>
        <w:rPr>
          <w:rFonts w:hint="eastAsia" w:ascii="宋体" w:hAnsi="宋体" w:cs="宋体"/>
          <w:sz w:val="36"/>
          <w:szCs w:val="36"/>
        </w:rPr>
        <w:t>间：</w:t>
      </w:r>
    </w:p>
    <w:p w14:paraId="54724848">
      <w:pPr>
        <w:spacing w:before="50" w:after="50" w:line="360" w:lineRule="auto"/>
        <w:rPr>
          <w:rFonts w:ascii="仿宋_GB2312" w:hAnsi="宋体" w:eastAsia="仿宋_GB2312"/>
          <w:b/>
          <w:bCs/>
          <w:sz w:val="36"/>
          <w:szCs w:val="36"/>
        </w:rPr>
      </w:pPr>
    </w:p>
    <w:p w14:paraId="33159E13">
      <w:pPr>
        <w:spacing w:before="50" w:after="50" w:line="360" w:lineRule="auto"/>
        <w:jc w:val="center"/>
        <w:rPr>
          <w:rFonts w:hint="eastAsia" w:ascii="宋体" w:hAnsi="宋体" w:cs="宋体"/>
          <w:b/>
          <w:bCs/>
          <w:sz w:val="36"/>
          <w:szCs w:val="36"/>
        </w:rPr>
      </w:pPr>
    </w:p>
    <w:p w14:paraId="3F4BC6D3">
      <w:pPr>
        <w:spacing w:before="50" w:after="50" w:line="360" w:lineRule="auto"/>
        <w:jc w:val="center"/>
        <w:rPr>
          <w:rFonts w:ascii="宋体" w:hAnsi="宋体" w:cs="宋体"/>
          <w:b/>
          <w:bCs/>
          <w:sz w:val="36"/>
          <w:szCs w:val="36"/>
        </w:rPr>
      </w:pPr>
      <w:r>
        <w:rPr>
          <w:rFonts w:hint="eastAsia" w:ascii="宋体" w:hAnsi="宋体" w:cs="宋体"/>
          <w:b/>
          <w:bCs/>
          <w:sz w:val="36"/>
          <w:szCs w:val="36"/>
        </w:rPr>
        <w:t>资格证明文件（包含但不仅限于以下内容）</w:t>
      </w:r>
    </w:p>
    <w:p w14:paraId="5917703B">
      <w:pPr>
        <w:pStyle w:val="209"/>
        <w:rPr>
          <w:lang w:val="en-US"/>
        </w:rPr>
      </w:pPr>
    </w:p>
    <w:p w14:paraId="733970A1">
      <w:pPr>
        <w:numPr>
          <w:ilvl w:val="0"/>
          <w:numId w:val="10"/>
        </w:numPr>
        <w:spacing w:line="360" w:lineRule="auto"/>
        <w:jc w:val="left"/>
        <w:rPr>
          <w:rFonts w:ascii="宋体" w:hAnsi="宋体" w:cs="宋体"/>
          <w:sz w:val="24"/>
          <w:szCs w:val="24"/>
        </w:rPr>
      </w:pPr>
      <w:r>
        <w:rPr>
          <w:rFonts w:hint="eastAsia" w:ascii="宋体" w:hAnsi="宋体" w:cs="宋体"/>
          <w:sz w:val="24"/>
          <w:szCs w:val="24"/>
        </w:rPr>
        <w:t>投标声明书</w:t>
      </w:r>
      <w:r>
        <w:rPr>
          <w:rFonts w:hint="eastAsia" w:cs="宋体"/>
          <w:sz w:val="24"/>
          <w:szCs w:val="24"/>
        </w:rPr>
        <w:t>；</w:t>
      </w:r>
    </w:p>
    <w:p w14:paraId="7DA2D196">
      <w:pPr>
        <w:numPr>
          <w:ilvl w:val="0"/>
          <w:numId w:val="10"/>
        </w:numPr>
        <w:spacing w:line="360" w:lineRule="auto"/>
        <w:jc w:val="left"/>
        <w:rPr>
          <w:rFonts w:ascii="宋体"/>
          <w:sz w:val="24"/>
          <w:szCs w:val="24"/>
        </w:rPr>
      </w:pPr>
      <w:r>
        <w:rPr>
          <w:rFonts w:hint="eastAsia" w:cs="宋体"/>
          <w:sz w:val="24"/>
          <w:szCs w:val="24"/>
        </w:rPr>
        <w:t>法定代表人身份证明书（或授权委托书）；</w:t>
      </w:r>
    </w:p>
    <w:p w14:paraId="6A4F667E">
      <w:pPr>
        <w:numPr>
          <w:ilvl w:val="0"/>
          <w:numId w:val="10"/>
        </w:numPr>
        <w:spacing w:line="360" w:lineRule="auto"/>
        <w:jc w:val="left"/>
        <w:rPr>
          <w:rFonts w:ascii="宋体" w:hAnsi="宋体" w:cs="宋体"/>
          <w:sz w:val="24"/>
          <w:szCs w:val="24"/>
        </w:rPr>
      </w:pPr>
      <w:r>
        <w:rPr>
          <w:rFonts w:hint="eastAsia" w:ascii="宋体" w:hAnsi="宋体" w:cs="宋体"/>
          <w:sz w:val="24"/>
          <w:szCs w:val="24"/>
        </w:rPr>
        <w:t>法人或者其他组织的营业执照等证明文件，自然人的身份证明；</w:t>
      </w:r>
    </w:p>
    <w:p w14:paraId="031BEB7C">
      <w:pPr>
        <w:numPr>
          <w:ilvl w:val="0"/>
          <w:numId w:val="10"/>
        </w:numPr>
        <w:spacing w:line="360" w:lineRule="auto"/>
        <w:jc w:val="left"/>
        <w:rPr>
          <w:rFonts w:ascii="宋体" w:hAnsi="宋体" w:cs="宋体"/>
          <w:sz w:val="24"/>
          <w:szCs w:val="24"/>
        </w:rPr>
      </w:pPr>
      <w:r>
        <w:rPr>
          <w:rFonts w:hint="eastAsia" w:ascii="宋体" w:hAnsi="宋体" w:cs="宋体"/>
          <w:sz w:val="24"/>
          <w:szCs w:val="24"/>
        </w:rPr>
        <w:t>具备履行合同所必需的设备和专业技术能力的证明材料；</w:t>
      </w:r>
    </w:p>
    <w:p w14:paraId="6125A340">
      <w:pPr>
        <w:numPr>
          <w:ilvl w:val="0"/>
          <w:numId w:val="10"/>
        </w:numPr>
        <w:spacing w:line="360" w:lineRule="auto"/>
        <w:jc w:val="left"/>
        <w:rPr>
          <w:rFonts w:ascii="宋体" w:hAnsi="宋体" w:cs="宋体"/>
          <w:sz w:val="24"/>
          <w:szCs w:val="24"/>
        </w:rPr>
      </w:pPr>
      <w:r>
        <w:rPr>
          <w:rFonts w:hint="eastAsia" w:ascii="宋体" w:hAnsi="宋体" w:cs="宋体"/>
          <w:sz w:val="24"/>
          <w:szCs w:val="24"/>
        </w:rPr>
        <w:t>投标人认为需要提供的其他文件和资料。</w:t>
      </w:r>
    </w:p>
    <w:p w14:paraId="7BF4B8B9">
      <w:pPr>
        <w:spacing w:line="360" w:lineRule="auto"/>
        <w:rPr>
          <w:rFonts w:ascii="宋体"/>
          <w:b/>
          <w:bCs/>
          <w:sz w:val="28"/>
          <w:szCs w:val="28"/>
        </w:rPr>
      </w:pPr>
    </w:p>
    <w:p w14:paraId="765F8651">
      <w:pPr>
        <w:spacing w:line="360" w:lineRule="auto"/>
        <w:ind w:left="420"/>
        <w:rPr>
          <w:rFonts w:ascii="宋体"/>
          <w:b/>
          <w:bCs/>
          <w:sz w:val="28"/>
          <w:szCs w:val="28"/>
        </w:rPr>
      </w:pPr>
    </w:p>
    <w:p w14:paraId="49B0CE08">
      <w:pPr>
        <w:spacing w:line="360" w:lineRule="auto"/>
        <w:ind w:left="420"/>
        <w:rPr>
          <w:rFonts w:ascii="宋体"/>
          <w:b/>
          <w:bCs/>
          <w:sz w:val="28"/>
          <w:szCs w:val="28"/>
        </w:rPr>
      </w:pPr>
    </w:p>
    <w:p w14:paraId="1EDCE572">
      <w:pPr>
        <w:spacing w:line="360" w:lineRule="auto"/>
        <w:ind w:left="420"/>
        <w:rPr>
          <w:rFonts w:ascii="宋体"/>
          <w:b/>
          <w:bCs/>
          <w:sz w:val="28"/>
          <w:szCs w:val="28"/>
        </w:rPr>
      </w:pPr>
    </w:p>
    <w:p w14:paraId="1B5B0668">
      <w:pPr>
        <w:spacing w:line="360" w:lineRule="auto"/>
        <w:ind w:left="420"/>
        <w:rPr>
          <w:rFonts w:ascii="宋体"/>
          <w:b/>
          <w:bCs/>
          <w:sz w:val="28"/>
          <w:szCs w:val="28"/>
        </w:rPr>
      </w:pPr>
    </w:p>
    <w:p w14:paraId="0E117BE8">
      <w:pPr>
        <w:spacing w:line="360" w:lineRule="auto"/>
        <w:ind w:left="420"/>
        <w:rPr>
          <w:rFonts w:ascii="宋体"/>
          <w:b/>
          <w:bCs/>
          <w:sz w:val="28"/>
          <w:szCs w:val="28"/>
        </w:rPr>
      </w:pPr>
    </w:p>
    <w:p w14:paraId="4FCB28A1">
      <w:pPr>
        <w:spacing w:line="360" w:lineRule="auto"/>
        <w:ind w:left="420"/>
        <w:rPr>
          <w:rFonts w:ascii="宋体"/>
          <w:b/>
          <w:bCs/>
          <w:sz w:val="28"/>
          <w:szCs w:val="28"/>
        </w:rPr>
      </w:pPr>
    </w:p>
    <w:p w14:paraId="3FE28EEA">
      <w:pPr>
        <w:spacing w:line="360" w:lineRule="auto"/>
        <w:ind w:left="420"/>
        <w:rPr>
          <w:rFonts w:ascii="宋体"/>
          <w:b/>
          <w:bCs/>
          <w:sz w:val="28"/>
          <w:szCs w:val="28"/>
        </w:rPr>
      </w:pPr>
    </w:p>
    <w:p w14:paraId="71918C75">
      <w:pPr>
        <w:spacing w:line="360" w:lineRule="auto"/>
        <w:ind w:left="420"/>
        <w:rPr>
          <w:rFonts w:ascii="宋体"/>
          <w:b/>
          <w:bCs/>
          <w:sz w:val="28"/>
          <w:szCs w:val="28"/>
        </w:rPr>
      </w:pPr>
    </w:p>
    <w:p w14:paraId="77C66275">
      <w:pPr>
        <w:spacing w:line="360" w:lineRule="auto"/>
        <w:ind w:left="420"/>
        <w:rPr>
          <w:rFonts w:ascii="宋体"/>
          <w:b/>
          <w:bCs/>
          <w:sz w:val="28"/>
          <w:szCs w:val="28"/>
        </w:rPr>
      </w:pPr>
    </w:p>
    <w:p w14:paraId="10BC0962">
      <w:pPr>
        <w:spacing w:line="360" w:lineRule="auto"/>
        <w:rPr>
          <w:rFonts w:ascii="宋体"/>
          <w:b/>
          <w:bCs/>
          <w:sz w:val="28"/>
          <w:szCs w:val="28"/>
        </w:rPr>
      </w:pPr>
    </w:p>
    <w:p w14:paraId="18C0B737">
      <w:pPr>
        <w:widowControl/>
        <w:jc w:val="left"/>
        <w:rPr>
          <w:rFonts w:ascii="宋体"/>
          <w:b/>
          <w:bCs/>
          <w:sz w:val="28"/>
          <w:szCs w:val="28"/>
        </w:rPr>
      </w:pPr>
      <w:r>
        <w:rPr>
          <w:rFonts w:ascii="宋体"/>
          <w:b/>
          <w:bCs/>
          <w:sz w:val="28"/>
          <w:szCs w:val="28"/>
        </w:rPr>
        <w:br w:type="page" w:clear="all"/>
      </w:r>
      <w:r>
        <w:rPr>
          <w:rFonts w:hint="eastAsia" w:ascii="宋体" w:hAnsi="宋体" w:cs="宋体"/>
          <w:b/>
          <w:bCs/>
          <w:sz w:val="24"/>
          <w:szCs w:val="24"/>
        </w:rPr>
        <w:t>附件1：</w:t>
      </w:r>
    </w:p>
    <w:p w14:paraId="34417ED1">
      <w:pPr>
        <w:spacing w:line="440" w:lineRule="exact"/>
        <w:ind w:firstLine="643"/>
        <w:jc w:val="center"/>
        <w:rPr>
          <w:rFonts w:ascii="宋体"/>
          <w:b/>
          <w:bCs/>
          <w:sz w:val="32"/>
          <w:szCs w:val="32"/>
          <w:lang w:val="zh-CN"/>
        </w:rPr>
      </w:pPr>
      <w:r>
        <w:rPr>
          <w:rFonts w:hint="eastAsia" w:ascii="宋体" w:hAnsi="宋体" w:cs="宋体"/>
          <w:b/>
          <w:bCs/>
          <w:sz w:val="32"/>
          <w:szCs w:val="32"/>
          <w:lang w:val="zh-CN"/>
        </w:rPr>
        <w:t>投标声明书</w:t>
      </w:r>
    </w:p>
    <w:p w14:paraId="4FAAD67E">
      <w:pPr>
        <w:spacing w:line="312" w:lineRule="auto"/>
        <w:rPr>
          <w:rFonts w:ascii="宋体"/>
          <w:sz w:val="24"/>
          <w:szCs w:val="24"/>
          <w:u w:val="single"/>
        </w:rPr>
      </w:pPr>
      <w:r>
        <w:rPr>
          <w:rFonts w:hint="eastAsia" w:ascii="宋体" w:hAnsi="宋体" w:cs="宋体"/>
          <w:sz w:val="24"/>
          <w:szCs w:val="24"/>
          <w:u w:val="single"/>
        </w:rPr>
        <w:t>温岭市供水有限公司：</w:t>
      </w:r>
    </w:p>
    <w:p w14:paraId="67F36CF3">
      <w:pPr>
        <w:spacing w:line="312" w:lineRule="auto"/>
        <w:ind w:firstLine="480"/>
        <w:rPr>
          <w:rFonts w:ascii="宋体"/>
          <w:sz w:val="24"/>
          <w:szCs w:val="24"/>
        </w:rPr>
      </w:pPr>
      <w:r>
        <w:rPr>
          <w:rFonts w:hint="eastAsia" w:ascii="宋体" w:hAnsi="宋体" w:cs="宋体"/>
          <w:sz w:val="24"/>
          <w:szCs w:val="24"/>
          <w:u w:val="single"/>
        </w:rPr>
        <w:t>（投标人名称）</w:t>
      </w:r>
      <w:r>
        <w:rPr>
          <w:rFonts w:hint="eastAsia" w:ascii="宋体" w:hAnsi="宋体" w:cs="宋体"/>
          <w:sz w:val="24"/>
          <w:szCs w:val="24"/>
        </w:rPr>
        <w:t>系中华人民共和国合法企业，</w:t>
      </w:r>
      <w:r>
        <w:rPr>
          <w:rFonts w:hint="eastAsia" w:ascii="宋体" w:hAnsi="宋体" w:cs="宋体"/>
          <w:sz w:val="24"/>
          <w:szCs w:val="24"/>
          <w:u w:val="single"/>
        </w:rPr>
        <w:t>（经营地址）</w:t>
      </w:r>
      <w:r>
        <w:rPr>
          <w:rFonts w:hint="eastAsia" w:ascii="宋体" w:hAnsi="宋体" w:cs="宋体"/>
          <w:sz w:val="24"/>
          <w:szCs w:val="24"/>
        </w:rPr>
        <w:t>。</w:t>
      </w:r>
    </w:p>
    <w:p w14:paraId="00A78391">
      <w:pPr>
        <w:spacing w:line="312" w:lineRule="auto"/>
        <w:ind w:firstLine="480"/>
        <w:rPr>
          <w:rFonts w:ascii="宋体"/>
          <w:sz w:val="24"/>
          <w:szCs w:val="24"/>
        </w:rPr>
      </w:pPr>
      <w:r>
        <w:rPr>
          <w:rFonts w:hint="eastAsia" w:ascii="宋体" w:hAnsi="宋体" w:cs="宋体"/>
          <w:sz w:val="24"/>
          <w:szCs w:val="24"/>
        </w:rPr>
        <w:t>我（</w:t>
      </w:r>
      <w:r>
        <w:rPr>
          <w:rFonts w:ascii="宋体" w:hAnsi="宋体" w:cs="宋体"/>
          <w:sz w:val="24"/>
          <w:szCs w:val="24"/>
          <w:u w:val="single"/>
        </w:rPr>
        <w:t xml:space="preserve"> </w:t>
      </w:r>
      <w:r>
        <w:rPr>
          <w:rFonts w:hint="eastAsia" w:ascii="宋体" w:hAnsi="宋体" w:cs="宋体"/>
          <w:sz w:val="24"/>
          <w:szCs w:val="24"/>
          <w:u w:val="single"/>
        </w:rPr>
        <w:t>姓名</w:t>
      </w:r>
      <w:r>
        <w:rPr>
          <w:rFonts w:ascii="宋体" w:hAnsi="宋体" w:cs="宋体"/>
          <w:sz w:val="24"/>
          <w:szCs w:val="24"/>
          <w:u w:val="single"/>
        </w:rPr>
        <w:t xml:space="preserve"> </w:t>
      </w:r>
      <w:r>
        <w:rPr>
          <w:rFonts w:hint="eastAsia" w:ascii="宋体" w:hAnsi="宋体" w:cs="宋体"/>
          <w:sz w:val="24"/>
          <w:szCs w:val="24"/>
        </w:rPr>
        <w:t>）系（</w:t>
      </w:r>
      <w:r>
        <w:rPr>
          <w:rFonts w:ascii="宋体" w:hAnsi="宋体" w:cs="宋体"/>
          <w:sz w:val="24"/>
          <w:szCs w:val="24"/>
          <w:u w:val="single"/>
        </w:rPr>
        <w:t xml:space="preserve"> </w:t>
      </w:r>
      <w:r>
        <w:rPr>
          <w:rFonts w:hint="eastAsia" w:ascii="宋体" w:hAnsi="宋体" w:cs="宋体"/>
          <w:sz w:val="24"/>
          <w:szCs w:val="24"/>
          <w:u w:val="single"/>
        </w:rPr>
        <w:t>投标人名称</w:t>
      </w:r>
      <w:r>
        <w:rPr>
          <w:rFonts w:ascii="宋体" w:hAnsi="宋体" w:cs="宋体"/>
          <w:sz w:val="24"/>
          <w:szCs w:val="24"/>
          <w:u w:val="single"/>
        </w:rPr>
        <w:t xml:space="preserve"> </w:t>
      </w:r>
      <w:r>
        <w:rPr>
          <w:rFonts w:hint="eastAsia" w:ascii="宋体" w:hAnsi="宋体" w:cs="宋体"/>
          <w:sz w:val="24"/>
          <w:szCs w:val="24"/>
        </w:rPr>
        <w:t>）的法定代表人，我公司自愿参加贵方组织的</w:t>
      </w:r>
      <w:r>
        <w:rPr>
          <w:rFonts w:hint="eastAsia" w:ascii="宋体" w:hAnsi="宋体" w:cs="宋体"/>
          <w:sz w:val="24"/>
          <w:u w:val="single"/>
          <w:lang w:eastAsia="zh-CN" w:bidi="ar"/>
        </w:rPr>
        <w:t>温岭市供水有限公司二次供水泵房运维服务采购</w:t>
      </w:r>
      <w:r>
        <w:rPr>
          <w:rFonts w:hint="eastAsia" w:ascii="宋体" w:hAnsi="宋体" w:cs="宋体"/>
          <w:sz w:val="24"/>
          <w:szCs w:val="24"/>
        </w:rPr>
        <w:t>（编号为</w:t>
      </w:r>
      <w:r>
        <w:rPr>
          <w:rFonts w:hint="eastAsia" w:ascii="宋体" w:hAnsi="宋体" w:cs="宋体"/>
          <w:sz w:val="24"/>
          <w:szCs w:val="24"/>
          <w:u w:val="single"/>
          <w:lang w:eastAsia="zh-CN"/>
        </w:rPr>
        <w:t>JJWL25031748</w:t>
      </w:r>
      <w:r>
        <w:rPr>
          <w:rFonts w:hint="eastAsia" w:ascii="宋体" w:hAnsi="宋体" w:cs="宋体"/>
          <w:sz w:val="24"/>
          <w:szCs w:val="24"/>
        </w:rPr>
        <w:t>）的投标，为此，我公司就本次投标有关事项郑重声明如下：</w:t>
      </w:r>
    </w:p>
    <w:p w14:paraId="356F0A9F">
      <w:pPr>
        <w:numPr>
          <w:ilvl w:val="0"/>
          <w:numId w:val="11"/>
        </w:numPr>
        <w:spacing w:line="312" w:lineRule="auto"/>
        <w:ind w:firstLine="420"/>
        <w:rPr>
          <w:rFonts w:ascii="宋体" w:hAnsi="宋体" w:cs="宋体"/>
          <w:sz w:val="24"/>
          <w:szCs w:val="24"/>
        </w:rPr>
      </w:pPr>
      <w:r>
        <w:rPr>
          <w:rFonts w:hint="eastAsia" w:ascii="宋体" w:hAnsi="宋体" w:cs="宋体"/>
          <w:sz w:val="24"/>
          <w:szCs w:val="24"/>
        </w:rPr>
        <w:t>我公司具有良好的商业信誉和健全的财务会计制度；</w:t>
      </w:r>
    </w:p>
    <w:p w14:paraId="7FF75166">
      <w:pPr>
        <w:numPr>
          <w:ilvl w:val="0"/>
          <w:numId w:val="11"/>
        </w:numPr>
        <w:spacing w:line="312" w:lineRule="auto"/>
        <w:ind w:firstLine="420"/>
        <w:rPr>
          <w:rFonts w:ascii="宋体" w:hAnsi="宋体" w:cs="宋体"/>
          <w:sz w:val="24"/>
          <w:szCs w:val="24"/>
        </w:rPr>
      </w:pPr>
      <w:r>
        <w:rPr>
          <w:rFonts w:hint="eastAsia" w:ascii="宋体" w:hAnsi="宋体" w:cs="宋体"/>
          <w:sz w:val="24"/>
          <w:szCs w:val="24"/>
        </w:rPr>
        <w:t>我公司具有依法缴纳税收和社会保障资金的良好记录；</w:t>
      </w:r>
    </w:p>
    <w:p w14:paraId="4DFAA0FA">
      <w:pPr>
        <w:numPr>
          <w:ilvl w:val="0"/>
          <w:numId w:val="11"/>
        </w:numPr>
        <w:spacing w:line="312" w:lineRule="auto"/>
        <w:ind w:firstLine="420"/>
        <w:rPr>
          <w:rFonts w:ascii="宋体" w:hAnsi="宋体" w:cs="宋体"/>
          <w:sz w:val="24"/>
          <w:szCs w:val="24"/>
        </w:rPr>
      </w:pPr>
      <w:r>
        <w:rPr>
          <w:rFonts w:hint="eastAsia" w:ascii="宋体" w:hAnsi="宋体" w:cs="宋体"/>
          <w:sz w:val="24"/>
          <w:szCs w:val="24"/>
        </w:rPr>
        <w:t>我公司截止投标时间近三年以来，在经营活动中无重大违法记录（重大违法记录是指供应商因违法经营受到刑事处罚或者责令停产停业、吊销许可证或者执照、较大数额罚款等行政处罚）。</w:t>
      </w:r>
    </w:p>
    <w:p w14:paraId="22FE7874">
      <w:pPr>
        <w:numPr>
          <w:ilvl w:val="0"/>
          <w:numId w:val="11"/>
        </w:numPr>
        <w:spacing w:line="312" w:lineRule="auto"/>
        <w:ind w:firstLine="420"/>
        <w:rPr>
          <w:rFonts w:ascii="宋体" w:hAnsi="宋体" w:cs="宋体"/>
          <w:sz w:val="24"/>
          <w:szCs w:val="24"/>
        </w:rPr>
      </w:pPr>
      <w:r>
        <w:rPr>
          <w:rFonts w:hint="eastAsia" w:ascii="宋体" w:hAnsi="宋体" w:cs="宋体"/>
          <w:sz w:val="24"/>
          <w:szCs w:val="24"/>
        </w:rPr>
        <w:t>我公司截止投标时间近三年以来，未被“信用中国”（www.creditchina.gov.cn）、“中国政府采购网”（www.ccgp.gov.cn）列入失信被执行人、重大税收违法失信主体、政府采购严重违法失信行为记录名单。</w:t>
      </w:r>
    </w:p>
    <w:p w14:paraId="175FC79F">
      <w:pPr>
        <w:numPr>
          <w:ilvl w:val="0"/>
          <w:numId w:val="11"/>
        </w:numPr>
        <w:spacing w:line="312" w:lineRule="auto"/>
        <w:ind w:firstLine="420"/>
        <w:rPr>
          <w:rFonts w:ascii="宋体"/>
          <w:sz w:val="24"/>
          <w:szCs w:val="24"/>
        </w:rPr>
      </w:pPr>
      <w:r>
        <w:rPr>
          <w:rFonts w:hint="eastAsia" w:ascii="宋体" w:hAnsi="宋体" w:cs="宋体"/>
          <w:sz w:val="24"/>
          <w:szCs w:val="24"/>
        </w:rPr>
        <w:t>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5079CB32">
      <w:pPr>
        <w:numPr>
          <w:ilvl w:val="0"/>
          <w:numId w:val="11"/>
        </w:numPr>
        <w:spacing w:line="312" w:lineRule="auto"/>
        <w:ind w:firstLine="420"/>
        <w:rPr>
          <w:rFonts w:ascii="宋体"/>
          <w:sz w:val="24"/>
          <w:szCs w:val="24"/>
        </w:rPr>
      </w:pPr>
      <w:r>
        <w:rPr>
          <w:rFonts w:hint="eastAsia" w:ascii="宋体" w:hAnsi="宋体" w:cs="宋体"/>
          <w:sz w:val="24"/>
          <w:szCs w:val="24"/>
        </w:rPr>
        <w:t>我</w:t>
      </w:r>
      <w:r>
        <w:rPr>
          <w:rFonts w:hint="eastAsia" w:ascii="宋体" w:hAnsi="宋体" w:cs="宋体"/>
          <w:sz w:val="24"/>
          <w:szCs w:val="24"/>
          <w:lang w:val="zh-CN"/>
        </w:rPr>
        <w:t>公司</w:t>
      </w:r>
      <w:r>
        <w:rPr>
          <w:rFonts w:hint="eastAsia" w:ascii="宋体" w:hAnsi="宋体" w:cs="宋体"/>
          <w:sz w:val="24"/>
          <w:szCs w:val="24"/>
        </w:rPr>
        <w:t>不是采购人的附属机构；在获知本项目采购信息后，与采购人聘请的为此项目提供咨询服务的公司及其附属机构没有任何联系。</w:t>
      </w:r>
    </w:p>
    <w:p w14:paraId="6B750BFC">
      <w:pPr>
        <w:numPr>
          <w:ilvl w:val="0"/>
          <w:numId w:val="11"/>
        </w:numPr>
        <w:spacing w:line="312" w:lineRule="auto"/>
        <w:ind w:firstLine="420"/>
        <w:rPr>
          <w:rFonts w:ascii="宋体"/>
          <w:sz w:val="24"/>
          <w:szCs w:val="24"/>
          <w:lang w:val="af-ZA"/>
        </w:rPr>
      </w:pPr>
      <w:r>
        <w:rPr>
          <w:rFonts w:hint="eastAsia" w:ascii="宋体" w:hAnsi="宋体" w:cs="宋体"/>
          <w:sz w:val="24"/>
          <w:szCs w:val="24"/>
        </w:rPr>
        <w:t>我</w:t>
      </w:r>
      <w:r>
        <w:rPr>
          <w:rFonts w:hint="eastAsia" w:ascii="宋体" w:hAnsi="宋体" w:cs="宋体"/>
          <w:sz w:val="24"/>
          <w:szCs w:val="24"/>
          <w:lang w:val="zh-CN"/>
        </w:rPr>
        <w:t>公司</w:t>
      </w:r>
      <w:r>
        <w:rPr>
          <w:rFonts w:hint="eastAsia" w:ascii="宋体" w:hAnsi="宋体" w:cs="宋体"/>
          <w:sz w:val="24"/>
          <w:szCs w:val="24"/>
        </w:rPr>
        <w:t>保证，</w:t>
      </w:r>
      <w:r>
        <w:rPr>
          <w:rFonts w:hint="eastAsia" w:ascii="宋体" w:hAnsi="宋体" w:cs="宋体"/>
          <w:sz w:val="24"/>
          <w:szCs w:val="24"/>
          <w:lang w:val="af-ZA"/>
        </w:rPr>
        <w:t>采购人在中华人民共和国境内使用</w:t>
      </w:r>
      <w:r>
        <w:rPr>
          <w:rFonts w:hint="eastAsia" w:ascii="宋体" w:hAnsi="宋体" w:cs="宋体"/>
          <w:sz w:val="24"/>
          <w:szCs w:val="24"/>
        </w:rPr>
        <w:t>我</w:t>
      </w:r>
      <w:r>
        <w:rPr>
          <w:rFonts w:hint="eastAsia" w:ascii="宋体" w:hAnsi="宋体" w:cs="宋体"/>
          <w:sz w:val="24"/>
          <w:szCs w:val="24"/>
          <w:lang w:val="zh-CN"/>
        </w:rPr>
        <w:t>公司</w:t>
      </w:r>
      <w:r>
        <w:rPr>
          <w:rFonts w:hint="eastAsia" w:ascii="宋体" w:hAnsi="宋体" w:cs="宋体"/>
          <w:sz w:val="24"/>
          <w:szCs w:val="24"/>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0459C60D">
      <w:pPr>
        <w:numPr>
          <w:ilvl w:val="0"/>
          <w:numId w:val="11"/>
        </w:numPr>
        <w:spacing w:line="312" w:lineRule="auto"/>
        <w:ind w:firstLine="420"/>
        <w:rPr>
          <w:rFonts w:ascii="宋体" w:hAnsi="宋体" w:cs="宋体"/>
          <w:sz w:val="24"/>
          <w:szCs w:val="24"/>
          <w:lang w:val="af-ZA"/>
        </w:rPr>
      </w:pPr>
      <w:r>
        <w:rPr>
          <w:rFonts w:hint="eastAsia" w:ascii="宋体" w:hAnsi="宋体" w:cs="宋体"/>
          <w:sz w:val="24"/>
          <w:szCs w:val="24"/>
          <w:lang w:val="af-ZA"/>
        </w:rPr>
        <w:t>我公司严格履行采购合同，不降低合同约定的产品质量和服务，不擅自变更、中止、终止合同，或拒绝履行合同义务；</w:t>
      </w:r>
    </w:p>
    <w:p w14:paraId="030F8BCF">
      <w:pPr>
        <w:numPr>
          <w:ilvl w:val="0"/>
          <w:numId w:val="11"/>
        </w:numPr>
        <w:spacing w:line="312" w:lineRule="auto"/>
        <w:ind w:firstLine="420"/>
        <w:rPr>
          <w:rFonts w:ascii="宋体"/>
          <w:sz w:val="24"/>
          <w:szCs w:val="24"/>
        </w:rPr>
      </w:pPr>
      <w:r>
        <w:rPr>
          <w:rFonts w:hint="eastAsia" w:ascii="宋体" w:hAnsi="宋体" w:cs="宋体"/>
          <w:sz w:val="24"/>
          <w:szCs w:val="24"/>
        </w:rPr>
        <w:t>以上事项如有虚假或隐瞒，我</w:t>
      </w:r>
      <w:r>
        <w:rPr>
          <w:rFonts w:hint="eastAsia" w:ascii="宋体" w:hAnsi="宋体" w:cs="宋体"/>
          <w:sz w:val="24"/>
          <w:szCs w:val="24"/>
          <w:lang w:val="zh-CN"/>
        </w:rPr>
        <w:t>公司</w:t>
      </w:r>
      <w:r>
        <w:rPr>
          <w:rFonts w:hint="eastAsia" w:ascii="宋体" w:hAnsi="宋体" w:cs="宋体"/>
          <w:sz w:val="24"/>
          <w:szCs w:val="24"/>
        </w:rPr>
        <w:t>愿意承担一切后果，并不再寻求任何旨在减轻或免除法律责任的辩解。</w:t>
      </w:r>
    </w:p>
    <w:p w14:paraId="067348B0">
      <w:pPr>
        <w:spacing w:line="440" w:lineRule="exact"/>
        <w:ind w:firstLine="480"/>
        <w:jc w:val="left"/>
        <w:rPr>
          <w:rFonts w:ascii="宋体" w:hAnsi="宋体" w:cs="宋体"/>
          <w:sz w:val="24"/>
          <w:szCs w:val="24"/>
          <w:lang w:val="zh-CN"/>
        </w:rPr>
      </w:pPr>
    </w:p>
    <w:p w14:paraId="0FB83C2B">
      <w:pPr>
        <w:spacing w:line="440" w:lineRule="exact"/>
        <w:ind w:firstLine="480"/>
        <w:jc w:val="left"/>
        <w:rPr>
          <w:rFonts w:ascii="宋体"/>
          <w:sz w:val="24"/>
          <w:szCs w:val="24"/>
          <w:lang w:val="zh-CN"/>
        </w:rPr>
      </w:pPr>
      <w:r>
        <w:rPr>
          <w:rFonts w:hint="eastAsia" w:ascii="宋体" w:hAnsi="宋体" w:cs="宋体"/>
          <w:sz w:val="24"/>
          <w:szCs w:val="24"/>
          <w:lang w:val="zh-CN"/>
        </w:rPr>
        <w:t>投标人全称（单位公章）：</w:t>
      </w:r>
    </w:p>
    <w:p w14:paraId="29E8F8E3">
      <w:pPr>
        <w:spacing w:line="440" w:lineRule="exact"/>
        <w:ind w:firstLine="480"/>
        <w:jc w:val="left"/>
        <w:rPr>
          <w:rFonts w:ascii="宋体"/>
          <w:sz w:val="24"/>
          <w:szCs w:val="24"/>
          <w:lang w:val="zh-CN"/>
        </w:rPr>
      </w:pPr>
      <w:r>
        <w:rPr>
          <w:rFonts w:hint="eastAsia" w:ascii="宋体" w:hAnsi="宋体" w:cs="宋体"/>
          <w:sz w:val="24"/>
          <w:szCs w:val="24"/>
          <w:lang w:val="zh-CN"/>
        </w:rPr>
        <w:t>法定代表人或授权委托人（签名或盖章）：</w:t>
      </w:r>
    </w:p>
    <w:p w14:paraId="69A0E251">
      <w:pPr>
        <w:spacing w:line="440" w:lineRule="exact"/>
        <w:ind w:firstLine="720"/>
        <w:rPr>
          <w:rFonts w:ascii="宋体"/>
          <w:sz w:val="24"/>
          <w:szCs w:val="24"/>
          <w:lang w:val="zh-CN"/>
        </w:rPr>
      </w:pPr>
      <w:r>
        <w:rPr>
          <w:rFonts w:hint="eastAsia" w:ascii="宋体" w:hAnsi="宋体" w:cs="宋体"/>
          <w:sz w:val="24"/>
          <w:szCs w:val="24"/>
          <w:lang w:val="zh-CN"/>
        </w:rPr>
        <w:t>日期：</w:t>
      </w:r>
      <w:r>
        <w:rPr>
          <w:rFonts w:hint="eastAsia" w:ascii="宋体" w:hAnsi="宋体" w:cs="宋体"/>
          <w:sz w:val="24"/>
          <w:szCs w:val="24"/>
        </w:rPr>
        <w:t xml:space="preserve">  </w:t>
      </w:r>
      <w:r>
        <w:rPr>
          <w:rFonts w:hint="eastAsia" w:ascii="宋体" w:hAnsi="宋体" w:cs="宋体"/>
          <w:sz w:val="24"/>
          <w:szCs w:val="24"/>
          <w:lang w:val="zh-CN"/>
        </w:rPr>
        <w:t>年</w:t>
      </w:r>
      <w:r>
        <w:rPr>
          <w:rFonts w:ascii="宋体" w:hAnsi="宋体" w:cs="宋体"/>
          <w:sz w:val="24"/>
          <w:szCs w:val="24"/>
          <w:lang w:val="zh-CN"/>
        </w:rPr>
        <w:t xml:space="preserve"> </w:t>
      </w:r>
      <w:r>
        <w:rPr>
          <w:rFonts w:hint="eastAsia" w:ascii="宋体" w:hAnsi="宋体" w:cs="宋体"/>
          <w:sz w:val="24"/>
          <w:szCs w:val="24"/>
        </w:rPr>
        <w:t xml:space="preserve">  </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rPr>
        <w:t xml:space="preserve">  </w:t>
      </w:r>
      <w:r>
        <w:rPr>
          <w:rFonts w:ascii="宋体" w:hAnsi="宋体" w:cs="宋体"/>
          <w:sz w:val="24"/>
          <w:szCs w:val="24"/>
          <w:lang w:val="zh-CN"/>
        </w:rPr>
        <w:t xml:space="preserve"> </w:t>
      </w:r>
      <w:r>
        <w:rPr>
          <w:rFonts w:hint="eastAsia" w:ascii="宋体" w:hAnsi="宋体" w:cs="宋体"/>
          <w:sz w:val="24"/>
          <w:szCs w:val="24"/>
          <w:lang w:val="zh-CN"/>
        </w:rPr>
        <w:t>日</w:t>
      </w:r>
    </w:p>
    <w:p w14:paraId="5C171A86">
      <w:pPr>
        <w:spacing w:line="360" w:lineRule="auto"/>
        <w:ind w:right="480"/>
        <w:rPr>
          <w:rFonts w:ascii="宋体"/>
          <w:b/>
          <w:bCs/>
          <w:sz w:val="28"/>
          <w:szCs w:val="28"/>
        </w:rPr>
      </w:pPr>
      <w:r>
        <w:rPr>
          <w:rFonts w:hint="eastAsia" w:ascii="宋体" w:hAnsi="宋体" w:cs="宋体"/>
          <w:b/>
          <w:bCs/>
          <w:sz w:val="28"/>
          <w:szCs w:val="28"/>
        </w:rPr>
        <w:br w:type="page" w:clear="all"/>
      </w:r>
      <w:r>
        <w:rPr>
          <w:rFonts w:hint="eastAsia" w:ascii="宋体" w:hAnsi="宋体" w:cs="宋体"/>
          <w:b/>
          <w:bCs/>
          <w:sz w:val="24"/>
          <w:szCs w:val="24"/>
        </w:rPr>
        <w:t>附件2-1:</w:t>
      </w:r>
    </w:p>
    <w:p w14:paraId="7D6167C9">
      <w:pPr>
        <w:pStyle w:val="23"/>
        <w:spacing w:before="120" w:after="120" w:line="480" w:lineRule="auto"/>
        <w:jc w:val="center"/>
        <w:rPr>
          <w:rFonts w:ascii="仿宋_GB2312" w:hAnsi="宋体" w:eastAsia="仿宋_GB2312"/>
          <w:b/>
          <w:color w:val="000000"/>
          <w:sz w:val="36"/>
          <w:szCs w:val="36"/>
        </w:rPr>
      </w:pPr>
      <w:r>
        <w:rPr>
          <w:rFonts w:hint="eastAsia" w:ascii="仿宋_GB2312" w:hAnsi="宋体" w:eastAsia="仿宋_GB2312"/>
          <w:b/>
          <w:color w:val="000000"/>
          <w:sz w:val="36"/>
          <w:szCs w:val="36"/>
        </w:rPr>
        <w:t>法定代表人身份证明书</w:t>
      </w:r>
    </w:p>
    <w:p w14:paraId="1CD77372">
      <w:pPr>
        <w:spacing w:line="540" w:lineRule="exact"/>
        <w:ind w:firstLine="480"/>
        <w:jc w:val="center"/>
        <w:rPr>
          <w:rFonts w:ascii="宋体" w:hAnsi="宋体"/>
        </w:rPr>
      </w:pPr>
    </w:p>
    <w:p w14:paraId="1074A5C6">
      <w:pPr>
        <w:spacing w:line="540" w:lineRule="exact"/>
        <w:ind w:firstLine="480"/>
        <w:rPr>
          <w:rFonts w:ascii="宋体" w:hAnsi="宋体"/>
        </w:rPr>
      </w:pPr>
    </w:p>
    <w:p w14:paraId="660849BC">
      <w:pPr>
        <w:spacing w:line="540" w:lineRule="exact"/>
        <w:ind w:firstLine="480"/>
        <w:rPr>
          <w:rFonts w:ascii="宋体" w:hAnsi="宋体"/>
        </w:rPr>
      </w:pPr>
      <w:r>
        <w:rPr>
          <w:rFonts w:hint="eastAsia" w:ascii="宋体" w:hAnsi="宋体"/>
          <w:u w:val="single"/>
        </w:rPr>
        <w:t>　 ｛姓名｝ 　</w:t>
      </w:r>
      <w:r>
        <w:rPr>
          <w:rFonts w:ascii="宋体" w:hAnsi="宋体"/>
        </w:rPr>
        <w:t>，</w:t>
      </w:r>
      <w:r>
        <w:rPr>
          <w:rFonts w:hint="eastAsia" w:ascii="宋体" w:hAnsi="宋体"/>
          <w:u w:val="single"/>
        </w:rPr>
        <w:t>　｛性别｝　</w:t>
      </w:r>
      <w:r>
        <w:rPr>
          <w:rFonts w:ascii="宋体" w:hAnsi="宋体"/>
        </w:rPr>
        <w:t>，</w:t>
      </w:r>
      <w:r>
        <w:rPr>
          <w:rFonts w:hint="eastAsia" w:ascii="宋体" w:hAnsi="宋体"/>
          <w:u w:val="single"/>
        </w:rPr>
        <w:t>　｛年龄｝　</w:t>
      </w:r>
      <w:r>
        <w:rPr>
          <w:rFonts w:ascii="宋体" w:hAnsi="宋体"/>
        </w:rPr>
        <w:t>，</w:t>
      </w:r>
      <w:r>
        <w:rPr>
          <w:rFonts w:hint="eastAsia" w:ascii="宋体" w:hAnsi="宋体"/>
          <w:u w:val="single"/>
        </w:rPr>
        <w:t>　｛职务｝　</w:t>
      </w:r>
      <w:r>
        <w:rPr>
          <w:rFonts w:ascii="宋体" w:hAnsi="宋体"/>
        </w:rPr>
        <w:t>，身份证号码</w:t>
      </w:r>
      <w:r>
        <w:rPr>
          <w:rFonts w:hint="eastAsia" w:ascii="宋体" w:hAnsi="宋体"/>
        </w:rPr>
        <w:t>：</w:t>
      </w:r>
      <w:r>
        <w:rPr>
          <w:rFonts w:hint="eastAsia" w:ascii="宋体" w:hAnsi="宋体"/>
          <w:u w:val="single"/>
        </w:rPr>
        <w:t xml:space="preserve">                       </w:t>
      </w:r>
      <w:r>
        <w:rPr>
          <w:rFonts w:hint="eastAsia" w:ascii="宋体" w:hAnsi="宋体"/>
        </w:rPr>
        <w:t>，</w:t>
      </w:r>
      <w:r>
        <w:rPr>
          <w:rFonts w:ascii="宋体" w:hAnsi="宋体"/>
        </w:rPr>
        <w:t>系</w:t>
      </w:r>
      <w:r>
        <w:rPr>
          <w:rFonts w:ascii="宋体" w:hAnsi="宋体"/>
          <w:u w:val="single"/>
        </w:rPr>
        <w:t>　｛</w:t>
      </w:r>
      <w:r>
        <w:rPr>
          <w:rFonts w:hint="eastAsia" w:ascii="宋体" w:hAnsi="宋体"/>
          <w:u w:val="single"/>
        </w:rPr>
        <w:t>投标人</w:t>
      </w:r>
      <w:r>
        <w:rPr>
          <w:rFonts w:ascii="宋体" w:hAnsi="宋体"/>
          <w:u w:val="single"/>
        </w:rPr>
        <w:t xml:space="preserve">名称｝ </w:t>
      </w:r>
      <w:r>
        <w:rPr>
          <w:rFonts w:ascii="宋体" w:hAnsi="宋体"/>
        </w:rPr>
        <w:t>的</w:t>
      </w:r>
      <w:r>
        <w:rPr>
          <w:rFonts w:hint="eastAsia" w:ascii="宋体" w:hAnsi="宋体"/>
        </w:rPr>
        <w:t>法定代表人</w:t>
      </w:r>
      <w:r>
        <w:rPr>
          <w:rFonts w:ascii="宋体" w:hAnsi="宋体"/>
        </w:rPr>
        <w:t>。</w:t>
      </w:r>
    </w:p>
    <w:p w14:paraId="6701A2F6">
      <w:pPr>
        <w:spacing w:line="540" w:lineRule="exact"/>
        <w:ind w:firstLine="480"/>
        <w:rPr>
          <w:rFonts w:ascii="宋体" w:hAnsi="宋体"/>
        </w:rPr>
      </w:pPr>
      <w:r>
        <w:rPr>
          <w:rFonts w:ascii="宋体" w:hAnsi="宋体"/>
        </w:rPr>
        <w:t>特此证明。</w:t>
      </w:r>
    </w:p>
    <w:p w14:paraId="44D5A643">
      <w:pPr>
        <w:spacing w:line="540" w:lineRule="exact"/>
        <w:ind w:firstLine="480"/>
        <w:rPr>
          <w:rFonts w:ascii="宋体" w:hAnsi="宋体"/>
        </w:rPr>
      </w:pPr>
    </w:p>
    <w:p w14:paraId="53582B96">
      <w:pPr>
        <w:spacing w:line="540" w:lineRule="exact"/>
        <w:ind w:firstLine="480"/>
        <w:rPr>
          <w:rFonts w:ascii="宋体" w:hAnsi="宋体"/>
        </w:rPr>
      </w:pPr>
    </w:p>
    <w:p w14:paraId="788CEBC3">
      <w:pPr>
        <w:spacing w:line="540" w:lineRule="exact"/>
        <w:ind w:firstLine="3675"/>
        <w:rPr>
          <w:rFonts w:ascii="宋体" w:hAnsi="宋体"/>
        </w:rPr>
      </w:pPr>
      <w:r>
        <w:rPr>
          <w:rFonts w:ascii="宋体" w:hAnsi="宋体"/>
          <w:u w:val="single"/>
        </w:rPr>
        <w:t>　｛</w:t>
      </w:r>
      <w:r>
        <w:rPr>
          <w:rFonts w:hint="eastAsia" w:ascii="宋体" w:hAnsi="宋体"/>
          <w:u w:val="single"/>
        </w:rPr>
        <w:t>投标人</w:t>
      </w:r>
      <w:r>
        <w:rPr>
          <w:rFonts w:ascii="宋体" w:hAnsi="宋体"/>
          <w:u w:val="single"/>
        </w:rPr>
        <w:t>名称｝　</w:t>
      </w:r>
      <w:r>
        <w:rPr>
          <w:rFonts w:ascii="宋体" w:hAnsi="宋体"/>
        </w:rPr>
        <w:t>（盖章）</w:t>
      </w:r>
    </w:p>
    <w:p w14:paraId="513D829D">
      <w:pPr>
        <w:spacing w:line="540" w:lineRule="exact"/>
        <w:ind w:firstLine="3990"/>
        <w:rPr>
          <w:rFonts w:ascii="宋体" w:hAnsi="宋体"/>
        </w:rPr>
      </w:pP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tbl>
      <w:tblPr>
        <w:tblStyle w:val="44"/>
        <w:tblpPr w:leftFromText="180" w:rightFromText="180" w:vertAnchor="page" w:horzAnchor="page" w:tblpX="3853" w:tblpY="99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3"/>
      </w:tblGrid>
      <w:tr w14:paraId="0CFE9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1" w:hRule="atLeast"/>
        </w:trPr>
        <w:tc>
          <w:tcPr>
            <w:tcW w:w="5413" w:type="dxa"/>
            <w:vAlign w:val="center"/>
          </w:tcPr>
          <w:p w14:paraId="3FC894BB">
            <w:pPr>
              <w:ind w:firstLine="480"/>
              <w:jc w:val="center"/>
              <w:rPr>
                <w:rFonts w:ascii="宋体" w:hAnsi="宋体"/>
              </w:rPr>
            </w:pPr>
            <w:r>
              <w:rPr>
                <w:rFonts w:hint="eastAsia" w:ascii="宋体" w:hAnsi="宋体"/>
              </w:rPr>
              <w:t>法定代表人</w:t>
            </w:r>
            <w:r>
              <w:rPr>
                <w:rFonts w:ascii="宋体" w:hAnsi="宋体"/>
              </w:rPr>
              <w:t>身份证</w:t>
            </w:r>
            <w:r>
              <w:rPr>
                <w:rFonts w:hint="eastAsia" w:ascii="宋体" w:hAnsi="宋体"/>
              </w:rPr>
              <w:t>正反面</w:t>
            </w:r>
            <w:r>
              <w:rPr>
                <w:rFonts w:ascii="宋体" w:hAnsi="宋体"/>
              </w:rPr>
              <w:t>复印件粘贴处</w:t>
            </w:r>
          </w:p>
        </w:tc>
      </w:tr>
    </w:tbl>
    <w:p w14:paraId="1F3F9BB7">
      <w:pPr>
        <w:spacing w:line="540" w:lineRule="exact"/>
        <w:ind w:firstLine="480"/>
        <w:rPr>
          <w:rFonts w:ascii="宋体" w:hAnsi="宋体"/>
        </w:rPr>
      </w:pPr>
    </w:p>
    <w:p w14:paraId="66459159">
      <w:pPr>
        <w:spacing w:line="540" w:lineRule="exact"/>
        <w:ind w:firstLine="480"/>
        <w:rPr>
          <w:rFonts w:ascii="宋体" w:hAnsi="宋体"/>
        </w:rPr>
      </w:pPr>
    </w:p>
    <w:p w14:paraId="15E5E351">
      <w:pPr>
        <w:spacing w:line="540" w:lineRule="exact"/>
        <w:ind w:firstLine="480"/>
        <w:rPr>
          <w:rFonts w:ascii="宋体" w:hAnsi="宋体"/>
        </w:rPr>
      </w:pPr>
    </w:p>
    <w:p w14:paraId="2F4E680E">
      <w:pPr>
        <w:spacing w:line="540" w:lineRule="exact"/>
        <w:ind w:firstLine="480"/>
        <w:rPr>
          <w:rFonts w:ascii="宋体" w:hAnsi="宋体"/>
        </w:rPr>
      </w:pPr>
      <w:r>
        <w:rPr>
          <w:rFonts w:ascii="宋体" w:hAnsi="宋体"/>
        </w:rPr>
        <w:t xml:space="preserve">  </w:t>
      </w:r>
    </w:p>
    <w:p w14:paraId="6DFA9B74">
      <w:pPr>
        <w:ind w:firstLine="480"/>
        <w:rPr>
          <w:rFonts w:ascii="宋体" w:hAnsi="宋体"/>
        </w:rPr>
      </w:pPr>
    </w:p>
    <w:p w14:paraId="422A9E16">
      <w:pPr>
        <w:spacing w:line="360" w:lineRule="auto"/>
        <w:ind w:right="480"/>
        <w:rPr>
          <w:rFonts w:ascii="宋体"/>
          <w:b/>
          <w:bCs/>
          <w:sz w:val="28"/>
          <w:szCs w:val="28"/>
        </w:rPr>
      </w:pPr>
      <w:r>
        <w:rPr>
          <w:bCs/>
        </w:rPr>
        <w:br w:type="page" w:clear="all"/>
      </w:r>
      <w:r>
        <w:rPr>
          <w:rFonts w:hint="eastAsia" w:ascii="宋体" w:hAnsi="宋体" w:cs="宋体"/>
          <w:b/>
          <w:bCs/>
          <w:sz w:val="24"/>
          <w:szCs w:val="24"/>
        </w:rPr>
        <w:t>附件2-2:</w:t>
      </w:r>
    </w:p>
    <w:p w14:paraId="77FF8FE0">
      <w:pPr>
        <w:spacing w:line="360" w:lineRule="auto"/>
        <w:jc w:val="center"/>
        <w:rPr>
          <w:rFonts w:ascii="宋体"/>
          <w:b/>
          <w:bCs/>
          <w:sz w:val="32"/>
          <w:szCs w:val="32"/>
          <w:lang w:val="zh-CN"/>
        </w:rPr>
      </w:pPr>
      <w:r>
        <w:rPr>
          <w:rFonts w:hint="eastAsia" w:ascii="宋体" w:hAnsi="宋体" w:cs="宋体"/>
          <w:b/>
          <w:bCs/>
          <w:sz w:val="32"/>
          <w:szCs w:val="32"/>
          <w:lang w:val="zh-CN"/>
        </w:rPr>
        <w:t>授权委托书</w:t>
      </w:r>
    </w:p>
    <w:p w14:paraId="223F7512">
      <w:pPr>
        <w:spacing w:line="360" w:lineRule="auto"/>
        <w:ind w:firstLine="420"/>
        <w:rPr>
          <w:rFonts w:ascii="宋体"/>
        </w:rPr>
      </w:pPr>
    </w:p>
    <w:p w14:paraId="777AEE34">
      <w:pPr>
        <w:spacing w:line="360" w:lineRule="auto"/>
        <w:ind w:firstLine="480"/>
        <w:jc w:val="left"/>
        <w:rPr>
          <w:rFonts w:ascii="宋体"/>
          <w:sz w:val="24"/>
          <w:szCs w:val="24"/>
        </w:rPr>
      </w:pPr>
      <w:r>
        <w:rPr>
          <w:rFonts w:hint="eastAsia" w:ascii="宋体" w:hAnsi="宋体" w:cs="宋体"/>
          <w:sz w:val="24"/>
          <w:szCs w:val="24"/>
        </w:rPr>
        <w:t>　　　</w:t>
      </w:r>
      <w:r>
        <w:rPr>
          <w:rFonts w:ascii="宋体" w:hAnsi="宋体" w:cs="宋体"/>
          <w:sz w:val="24"/>
          <w:szCs w:val="24"/>
        </w:rPr>
        <w:t xml:space="preserve">              </w:t>
      </w:r>
    </w:p>
    <w:p w14:paraId="421149B6">
      <w:pPr>
        <w:spacing w:line="360" w:lineRule="auto"/>
        <w:ind w:firstLine="480"/>
        <w:jc w:val="left"/>
        <w:rPr>
          <w:rFonts w:ascii="宋体"/>
          <w:sz w:val="24"/>
          <w:szCs w:val="24"/>
        </w:rPr>
      </w:pPr>
      <w:r>
        <w:rPr>
          <w:rFonts w:hint="eastAsia" w:ascii="宋体" w:hAnsi="宋体" w:cs="宋体"/>
          <w:sz w:val="24"/>
          <w:szCs w:val="24"/>
        </w:rPr>
        <w:t>我单位全权委托：</w:t>
      </w:r>
      <w:r>
        <w:rPr>
          <w:rFonts w:ascii="宋体" w:hAnsi="宋体" w:cs="宋体"/>
          <w:sz w:val="24"/>
          <w:szCs w:val="24"/>
        </w:rPr>
        <w:t xml:space="preserve">       </w:t>
      </w:r>
      <w:r>
        <w:rPr>
          <w:rFonts w:hint="eastAsia" w:ascii="宋体" w:hAnsi="宋体" w:cs="宋体"/>
          <w:sz w:val="24"/>
          <w:szCs w:val="24"/>
        </w:rPr>
        <w:t>（身份证号：</w:t>
      </w:r>
      <w:r>
        <w:rPr>
          <w:rFonts w:ascii="宋体" w:hAnsi="宋体" w:cs="宋体"/>
          <w:sz w:val="24"/>
          <w:szCs w:val="24"/>
        </w:rPr>
        <w:t xml:space="preserve">              </w:t>
      </w:r>
      <w:r>
        <w:rPr>
          <w:rFonts w:hint="eastAsia" w:ascii="宋体" w:hAnsi="宋体" w:cs="宋体"/>
          <w:sz w:val="24"/>
          <w:szCs w:val="24"/>
        </w:rPr>
        <w:t>）作为我单位合法代理人，参加（填写项目名称及项目编号）投标活动，并办理上述项目所涉的投标文件签署、合同签订及项目实施等与之相关的投标全程各事项。该代理人的上述行为，均代表本单位，与本单位的行为具有同等法律效力，本单位将承担该代理人行为的全部法律后果和法律责任。代理人无权转换委托权。</w:t>
      </w:r>
    </w:p>
    <w:p w14:paraId="2C459885">
      <w:pPr>
        <w:spacing w:line="360" w:lineRule="auto"/>
        <w:ind w:firstLine="480"/>
        <w:jc w:val="left"/>
        <w:rPr>
          <w:rFonts w:ascii="宋体"/>
          <w:sz w:val="24"/>
          <w:szCs w:val="24"/>
        </w:rPr>
      </w:pPr>
      <w:r>
        <w:rPr>
          <w:rFonts w:hint="eastAsia" w:ascii="宋体" w:hAnsi="宋体" w:cs="宋体"/>
          <w:sz w:val="24"/>
          <w:szCs w:val="24"/>
        </w:rPr>
        <w:t>特此委托</w:t>
      </w:r>
    </w:p>
    <w:p w14:paraId="04F8F226">
      <w:pPr>
        <w:widowControl/>
        <w:shd w:val="clear" w:color="auto" w:fill="FFFFFF"/>
        <w:spacing w:line="360" w:lineRule="auto"/>
        <w:ind w:firstLine="480"/>
        <w:rPr>
          <w:rFonts w:ascii="宋体"/>
          <w:sz w:val="24"/>
          <w:szCs w:val="24"/>
        </w:rPr>
      </w:pPr>
    </w:p>
    <w:p w14:paraId="5D6E4863">
      <w:pPr>
        <w:widowControl/>
        <w:shd w:val="clear" w:color="auto" w:fill="FFFFFF"/>
        <w:spacing w:line="360" w:lineRule="auto"/>
        <w:ind w:firstLine="480"/>
        <w:rPr>
          <w:rFonts w:ascii="宋体"/>
          <w:sz w:val="24"/>
          <w:szCs w:val="24"/>
        </w:rPr>
      </w:pPr>
      <w:r>
        <w:rPr>
          <w:rFonts w:hint="eastAsia" w:ascii="宋体" w:hAnsi="宋体" w:cs="宋体"/>
          <w:sz w:val="24"/>
          <w:szCs w:val="24"/>
        </w:rPr>
        <w:t>代理人姓名（签字）：　　　　　日期：　　年　　月　　日</w:t>
      </w:r>
    </w:p>
    <w:p w14:paraId="6ADBDAB9">
      <w:pPr>
        <w:widowControl/>
        <w:shd w:val="clear" w:color="auto" w:fill="FFFFFF"/>
        <w:spacing w:line="360" w:lineRule="auto"/>
        <w:ind w:firstLine="480"/>
        <w:rPr>
          <w:rFonts w:ascii="宋体"/>
          <w:sz w:val="24"/>
          <w:szCs w:val="24"/>
        </w:rPr>
      </w:pPr>
    </w:p>
    <w:p w14:paraId="0F62E678">
      <w:pPr>
        <w:widowControl/>
        <w:shd w:val="clear" w:color="auto" w:fill="FFFFFF"/>
        <w:spacing w:line="360" w:lineRule="auto"/>
        <w:ind w:firstLine="480"/>
        <w:rPr>
          <w:rFonts w:ascii="宋体"/>
          <w:sz w:val="24"/>
          <w:szCs w:val="24"/>
        </w:rPr>
      </w:pPr>
    </w:p>
    <w:p w14:paraId="6030356D">
      <w:pPr>
        <w:widowControl/>
        <w:shd w:val="clear" w:color="auto" w:fill="FFFFFF"/>
        <w:spacing w:line="360" w:lineRule="auto"/>
        <w:ind w:firstLine="480"/>
        <w:rPr>
          <w:rFonts w:ascii="宋体"/>
          <w:sz w:val="24"/>
          <w:szCs w:val="24"/>
        </w:rPr>
      </w:pPr>
      <w:r>
        <w:rPr>
          <w:rFonts w:hint="eastAsia" w:ascii="宋体" w:hAnsi="宋体" w:cs="宋体"/>
          <w:sz w:val="24"/>
          <w:szCs w:val="24"/>
        </w:rPr>
        <w:t>法定代表人（签章）：　　　　　日期：　　年　　月　　日</w:t>
      </w:r>
    </w:p>
    <w:p w14:paraId="347E7A67">
      <w:pPr>
        <w:widowControl/>
        <w:shd w:val="clear" w:color="auto" w:fill="FFFFFF"/>
        <w:spacing w:line="360" w:lineRule="auto"/>
        <w:ind w:firstLine="480"/>
        <w:jc w:val="right"/>
        <w:rPr>
          <w:rFonts w:ascii="宋体"/>
          <w:sz w:val="24"/>
          <w:szCs w:val="24"/>
        </w:rPr>
      </w:pPr>
      <w:r>
        <w:rPr>
          <w:rFonts w:hint="eastAsia" w:ascii="宋体" w:hAnsi="宋体" w:cs="宋体"/>
          <w:sz w:val="24"/>
          <w:szCs w:val="24"/>
        </w:rPr>
        <w:t>（委托单位加盖公章）</w:t>
      </w:r>
    </w:p>
    <w:p w14:paraId="732A9928">
      <w:pPr>
        <w:spacing w:line="360" w:lineRule="auto"/>
        <w:ind w:firstLine="480"/>
        <w:jc w:val="left"/>
        <w:rPr>
          <w:rFonts w:ascii="宋体"/>
          <w:sz w:val="24"/>
          <w:szCs w:val="24"/>
        </w:rPr>
      </w:pPr>
    </w:p>
    <w:p w14:paraId="44428845">
      <w:pPr>
        <w:spacing w:line="360" w:lineRule="auto"/>
        <w:ind w:firstLine="480"/>
        <w:jc w:val="left"/>
        <w:rPr>
          <w:rFonts w:ascii="宋体"/>
          <w:sz w:val="24"/>
          <w:szCs w:val="24"/>
        </w:rPr>
      </w:pPr>
    </w:p>
    <w:p w14:paraId="477298C1">
      <w:pPr>
        <w:spacing w:line="360" w:lineRule="auto"/>
        <w:ind w:firstLine="480"/>
        <w:jc w:val="left"/>
        <w:rPr>
          <w:rFonts w:ascii="宋体"/>
          <w:sz w:val="24"/>
          <w:szCs w:val="24"/>
        </w:rPr>
      </w:pPr>
      <w:r>
        <w:rPr>
          <w:rFonts w:hint="eastAsia" w:ascii="宋体" w:hAnsi="宋体" w:cs="宋体"/>
          <w:sz w:val="24"/>
          <w:szCs w:val="24"/>
        </w:rPr>
        <w:t>附：</w:t>
      </w:r>
      <w:r>
        <w:rPr>
          <w:rFonts w:ascii="宋体" w:hAnsi="宋体" w:cs="宋体"/>
          <w:sz w:val="24"/>
          <w:szCs w:val="24"/>
        </w:rPr>
        <w:t>1</w:t>
      </w:r>
      <w:r>
        <w:rPr>
          <w:rFonts w:hint="eastAsia" w:ascii="宋体" w:hAnsi="宋体" w:cs="宋体"/>
          <w:sz w:val="24"/>
          <w:szCs w:val="24"/>
        </w:rPr>
        <w:t>、代理人身份证复印件（日期，单位加盖公章）</w:t>
      </w:r>
    </w:p>
    <w:p w14:paraId="125B0E37">
      <w:pPr>
        <w:spacing w:line="360" w:lineRule="auto"/>
        <w:ind w:firstLine="480"/>
        <w:jc w:val="left"/>
        <w:rPr>
          <w:rFonts w:ascii="宋体"/>
          <w:sz w:val="24"/>
          <w:szCs w:val="24"/>
        </w:rPr>
      </w:pPr>
      <w:r>
        <w:rPr>
          <w:rFonts w:ascii="宋体" w:hAnsi="宋体" w:cs="宋体"/>
          <w:sz w:val="24"/>
          <w:szCs w:val="24"/>
        </w:rPr>
        <w:t>2</w:t>
      </w:r>
      <w:r>
        <w:rPr>
          <w:rFonts w:hint="eastAsia" w:ascii="宋体" w:hAnsi="宋体" w:cs="宋体"/>
          <w:sz w:val="24"/>
          <w:szCs w:val="24"/>
        </w:rPr>
        <w:t>、法定代表人身份证复印件（日期，单位加盖公章）</w:t>
      </w:r>
    </w:p>
    <w:p w14:paraId="4A3D0F40">
      <w:pPr>
        <w:rPr>
          <w:rFonts w:ascii="宋体" w:hAnsi="宋体" w:cs="宋体"/>
          <w:b/>
          <w:bCs/>
          <w:sz w:val="24"/>
          <w:szCs w:val="24"/>
        </w:rPr>
      </w:pPr>
      <w:r>
        <w:rPr>
          <w:rFonts w:hint="eastAsia" w:ascii="宋体" w:hAnsi="宋体" w:cs="宋体"/>
          <w:b/>
          <w:bCs/>
          <w:sz w:val="24"/>
          <w:szCs w:val="24"/>
        </w:rPr>
        <w:br w:type="page" w:clear="all"/>
      </w:r>
    </w:p>
    <w:p w14:paraId="237ED7BA">
      <w:pPr>
        <w:jc w:val="center"/>
        <w:rPr>
          <w:rFonts w:ascii="宋体" w:hAnsi="宋体" w:cs="宋体"/>
          <w:b/>
          <w:bCs/>
          <w:spacing w:val="40"/>
          <w:sz w:val="36"/>
          <w:szCs w:val="36"/>
        </w:rPr>
      </w:pPr>
    </w:p>
    <w:p w14:paraId="5426CD5D">
      <w:pPr>
        <w:jc w:val="center"/>
        <w:rPr>
          <w:rFonts w:ascii="宋体" w:hAnsi="宋体" w:cs="宋体"/>
          <w:b/>
          <w:bCs/>
          <w:spacing w:val="40"/>
          <w:sz w:val="36"/>
          <w:szCs w:val="36"/>
        </w:rPr>
      </w:pPr>
    </w:p>
    <w:p w14:paraId="6FA15DF8">
      <w:pPr>
        <w:jc w:val="center"/>
        <w:rPr>
          <w:rFonts w:hint="eastAsia" w:ascii="宋体" w:hAnsi="宋体" w:eastAsia="宋体" w:cs="宋体"/>
          <w:sz w:val="44"/>
          <w:szCs w:val="44"/>
          <w:lang w:eastAsia="zh-CN"/>
        </w:rPr>
      </w:pPr>
      <w:r>
        <w:rPr>
          <w:rFonts w:hint="eastAsia" w:ascii="宋体" w:hAnsi="宋体" w:cs="宋体"/>
          <w:b/>
          <w:bCs/>
          <w:spacing w:val="40"/>
          <w:sz w:val="44"/>
          <w:szCs w:val="44"/>
          <w:lang w:eastAsia="zh-CN"/>
        </w:rPr>
        <w:t>温岭市供水有限公司二次供水泵房运维服务采购</w:t>
      </w:r>
    </w:p>
    <w:p w14:paraId="1C9EF698">
      <w:pPr>
        <w:spacing w:line="360" w:lineRule="auto"/>
        <w:ind w:right="-108"/>
        <w:jc w:val="center"/>
        <w:rPr>
          <w:rFonts w:ascii="宋体" w:hAnsi="宋体" w:cs="宋体"/>
          <w:sz w:val="32"/>
          <w:szCs w:val="32"/>
        </w:rPr>
      </w:pPr>
    </w:p>
    <w:p w14:paraId="1966F6AB">
      <w:pPr>
        <w:spacing w:line="360" w:lineRule="auto"/>
        <w:ind w:right="-108"/>
        <w:jc w:val="center"/>
        <w:rPr>
          <w:rFonts w:hint="eastAsia" w:ascii="宋体" w:eastAsia="宋体"/>
          <w:sz w:val="56"/>
          <w:szCs w:val="56"/>
          <w:lang w:val="zh-CN" w:eastAsia="zh-CN"/>
        </w:rPr>
      </w:pPr>
      <w:r>
        <w:rPr>
          <w:rFonts w:hint="eastAsia" w:ascii="宋体" w:hAnsi="宋体" w:cs="宋体"/>
          <w:sz w:val="32"/>
          <w:szCs w:val="32"/>
        </w:rPr>
        <w:t>项目编号：</w:t>
      </w:r>
      <w:r>
        <w:rPr>
          <w:rFonts w:hint="eastAsia" w:ascii="宋体" w:hAnsi="宋体" w:cs="宋体"/>
          <w:sz w:val="32"/>
          <w:szCs w:val="32"/>
          <w:lang w:eastAsia="zh-CN"/>
        </w:rPr>
        <w:t>JJWL25031748</w:t>
      </w:r>
    </w:p>
    <w:p w14:paraId="1E11C29C">
      <w:pPr>
        <w:spacing w:line="360" w:lineRule="auto"/>
        <w:jc w:val="center"/>
        <w:rPr>
          <w:rFonts w:ascii="宋体"/>
          <w:sz w:val="84"/>
          <w:szCs w:val="84"/>
          <w:lang w:val="zh-CN"/>
        </w:rPr>
      </w:pPr>
      <w:r>
        <w:rPr>
          <w:rFonts w:hint="eastAsia" w:ascii="宋体" w:hAnsi="宋体" w:cs="宋体"/>
          <w:sz w:val="84"/>
          <w:szCs w:val="84"/>
          <w:lang w:val="zh-CN"/>
        </w:rPr>
        <w:t>投</w:t>
      </w:r>
    </w:p>
    <w:p w14:paraId="2A638EE6">
      <w:pPr>
        <w:spacing w:line="360" w:lineRule="auto"/>
        <w:jc w:val="center"/>
        <w:rPr>
          <w:rFonts w:ascii="宋体"/>
          <w:sz w:val="84"/>
          <w:szCs w:val="84"/>
          <w:lang w:val="zh-CN"/>
        </w:rPr>
      </w:pPr>
      <w:r>
        <w:rPr>
          <w:rFonts w:hint="eastAsia" w:ascii="宋体" w:hAnsi="宋体" w:cs="宋体"/>
          <w:sz w:val="84"/>
          <w:szCs w:val="84"/>
          <w:lang w:val="zh-CN"/>
        </w:rPr>
        <w:t>标</w:t>
      </w:r>
    </w:p>
    <w:p w14:paraId="486DD82F">
      <w:pPr>
        <w:spacing w:line="360" w:lineRule="auto"/>
        <w:jc w:val="center"/>
        <w:rPr>
          <w:rFonts w:ascii="宋体"/>
          <w:sz w:val="84"/>
          <w:szCs w:val="84"/>
        </w:rPr>
      </w:pPr>
      <w:r>
        <w:rPr>
          <w:rFonts w:hint="eastAsia" w:ascii="宋体" w:hAnsi="宋体" w:cs="宋体"/>
          <w:sz w:val="84"/>
          <w:szCs w:val="84"/>
          <w:lang w:val="zh-CN"/>
        </w:rPr>
        <w:t>文</w:t>
      </w:r>
    </w:p>
    <w:p w14:paraId="390B599E">
      <w:pPr>
        <w:spacing w:after="100" w:afterAutospacing="1" w:line="360" w:lineRule="auto"/>
        <w:ind w:right="-108"/>
        <w:jc w:val="center"/>
        <w:rPr>
          <w:rFonts w:ascii="宋体"/>
          <w:sz w:val="84"/>
          <w:szCs w:val="84"/>
          <w:lang w:val="zh-CN"/>
        </w:rPr>
      </w:pPr>
      <w:r>
        <w:rPr>
          <w:rFonts w:hint="eastAsia" w:ascii="宋体" w:hAnsi="宋体" w:cs="宋体"/>
          <w:sz w:val="84"/>
          <w:szCs w:val="84"/>
          <w:lang w:val="zh-CN"/>
        </w:rPr>
        <w:t>件</w:t>
      </w:r>
    </w:p>
    <w:p w14:paraId="0379D460">
      <w:pPr>
        <w:spacing w:after="100" w:afterAutospacing="1" w:line="360" w:lineRule="auto"/>
        <w:ind w:right="-108"/>
        <w:jc w:val="center"/>
        <w:rPr>
          <w:rFonts w:ascii="宋体" w:hAnsi="宋体" w:cs="宋体"/>
          <w:b/>
          <w:bCs/>
          <w:spacing w:val="40"/>
          <w:sz w:val="28"/>
          <w:szCs w:val="28"/>
          <w:lang w:val="zh-CN"/>
        </w:rPr>
      </w:pPr>
      <w:r>
        <w:rPr>
          <w:rFonts w:hint="eastAsia" w:ascii="宋体" w:hAnsi="宋体" w:cs="宋体"/>
          <w:b/>
          <w:bCs/>
          <w:spacing w:val="40"/>
          <w:sz w:val="28"/>
          <w:szCs w:val="28"/>
          <w:lang w:val="zh-CN"/>
        </w:rPr>
        <w:t>（商务技术文件）</w:t>
      </w:r>
    </w:p>
    <w:p w14:paraId="73D50F69">
      <w:pPr>
        <w:spacing w:line="360" w:lineRule="auto"/>
        <w:ind w:right="532" w:firstLine="720"/>
        <w:rPr>
          <w:rFonts w:ascii="宋体" w:hAnsi="宋体" w:cs="宋体"/>
          <w:sz w:val="36"/>
          <w:szCs w:val="36"/>
        </w:rPr>
      </w:pPr>
    </w:p>
    <w:p w14:paraId="4FBD1340">
      <w:pPr>
        <w:spacing w:line="360" w:lineRule="auto"/>
        <w:ind w:right="532" w:firstLine="720"/>
        <w:rPr>
          <w:rFonts w:ascii="宋体"/>
          <w:sz w:val="36"/>
          <w:szCs w:val="36"/>
        </w:rPr>
      </w:pPr>
      <w:r>
        <w:rPr>
          <w:rFonts w:hint="eastAsia" w:ascii="宋体" w:hAnsi="宋体" w:cs="宋体"/>
          <w:sz w:val="36"/>
          <w:szCs w:val="36"/>
        </w:rPr>
        <w:t>投标人全称（单位公章）：</w:t>
      </w:r>
    </w:p>
    <w:p w14:paraId="23984B81">
      <w:pPr>
        <w:spacing w:line="360" w:lineRule="auto"/>
        <w:ind w:right="532" w:firstLine="720"/>
        <w:rPr>
          <w:rFonts w:ascii="宋体"/>
          <w:sz w:val="36"/>
          <w:szCs w:val="36"/>
        </w:rPr>
      </w:pPr>
      <w:r>
        <w:rPr>
          <w:rFonts w:hint="eastAsia" w:ascii="宋体" w:hAnsi="宋体" w:cs="宋体"/>
          <w:sz w:val="36"/>
          <w:szCs w:val="36"/>
        </w:rPr>
        <w:t>地</w:t>
      </w:r>
      <w:r>
        <w:rPr>
          <w:rFonts w:ascii="宋体" w:hAnsi="宋体" w:cs="宋体"/>
          <w:sz w:val="36"/>
          <w:szCs w:val="36"/>
        </w:rPr>
        <w:t xml:space="preserve">    </w:t>
      </w:r>
      <w:r>
        <w:rPr>
          <w:rFonts w:hint="eastAsia" w:ascii="宋体" w:hAnsi="宋体" w:cs="宋体"/>
          <w:sz w:val="36"/>
          <w:szCs w:val="36"/>
        </w:rPr>
        <w:t>址：</w:t>
      </w:r>
    </w:p>
    <w:p w14:paraId="249551C2">
      <w:pPr>
        <w:spacing w:line="360" w:lineRule="auto"/>
        <w:ind w:right="532" w:firstLine="720"/>
        <w:rPr>
          <w:rFonts w:ascii="宋体"/>
          <w:sz w:val="36"/>
          <w:szCs w:val="36"/>
        </w:rPr>
      </w:pPr>
      <w:r>
        <w:rPr>
          <w:rFonts w:hint="eastAsia" w:ascii="宋体" w:hAnsi="宋体" w:cs="宋体"/>
          <w:sz w:val="36"/>
          <w:szCs w:val="36"/>
        </w:rPr>
        <w:t>时</w:t>
      </w:r>
      <w:r>
        <w:rPr>
          <w:rFonts w:ascii="宋体" w:hAnsi="宋体" w:cs="宋体"/>
          <w:sz w:val="36"/>
          <w:szCs w:val="36"/>
        </w:rPr>
        <w:t xml:space="preserve">    </w:t>
      </w:r>
      <w:r>
        <w:rPr>
          <w:rFonts w:hint="eastAsia" w:ascii="宋体" w:hAnsi="宋体" w:cs="宋体"/>
          <w:sz w:val="36"/>
          <w:szCs w:val="36"/>
        </w:rPr>
        <w:t>间：</w:t>
      </w:r>
    </w:p>
    <w:p w14:paraId="0F6E344E">
      <w:pPr>
        <w:spacing w:before="50" w:after="50" w:line="360" w:lineRule="auto"/>
        <w:jc w:val="center"/>
        <w:rPr>
          <w:rFonts w:ascii="宋体"/>
          <w:b/>
          <w:bCs/>
          <w:sz w:val="32"/>
          <w:szCs w:val="32"/>
        </w:rPr>
      </w:pPr>
      <w:r>
        <w:rPr>
          <w:rFonts w:hint="eastAsia" w:ascii="宋体" w:hAnsi="宋体" w:cs="宋体"/>
          <w:b/>
          <w:bCs/>
          <w:sz w:val="32"/>
          <w:szCs w:val="32"/>
          <w:lang w:val="zh-CN"/>
        </w:rPr>
        <w:t>商务技术文件</w:t>
      </w:r>
      <w:r>
        <w:rPr>
          <w:rFonts w:hint="eastAsia" w:ascii="宋体" w:hAnsi="宋体" w:cs="宋体"/>
          <w:b/>
          <w:bCs/>
          <w:sz w:val="32"/>
          <w:szCs w:val="32"/>
        </w:rPr>
        <w:t>目录（仅供参考）</w:t>
      </w:r>
    </w:p>
    <w:p w14:paraId="11D949FD">
      <w:pPr>
        <w:numPr>
          <w:ilvl w:val="0"/>
          <w:numId w:val="12"/>
        </w:numPr>
        <w:spacing w:line="360" w:lineRule="auto"/>
        <w:ind w:firstLine="560"/>
        <w:jc w:val="distribute"/>
        <w:rPr>
          <w:rFonts w:cs="宋体"/>
          <w:sz w:val="28"/>
          <w:szCs w:val="28"/>
        </w:rPr>
      </w:pPr>
      <w:r>
        <w:rPr>
          <w:rFonts w:hint="eastAsia" w:cs="宋体"/>
          <w:sz w:val="28"/>
          <w:szCs w:val="28"/>
        </w:rPr>
        <w:t>供应商自评表……………………………………………页码；</w:t>
      </w:r>
    </w:p>
    <w:p w14:paraId="3EA6E66F">
      <w:pPr>
        <w:numPr>
          <w:ilvl w:val="0"/>
          <w:numId w:val="12"/>
        </w:numPr>
        <w:spacing w:line="360" w:lineRule="auto"/>
        <w:ind w:firstLine="560"/>
        <w:jc w:val="distribute"/>
        <w:rPr>
          <w:rFonts w:cs="宋体"/>
          <w:sz w:val="28"/>
          <w:szCs w:val="28"/>
        </w:rPr>
      </w:pPr>
      <w:r>
        <w:rPr>
          <w:rFonts w:hint="eastAsia" w:cs="宋体"/>
          <w:sz w:val="28"/>
          <w:szCs w:val="28"/>
        </w:rPr>
        <w:t>投标人基本情况表……………………………………………页码；</w:t>
      </w:r>
    </w:p>
    <w:p w14:paraId="3F9B388B">
      <w:pPr>
        <w:numPr>
          <w:ilvl w:val="0"/>
          <w:numId w:val="12"/>
        </w:numPr>
        <w:spacing w:line="360" w:lineRule="auto"/>
        <w:ind w:firstLine="560"/>
        <w:jc w:val="distribute"/>
        <w:rPr>
          <w:rFonts w:cs="宋体"/>
          <w:sz w:val="28"/>
          <w:szCs w:val="28"/>
        </w:rPr>
      </w:pPr>
      <w:r>
        <w:rPr>
          <w:rFonts w:hint="eastAsia" w:cs="宋体"/>
          <w:sz w:val="28"/>
          <w:szCs w:val="28"/>
        </w:rPr>
        <w:t>证书一览表…………………………………………………页码；</w:t>
      </w:r>
    </w:p>
    <w:p w14:paraId="40D50536">
      <w:pPr>
        <w:numPr>
          <w:ilvl w:val="0"/>
          <w:numId w:val="12"/>
        </w:numPr>
        <w:spacing w:line="360" w:lineRule="auto"/>
        <w:ind w:firstLine="560"/>
        <w:jc w:val="distribute"/>
        <w:rPr>
          <w:rFonts w:cs="宋体"/>
          <w:sz w:val="28"/>
          <w:szCs w:val="28"/>
        </w:rPr>
      </w:pPr>
      <w:r>
        <w:rPr>
          <w:rFonts w:hint="eastAsia" w:cs="宋体"/>
          <w:sz w:val="28"/>
          <w:szCs w:val="28"/>
        </w:rPr>
        <w:t>类似业绩一览表…………………………………………………页码；</w:t>
      </w:r>
    </w:p>
    <w:p w14:paraId="4D0FFD93">
      <w:pPr>
        <w:numPr>
          <w:ilvl w:val="0"/>
          <w:numId w:val="12"/>
        </w:numPr>
        <w:spacing w:line="360" w:lineRule="auto"/>
        <w:ind w:firstLine="560"/>
        <w:jc w:val="distribute"/>
        <w:rPr>
          <w:rFonts w:cs="宋体"/>
          <w:sz w:val="28"/>
          <w:szCs w:val="28"/>
        </w:rPr>
      </w:pPr>
      <w:r>
        <w:rPr>
          <w:rFonts w:hint="eastAsia" w:cs="宋体"/>
          <w:sz w:val="28"/>
          <w:szCs w:val="28"/>
        </w:rPr>
        <w:t>项目负责人资格情况表……………………………………………页码；</w:t>
      </w:r>
    </w:p>
    <w:p w14:paraId="474AD1E8">
      <w:pPr>
        <w:numPr>
          <w:ilvl w:val="0"/>
          <w:numId w:val="12"/>
        </w:numPr>
        <w:spacing w:line="360" w:lineRule="auto"/>
        <w:ind w:firstLine="560"/>
        <w:jc w:val="distribute"/>
        <w:rPr>
          <w:rFonts w:cs="宋体"/>
          <w:sz w:val="28"/>
          <w:szCs w:val="28"/>
        </w:rPr>
      </w:pPr>
      <w:r>
        <w:rPr>
          <w:rFonts w:hint="eastAsia" w:cs="宋体"/>
          <w:sz w:val="28"/>
          <w:szCs w:val="28"/>
          <w:lang w:eastAsia="zh-CN"/>
        </w:rPr>
        <w:t>拟投入人员情况汇总表</w:t>
      </w:r>
      <w:r>
        <w:rPr>
          <w:rFonts w:hint="eastAsia" w:cs="宋体"/>
          <w:sz w:val="28"/>
          <w:szCs w:val="28"/>
        </w:rPr>
        <w:t>……………………………………………页码；</w:t>
      </w:r>
    </w:p>
    <w:p w14:paraId="4735C4DB">
      <w:pPr>
        <w:numPr>
          <w:ilvl w:val="0"/>
          <w:numId w:val="12"/>
        </w:numPr>
        <w:spacing w:line="360" w:lineRule="auto"/>
        <w:ind w:firstLine="560"/>
        <w:jc w:val="distribute"/>
        <w:rPr>
          <w:rFonts w:cs="宋体"/>
          <w:sz w:val="28"/>
          <w:szCs w:val="28"/>
        </w:rPr>
      </w:pPr>
      <w:r>
        <w:rPr>
          <w:rFonts w:hint="eastAsia" w:cs="宋体"/>
          <w:sz w:val="28"/>
          <w:szCs w:val="28"/>
        </w:rPr>
        <w:t>技术、商务偏离表…………………………………………………页码；</w:t>
      </w:r>
    </w:p>
    <w:p w14:paraId="74CDD009">
      <w:pPr>
        <w:numPr>
          <w:ilvl w:val="0"/>
          <w:numId w:val="12"/>
        </w:numPr>
        <w:spacing w:line="360" w:lineRule="auto"/>
        <w:ind w:firstLine="560"/>
        <w:jc w:val="distribute"/>
        <w:rPr>
          <w:rFonts w:cs="宋体"/>
          <w:sz w:val="28"/>
          <w:szCs w:val="28"/>
        </w:rPr>
      </w:pPr>
      <w:r>
        <w:rPr>
          <w:rFonts w:hint="eastAsia" w:cs="宋体"/>
          <w:sz w:val="28"/>
          <w:szCs w:val="28"/>
        </w:rPr>
        <w:t>投标人认为需要提供的其他资料；包括可能影响投标人商务技术文件评分的各类证明材料……………………………………………………页码；</w:t>
      </w:r>
    </w:p>
    <w:p w14:paraId="16B2D83E">
      <w:pPr>
        <w:pStyle w:val="2"/>
        <w:jc w:val="both"/>
        <w:outlineLvl w:val="9"/>
      </w:pPr>
    </w:p>
    <w:p w14:paraId="661E7672">
      <w:pPr>
        <w:spacing w:line="500" w:lineRule="exact"/>
        <w:rPr>
          <w:b/>
          <w:bCs/>
          <w:sz w:val="28"/>
          <w:szCs w:val="28"/>
        </w:rPr>
        <w:sectPr>
          <w:headerReference r:id="rId10" w:type="first"/>
          <w:headerReference r:id="rId8" w:type="default"/>
          <w:footerReference r:id="rId11" w:type="default"/>
          <w:headerReference r:id="rId9" w:type="even"/>
          <w:pgSz w:w="11906" w:h="16838"/>
          <w:pgMar w:top="1417" w:right="1361" w:bottom="1417" w:left="1361" w:header="851" w:footer="992" w:gutter="0"/>
          <w:cols w:space="425" w:num="1"/>
          <w:docGrid w:linePitch="360" w:charSpace="0"/>
        </w:sectPr>
      </w:pPr>
    </w:p>
    <w:p w14:paraId="39B2EEE6">
      <w:pPr>
        <w:rPr>
          <w:rFonts w:ascii="宋体" w:hAnsi="宋体" w:cs="宋体"/>
          <w:b/>
          <w:bCs/>
          <w:sz w:val="24"/>
          <w:lang w:bidi="ar"/>
        </w:rPr>
      </w:pPr>
      <w:r>
        <w:rPr>
          <w:rFonts w:hint="eastAsia" w:ascii="宋体" w:hAnsi="宋体" w:cs="宋体"/>
          <w:b/>
          <w:bCs/>
          <w:sz w:val="24"/>
          <w:lang w:bidi="ar"/>
        </w:rPr>
        <w:t>附件1：</w:t>
      </w:r>
    </w:p>
    <w:p w14:paraId="2083AE38">
      <w:pPr>
        <w:pStyle w:val="23"/>
        <w:spacing w:before="120" w:after="120" w:line="480" w:lineRule="auto"/>
        <w:jc w:val="center"/>
        <w:rPr>
          <w:rFonts w:ascii="仿宋_GB2312" w:hAnsi="宋体" w:eastAsia="仿宋_GB2312"/>
          <w:b/>
          <w:color w:val="000000"/>
          <w:sz w:val="32"/>
          <w:szCs w:val="32"/>
        </w:rPr>
      </w:pPr>
      <w:r>
        <w:rPr>
          <w:rFonts w:hint="eastAsia" w:ascii="仿宋_GB2312" w:hAnsi="宋体" w:eastAsia="仿宋_GB2312"/>
          <w:b/>
          <w:color w:val="000000"/>
          <w:sz w:val="32"/>
          <w:szCs w:val="32"/>
        </w:rPr>
        <w:t>供应商自评表</w:t>
      </w:r>
    </w:p>
    <w:tbl>
      <w:tblPr>
        <w:tblStyle w:val="44"/>
        <w:tblW w:w="5641" w:type="pct"/>
        <w:tblInd w:w="-6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1285"/>
        <w:gridCol w:w="5952"/>
        <w:gridCol w:w="767"/>
        <w:gridCol w:w="978"/>
      </w:tblGrid>
      <w:tr w14:paraId="517E5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blHeader/>
        </w:trPr>
        <w:tc>
          <w:tcPr>
            <w:tcW w:w="406" w:type="pct"/>
            <w:vAlign w:val="center"/>
          </w:tcPr>
          <w:p w14:paraId="76BF6AD0">
            <w:pPr>
              <w:pStyle w:val="23"/>
              <w:spacing w:before="120" w:after="120"/>
              <w:jc w:val="center"/>
              <w:rPr>
                <w:rFonts w:hAnsi="宋体"/>
                <w:b/>
                <w:sz w:val="24"/>
                <w:szCs w:val="24"/>
                <w:lang w:bidi="ar"/>
              </w:rPr>
            </w:pPr>
            <w:r>
              <w:rPr>
                <w:rFonts w:hAnsi="宋体"/>
                <w:b/>
                <w:sz w:val="24"/>
                <w:szCs w:val="24"/>
                <w:lang w:bidi="ar"/>
              </w:rPr>
              <w:t>序号</w:t>
            </w:r>
          </w:p>
        </w:tc>
        <w:tc>
          <w:tcPr>
            <w:tcW w:w="3701" w:type="pct"/>
            <w:gridSpan w:val="2"/>
            <w:vAlign w:val="center"/>
          </w:tcPr>
          <w:p w14:paraId="2871B0EA">
            <w:pPr>
              <w:pStyle w:val="23"/>
              <w:spacing w:before="120" w:after="120"/>
              <w:jc w:val="center"/>
              <w:rPr>
                <w:rFonts w:hAnsi="宋体"/>
                <w:b/>
                <w:sz w:val="24"/>
                <w:szCs w:val="24"/>
                <w:lang w:bidi="ar"/>
              </w:rPr>
            </w:pPr>
            <w:r>
              <w:rPr>
                <w:rFonts w:hAnsi="宋体"/>
                <w:b/>
                <w:sz w:val="24"/>
                <w:szCs w:val="24"/>
                <w:lang w:bidi="ar"/>
              </w:rPr>
              <w:t>评分内容</w:t>
            </w:r>
          </w:p>
        </w:tc>
        <w:tc>
          <w:tcPr>
            <w:tcW w:w="392" w:type="pct"/>
            <w:vAlign w:val="center"/>
          </w:tcPr>
          <w:p w14:paraId="2C9CC485">
            <w:pPr>
              <w:pStyle w:val="23"/>
              <w:spacing w:before="120" w:after="120"/>
              <w:jc w:val="center"/>
              <w:rPr>
                <w:rFonts w:hAnsi="宋体"/>
                <w:b/>
                <w:sz w:val="24"/>
                <w:szCs w:val="24"/>
                <w:lang w:bidi="ar"/>
              </w:rPr>
            </w:pPr>
            <w:r>
              <w:rPr>
                <w:rFonts w:hAnsi="宋体"/>
                <w:b/>
                <w:sz w:val="24"/>
                <w:szCs w:val="24"/>
                <w:lang w:bidi="ar"/>
              </w:rPr>
              <w:t>自评分值</w:t>
            </w:r>
          </w:p>
        </w:tc>
        <w:tc>
          <w:tcPr>
            <w:tcW w:w="500" w:type="pct"/>
            <w:vAlign w:val="center"/>
          </w:tcPr>
          <w:p w14:paraId="152BEF0C">
            <w:pPr>
              <w:pStyle w:val="23"/>
              <w:spacing w:before="120" w:after="120"/>
              <w:jc w:val="center"/>
              <w:rPr>
                <w:rFonts w:hAnsi="宋体"/>
                <w:b/>
                <w:sz w:val="24"/>
                <w:szCs w:val="24"/>
                <w:lang w:bidi="ar"/>
              </w:rPr>
            </w:pPr>
            <w:r>
              <w:rPr>
                <w:rFonts w:hAnsi="宋体"/>
                <w:b/>
                <w:sz w:val="24"/>
                <w:szCs w:val="24"/>
                <w:lang w:bidi="ar"/>
              </w:rPr>
              <w:t>评分依据对应页码</w:t>
            </w:r>
          </w:p>
        </w:tc>
      </w:tr>
      <w:tr w14:paraId="58F14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trPr>
        <w:tc>
          <w:tcPr>
            <w:tcW w:w="406" w:type="pct"/>
            <w:shd w:val="clear" w:color="000000" w:fill="FFFFFF"/>
            <w:vAlign w:val="center"/>
          </w:tcPr>
          <w:p w14:paraId="763CAD69">
            <w:pPr>
              <w:pStyle w:val="19"/>
              <w:snapToGrid w:val="0"/>
              <w:spacing w:line="312" w:lineRule="auto"/>
              <w:ind w:left="0" w:leftChars="0" w:right="-2" w:rightChars="0"/>
              <w:jc w:val="center"/>
              <w:rPr>
                <w:rFonts w:ascii="宋体" w:hAnsi="宋体" w:eastAsia="宋体" w:cs="宋体"/>
                <w:bCs/>
                <w:color w:val="000000"/>
                <w:sz w:val="24"/>
                <w:szCs w:val="24"/>
                <w:lang w:val="en-US" w:eastAsia="zh-CN" w:bidi="ar-SA"/>
              </w:rPr>
            </w:pPr>
            <w:r>
              <w:rPr>
                <w:rFonts w:hint="eastAsia" w:ascii="宋体" w:hAnsi="宋体" w:cs="宋体"/>
                <w:bCs/>
                <w:color w:val="000000"/>
                <w:sz w:val="24"/>
                <w:szCs w:val="24"/>
              </w:rPr>
              <w:t>1.1</w:t>
            </w:r>
          </w:p>
        </w:tc>
        <w:tc>
          <w:tcPr>
            <w:tcW w:w="657" w:type="pct"/>
            <w:vMerge w:val="restart"/>
            <w:shd w:val="clear" w:color="auto" w:fill="auto"/>
            <w:vAlign w:val="center"/>
          </w:tcPr>
          <w:p w14:paraId="10D594E7">
            <w:pPr>
              <w:widowControl/>
              <w:spacing w:line="312" w:lineRule="auto"/>
              <w:jc w:val="center"/>
              <w:rPr>
                <w:rFonts w:ascii="宋体" w:hAnsi="宋体" w:cs="宋体"/>
                <w:sz w:val="24"/>
              </w:rPr>
            </w:pPr>
            <w:r>
              <w:rPr>
                <w:rFonts w:hint="eastAsia" w:ascii="宋体" w:hAnsi="宋体" w:cs="宋体"/>
                <w:color w:val="000000"/>
                <w:sz w:val="24"/>
                <w:szCs w:val="24"/>
              </w:rPr>
              <w:t>企业实力</w:t>
            </w:r>
          </w:p>
        </w:tc>
        <w:tc>
          <w:tcPr>
            <w:tcW w:w="3043" w:type="pct"/>
            <w:shd w:val="clear" w:color="000000" w:fill="FFFFFF"/>
            <w:vAlign w:val="center"/>
          </w:tcPr>
          <w:p w14:paraId="289A2F0F">
            <w:pPr>
              <w:widowControl/>
              <w:spacing w:line="312" w:lineRule="auto"/>
              <w:rPr>
                <w:rFonts w:ascii="宋体" w:hAnsi="宋体" w:cs="宋体"/>
                <w:sz w:val="24"/>
                <w:szCs w:val="24"/>
              </w:rPr>
            </w:pPr>
            <w:r>
              <w:rPr>
                <w:rFonts w:hint="eastAsia" w:ascii="宋体" w:hAnsi="宋体" w:cs="宋体"/>
                <w:sz w:val="24"/>
                <w:szCs w:val="24"/>
              </w:rPr>
              <w:t>投标人具有有效期内的质量管理体系认证、环境管理体系认证、职业健康安全管理体系认证，信息技术管理体系认证、信息安全管理体系认证，每提供一个得1分，最高得5分。</w:t>
            </w:r>
          </w:p>
          <w:p w14:paraId="1518F970">
            <w:pPr>
              <w:widowControl/>
              <w:spacing w:line="312" w:lineRule="auto"/>
              <w:rPr>
                <w:rFonts w:ascii="宋体" w:hAnsi="宋体" w:eastAsia="宋体" w:cs="宋体"/>
                <w:sz w:val="24"/>
                <w:szCs w:val="24"/>
                <w:lang w:val="zh-CN" w:eastAsia="zh-CN" w:bidi="ar-SA"/>
              </w:rPr>
            </w:pPr>
            <w:r>
              <w:rPr>
                <w:rFonts w:hint="eastAsia" w:ascii="宋体" w:hAnsi="宋体" w:cs="宋体"/>
                <w:b/>
                <w:bCs/>
                <w:sz w:val="24"/>
                <w:szCs w:val="24"/>
              </w:rPr>
              <w:t>【证书复制件加盖公章编入商务技术文件中，并同时提供国家认证认可监督管理委员会官方网站上相关证书有效的网页截图或网站打印页，否则不得分。】</w:t>
            </w:r>
          </w:p>
        </w:tc>
        <w:tc>
          <w:tcPr>
            <w:tcW w:w="392" w:type="pct"/>
          </w:tcPr>
          <w:p w14:paraId="518CE947">
            <w:pPr>
              <w:pStyle w:val="23"/>
              <w:spacing w:before="120" w:after="120"/>
              <w:jc w:val="center"/>
              <w:rPr>
                <w:rFonts w:hAnsi="宋体"/>
                <w:b/>
                <w:sz w:val="24"/>
                <w:szCs w:val="24"/>
                <w:lang w:bidi="ar"/>
              </w:rPr>
            </w:pPr>
          </w:p>
        </w:tc>
        <w:tc>
          <w:tcPr>
            <w:tcW w:w="500" w:type="pct"/>
          </w:tcPr>
          <w:p w14:paraId="25DE3704">
            <w:pPr>
              <w:pStyle w:val="23"/>
              <w:spacing w:before="120" w:after="120"/>
              <w:jc w:val="center"/>
              <w:rPr>
                <w:rFonts w:hAnsi="宋体"/>
                <w:b/>
                <w:sz w:val="24"/>
                <w:szCs w:val="24"/>
                <w:lang w:bidi="ar"/>
              </w:rPr>
            </w:pPr>
          </w:p>
        </w:tc>
      </w:tr>
      <w:tr w14:paraId="0580B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trPr>
        <w:tc>
          <w:tcPr>
            <w:tcW w:w="406" w:type="pct"/>
            <w:shd w:val="clear" w:color="000000" w:fill="FFFFFF"/>
            <w:vAlign w:val="center"/>
          </w:tcPr>
          <w:p w14:paraId="3C7DDA54">
            <w:pPr>
              <w:pStyle w:val="19"/>
              <w:snapToGrid w:val="0"/>
              <w:spacing w:line="312" w:lineRule="auto"/>
              <w:ind w:left="0" w:leftChars="0" w:right="-2" w:rightChars="0"/>
              <w:jc w:val="center"/>
              <w:rPr>
                <w:rFonts w:ascii="宋体" w:hAnsi="宋体" w:eastAsia="宋体" w:cs="宋体"/>
                <w:bCs/>
                <w:color w:val="000000"/>
                <w:sz w:val="24"/>
                <w:szCs w:val="24"/>
                <w:lang w:val="en-US" w:eastAsia="zh-CN" w:bidi="ar-SA"/>
              </w:rPr>
            </w:pPr>
            <w:r>
              <w:rPr>
                <w:rFonts w:hint="eastAsia" w:ascii="宋体" w:hAnsi="宋体" w:cs="宋体"/>
                <w:bCs/>
                <w:color w:val="000000"/>
                <w:sz w:val="24"/>
                <w:szCs w:val="24"/>
              </w:rPr>
              <w:t>1.2</w:t>
            </w:r>
          </w:p>
        </w:tc>
        <w:tc>
          <w:tcPr>
            <w:tcW w:w="657" w:type="pct"/>
            <w:vMerge w:val="continue"/>
            <w:shd w:val="clear" w:color="auto" w:fill="auto"/>
            <w:vAlign w:val="center"/>
          </w:tcPr>
          <w:p w14:paraId="432DAFEB">
            <w:pPr>
              <w:jc w:val="center"/>
              <w:rPr>
                <w:rFonts w:ascii="宋体" w:hAnsi="宋体" w:cs="宋体"/>
                <w:color w:val="000000"/>
                <w:sz w:val="24"/>
                <w:szCs w:val="24"/>
              </w:rPr>
            </w:pPr>
          </w:p>
        </w:tc>
        <w:tc>
          <w:tcPr>
            <w:tcW w:w="3043" w:type="pct"/>
            <w:shd w:val="clear" w:color="000000" w:fill="FFFFFF"/>
            <w:vAlign w:val="center"/>
          </w:tcPr>
          <w:p w14:paraId="12AEC2F2">
            <w:pPr>
              <w:widowControl/>
              <w:spacing w:line="312" w:lineRule="auto"/>
              <w:rPr>
                <w:rFonts w:ascii="宋体" w:hAnsi="宋体" w:cs="宋体"/>
                <w:sz w:val="24"/>
                <w:szCs w:val="24"/>
              </w:rPr>
            </w:pPr>
            <w:r>
              <w:rPr>
                <w:rFonts w:hint="eastAsia" w:ascii="宋体" w:hAnsi="宋体" w:cs="宋体"/>
                <w:sz w:val="24"/>
                <w:szCs w:val="24"/>
              </w:rPr>
              <w:t>投标人具有机电工程安装维护服务企业资质一级证书的得1分。</w:t>
            </w:r>
          </w:p>
          <w:p w14:paraId="4B74F127">
            <w:pPr>
              <w:widowControl/>
              <w:spacing w:line="312" w:lineRule="auto"/>
              <w:rPr>
                <w:rFonts w:ascii="宋体" w:hAnsi="宋体" w:eastAsia="宋体" w:cs="宋体"/>
                <w:sz w:val="24"/>
                <w:szCs w:val="24"/>
                <w:lang w:val="en-US" w:eastAsia="zh-CN" w:bidi="ar-SA"/>
              </w:rPr>
            </w:pPr>
            <w:r>
              <w:rPr>
                <w:rFonts w:hint="eastAsia" w:ascii="宋体" w:hAnsi="宋体" w:cs="宋体"/>
                <w:b/>
                <w:bCs/>
                <w:sz w:val="24"/>
                <w:szCs w:val="24"/>
              </w:rPr>
              <w:t>【证书复制件加盖公章编入商务技术文件中，否则不得分。】</w:t>
            </w:r>
          </w:p>
        </w:tc>
        <w:tc>
          <w:tcPr>
            <w:tcW w:w="392" w:type="pct"/>
          </w:tcPr>
          <w:p w14:paraId="26341389">
            <w:pPr>
              <w:pStyle w:val="23"/>
              <w:spacing w:before="120" w:after="120"/>
              <w:jc w:val="center"/>
              <w:rPr>
                <w:rFonts w:hAnsi="宋体"/>
                <w:b/>
                <w:sz w:val="24"/>
                <w:szCs w:val="24"/>
                <w:lang w:bidi="ar"/>
              </w:rPr>
            </w:pPr>
          </w:p>
        </w:tc>
        <w:tc>
          <w:tcPr>
            <w:tcW w:w="500" w:type="pct"/>
          </w:tcPr>
          <w:p w14:paraId="36DE3414">
            <w:pPr>
              <w:pStyle w:val="23"/>
              <w:spacing w:before="120" w:after="120"/>
              <w:jc w:val="center"/>
              <w:rPr>
                <w:rFonts w:hAnsi="宋体"/>
                <w:b/>
                <w:sz w:val="24"/>
                <w:szCs w:val="24"/>
                <w:lang w:bidi="ar"/>
              </w:rPr>
            </w:pPr>
          </w:p>
        </w:tc>
      </w:tr>
      <w:tr w14:paraId="65CD3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406" w:type="pct"/>
            <w:shd w:val="clear" w:color="000000" w:fill="FFFFFF"/>
            <w:vAlign w:val="center"/>
          </w:tcPr>
          <w:p w14:paraId="36FD6551">
            <w:pPr>
              <w:widowControl/>
              <w:spacing w:line="312" w:lineRule="auto"/>
              <w:jc w:val="center"/>
              <w:rPr>
                <w:rFonts w:ascii="宋体" w:hAnsi="宋体" w:eastAsia="宋体" w:cs="宋体"/>
                <w:bCs/>
                <w:color w:val="000000"/>
                <w:sz w:val="24"/>
                <w:szCs w:val="24"/>
                <w:lang w:val="en-US" w:eastAsia="zh-CN" w:bidi="ar-SA"/>
              </w:rPr>
            </w:pPr>
            <w:r>
              <w:rPr>
                <w:rFonts w:hint="eastAsia" w:ascii="宋体" w:hAnsi="宋体" w:cs="宋体"/>
                <w:bCs/>
                <w:color w:val="000000"/>
                <w:sz w:val="24"/>
                <w:szCs w:val="24"/>
              </w:rPr>
              <w:t>1.3</w:t>
            </w:r>
          </w:p>
        </w:tc>
        <w:tc>
          <w:tcPr>
            <w:tcW w:w="657" w:type="pct"/>
            <w:vMerge w:val="continue"/>
            <w:shd w:val="clear" w:color="auto" w:fill="auto"/>
            <w:vAlign w:val="center"/>
          </w:tcPr>
          <w:p w14:paraId="3224AF17">
            <w:pPr>
              <w:rPr>
                <w:rFonts w:ascii="宋体" w:hAnsi="宋体" w:cs="宋体"/>
                <w:color w:val="000000"/>
                <w:sz w:val="24"/>
                <w:szCs w:val="24"/>
              </w:rPr>
            </w:pPr>
          </w:p>
        </w:tc>
        <w:tc>
          <w:tcPr>
            <w:tcW w:w="3043" w:type="pct"/>
            <w:shd w:val="clear" w:color="000000" w:fill="FFFFFF"/>
            <w:vAlign w:val="center"/>
          </w:tcPr>
          <w:p w14:paraId="4FC28440">
            <w:pPr>
              <w:widowControl/>
              <w:spacing w:line="312" w:lineRule="auto"/>
              <w:rPr>
                <w:rFonts w:ascii="宋体" w:hAnsi="宋体" w:cs="宋体"/>
                <w:sz w:val="24"/>
                <w:szCs w:val="24"/>
              </w:rPr>
            </w:pPr>
            <w:r>
              <w:rPr>
                <w:rFonts w:hint="eastAsia" w:ascii="宋体" w:hAnsi="宋体" w:cs="宋体"/>
                <w:sz w:val="24"/>
                <w:szCs w:val="24"/>
              </w:rPr>
              <w:t>投标人具有智能化系统集成服务企业资质一级证书的得1分。</w:t>
            </w:r>
          </w:p>
          <w:p w14:paraId="1DEF7626">
            <w:pPr>
              <w:widowControl/>
              <w:spacing w:line="312" w:lineRule="auto"/>
              <w:rPr>
                <w:rFonts w:ascii="宋体" w:hAnsi="宋体" w:eastAsia="宋体" w:cs="宋体"/>
                <w:sz w:val="24"/>
                <w:szCs w:val="24"/>
                <w:lang w:val="en-US" w:eastAsia="zh-CN" w:bidi="ar-SA"/>
              </w:rPr>
            </w:pPr>
            <w:r>
              <w:rPr>
                <w:rFonts w:hint="eastAsia" w:ascii="宋体" w:hAnsi="宋体" w:cs="宋体"/>
                <w:b/>
                <w:bCs/>
                <w:sz w:val="24"/>
                <w:szCs w:val="24"/>
              </w:rPr>
              <w:t>【证书复制件加盖公章编入商务技术文件中，否则不得分。】</w:t>
            </w:r>
          </w:p>
        </w:tc>
        <w:tc>
          <w:tcPr>
            <w:tcW w:w="392" w:type="pct"/>
          </w:tcPr>
          <w:p w14:paraId="5F0C210F">
            <w:pPr>
              <w:pStyle w:val="23"/>
              <w:spacing w:before="120" w:after="120"/>
              <w:jc w:val="center"/>
              <w:rPr>
                <w:rFonts w:hAnsi="宋体"/>
                <w:b/>
                <w:sz w:val="24"/>
                <w:szCs w:val="24"/>
                <w:lang w:bidi="ar"/>
              </w:rPr>
            </w:pPr>
          </w:p>
        </w:tc>
        <w:tc>
          <w:tcPr>
            <w:tcW w:w="500" w:type="pct"/>
          </w:tcPr>
          <w:p w14:paraId="6F5D3528">
            <w:pPr>
              <w:pStyle w:val="23"/>
              <w:spacing w:before="120" w:after="120"/>
              <w:jc w:val="center"/>
              <w:rPr>
                <w:rFonts w:hAnsi="宋体"/>
                <w:b/>
                <w:sz w:val="24"/>
                <w:szCs w:val="24"/>
                <w:lang w:bidi="ar"/>
              </w:rPr>
            </w:pPr>
          </w:p>
        </w:tc>
      </w:tr>
      <w:tr w14:paraId="02AE2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406" w:type="pct"/>
            <w:shd w:val="clear" w:color="000000" w:fill="FFFFFF"/>
            <w:vAlign w:val="center"/>
          </w:tcPr>
          <w:p w14:paraId="0BE819EF">
            <w:pPr>
              <w:widowControl/>
              <w:spacing w:line="312" w:lineRule="auto"/>
              <w:jc w:val="center"/>
              <w:rPr>
                <w:rFonts w:ascii="宋体" w:hAnsi="宋体" w:eastAsia="宋体" w:cs="宋体"/>
                <w:bCs/>
                <w:color w:val="000000"/>
                <w:sz w:val="24"/>
                <w:szCs w:val="24"/>
                <w:lang w:val="en-US" w:eastAsia="zh-CN" w:bidi="ar-SA"/>
              </w:rPr>
            </w:pPr>
            <w:r>
              <w:rPr>
                <w:rFonts w:hint="eastAsia" w:ascii="宋体" w:hAnsi="宋体" w:cs="宋体"/>
                <w:bCs/>
                <w:color w:val="000000"/>
                <w:sz w:val="24"/>
                <w:szCs w:val="24"/>
              </w:rPr>
              <w:t>1.4</w:t>
            </w:r>
          </w:p>
        </w:tc>
        <w:tc>
          <w:tcPr>
            <w:tcW w:w="657" w:type="pct"/>
            <w:vMerge w:val="continue"/>
            <w:shd w:val="clear" w:color="auto" w:fill="auto"/>
            <w:vAlign w:val="center"/>
          </w:tcPr>
          <w:p w14:paraId="62378E95">
            <w:pPr>
              <w:autoSpaceDE w:val="0"/>
              <w:autoSpaceDN w:val="0"/>
              <w:adjustRightInd w:val="0"/>
              <w:snapToGrid w:val="0"/>
              <w:spacing w:line="312" w:lineRule="auto"/>
              <w:jc w:val="center"/>
              <w:rPr>
                <w:rFonts w:ascii="宋体" w:hAnsi="宋体" w:cs="宋体"/>
                <w:color w:val="000000"/>
                <w:sz w:val="24"/>
                <w:szCs w:val="24"/>
              </w:rPr>
            </w:pPr>
          </w:p>
        </w:tc>
        <w:tc>
          <w:tcPr>
            <w:tcW w:w="3043" w:type="pct"/>
            <w:shd w:val="clear" w:color="000000" w:fill="FFFFFF"/>
            <w:vAlign w:val="center"/>
          </w:tcPr>
          <w:p w14:paraId="79554BA1">
            <w:pPr>
              <w:widowControl/>
              <w:spacing w:line="312" w:lineRule="auto"/>
              <w:rPr>
                <w:rFonts w:ascii="宋体" w:hAnsi="宋体" w:cs="宋体"/>
                <w:sz w:val="24"/>
                <w:szCs w:val="24"/>
              </w:rPr>
            </w:pPr>
            <w:r>
              <w:rPr>
                <w:rFonts w:hint="eastAsia" w:ascii="宋体" w:hAnsi="宋体" w:cs="宋体"/>
                <w:sz w:val="24"/>
                <w:szCs w:val="24"/>
              </w:rPr>
              <w:t>投标人具有与派单、巡检、报修功能相关的</w:t>
            </w:r>
            <w:r>
              <w:rPr>
                <w:rFonts w:hint="eastAsia" w:ascii="宋体" w:hAnsi="宋体" w:cs="宋体"/>
                <w:strike w:val="0"/>
                <w:dstrike w:val="0"/>
                <w:sz w:val="24"/>
                <w:szCs w:val="24"/>
              </w:rPr>
              <w:t>二供泵房运维软件并能提供</w:t>
            </w:r>
            <w:r>
              <w:rPr>
                <w:rFonts w:hint="eastAsia" w:ascii="宋体" w:hAnsi="宋体" w:cs="宋体"/>
                <w:sz w:val="24"/>
                <w:szCs w:val="24"/>
              </w:rPr>
              <w:t>软件著作权证书的，每具备一个功能得1分，最高得3分。</w:t>
            </w:r>
          </w:p>
          <w:p w14:paraId="7B9F3937">
            <w:pPr>
              <w:widowControl/>
              <w:spacing w:line="312" w:lineRule="auto"/>
              <w:rPr>
                <w:rFonts w:ascii="宋体" w:hAnsi="宋体" w:eastAsia="宋体" w:cs="宋体"/>
                <w:sz w:val="24"/>
                <w:szCs w:val="24"/>
                <w:lang w:val="en-US" w:eastAsia="zh-CN" w:bidi="ar-SA"/>
              </w:rPr>
            </w:pPr>
            <w:r>
              <w:rPr>
                <w:rFonts w:hint="eastAsia" w:ascii="宋体" w:hAnsi="宋体" w:cs="宋体"/>
                <w:b/>
                <w:bCs/>
                <w:sz w:val="24"/>
                <w:szCs w:val="24"/>
              </w:rPr>
              <w:t>【证书复制件加盖公章编入商务技术文件中，否则不得分。】</w:t>
            </w:r>
          </w:p>
        </w:tc>
        <w:tc>
          <w:tcPr>
            <w:tcW w:w="392" w:type="pct"/>
          </w:tcPr>
          <w:p w14:paraId="47C79CF7">
            <w:pPr>
              <w:pStyle w:val="23"/>
              <w:spacing w:before="120" w:after="120"/>
              <w:jc w:val="center"/>
              <w:rPr>
                <w:rFonts w:hAnsi="宋体"/>
                <w:b/>
                <w:sz w:val="24"/>
                <w:szCs w:val="24"/>
                <w:lang w:bidi="ar"/>
              </w:rPr>
            </w:pPr>
          </w:p>
        </w:tc>
        <w:tc>
          <w:tcPr>
            <w:tcW w:w="500" w:type="pct"/>
          </w:tcPr>
          <w:p w14:paraId="4FDD951C">
            <w:pPr>
              <w:pStyle w:val="23"/>
              <w:spacing w:before="120" w:after="120"/>
              <w:jc w:val="center"/>
              <w:rPr>
                <w:rFonts w:hAnsi="宋体"/>
                <w:b/>
                <w:sz w:val="24"/>
                <w:szCs w:val="24"/>
                <w:lang w:bidi="ar"/>
              </w:rPr>
            </w:pPr>
          </w:p>
        </w:tc>
      </w:tr>
      <w:tr w14:paraId="1A438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406" w:type="pct"/>
            <w:shd w:val="clear" w:color="000000" w:fill="FFFFFF"/>
            <w:vAlign w:val="center"/>
          </w:tcPr>
          <w:p w14:paraId="20F0EAC5">
            <w:pPr>
              <w:widowControl/>
              <w:spacing w:line="312" w:lineRule="auto"/>
              <w:jc w:val="center"/>
              <w:rPr>
                <w:rFonts w:hint="eastAsia" w:ascii="宋体" w:hAnsi="宋体" w:eastAsia="宋体" w:cs="宋体"/>
                <w:bCs/>
                <w:color w:val="000000"/>
                <w:sz w:val="24"/>
                <w:szCs w:val="24"/>
                <w:lang w:val="en-US" w:eastAsia="zh-CN" w:bidi="ar-SA"/>
              </w:rPr>
            </w:pPr>
            <w:r>
              <w:rPr>
                <w:rFonts w:hint="eastAsia" w:ascii="宋体" w:hAnsi="宋体" w:cs="宋体"/>
                <w:bCs/>
                <w:color w:val="000000"/>
                <w:sz w:val="24"/>
                <w:szCs w:val="24"/>
              </w:rPr>
              <w:t>2</w:t>
            </w:r>
          </w:p>
        </w:tc>
        <w:tc>
          <w:tcPr>
            <w:tcW w:w="657" w:type="pct"/>
            <w:shd w:val="clear" w:color="000000" w:fill="FFFFFF"/>
            <w:vAlign w:val="center"/>
          </w:tcPr>
          <w:p w14:paraId="2779BD4E">
            <w:pPr>
              <w:widowControl/>
              <w:spacing w:line="312" w:lineRule="auto"/>
              <w:jc w:val="center"/>
              <w:rPr>
                <w:rFonts w:ascii="宋体" w:hAnsi="宋体" w:eastAsia="宋体" w:cs="宋体"/>
                <w:bCs/>
                <w:color w:val="000000"/>
                <w:sz w:val="24"/>
                <w:szCs w:val="24"/>
                <w:lang w:val="en-US" w:eastAsia="zh-CN" w:bidi="ar-SA"/>
              </w:rPr>
            </w:pPr>
            <w:r>
              <w:rPr>
                <w:rFonts w:hint="eastAsia" w:ascii="宋体" w:hAnsi="宋体" w:cs="宋体"/>
                <w:bCs/>
                <w:color w:val="000000"/>
                <w:sz w:val="24"/>
                <w:szCs w:val="24"/>
              </w:rPr>
              <w:t>业绩</w:t>
            </w:r>
          </w:p>
        </w:tc>
        <w:tc>
          <w:tcPr>
            <w:tcW w:w="3043" w:type="pct"/>
            <w:shd w:val="clear" w:color="000000" w:fill="FFFFFF"/>
            <w:vAlign w:val="center"/>
          </w:tcPr>
          <w:p w14:paraId="030DE27F">
            <w:pPr>
              <w:widowControl/>
              <w:spacing w:line="312" w:lineRule="auto"/>
              <w:rPr>
                <w:rFonts w:ascii="宋体" w:hAnsi="宋体" w:cs="宋体"/>
                <w:sz w:val="24"/>
                <w:szCs w:val="24"/>
                <w:lang w:val="zh-CN"/>
              </w:rPr>
            </w:pPr>
            <w:r>
              <w:rPr>
                <w:rFonts w:hint="eastAsia" w:ascii="宋体" w:hAnsi="宋体" w:cs="宋体"/>
                <w:sz w:val="24"/>
                <w:szCs w:val="24"/>
              </w:rPr>
              <w:t>自</w:t>
            </w:r>
            <w:r>
              <w:rPr>
                <w:rFonts w:hint="eastAsia" w:ascii="宋体" w:hAnsi="宋体" w:cs="宋体"/>
                <w:sz w:val="24"/>
                <w:szCs w:val="24"/>
                <w:lang w:val="zh-CN"/>
              </w:rPr>
              <w:t>202</w:t>
            </w:r>
            <w:r>
              <w:rPr>
                <w:rFonts w:hint="eastAsia" w:ascii="宋体" w:hAnsi="宋体" w:cs="宋体"/>
                <w:sz w:val="24"/>
                <w:szCs w:val="24"/>
              </w:rPr>
              <w:t>2</w:t>
            </w:r>
            <w:r>
              <w:rPr>
                <w:rFonts w:hint="eastAsia" w:ascii="宋体" w:hAnsi="宋体" w:cs="宋体"/>
                <w:sz w:val="24"/>
                <w:szCs w:val="24"/>
                <w:lang w:val="zh-CN"/>
              </w:rPr>
              <w:t>年1月1日以来（以合同签订时间为准），</w:t>
            </w:r>
            <w:r>
              <w:rPr>
                <w:rFonts w:hint="eastAsia" w:ascii="宋体" w:hAnsi="宋体" w:cs="宋体"/>
                <w:sz w:val="24"/>
                <w:szCs w:val="24"/>
              </w:rPr>
              <w:t>投标人承担过政府部门或国有企业委托的</w:t>
            </w:r>
            <w:r>
              <w:rPr>
                <w:rFonts w:hint="eastAsia" w:ascii="宋体" w:hAnsi="宋体" w:cs="宋体"/>
                <w:sz w:val="24"/>
                <w:szCs w:val="24"/>
                <w:lang w:val="zh-CN"/>
              </w:rPr>
              <w:t>加压泵房内设施设备</w:t>
            </w:r>
            <w:r>
              <w:rPr>
                <w:rFonts w:hint="eastAsia" w:ascii="宋体" w:hAnsi="宋体" w:cs="宋体"/>
                <w:sz w:val="24"/>
                <w:szCs w:val="24"/>
              </w:rPr>
              <w:t>维护保养业绩的</w:t>
            </w:r>
            <w:r>
              <w:rPr>
                <w:rFonts w:hint="eastAsia" w:ascii="宋体" w:hAnsi="宋体" w:cs="宋体"/>
                <w:sz w:val="24"/>
                <w:szCs w:val="24"/>
                <w:lang w:val="zh-CN"/>
              </w:rPr>
              <w:t>，每个得</w:t>
            </w:r>
            <w:r>
              <w:rPr>
                <w:rFonts w:hint="eastAsia" w:ascii="宋体" w:hAnsi="宋体" w:cs="宋体"/>
                <w:sz w:val="24"/>
                <w:szCs w:val="24"/>
              </w:rPr>
              <w:t>1</w:t>
            </w:r>
            <w:r>
              <w:rPr>
                <w:rFonts w:hint="eastAsia" w:ascii="宋体" w:hAnsi="宋体" w:cs="宋体"/>
                <w:sz w:val="24"/>
                <w:szCs w:val="24"/>
                <w:lang w:val="zh-CN"/>
              </w:rPr>
              <w:t>分，最高得</w:t>
            </w:r>
            <w:r>
              <w:rPr>
                <w:rFonts w:hint="eastAsia" w:ascii="宋体" w:hAnsi="宋体" w:cs="宋体"/>
                <w:sz w:val="24"/>
                <w:szCs w:val="24"/>
              </w:rPr>
              <w:t>3</w:t>
            </w:r>
            <w:r>
              <w:rPr>
                <w:rFonts w:hint="eastAsia" w:ascii="宋体" w:hAnsi="宋体" w:cs="宋体"/>
                <w:sz w:val="24"/>
                <w:szCs w:val="24"/>
                <w:lang w:val="zh-CN"/>
              </w:rPr>
              <w:t>分。</w:t>
            </w:r>
          </w:p>
          <w:p w14:paraId="03291EA5">
            <w:pPr>
              <w:widowControl/>
              <w:spacing w:line="312" w:lineRule="auto"/>
              <w:rPr>
                <w:rFonts w:hint="eastAsia" w:ascii="宋体" w:hAnsi="宋体" w:eastAsia="宋体" w:cs="宋体"/>
                <w:sz w:val="24"/>
                <w:szCs w:val="24"/>
                <w:lang w:val="zh-CN" w:eastAsia="zh-CN" w:bidi="ar-SA"/>
              </w:rPr>
            </w:pPr>
            <w:r>
              <w:rPr>
                <w:rFonts w:hint="eastAsia" w:ascii="宋体" w:hAnsi="宋体" w:cs="宋体"/>
                <w:b/>
                <w:bCs/>
                <w:sz w:val="24"/>
                <w:szCs w:val="24"/>
                <w:lang w:val="zh-CN"/>
              </w:rPr>
              <w:t>【合同复制件加盖公章编入商务技术文件中，否则不得分。若提供的业绩是国有企业委托的，请提供证明委托单位为国有企业的证明材料，否则不得分。】</w:t>
            </w:r>
          </w:p>
        </w:tc>
        <w:tc>
          <w:tcPr>
            <w:tcW w:w="392" w:type="pct"/>
          </w:tcPr>
          <w:p w14:paraId="2C41CF01">
            <w:pPr>
              <w:pStyle w:val="23"/>
              <w:spacing w:before="120" w:after="120"/>
              <w:jc w:val="center"/>
              <w:rPr>
                <w:rFonts w:hAnsi="宋体"/>
                <w:b/>
                <w:sz w:val="24"/>
                <w:szCs w:val="24"/>
                <w:lang w:bidi="ar"/>
              </w:rPr>
            </w:pPr>
          </w:p>
        </w:tc>
        <w:tc>
          <w:tcPr>
            <w:tcW w:w="500" w:type="pct"/>
          </w:tcPr>
          <w:p w14:paraId="1B737318">
            <w:pPr>
              <w:pStyle w:val="23"/>
              <w:spacing w:before="120" w:after="120"/>
              <w:jc w:val="center"/>
              <w:rPr>
                <w:rFonts w:hAnsi="宋体"/>
                <w:b/>
                <w:sz w:val="24"/>
                <w:szCs w:val="24"/>
                <w:lang w:bidi="ar"/>
              </w:rPr>
            </w:pPr>
          </w:p>
        </w:tc>
      </w:tr>
      <w:tr w14:paraId="7C137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406" w:type="pct"/>
            <w:shd w:val="clear" w:color="000000" w:fill="FFFFFF"/>
            <w:vAlign w:val="center"/>
          </w:tcPr>
          <w:p w14:paraId="51058207">
            <w:pPr>
              <w:pStyle w:val="19"/>
              <w:snapToGrid w:val="0"/>
              <w:spacing w:line="312" w:lineRule="auto"/>
              <w:ind w:left="0" w:leftChars="0" w:right="-2" w:rightChars="0"/>
              <w:jc w:val="center"/>
              <w:rPr>
                <w:rFonts w:hint="eastAsia" w:ascii="宋体" w:hAnsi="宋体" w:eastAsia="宋体" w:cs="宋体"/>
                <w:bCs/>
                <w:color w:val="000000"/>
                <w:sz w:val="24"/>
                <w:szCs w:val="24"/>
                <w:lang w:val="en-US" w:eastAsia="zh-CN" w:bidi="ar-SA"/>
              </w:rPr>
            </w:pPr>
            <w:r>
              <w:rPr>
                <w:rFonts w:hint="eastAsia" w:ascii="宋体" w:hAnsi="宋体" w:cs="宋体"/>
                <w:bCs/>
                <w:color w:val="000000"/>
                <w:sz w:val="24"/>
                <w:szCs w:val="24"/>
              </w:rPr>
              <w:t>3.1</w:t>
            </w:r>
          </w:p>
        </w:tc>
        <w:tc>
          <w:tcPr>
            <w:tcW w:w="657" w:type="pct"/>
            <w:vMerge w:val="restart"/>
            <w:shd w:val="clear" w:color="000000" w:fill="FFFFFF"/>
            <w:vAlign w:val="center"/>
          </w:tcPr>
          <w:p w14:paraId="11A62E6A">
            <w:pPr>
              <w:spacing w:line="312" w:lineRule="auto"/>
              <w:jc w:val="center"/>
              <w:rPr>
                <w:rFonts w:ascii="宋体" w:hAnsi="宋体" w:eastAsia="宋体" w:cs="宋体"/>
                <w:bCs/>
                <w:color w:val="000000"/>
                <w:sz w:val="24"/>
                <w:szCs w:val="24"/>
                <w:lang w:val="en-US" w:eastAsia="zh-CN" w:bidi="ar-SA"/>
              </w:rPr>
            </w:pPr>
            <w:r>
              <w:rPr>
                <w:rFonts w:hint="eastAsia" w:ascii="宋体" w:hAnsi="宋体" w:cs="宋体"/>
                <w:bCs/>
                <w:color w:val="000000"/>
                <w:sz w:val="24"/>
                <w:szCs w:val="24"/>
              </w:rPr>
              <w:t>人员配置情况</w:t>
            </w:r>
          </w:p>
          <w:p w14:paraId="6A9BF49B">
            <w:pPr>
              <w:autoSpaceDE w:val="0"/>
              <w:autoSpaceDN w:val="0"/>
              <w:adjustRightInd w:val="0"/>
              <w:snapToGrid w:val="0"/>
              <w:spacing w:line="312" w:lineRule="auto"/>
              <w:jc w:val="center"/>
              <w:rPr>
                <w:rFonts w:ascii="宋体" w:hAnsi="宋体" w:cs="宋体"/>
                <w:color w:val="000000"/>
                <w:sz w:val="24"/>
                <w:szCs w:val="24"/>
              </w:rPr>
            </w:pPr>
          </w:p>
        </w:tc>
        <w:tc>
          <w:tcPr>
            <w:tcW w:w="3043" w:type="pct"/>
            <w:shd w:val="clear" w:color="000000" w:fill="FFFFFF"/>
            <w:vAlign w:val="center"/>
          </w:tcPr>
          <w:p w14:paraId="315E5D8E">
            <w:pPr>
              <w:widowControl/>
              <w:spacing w:line="312" w:lineRule="auto"/>
              <w:rPr>
                <w:rFonts w:ascii="宋体" w:hAnsi="宋体" w:cs="宋体"/>
                <w:sz w:val="24"/>
                <w:szCs w:val="24"/>
                <w:lang w:val="zh-CN"/>
              </w:rPr>
            </w:pPr>
            <w:r>
              <w:rPr>
                <w:rFonts w:hint="eastAsia" w:ascii="宋体" w:hAnsi="宋体" w:cs="宋体"/>
                <w:sz w:val="24"/>
                <w:szCs w:val="24"/>
              </w:rPr>
              <w:t>拟投入的</w:t>
            </w:r>
            <w:r>
              <w:rPr>
                <w:rFonts w:hint="eastAsia" w:ascii="宋体" w:hAnsi="宋体" w:cs="宋体"/>
                <w:sz w:val="24"/>
                <w:szCs w:val="24"/>
                <w:lang w:val="zh-CN"/>
              </w:rPr>
              <w:t>运维团队中，</w:t>
            </w:r>
            <w:r>
              <w:rPr>
                <w:rFonts w:hint="eastAsia" w:ascii="宋体" w:hAnsi="宋体" w:cs="宋体"/>
                <w:sz w:val="24"/>
                <w:szCs w:val="24"/>
              </w:rPr>
              <w:t>每具备一名</w:t>
            </w:r>
            <w:r>
              <w:rPr>
                <w:rFonts w:hint="eastAsia" w:ascii="宋体" w:hAnsi="宋体" w:cs="宋体"/>
                <w:sz w:val="24"/>
                <w:szCs w:val="24"/>
                <w:lang w:val="zh-CN"/>
              </w:rPr>
              <w:t>中级工程师得1分，</w:t>
            </w:r>
            <w:r>
              <w:rPr>
                <w:rFonts w:hint="eastAsia" w:ascii="宋体" w:hAnsi="宋体" w:cs="宋体"/>
                <w:sz w:val="24"/>
                <w:szCs w:val="24"/>
              </w:rPr>
              <w:t>最高得</w:t>
            </w:r>
            <w:r>
              <w:rPr>
                <w:rFonts w:hint="eastAsia" w:ascii="宋体" w:hAnsi="宋体" w:cs="宋体"/>
                <w:sz w:val="24"/>
                <w:szCs w:val="24"/>
                <w:lang w:val="zh-CN"/>
              </w:rPr>
              <w:t>3分。</w:t>
            </w:r>
          </w:p>
          <w:p w14:paraId="6269CF14">
            <w:pPr>
              <w:widowControl/>
              <w:spacing w:line="312" w:lineRule="auto"/>
              <w:rPr>
                <w:rFonts w:hint="eastAsia" w:ascii="宋体" w:hAnsi="宋体" w:eastAsia="宋体" w:cs="宋体"/>
                <w:sz w:val="24"/>
                <w:szCs w:val="24"/>
                <w:lang w:val="zh-CN" w:eastAsia="zh-CN" w:bidi="ar-SA"/>
              </w:rPr>
            </w:pPr>
            <w:r>
              <w:rPr>
                <w:rFonts w:hint="eastAsia" w:ascii="宋体" w:hAnsi="宋体" w:cs="宋体"/>
                <w:b/>
                <w:bCs/>
                <w:sz w:val="24"/>
                <w:szCs w:val="24"/>
                <w:lang w:val="zh-CN"/>
              </w:rPr>
              <w:t>【</w:t>
            </w:r>
            <w:r>
              <w:rPr>
                <w:rFonts w:hint="eastAsia" w:ascii="宋体" w:hAnsi="宋体" w:cs="宋体"/>
                <w:b/>
                <w:bCs/>
                <w:sz w:val="24"/>
                <w:szCs w:val="24"/>
              </w:rPr>
              <w:t>证书</w:t>
            </w:r>
            <w:r>
              <w:rPr>
                <w:rFonts w:hint="eastAsia" w:ascii="宋体" w:hAnsi="宋体" w:cs="宋体"/>
                <w:b/>
                <w:bCs/>
                <w:sz w:val="24"/>
                <w:szCs w:val="24"/>
                <w:lang w:val="en-US" w:eastAsia="zh-CN"/>
              </w:rPr>
              <w:t>复制件</w:t>
            </w:r>
            <w:r>
              <w:rPr>
                <w:rFonts w:hint="eastAsia" w:ascii="宋体" w:hAnsi="宋体" w:cs="宋体"/>
                <w:b/>
                <w:bCs/>
                <w:sz w:val="24"/>
                <w:szCs w:val="24"/>
              </w:rPr>
              <w:t>、身份证</w:t>
            </w:r>
            <w:r>
              <w:rPr>
                <w:rFonts w:hint="eastAsia" w:ascii="宋体" w:hAnsi="宋体" w:cs="宋体"/>
                <w:b/>
                <w:bCs/>
                <w:sz w:val="24"/>
                <w:szCs w:val="24"/>
                <w:lang w:val="en-US" w:eastAsia="zh-CN"/>
              </w:rPr>
              <w:t>复制件</w:t>
            </w:r>
            <w:r>
              <w:rPr>
                <w:rFonts w:hint="eastAsia" w:ascii="宋体" w:hAnsi="宋体" w:cs="宋体"/>
                <w:b/>
                <w:bCs/>
                <w:sz w:val="24"/>
                <w:szCs w:val="24"/>
              </w:rPr>
              <w:t>加盖公章编入投标文件中，同时投标文件中提供由社保部门出具的</w:t>
            </w:r>
            <w:r>
              <w:rPr>
                <w:rFonts w:hint="eastAsia" w:ascii="宋体" w:hAnsi="宋体" w:cs="宋体"/>
                <w:b/>
                <w:bCs/>
                <w:sz w:val="24"/>
                <w:szCs w:val="24"/>
                <w:lang w:val="en-US" w:eastAsia="zh-CN"/>
              </w:rPr>
              <w:t>2024年12月-</w:t>
            </w:r>
            <w:r>
              <w:rPr>
                <w:rFonts w:hint="eastAsia" w:ascii="宋体" w:hAnsi="宋体" w:cs="宋体"/>
                <w:b/>
                <w:bCs/>
                <w:sz w:val="24"/>
                <w:szCs w:val="24"/>
              </w:rPr>
              <w:t>2025年</w:t>
            </w:r>
            <w:r>
              <w:rPr>
                <w:rFonts w:hint="eastAsia" w:ascii="宋体" w:hAnsi="宋体" w:cs="宋体"/>
                <w:b/>
                <w:bCs/>
                <w:sz w:val="24"/>
                <w:szCs w:val="24"/>
                <w:lang w:val="en-US" w:eastAsia="zh-CN"/>
              </w:rPr>
              <w:t>2</w:t>
            </w:r>
            <w:r>
              <w:rPr>
                <w:rFonts w:hint="eastAsia" w:ascii="宋体" w:hAnsi="宋体" w:cs="宋体"/>
                <w:b/>
                <w:bCs/>
                <w:sz w:val="24"/>
                <w:szCs w:val="24"/>
              </w:rPr>
              <w:t>月投标人单位为其缴纳的社保证明材料复印件加盖公章，否则本项不得分。</w:t>
            </w:r>
            <w:r>
              <w:rPr>
                <w:rFonts w:hint="eastAsia" w:ascii="宋体" w:hAnsi="宋体" w:cs="宋体"/>
                <w:b/>
                <w:bCs/>
                <w:sz w:val="24"/>
                <w:szCs w:val="24"/>
                <w:lang w:val="zh-CN"/>
              </w:rPr>
              <w:t>】</w:t>
            </w:r>
          </w:p>
        </w:tc>
        <w:tc>
          <w:tcPr>
            <w:tcW w:w="392" w:type="pct"/>
          </w:tcPr>
          <w:p w14:paraId="7A77FE1A">
            <w:pPr>
              <w:pStyle w:val="23"/>
              <w:spacing w:before="120" w:after="120"/>
              <w:jc w:val="center"/>
              <w:rPr>
                <w:rFonts w:hAnsi="宋体"/>
                <w:b/>
                <w:sz w:val="24"/>
                <w:szCs w:val="24"/>
                <w:lang w:bidi="ar"/>
              </w:rPr>
            </w:pPr>
          </w:p>
        </w:tc>
        <w:tc>
          <w:tcPr>
            <w:tcW w:w="500" w:type="pct"/>
          </w:tcPr>
          <w:p w14:paraId="40BD29AA">
            <w:pPr>
              <w:pStyle w:val="23"/>
              <w:spacing w:before="120" w:after="120"/>
              <w:jc w:val="center"/>
              <w:rPr>
                <w:rFonts w:hAnsi="宋体"/>
                <w:b/>
                <w:sz w:val="24"/>
                <w:szCs w:val="24"/>
                <w:lang w:bidi="ar"/>
              </w:rPr>
            </w:pPr>
          </w:p>
        </w:tc>
      </w:tr>
      <w:tr w14:paraId="35A99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406" w:type="pct"/>
            <w:shd w:val="clear" w:color="000000" w:fill="FFFFFF"/>
            <w:vAlign w:val="center"/>
          </w:tcPr>
          <w:p w14:paraId="0D0AAB73">
            <w:pPr>
              <w:pStyle w:val="19"/>
              <w:snapToGrid w:val="0"/>
              <w:spacing w:line="312" w:lineRule="auto"/>
              <w:ind w:left="0" w:leftChars="0" w:right="-2" w:rightChars="0"/>
              <w:jc w:val="center"/>
              <w:rPr>
                <w:rFonts w:hint="eastAsia" w:ascii="宋体" w:hAnsi="宋体" w:eastAsia="宋体" w:cs="宋体"/>
                <w:bCs/>
                <w:color w:val="000000"/>
                <w:kern w:val="2"/>
                <w:sz w:val="24"/>
                <w:szCs w:val="24"/>
                <w:lang w:val="en-US" w:eastAsia="zh-CN" w:bidi="ar-SA"/>
              </w:rPr>
            </w:pPr>
            <w:r>
              <w:rPr>
                <w:rFonts w:hint="eastAsia" w:ascii="宋体" w:hAnsi="宋体" w:cs="宋体"/>
                <w:bCs/>
                <w:color w:val="000000"/>
                <w:sz w:val="24"/>
                <w:szCs w:val="24"/>
              </w:rPr>
              <w:t>3.2</w:t>
            </w:r>
          </w:p>
        </w:tc>
        <w:tc>
          <w:tcPr>
            <w:tcW w:w="657" w:type="pct"/>
            <w:vMerge w:val="continue"/>
            <w:shd w:val="clear" w:color="auto" w:fill="auto"/>
            <w:vAlign w:val="center"/>
          </w:tcPr>
          <w:p w14:paraId="38F34C2F">
            <w:pPr>
              <w:autoSpaceDE w:val="0"/>
              <w:autoSpaceDN w:val="0"/>
              <w:adjustRightInd w:val="0"/>
              <w:snapToGrid w:val="0"/>
              <w:spacing w:line="312" w:lineRule="auto"/>
              <w:jc w:val="center"/>
              <w:rPr>
                <w:rFonts w:ascii="宋体" w:hAnsi="宋体" w:cs="宋体"/>
                <w:color w:val="000000"/>
                <w:sz w:val="24"/>
                <w:szCs w:val="24"/>
              </w:rPr>
            </w:pPr>
          </w:p>
        </w:tc>
        <w:tc>
          <w:tcPr>
            <w:tcW w:w="3043" w:type="pct"/>
            <w:shd w:val="clear" w:color="000000" w:fill="FFFFFF"/>
            <w:vAlign w:val="center"/>
          </w:tcPr>
          <w:p w14:paraId="43D7D349">
            <w:pPr>
              <w:widowControl/>
              <w:spacing w:line="312" w:lineRule="auto"/>
              <w:rPr>
                <w:rFonts w:ascii="宋体" w:hAnsi="宋体" w:cs="宋体"/>
                <w:sz w:val="24"/>
                <w:szCs w:val="24"/>
              </w:rPr>
            </w:pPr>
            <w:r>
              <w:rPr>
                <w:rFonts w:hint="eastAsia" w:ascii="宋体" w:hAnsi="宋体" w:cs="宋体"/>
                <w:sz w:val="24"/>
                <w:szCs w:val="24"/>
              </w:rPr>
              <w:t>拟投入的</w:t>
            </w:r>
            <w:r>
              <w:rPr>
                <w:rFonts w:hint="eastAsia" w:ascii="宋体" w:hAnsi="宋体" w:cs="宋体"/>
                <w:sz w:val="24"/>
                <w:szCs w:val="24"/>
                <w:lang w:val="zh-CN"/>
              </w:rPr>
              <w:t>运维团队中，</w:t>
            </w:r>
            <w:r>
              <w:rPr>
                <w:rFonts w:hint="eastAsia" w:ascii="宋体" w:hAnsi="宋体" w:cs="宋体"/>
                <w:sz w:val="24"/>
                <w:szCs w:val="24"/>
              </w:rPr>
              <w:t>配备一名</w:t>
            </w:r>
            <w:r>
              <w:rPr>
                <w:rFonts w:hint="eastAsia" w:ascii="宋体" w:hAnsi="宋体" w:cs="宋体"/>
                <w:sz w:val="24"/>
                <w:szCs w:val="24"/>
                <w:lang w:val="zh-CN"/>
              </w:rPr>
              <w:t>专职安全员的</w:t>
            </w:r>
            <w:r>
              <w:rPr>
                <w:rFonts w:hint="eastAsia" w:ascii="宋体" w:hAnsi="宋体" w:cs="宋体"/>
                <w:sz w:val="24"/>
                <w:szCs w:val="24"/>
              </w:rPr>
              <w:t>得1分。</w:t>
            </w:r>
          </w:p>
          <w:p w14:paraId="50721EAE">
            <w:pPr>
              <w:widowControl/>
              <w:spacing w:line="312" w:lineRule="auto"/>
              <w:rPr>
                <w:rFonts w:hint="eastAsia" w:ascii="宋体" w:hAnsi="宋体" w:eastAsia="宋体" w:cs="宋体"/>
                <w:sz w:val="24"/>
                <w:szCs w:val="24"/>
                <w:lang w:val="zh-CN" w:eastAsia="zh-CN" w:bidi="ar-SA"/>
              </w:rPr>
            </w:pPr>
            <w:r>
              <w:rPr>
                <w:rFonts w:hint="eastAsia" w:ascii="宋体" w:hAnsi="宋体" w:cs="宋体"/>
                <w:b/>
                <w:bCs/>
                <w:sz w:val="24"/>
                <w:szCs w:val="24"/>
                <w:lang w:val="zh-CN"/>
              </w:rPr>
              <w:t>【</w:t>
            </w:r>
            <w:r>
              <w:rPr>
                <w:rFonts w:hint="eastAsia" w:ascii="宋体" w:hAnsi="宋体" w:cs="宋体"/>
                <w:b/>
                <w:bCs/>
                <w:sz w:val="24"/>
                <w:szCs w:val="24"/>
              </w:rPr>
              <w:t>证书</w:t>
            </w:r>
            <w:r>
              <w:rPr>
                <w:rFonts w:hint="eastAsia" w:ascii="宋体" w:hAnsi="宋体" w:cs="宋体"/>
                <w:b/>
                <w:bCs/>
                <w:sz w:val="24"/>
                <w:szCs w:val="24"/>
                <w:lang w:val="en-US" w:eastAsia="zh-CN"/>
              </w:rPr>
              <w:t>复制件</w:t>
            </w:r>
            <w:r>
              <w:rPr>
                <w:rFonts w:hint="eastAsia" w:ascii="宋体" w:hAnsi="宋体" w:cs="宋体"/>
                <w:b/>
                <w:bCs/>
                <w:sz w:val="24"/>
                <w:szCs w:val="24"/>
              </w:rPr>
              <w:t>、身份证</w:t>
            </w:r>
            <w:r>
              <w:rPr>
                <w:rFonts w:hint="eastAsia" w:ascii="宋体" w:hAnsi="宋体" w:cs="宋体"/>
                <w:b/>
                <w:bCs/>
                <w:sz w:val="24"/>
                <w:szCs w:val="24"/>
                <w:lang w:val="en-US" w:eastAsia="zh-CN"/>
              </w:rPr>
              <w:t>复制件</w:t>
            </w:r>
            <w:r>
              <w:rPr>
                <w:rFonts w:hint="eastAsia" w:ascii="宋体" w:hAnsi="宋体" w:cs="宋体"/>
                <w:b/>
                <w:bCs/>
                <w:sz w:val="24"/>
                <w:szCs w:val="24"/>
              </w:rPr>
              <w:t>加盖公章编入投标文件中，同时投标文件中提供由社保部门出具的</w:t>
            </w:r>
            <w:r>
              <w:rPr>
                <w:rFonts w:hint="eastAsia" w:ascii="宋体" w:hAnsi="宋体" w:cs="宋体"/>
                <w:b/>
                <w:bCs/>
                <w:sz w:val="24"/>
                <w:szCs w:val="24"/>
                <w:lang w:val="en-US" w:eastAsia="zh-CN"/>
              </w:rPr>
              <w:t>2024年12月-</w:t>
            </w:r>
            <w:r>
              <w:rPr>
                <w:rFonts w:hint="eastAsia" w:ascii="宋体" w:hAnsi="宋体" w:cs="宋体"/>
                <w:b/>
                <w:bCs/>
                <w:sz w:val="24"/>
                <w:szCs w:val="24"/>
              </w:rPr>
              <w:t>2025年</w:t>
            </w:r>
            <w:r>
              <w:rPr>
                <w:rFonts w:hint="eastAsia" w:ascii="宋体" w:hAnsi="宋体" w:cs="宋体"/>
                <w:b/>
                <w:bCs/>
                <w:sz w:val="24"/>
                <w:szCs w:val="24"/>
                <w:lang w:val="en-US" w:eastAsia="zh-CN"/>
              </w:rPr>
              <w:t>2</w:t>
            </w:r>
            <w:r>
              <w:rPr>
                <w:rFonts w:hint="eastAsia" w:ascii="宋体" w:hAnsi="宋体" w:cs="宋体"/>
                <w:b/>
                <w:bCs/>
                <w:sz w:val="24"/>
                <w:szCs w:val="24"/>
              </w:rPr>
              <w:t>月投标人单位为其缴纳的社保证明材料复印件加盖公章，否则本项不得分。</w:t>
            </w:r>
            <w:r>
              <w:rPr>
                <w:rFonts w:hint="eastAsia" w:ascii="宋体" w:hAnsi="宋体" w:cs="宋体"/>
                <w:b/>
                <w:bCs/>
                <w:sz w:val="24"/>
                <w:szCs w:val="24"/>
                <w:lang w:val="zh-CN"/>
              </w:rPr>
              <w:t>】</w:t>
            </w:r>
          </w:p>
        </w:tc>
        <w:tc>
          <w:tcPr>
            <w:tcW w:w="392" w:type="pct"/>
          </w:tcPr>
          <w:p w14:paraId="60F2B0F6">
            <w:pPr>
              <w:pStyle w:val="23"/>
              <w:spacing w:before="120" w:after="120"/>
              <w:jc w:val="center"/>
              <w:rPr>
                <w:rFonts w:hAnsi="宋体"/>
                <w:b/>
                <w:sz w:val="24"/>
                <w:szCs w:val="24"/>
                <w:lang w:bidi="ar"/>
              </w:rPr>
            </w:pPr>
          </w:p>
        </w:tc>
        <w:tc>
          <w:tcPr>
            <w:tcW w:w="500" w:type="pct"/>
          </w:tcPr>
          <w:p w14:paraId="525187D2">
            <w:pPr>
              <w:pStyle w:val="23"/>
              <w:spacing w:before="120" w:after="120"/>
              <w:jc w:val="center"/>
              <w:rPr>
                <w:rFonts w:hAnsi="宋体"/>
                <w:b/>
                <w:sz w:val="24"/>
                <w:szCs w:val="24"/>
                <w:lang w:bidi="ar"/>
              </w:rPr>
            </w:pPr>
          </w:p>
        </w:tc>
      </w:tr>
      <w:tr w14:paraId="1D8B6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406" w:type="pct"/>
            <w:shd w:val="clear" w:color="000000" w:fill="FFFFFF"/>
            <w:vAlign w:val="center"/>
          </w:tcPr>
          <w:p w14:paraId="27628145">
            <w:pPr>
              <w:pStyle w:val="19"/>
              <w:snapToGrid w:val="0"/>
              <w:spacing w:line="312" w:lineRule="auto"/>
              <w:ind w:left="0" w:leftChars="0" w:right="-2" w:rightChars="0"/>
              <w:jc w:val="center"/>
              <w:rPr>
                <w:rFonts w:hint="eastAsia" w:ascii="宋体" w:hAnsi="宋体" w:eastAsia="宋体" w:cs="宋体"/>
                <w:bCs/>
                <w:color w:val="000000"/>
                <w:kern w:val="2"/>
                <w:sz w:val="24"/>
                <w:szCs w:val="24"/>
                <w:lang w:val="en-US" w:eastAsia="zh-CN" w:bidi="ar-SA"/>
              </w:rPr>
            </w:pPr>
            <w:r>
              <w:rPr>
                <w:rFonts w:hint="eastAsia" w:ascii="宋体" w:hAnsi="宋体" w:cs="宋体"/>
                <w:bCs/>
                <w:color w:val="000000"/>
                <w:sz w:val="24"/>
                <w:szCs w:val="24"/>
              </w:rPr>
              <w:t>3.3</w:t>
            </w:r>
          </w:p>
        </w:tc>
        <w:tc>
          <w:tcPr>
            <w:tcW w:w="657" w:type="pct"/>
            <w:vMerge w:val="continue"/>
            <w:shd w:val="clear" w:color="auto" w:fill="auto"/>
            <w:vAlign w:val="center"/>
          </w:tcPr>
          <w:p w14:paraId="13AE4B16">
            <w:pPr>
              <w:autoSpaceDE w:val="0"/>
              <w:autoSpaceDN w:val="0"/>
              <w:adjustRightInd w:val="0"/>
              <w:snapToGrid w:val="0"/>
              <w:spacing w:line="312" w:lineRule="auto"/>
              <w:jc w:val="center"/>
              <w:rPr>
                <w:rFonts w:ascii="宋体" w:hAnsi="宋体" w:cs="宋体"/>
                <w:color w:val="000000"/>
                <w:sz w:val="24"/>
                <w:szCs w:val="24"/>
              </w:rPr>
            </w:pPr>
          </w:p>
        </w:tc>
        <w:tc>
          <w:tcPr>
            <w:tcW w:w="3043" w:type="pct"/>
            <w:shd w:val="clear" w:color="000000" w:fill="FFFFFF"/>
            <w:vAlign w:val="center"/>
          </w:tcPr>
          <w:p w14:paraId="2EC58B1C">
            <w:pPr>
              <w:widowControl/>
              <w:spacing w:line="312" w:lineRule="auto"/>
              <w:rPr>
                <w:rFonts w:ascii="宋体" w:hAnsi="宋体" w:cs="宋体"/>
                <w:sz w:val="24"/>
                <w:szCs w:val="24"/>
                <w:lang w:val="zh-CN"/>
              </w:rPr>
            </w:pPr>
            <w:r>
              <w:rPr>
                <w:rFonts w:hint="eastAsia" w:ascii="宋体" w:hAnsi="宋体" w:cs="宋体"/>
                <w:sz w:val="24"/>
                <w:szCs w:val="24"/>
              </w:rPr>
              <w:t>拟投入的</w:t>
            </w:r>
            <w:r>
              <w:rPr>
                <w:rFonts w:hint="eastAsia" w:ascii="宋体" w:hAnsi="宋体" w:cs="宋体"/>
                <w:sz w:val="24"/>
                <w:szCs w:val="24"/>
                <w:lang w:val="zh-CN"/>
              </w:rPr>
              <w:t>运维团队中，</w:t>
            </w:r>
            <w:r>
              <w:rPr>
                <w:rFonts w:hint="eastAsia" w:ascii="宋体" w:hAnsi="宋体" w:cs="宋体"/>
                <w:sz w:val="24"/>
                <w:szCs w:val="24"/>
              </w:rPr>
              <w:t>配备一名</w:t>
            </w:r>
            <w:r>
              <w:rPr>
                <w:rFonts w:hint="eastAsia" w:ascii="宋体" w:hAnsi="宋体" w:cs="宋体"/>
                <w:sz w:val="24"/>
                <w:szCs w:val="24"/>
                <w:lang w:val="zh-CN"/>
              </w:rPr>
              <w:t>本地化服务人员的</w:t>
            </w:r>
            <w:r>
              <w:rPr>
                <w:rFonts w:hint="eastAsia" w:ascii="宋体" w:hAnsi="宋体" w:cs="宋体"/>
                <w:sz w:val="24"/>
                <w:szCs w:val="24"/>
              </w:rPr>
              <w:t>得1分，最高得3分。</w:t>
            </w:r>
          </w:p>
          <w:p w14:paraId="5E1BFDA9">
            <w:pPr>
              <w:widowControl/>
              <w:spacing w:line="312" w:lineRule="auto"/>
              <w:rPr>
                <w:rFonts w:hint="eastAsia" w:ascii="宋体" w:hAnsi="宋体" w:eastAsia="宋体" w:cs="宋体"/>
                <w:sz w:val="24"/>
                <w:szCs w:val="24"/>
                <w:lang w:val="zh-CN" w:eastAsia="zh-CN" w:bidi="ar-SA"/>
              </w:rPr>
            </w:pPr>
            <w:r>
              <w:rPr>
                <w:rFonts w:hint="eastAsia" w:ascii="宋体" w:hAnsi="宋体" w:cs="宋体"/>
                <w:b/>
                <w:bCs/>
                <w:sz w:val="24"/>
                <w:szCs w:val="24"/>
                <w:lang w:val="zh-CN"/>
              </w:rPr>
              <w:t>【</w:t>
            </w:r>
            <w:r>
              <w:rPr>
                <w:rFonts w:hint="eastAsia" w:ascii="宋体" w:hAnsi="宋体" w:cs="宋体"/>
                <w:b/>
                <w:bCs/>
                <w:sz w:val="24"/>
                <w:szCs w:val="24"/>
              </w:rPr>
              <w:t>提供承诺函，并列明</w:t>
            </w:r>
            <w:r>
              <w:rPr>
                <w:rFonts w:hint="eastAsia" w:ascii="宋体" w:hAnsi="宋体" w:cs="宋体"/>
                <w:b/>
                <w:bCs/>
                <w:sz w:val="24"/>
                <w:szCs w:val="24"/>
                <w:lang w:val="zh-CN"/>
              </w:rPr>
              <w:t>本地化服务人员</w:t>
            </w:r>
            <w:r>
              <w:rPr>
                <w:rFonts w:hint="eastAsia" w:ascii="宋体" w:hAnsi="宋体" w:cs="宋体"/>
                <w:b/>
                <w:bCs/>
                <w:sz w:val="24"/>
                <w:szCs w:val="24"/>
              </w:rPr>
              <w:t>清单，否则不得分。</w:t>
            </w:r>
            <w:r>
              <w:rPr>
                <w:rFonts w:hint="eastAsia" w:ascii="宋体" w:hAnsi="宋体" w:cs="宋体"/>
                <w:b/>
                <w:bCs/>
                <w:sz w:val="24"/>
                <w:szCs w:val="24"/>
                <w:lang w:val="zh-CN"/>
              </w:rPr>
              <w:t>】</w:t>
            </w:r>
          </w:p>
        </w:tc>
        <w:tc>
          <w:tcPr>
            <w:tcW w:w="392" w:type="pct"/>
          </w:tcPr>
          <w:p w14:paraId="09965303">
            <w:pPr>
              <w:pStyle w:val="23"/>
              <w:spacing w:before="120" w:after="120"/>
              <w:jc w:val="center"/>
              <w:rPr>
                <w:rFonts w:hAnsi="宋体"/>
                <w:b/>
                <w:sz w:val="24"/>
                <w:szCs w:val="24"/>
                <w:lang w:bidi="ar"/>
              </w:rPr>
            </w:pPr>
          </w:p>
        </w:tc>
        <w:tc>
          <w:tcPr>
            <w:tcW w:w="500" w:type="pct"/>
          </w:tcPr>
          <w:p w14:paraId="27A3A28E">
            <w:pPr>
              <w:pStyle w:val="23"/>
              <w:spacing w:before="120" w:after="120"/>
              <w:jc w:val="center"/>
              <w:rPr>
                <w:rFonts w:hAnsi="宋体"/>
                <w:b/>
                <w:sz w:val="24"/>
                <w:szCs w:val="24"/>
                <w:lang w:bidi="ar"/>
              </w:rPr>
            </w:pPr>
          </w:p>
        </w:tc>
      </w:tr>
      <w:tr w14:paraId="16D7B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406" w:type="pct"/>
            <w:shd w:val="clear" w:color="000000" w:fill="FFFFFF"/>
            <w:vAlign w:val="center"/>
          </w:tcPr>
          <w:p w14:paraId="455745EE">
            <w:pPr>
              <w:pStyle w:val="19"/>
              <w:snapToGrid w:val="0"/>
              <w:spacing w:line="312" w:lineRule="auto"/>
              <w:ind w:left="0" w:leftChars="0" w:right="-2" w:rightChars="0"/>
              <w:jc w:val="center"/>
              <w:rPr>
                <w:rFonts w:hint="eastAsia" w:ascii="宋体" w:hAnsi="宋体" w:eastAsia="宋体" w:cs="宋体"/>
                <w:bCs/>
                <w:color w:val="000000"/>
                <w:sz w:val="24"/>
                <w:szCs w:val="24"/>
                <w:lang w:val="en-US" w:eastAsia="zh-CN" w:bidi="ar-SA"/>
              </w:rPr>
            </w:pPr>
            <w:r>
              <w:rPr>
                <w:rFonts w:hint="eastAsia" w:ascii="宋体" w:hAnsi="宋体" w:cs="宋体"/>
                <w:bCs/>
                <w:color w:val="000000"/>
                <w:sz w:val="24"/>
                <w:szCs w:val="24"/>
              </w:rPr>
              <w:t>3.4</w:t>
            </w:r>
          </w:p>
        </w:tc>
        <w:tc>
          <w:tcPr>
            <w:tcW w:w="657" w:type="pct"/>
            <w:vMerge w:val="continue"/>
            <w:shd w:val="clear" w:color="auto" w:fill="auto"/>
            <w:vAlign w:val="center"/>
          </w:tcPr>
          <w:p w14:paraId="40149F68">
            <w:pPr>
              <w:autoSpaceDE w:val="0"/>
              <w:autoSpaceDN w:val="0"/>
              <w:adjustRightInd w:val="0"/>
              <w:snapToGrid w:val="0"/>
              <w:spacing w:line="312" w:lineRule="auto"/>
              <w:jc w:val="center"/>
              <w:rPr>
                <w:rFonts w:ascii="宋体" w:hAnsi="宋体" w:cs="宋体"/>
                <w:color w:val="000000"/>
                <w:sz w:val="24"/>
                <w:szCs w:val="24"/>
              </w:rPr>
            </w:pPr>
          </w:p>
        </w:tc>
        <w:tc>
          <w:tcPr>
            <w:tcW w:w="3043" w:type="pct"/>
            <w:shd w:val="clear" w:color="000000" w:fill="FFFFFF"/>
            <w:vAlign w:val="center"/>
          </w:tcPr>
          <w:p w14:paraId="02FE4170">
            <w:pPr>
              <w:widowControl/>
              <w:spacing w:line="312" w:lineRule="auto"/>
              <w:rPr>
                <w:rFonts w:ascii="宋体" w:hAnsi="宋体" w:cs="宋体"/>
                <w:sz w:val="24"/>
                <w:szCs w:val="24"/>
              </w:rPr>
            </w:pPr>
            <w:r>
              <w:rPr>
                <w:rFonts w:hint="eastAsia" w:ascii="宋体" w:hAnsi="宋体" w:cs="宋体"/>
                <w:sz w:val="24"/>
                <w:szCs w:val="24"/>
              </w:rPr>
              <w:t>拟投入的</w:t>
            </w:r>
            <w:r>
              <w:rPr>
                <w:rFonts w:hint="eastAsia" w:ascii="宋体" w:hAnsi="宋体" w:cs="宋体"/>
                <w:sz w:val="24"/>
                <w:szCs w:val="24"/>
                <w:lang w:val="zh-CN"/>
              </w:rPr>
              <w:t>运维团队中，</w:t>
            </w:r>
            <w:r>
              <w:rPr>
                <w:rFonts w:hint="eastAsia" w:ascii="宋体" w:hAnsi="宋体" w:cs="宋体"/>
                <w:sz w:val="24"/>
                <w:szCs w:val="24"/>
              </w:rPr>
              <w:t>每</w:t>
            </w:r>
            <w:r>
              <w:rPr>
                <w:rFonts w:hint="eastAsia" w:ascii="宋体" w:hAnsi="宋体" w:cs="宋体"/>
                <w:sz w:val="24"/>
                <w:szCs w:val="24"/>
                <w:lang w:val="zh-CN"/>
              </w:rPr>
              <w:t>配备一名低压电工，且年龄不超过50周岁的得1.5分，配备一名高压电工，且年龄不超过50周岁的得1.5分，本项最高得3分。</w:t>
            </w:r>
          </w:p>
          <w:p w14:paraId="5085630F">
            <w:pPr>
              <w:widowControl/>
              <w:spacing w:line="312" w:lineRule="auto"/>
              <w:rPr>
                <w:rFonts w:hint="eastAsia" w:ascii="宋体" w:hAnsi="宋体" w:eastAsia="宋体" w:cs="宋体"/>
                <w:sz w:val="24"/>
                <w:szCs w:val="24"/>
                <w:lang w:val="zh-CN" w:eastAsia="zh-CN" w:bidi="ar-SA"/>
              </w:rPr>
            </w:pPr>
            <w:r>
              <w:rPr>
                <w:rFonts w:hint="eastAsia" w:ascii="宋体" w:hAnsi="宋体" w:cs="宋体"/>
                <w:b/>
                <w:bCs/>
                <w:sz w:val="24"/>
                <w:szCs w:val="24"/>
                <w:lang w:val="zh-CN"/>
              </w:rPr>
              <w:t>【低压（</w:t>
            </w:r>
            <w:r>
              <w:rPr>
                <w:rFonts w:hint="eastAsia" w:ascii="宋体" w:hAnsi="宋体" w:cs="宋体"/>
                <w:b/>
                <w:bCs/>
                <w:sz w:val="24"/>
                <w:szCs w:val="24"/>
                <w:lang w:val="en-US" w:eastAsia="zh-CN"/>
              </w:rPr>
              <w:t>高压</w:t>
            </w:r>
            <w:r>
              <w:rPr>
                <w:rFonts w:hint="eastAsia" w:ascii="宋体" w:hAnsi="宋体" w:cs="宋体"/>
                <w:b/>
                <w:bCs/>
                <w:sz w:val="24"/>
                <w:szCs w:val="24"/>
                <w:lang w:val="zh-CN"/>
              </w:rPr>
              <w:t>）电工操作证</w:t>
            </w:r>
            <w:r>
              <w:rPr>
                <w:rFonts w:hint="eastAsia" w:ascii="宋体" w:hAnsi="宋体" w:cs="宋体"/>
                <w:b/>
                <w:bCs/>
                <w:sz w:val="24"/>
                <w:szCs w:val="24"/>
                <w:lang w:val="en-US" w:eastAsia="zh-CN"/>
              </w:rPr>
              <w:t>复制件</w:t>
            </w:r>
            <w:r>
              <w:rPr>
                <w:rFonts w:hint="eastAsia" w:ascii="宋体" w:hAnsi="宋体" w:cs="宋体"/>
                <w:b/>
                <w:bCs/>
                <w:sz w:val="24"/>
                <w:szCs w:val="24"/>
              </w:rPr>
              <w:t>、身份证</w:t>
            </w:r>
            <w:r>
              <w:rPr>
                <w:rFonts w:hint="eastAsia" w:ascii="宋体" w:hAnsi="宋体" w:cs="宋体"/>
                <w:b/>
                <w:bCs/>
                <w:sz w:val="24"/>
                <w:szCs w:val="24"/>
                <w:lang w:val="en-US" w:eastAsia="zh-CN"/>
              </w:rPr>
              <w:t>复制件</w:t>
            </w:r>
            <w:r>
              <w:rPr>
                <w:rFonts w:hint="eastAsia" w:ascii="宋体" w:hAnsi="宋体" w:cs="宋体"/>
                <w:b/>
                <w:bCs/>
                <w:sz w:val="24"/>
                <w:szCs w:val="24"/>
              </w:rPr>
              <w:t>加盖公章编入投标文件中，同时投标文件中提供由社保部门出具的</w:t>
            </w:r>
            <w:r>
              <w:rPr>
                <w:rFonts w:hint="eastAsia" w:ascii="宋体" w:hAnsi="宋体" w:cs="宋体"/>
                <w:b/>
                <w:bCs/>
                <w:sz w:val="24"/>
                <w:szCs w:val="24"/>
                <w:lang w:eastAsia="zh-CN"/>
              </w:rPr>
              <w:t>2024年12月-2025年2月</w:t>
            </w:r>
            <w:r>
              <w:rPr>
                <w:rFonts w:hint="eastAsia" w:ascii="宋体" w:hAnsi="宋体" w:cs="宋体"/>
                <w:b/>
                <w:bCs/>
                <w:sz w:val="24"/>
                <w:szCs w:val="24"/>
              </w:rPr>
              <w:t>投标人单位为其缴纳的社保证明材料复印件加盖公章，否则本项不得分。</w:t>
            </w:r>
            <w:r>
              <w:rPr>
                <w:rFonts w:hint="eastAsia" w:ascii="宋体" w:hAnsi="宋体" w:cs="宋体"/>
                <w:b/>
                <w:bCs/>
                <w:sz w:val="24"/>
                <w:szCs w:val="24"/>
                <w:lang w:val="zh-CN"/>
              </w:rPr>
              <w:t>】</w:t>
            </w:r>
          </w:p>
        </w:tc>
        <w:tc>
          <w:tcPr>
            <w:tcW w:w="392" w:type="pct"/>
          </w:tcPr>
          <w:p w14:paraId="61D5ABC3">
            <w:pPr>
              <w:pStyle w:val="23"/>
              <w:spacing w:before="120" w:after="120"/>
              <w:jc w:val="center"/>
              <w:rPr>
                <w:rFonts w:hAnsi="宋体"/>
                <w:b/>
                <w:sz w:val="24"/>
                <w:szCs w:val="24"/>
                <w:lang w:bidi="ar"/>
              </w:rPr>
            </w:pPr>
          </w:p>
        </w:tc>
        <w:tc>
          <w:tcPr>
            <w:tcW w:w="500" w:type="pct"/>
          </w:tcPr>
          <w:p w14:paraId="68348670">
            <w:pPr>
              <w:pStyle w:val="23"/>
              <w:spacing w:before="120" w:after="120"/>
              <w:jc w:val="center"/>
              <w:rPr>
                <w:rFonts w:hAnsi="宋体"/>
                <w:b/>
                <w:sz w:val="24"/>
                <w:szCs w:val="24"/>
                <w:lang w:bidi="ar"/>
              </w:rPr>
            </w:pPr>
          </w:p>
        </w:tc>
      </w:tr>
      <w:tr w14:paraId="7BF9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406" w:type="pct"/>
            <w:shd w:val="clear" w:color="000000" w:fill="FFFFFF"/>
            <w:vAlign w:val="center"/>
          </w:tcPr>
          <w:p w14:paraId="40EFD513">
            <w:pPr>
              <w:pStyle w:val="19"/>
              <w:snapToGrid w:val="0"/>
              <w:spacing w:line="312" w:lineRule="auto"/>
              <w:ind w:left="0" w:leftChars="0" w:right="-2" w:rightChars="0"/>
              <w:jc w:val="center"/>
              <w:rPr>
                <w:rFonts w:hint="default" w:ascii="宋体" w:hAnsi="宋体" w:eastAsia="宋体" w:cs="宋体"/>
                <w:bCs/>
                <w:color w:val="000000"/>
                <w:sz w:val="24"/>
                <w:szCs w:val="24"/>
                <w:lang w:val="en-US" w:eastAsia="zh-CN"/>
              </w:rPr>
            </w:pPr>
            <w:r>
              <w:rPr>
                <w:rFonts w:hint="eastAsia" w:ascii="宋体" w:hAnsi="宋体" w:cs="宋体"/>
                <w:bCs/>
                <w:color w:val="000000"/>
                <w:sz w:val="24"/>
                <w:szCs w:val="24"/>
                <w:lang w:val="en-US" w:eastAsia="zh-CN"/>
              </w:rPr>
              <w:t>5.2</w:t>
            </w:r>
          </w:p>
        </w:tc>
        <w:tc>
          <w:tcPr>
            <w:tcW w:w="657" w:type="pct"/>
            <w:vMerge w:val="restart"/>
            <w:shd w:val="clear" w:color="auto" w:fill="auto"/>
            <w:vAlign w:val="center"/>
          </w:tcPr>
          <w:p w14:paraId="638BBB06">
            <w:pPr>
              <w:autoSpaceDE w:val="0"/>
              <w:autoSpaceDN w:val="0"/>
              <w:adjustRightInd w:val="0"/>
              <w:snapToGrid w:val="0"/>
              <w:spacing w:line="312" w:lineRule="auto"/>
              <w:jc w:val="center"/>
              <w:rPr>
                <w:rFonts w:ascii="宋体" w:hAnsi="宋体" w:cs="宋体"/>
                <w:color w:val="000000"/>
                <w:sz w:val="24"/>
                <w:szCs w:val="24"/>
              </w:rPr>
            </w:pPr>
            <w:r>
              <w:rPr>
                <w:rFonts w:hint="eastAsia" w:ascii="宋体" w:hAnsi="宋体" w:cs="宋体"/>
                <w:color w:val="000000"/>
                <w:sz w:val="24"/>
                <w:szCs w:val="24"/>
              </w:rPr>
              <w:t>保障措施</w:t>
            </w:r>
          </w:p>
        </w:tc>
        <w:tc>
          <w:tcPr>
            <w:tcW w:w="3043" w:type="pct"/>
            <w:shd w:val="clear" w:color="000000" w:fill="FFFFFF"/>
            <w:vAlign w:val="center"/>
          </w:tcPr>
          <w:p w14:paraId="0436AA4A">
            <w:pPr>
              <w:widowControl/>
              <w:spacing w:line="312" w:lineRule="auto"/>
              <w:rPr>
                <w:rFonts w:hint="eastAsia" w:ascii="宋体" w:hAnsi="宋体" w:cs="宋体"/>
                <w:sz w:val="24"/>
                <w:szCs w:val="24"/>
                <w:highlight w:val="none"/>
                <w:shd w:val="clear"/>
              </w:rPr>
            </w:pPr>
            <w:r>
              <w:rPr>
                <w:rFonts w:hint="eastAsia" w:ascii="宋体" w:hAnsi="宋体" w:cs="宋体"/>
                <w:sz w:val="24"/>
                <w:szCs w:val="24"/>
                <w:highlight w:val="none"/>
                <w:shd w:val="clear"/>
              </w:rPr>
              <w:t>投标人在服务期间须保证拟派的运维团队成员中具有智能化系统工程师(高级)证书</w:t>
            </w:r>
            <w:r>
              <w:rPr>
                <w:rFonts w:hint="eastAsia" w:ascii="宋体" w:hAnsi="宋体" w:cs="宋体"/>
                <w:sz w:val="24"/>
                <w:szCs w:val="24"/>
                <w:highlight w:val="none"/>
                <w:shd w:val="clear"/>
                <w:lang w:eastAsia="zh-CN"/>
              </w:rPr>
              <w:t>的</w:t>
            </w:r>
            <w:r>
              <w:rPr>
                <w:rFonts w:hint="eastAsia" w:ascii="宋体" w:hAnsi="宋体" w:cs="宋体"/>
                <w:sz w:val="24"/>
                <w:szCs w:val="24"/>
                <w:highlight w:val="none"/>
                <w:shd w:val="clear"/>
                <w:lang w:val="en-US" w:eastAsia="zh-CN"/>
              </w:rPr>
              <w:t>得1分，具有</w:t>
            </w:r>
            <w:r>
              <w:rPr>
                <w:rFonts w:hint="eastAsia" w:ascii="宋体" w:hAnsi="宋体" w:cs="宋体"/>
                <w:sz w:val="24"/>
                <w:szCs w:val="24"/>
                <w:highlight w:val="none"/>
                <w:shd w:val="clear"/>
              </w:rPr>
              <w:t>IT运维工程师(高级)证书的得</w:t>
            </w:r>
            <w:r>
              <w:rPr>
                <w:rFonts w:hint="eastAsia" w:ascii="宋体" w:hAnsi="宋体" w:cs="宋体"/>
                <w:sz w:val="24"/>
                <w:szCs w:val="24"/>
                <w:highlight w:val="none"/>
                <w:shd w:val="clear"/>
                <w:lang w:val="en-US" w:eastAsia="zh-CN"/>
              </w:rPr>
              <w:t>1</w:t>
            </w:r>
            <w:r>
              <w:rPr>
                <w:rFonts w:hint="eastAsia" w:ascii="宋体" w:hAnsi="宋体" w:cs="宋体"/>
                <w:sz w:val="24"/>
                <w:szCs w:val="24"/>
                <w:highlight w:val="none"/>
                <w:shd w:val="clear"/>
              </w:rPr>
              <w:t>分，</w:t>
            </w:r>
            <w:r>
              <w:rPr>
                <w:rFonts w:hint="eastAsia" w:ascii="宋体" w:hAnsi="宋体" w:cs="宋体"/>
                <w:sz w:val="24"/>
                <w:szCs w:val="24"/>
                <w:highlight w:val="none"/>
                <w:shd w:val="clear"/>
                <w:lang w:val="en-US" w:eastAsia="zh-CN"/>
              </w:rPr>
              <w:t>本项最高得2分</w:t>
            </w:r>
            <w:r>
              <w:rPr>
                <w:rFonts w:hint="eastAsia" w:ascii="宋体" w:hAnsi="宋体" w:cs="宋体"/>
                <w:sz w:val="24"/>
                <w:szCs w:val="24"/>
                <w:highlight w:val="none"/>
                <w:shd w:val="clear"/>
              </w:rPr>
              <w:t>。</w:t>
            </w:r>
          </w:p>
          <w:p w14:paraId="66F6113B">
            <w:pPr>
              <w:widowControl/>
              <w:spacing w:line="312" w:lineRule="auto"/>
              <w:rPr>
                <w:rFonts w:hint="eastAsia" w:ascii="宋体" w:hAnsi="宋体" w:cs="宋体"/>
                <w:b/>
                <w:bCs/>
                <w:sz w:val="24"/>
                <w:szCs w:val="24"/>
                <w:lang w:val="zh-CN"/>
              </w:rPr>
            </w:pPr>
            <w:r>
              <w:rPr>
                <w:rFonts w:hint="eastAsia" w:ascii="宋体" w:hAnsi="宋体" w:cs="宋体"/>
                <w:b/>
                <w:bCs/>
                <w:sz w:val="24"/>
                <w:szCs w:val="24"/>
                <w:lang w:val="zh-CN"/>
              </w:rPr>
              <w:t>【</w:t>
            </w:r>
            <w:r>
              <w:rPr>
                <w:rFonts w:hint="eastAsia" w:ascii="宋体" w:hAnsi="宋体" w:cs="宋体"/>
                <w:b/>
                <w:bCs/>
                <w:sz w:val="24"/>
                <w:szCs w:val="24"/>
              </w:rPr>
              <w:t>证书</w:t>
            </w:r>
            <w:r>
              <w:rPr>
                <w:rFonts w:hint="eastAsia" w:ascii="宋体" w:hAnsi="宋体" w:cs="宋体"/>
                <w:b/>
                <w:bCs/>
                <w:sz w:val="24"/>
                <w:szCs w:val="24"/>
                <w:lang w:val="en-US" w:eastAsia="zh-CN"/>
              </w:rPr>
              <w:t>复制件</w:t>
            </w:r>
            <w:r>
              <w:rPr>
                <w:rFonts w:hint="eastAsia" w:ascii="宋体" w:hAnsi="宋体" w:cs="宋体"/>
                <w:b/>
                <w:bCs/>
                <w:sz w:val="24"/>
                <w:szCs w:val="24"/>
              </w:rPr>
              <w:t>、身份证</w:t>
            </w:r>
            <w:r>
              <w:rPr>
                <w:rFonts w:hint="eastAsia" w:ascii="宋体" w:hAnsi="宋体" w:cs="宋体"/>
                <w:b/>
                <w:bCs/>
                <w:sz w:val="24"/>
                <w:szCs w:val="24"/>
                <w:lang w:val="en-US" w:eastAsia="zh-CN"/>
              </w:rPr>
              <w:t>复制件</w:t>
            </w:r>
            <w:r>
              <w:rPr>
                <w:rFonts w:hint="eastAsia" w:ascii="宋体" w:hAnsi="宋体" w:cs="宋体"/>
                <w:b/>
                <w:bCs/>
                <w:sz w:val="24"/>
                <w:szCs w:val="24"/>
              </w:rPr>
              <w:t>加盖公章编入投标文件中，同时投标文件中提供由社保部门出具的</w:t>
            </w:r>
            <w:r>
              <w:rPr>
                <w:rFonts w:hint="eastAsia" w:ascii="宋体" w:hAnsi="宋体" w:cs="宋体"/>
                <w:b/>
                <w:bCs/>
                <w:sz w:val="24"/>
                <w:szCs w:val="24"/>
                <w:lang w:val="en-US" w:eastAsia="zh-CN"/>
              </w:rPr>
              <w:t>2024年12月-</w:t>
            </w:r>
            <w:r>
              <w:rPr>
                <w:rFonts w:hint="eastAsia" w:ascii="宋体" w:hAnsi="宋体" w:cs="宋体"/>
                <w:b/>
                <w:bCs/>
                <w:sz w:val="24"/>
                <w:szCs w:val="24"/>
              </w:rPr>
              <w:t>2025年</w:t>
            </w:r>
            <w:r>
              <w:rPr>
                <w:rFonts w:hint="eastAsia" w:ascii="宋体" w:hAnsi="宋体" w:cs="宋体"/>
                <w:b/>
                <w:bCs/>
                <w:sz w:val="24"/>
                <w:szCs w:val="24"/>
                <w:lang w:val="en-US" w:eastAsia="zh-CN"/>
              </w:rPr>
              <w:t>2</w:t>
            </w:r>
            <w:r>
              <w:rPr>
                <w:rFonts w:hint="eastAsia" w:ascii="宋体" w:hAnsi="宋体" w:cs="宋体"/>
                <w:b/>
                <w:bCs/>
                <w:sz w:val="24"/>
                <w:szCs w:val="24"/>
              </w:rPr>
              <w:t>月投标人单位为其缴纳的社保证明材料复印件加盖公章，否则本项不得分。</w:t>
            </w:r>
            <w:r>
              <w:rPr>
                <w:rFonts w:hint="eastAsia" w:ascii="宋体" w:hAnsi="宋体" w:cs="宋体"/>
                <w:b/>
                <w:bCs/>
                <w:sz w:val="24"/>
                <w:szCs w:val="24"/>
                <w:lang w:val="zh-CN"/>
              </w:rPr>
              <w:t>】</w:t>
            </w:r>
          </w:p>
        </w:tc>
        <w:tc>
          <w:tcPr>
            <w:tcW w:w="392" w:type="pct"/>
          </w:tcPr>
          <w:p w14:paraId="1BA6B979">
            <w:pPr>
              <w:pStyle w:val="23"/>
              <w:spacing w:before="120" w:after="120"/>
              <w:jc w:val="center"/>
              <w:rPr>
                <w:rFonts w:hAnsi="宋体"/>
                <w:b/>
                <w:sz w:val="24"/>
                <w:szCs w:val="24"/>
                <w:lang w:bidi="ar"/>
              </w:rPr>
            </w:pPr>
          </w:p>
        </w:tc>
        <w:tc>
          <w:tcPr>
            <w:tcW w:w="500" w:type="pct"/>
          </w:tcPr>
          <w:p w14:paraId="7259F883">
            <w:pPr>
              <w:pStyle w:val="23"/>
              <w:spacing w:before="120" w:after="120"/>
              <w:jc w:val="center"/>
              <w:rPr>
                <w:rFonts w:hAnsi="宋体"/>
                <w:b/>
                <w:sz w:val="24"/>
                <w:szCs w:val="24"/>
                <w:lang w:bidi="ar"/>
              </w:rPr>
            </w:pPr>
          </w:p>
        </w:tc>
      </w:tr>
      <w:tr w14:paraId="2DDA6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406" w:type="pct"/>
            <w:shd w:val="clear" w:color="000000" w:fill="FFFFFF"/>
            <w:vAlign w:val="center"/>
          </w:tcPr>
          <w:p w14:paraId="4636CA88">
            <w:pPr>
              <w:pStyle w:val="19"/>
              <w:snapToGrid w:val="0"/>
              <w:spacing w:line="312" w:lineRule="auto"/>
              <w:ind w:left="0" w:leftChars="0" w:right="-2" w:rightChars="0"/>
              <w:jc w:val="center"/>
              <w:rPr>
                <w:rFonts w:hint="default" w:ascii="宋体" w:hAnsi="宋体" w:eastAsia="宋体" w:cs="宋体"/>
                <w:bCs/>
                <w:color w:val="000000"/>
                <w:sz w:val="24"/>
                <w:szCs w:val="24"/>
                <w:lang w:val="en-US" w:eastAsia="zh-CN"/>
              </w:rPr>
            </w:pPr>
            <w:r>
              <w:rPr>
                <w:rFonts w:hint="eastAsia" w:ascii="宋体" w:hAnsi="宋体" w:cs="宋体"/>
                <w:bCs/>
                <w:color w:val="000000"/>
                <w:sz w:val="24"/>
                <w:szCs w:val="24"/>
                <w:lang w:val="en-US" w:eastAsia="zh-CN"/>
              </w:rPr>
              <w:t>5.4</w:t>
            </w:r>
          </w:p>
        </w:tc>
        <w:tc>
          <w:tcPr>
            <w:tcW w:w="657" w:type="pct"/>
            <w:vMerge w:val="continue"/>
            <w:shd w:val="clear" w:color="auto" w:fill="auto"/>
            <w:vAlign w:val="center"/>
          </w:tcPr>
          <w:p w14:paraId="107B1EE0">
            <w:pPr>
              <w:autoSpaceDE w:val="0"/>
              <w:autoSpaceDN w:val="0"/>
              <w:adjustRightInd w:val="0"/>
              <w:snapToGrid w:val="0"/>
              <w:spacing w:line="312" w:lineRule="auto"/>
              <w:jc w:val="center"/>
              <w:rPr>
                <w:rFonts w:ascii="宋体" w:hAnsi="宋体" w:cs="宋体"/>
                <w:color w:val="000000"/>
                <w:sz w:val="24"/>
                <w:szCs w:val="24"/>
              </w:rPr>
            </w:pPr>
          </w:p>
        </w:tc>
        <w:tc>
          <w:tcPr>
            <w:tcW w:w="3043" w:type="pct"/>
            <w:shd w:val="clear" w:color="000000" w:fill="FFFFFF"/>
            <w:vAlign w:val="center"/>
          </w:tcPr>
          <w:p w14:paraId="15677411">
            <w:pPr>
              <w:widowControl/>
              <w:spacing w:line="312" w:lineRule="auto"/>
              <w:rPr>
                <w:rFonts w:ascii="宋体" w:hAnsi="宋体" w:cs="宋体"/>
                <w:sz w:val="24"/>
                <w:szCs w:val="24"/>
              </w:rPr>
            </w:pPr>
            <w:r>
              <w:rPr>
                <w:rFonts w:hint="eastAsia" w:ascii="宋体" w:hAnsi="宋体" w:cs="宋体"/>
                <w:sz w:val="24"/>
                <w:szCs w:val="24"/>
              </w:rPr>
              <w:t>投标人的备件仓库不少于100平方，且具有相应备件及临时供水备用成套设备的得2分。</w:t>
            </w:r>
          </w:p>
          <w:p w14:paraId="6973FEA8">
            <w:pPr>
              <w:widowControl/>
              <w:spacing w:line="312" w:lineRule="auto"/>
              <w:rPr>
                <w:rFonts w:hint="eastAsia" w:ascii="宋体" w:hAnsi="宋体" w:cs="宋体"/>
                <w:b/>
                <w:bCs/>
                <w:sz w:val="24"/>
                <w:szCs w:val="24"/>
                <w:lang w:val="zh-CN"/>
              </w:rPr>
            </w:pPr>
            <w:r>
              <w:rPr>
                <w:rFonts w:hint="eastAsia" w:ascii="宋体" w:hAnsi="宋体" w:cs="宋体"/>
                <w:b/>
                <w:bCs/>
                <w:sz w:val="24"/>
                <w:szCs w:val="24"/>
              </w:rPr>
              <w:t>【提供相关证明材料，否则不得分。】</w:t>
            </w:r>
          </w:p>
        </w:tc>
        <w:tc>
          <w:tcPr>
            <w:tcW w:w="392" w:type="pct"/>
          </w:tcPr>
          <w:p w14:paraId="50C85D6A">
            <w:pPr>
              <w:pStyle w:val="23"/>
              <w:spacing w:before="120" w:after="120"/>
              <w:jc w:val="center"/>
              <w:rPr>
                <w:rFonts w:hAnsi="宋体"/>
                <w:b/>
                <w:sz w:val="24"/>
                <w:szCs w:val="24"/>
                <w:lang w:bidi="ar"/>
              </w:rPr>
            </w:pPr>
          </w:p>
        </w:tc>
        <w:tc>
          <w:tcPr>
            <w:tcW w:w="500" w:type="pct"/>
          </w:tcPr>
          <w:p w14:paraId="479AD6BB">
            <w:pPr>
              <w:pStyle w:val="23"/>
              <w:spacing w:before="120" w:after="120"/>
              <w:jc w:val="center"/>
              <w:rPr>
                <w:rFonts w:hAnsi="宋体"/>
                <w:b/>
                <w:sz w:val="24"/>
                <w:szCs w:val="24"/>
                <w:lang w:bidi="ar"/>
              </w:rPr>
            </w:pPr>
          </w:p>
        </w:tc>
      </w:tr>
      <w:tr w14:paraId="5FA2C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406" w:type="pct"/>
            <w:shd w:val="clear" w:color="000000" w:fill="FFFFFF"/>
            <w:vAlign w:val="center"/>
          </w:tcPr>
          <w:p w14:paraId="21B52248">
            <w:pPr>
              <w:pStyle w:val="19"/>
              <w:snapToGrid w:val="0"/>
              <w:spacing w:line="312" w:lineRule="auto"/>
              <w:ind w:left="0" w:leftChars="0" w:right="-2" w:rightChars="0"/>
              <w:jc w:val="center"/>
              <w:rPr>
                <w:rFonts w:hint="default" w:ascii="宋体" w:hAnsi="宋体" w:cs="宋体"/>
                <w:bCs/>
                <w:color w:val="000000"/>
                <w:sz w:val="24"/>
                <w:szCs w:val="24"/>
                <w:lang w:val="en-US" w:eastAsia="zh-CN"/>
              </w:rPr>
            </w:pPr>
            <w:r>
              <w:rPr>
                <w:rFonts w:hint="eastAsia" w:ascii="宋体" w:hAnsi="宋体" w:cs="宋体"/>
                <w:bCs/>
                <w:color w:val="000000"/>
                <w:sz w:val="24"/>
                <w:szCs w:val="24"/>
                <w:lang w:val="en-US" w:eastAsia="zh-CN"/>
              </w:rPr>
              <w:t>7</w:t>
            </w:r>
          </w:p>
        </w:tc>
        <w:tc>
          <w:tcPr>
            <w:tcW w:w="657" w:type="pct"/>
            <w:shd w:val="clear" w:color="000000" w:fill="FFFFFF"/>
            <w:vAlign w:val="center"/>
          </w:tcPr>
          <w:p w14:paraId="349E7394">
            <w:pPr>
              <w:widowControl/>
              <w:spacing w:line="312" w:lineRule="auto"/>
              <w:jc w:val="center"/>
              <w:rPr>
                <w:rFonts w:ascii="宋体" w:hAnsi="宋体" w:eastAsia="宋体" w:cs="宋体"/>
                <w:color w:val="000000"/>
                <w:sz w:val="24"/>
                <w:szCs w:val="24"/>
                <w:lang w:val="en-US" w:eastAsia="zh-CN" w:bidi="ar-SA"/>
              </w:rPr>
            </w:pPr>
            <w:r>
              <w:rPr>
                <w:rFonts w:hint="eastAsia" w:ascii="宋体" w:hAnsi="宋体" w:cs="宋体"/>
                <w:color w:val="000000"/>
                <w:sz w:val="24"/>
                <w:szCs w:val="24"/>
              </w:rPr>
              <w:t>售后服务证书</w:t>
            </w:r>
          </w:p>
        </w:tc>
        <w:tc>
          <w:tcPr>
            <w:tcW w:w="3043" w:type="pct"/>
            <w:shd w:val="clear" w:color="000000" w:fill="FFFFFF"/>
            <w:vAlign w:val="center"/>
          </w:tcPr>
          <w:p w14:paraId="0620E523">
            <w:pPr>
              <w:widowControl/>
              <w:spacing w:line="312" w:lineRule="auto"/>
              <w:rPr>
                <w:rFonts w:ascii="宋体" w:hAnsi="宋体" w:cs="宋体"/>
                <w:sz w:val="24"/>
                <w:szCs w:val="24"/>
              </w:rPr>
            </w:pPr>
            <w:r>
              <w:rPr>
                <w:rFonts w:hint="eastAsia" w:ascii="宋体" w:hAnsi="宋体" w:cs="宋体"/>
                <w:sz w:val="24"/>
                <w:szCs w:val="24"/>
              </w:rPr>
              <w:t>投标人具有国家《售后服务认证证书》（认证范围包含供水设备，认证标准符合GB/T27922-2011标准），认定为五星级的得1分。</w:t>
            </w:r>
          </w:p>
          <w:p w14:paraId="75BAC3B6">
            <w:pPr>
              <w:widowControl/>
              <w:spacing w:line="312" w:lineRule="auto"/>
              <w:rPr>
                <w:rFonts w:hint="eastAsia" w:ascii="宋体" w:hAnsi="宋体" w:eastAsia="宋体" w:cs="宋体"/>
                <w:sz w:val="24"/>
                <w:szCs w:val="24"/>
                <w:lang w:val="en-US" w:eastAsia="zh-CN" w:bidi="ar-SA"/>
              </w:rPr>
            </w:pPr>
            <w:r>
              <w:rPr>
                <w:rFonts w:hint="eastAsia" w:ascii="宋体" w:hAnsi="宋体" w:cs="宋体"/>
                <w:b/>
                <w:bCs/>
                <w:sz w:val="24"/>
                <w:szCs w:val="24"/>
              </w:rPr>
              <w:t>【证书复制件加盖公章编入商务技术文件中，否则不得分。】</w:t>
            </w:r>
          </w:p>
        </w:tc>
        <w:tc>
          <w:tcPr>
            <w:tcW w:w="392" w:type="pct"/>
          </w:tcPr>
          <w:p w14:paraId="25CE7E7F">
            <w:pPr>
              <w:pStyle w:val="23"/>
              <w:spacing w:before="120" w:after="120"/>
              <w:jc w:val="center"/>
              <w:rPr>
                <w:rFonts w:hAnsi="宋体"/>
                <w:b/>
                <w:sz w:val="24"/>
                <w:szCs w:val="24"/>
                <w:lang w:bidi="ar"/>
              </w:rPr>
            </w:pPr>
          </w:p>
        </w:tc>
        <w:tc>
          <w:tcPr>
            <w:tcW w:w="500" w:type="pct"/>
          </w:tcPr>
          <w:p w14:paraId="42BDE13E">
            <w:pPr>
              <w:pStyle w:val="23"/>
              <w:spacing w:before="120" w:after="120"/>
              <w:jc w:val="center"/>
              <w:rPr>
                <w:rFonts w:hAnsi="宋体"/>
                <w:b/>
                <w:sz w:val="24"/>
                <w:szCs w:val="24"/>
                <w:lang w:bidi="ar"/>
              </w:rPr>
            </w:pPr>
          </w:p>
        </w:tc>
      </w:tr>
    </w:tbl>
    <w:p w14:paraId="2EA11DDB">
      <w:pPr>
        <w:spacing w:line="500" w:lineRule="exact"/>
        <w:jc w:val="left"/>
        <w:rPr>
          <w:rFonts w:hAnsi="宋体"/>
          <w:sz w:val="24"/>
        </w:rPr>
      </w:pPr>
    </w:p>
    <w:p w14:paraId="30393AAE">
      <w:pPr>
        <w:spacing w:line="500" w:lineRule="exact"/>
        <w:jc w:val="left"/>
        <w:rPr>
          <w:rFonts w:hAnsi="宋体"/>
          <w:sz w:val="24"/>
        </w:rPr>
      </w:pPr>
      <w:r>
        <w:rPr>
          <w:rFonts w:hint="eastAsia" w:hAnsi="宋体"/>
          <w:sz w:val="24"/>
        </w:rPr>
        <w:t>投标人全称（单位公章）：</w:t>
      </w:r>
    </w:p>
    <w:p w14:paraId="1E8D02A6">
      <w:pPr>
        <w:spacing w:line="500" w:lineRule="exact"/>
        <w:rPr>
          <w:rFonts w:hAnsi="宋体"/>
          <w:sz w:val="24"/>
        </w:rPr>
      </w:pPr>
      <w:r>
        <w:rPr>
          <w:rFonts w:hint="eastAsia" w:hAnsi="宋体" w:cs="仿宋_GB2312"/>
          <w:sz w:val="24"/>
        </w:rPr>
        <w:t>法定代表人或</w:t>
      </w:r>
      <w:r>
        <w:rPr>
          <w:rFonts w:hint="eastAsia" w:hAnsi="宋体"/>
          <w:sz w:val="24"/>
        </w:rPr>
        <w:t xml:space="preserve">委托代理人（盖章或签字）：                 </w:t>
      </w:r>
    </w:p>
    <w:p w14:paraId="22AB6130">
      <w:pPr>
        <w:spacing w:line="500" w:lineRule="exact"/>
        <w:rPr>
          <w:rFonts w:hAnsi="宋体"/>
          <w:sz w:val="24"/>
        </w:rPr>
      </w:pPr>
      <w:r>
        <w:rPr>
          <w:rFonts w:hint="eastAsia" w:hAnsi="宋体"/>
          <w:sz w:val="24"/>
        </w:rPr>
        <w:t xml:space="preserve">日  </w:t>
      </w:r>
      <w:r>
        <w:rPr>
          <w:rFonts w:hAnsi="宋体"/>
          <w:sz w:val="24"/>
        </w:rPr>
        <w:t xml:space="preserve">  </w:t>
      </w:r>
      <w:r>
        <w:rPr>
          <w:rFonts w:hint="eastAsia" w:hAnsi="宋体"/>
          <w:sz w:val="24"/>
        </w:rPr>
        <w:t xml:space="preserve">期： </w:t>
      </w:r>
      <w:r>
        <w:rPr>
          <w:rFonts w:hAnsi="宋体"/>
          <w:sz w:val="24"/>
        </w:rPr>
        <w:t xml:space="preserve"> </w:t>
      </w:r>
    </w:p>
    <w:p w14:paraId="23BC41D6">
      <w:pPr>
        <w:spacing w:line="500" w:lineRule="exact"/>
        <w:rPr>
          <w:rFonts w:ascii="宋体" w:hAnsi="宋体" w:cs="宋体"/>
          <w:b/>
          <w:bCs/>
          <w:sz w:val="24"/>
          <w:lang w:bidi="ar"/>
        </w:rPr>
      </w:pPr>
      <w:r>
        <w:rPr>
          <w:rFonts w:hint="eastAsia" w:ascii="宋体" w:hAnsi="宋体" w:cs="宋体"/>
          <w:b/>
          <w:bCs/>
          <w:sz w:val="24"/>
          <w:lang w:bidi="ar"/>
        </w:rPr>
        <w:br w:type="page" w:clear="all"/>
      </w:r>
      <w:r>
        <w:rPr>
          <w:rFonts w:hint="eastAsia" w:ascii="宋体" w:hAnsi="宋体" w:cs="宋体"/>
          <w:b/>
          <w:bCs/>
          <w:sz w:val="24"/>
          <w:lang w:bidi="ar"/>
        </w:rPr>
        <w:t>附件2：</w:t>
      </w:r>
    </w:p>
    <w:p w14:paraId="08366897">
      <w:pPr>
        <w:pStyle w:val="226"/>
        <w:shd w:val="clear" w:color="auto" w:fill="FFFFFF"/>
        <w:spacing w:before="0" w:beforeAutospacing="0" w:after="0" w:afterAutospacing="0" w:line="360" w:lineRule="auto"/>
        <w:jc w:val="center"/>
        <w:rPr>
          <w:rFonts w:cs="Times New Roman"/>
          <w:b/>
          <w:bCs/>
          <w:spacing w:val="21"/>
          <w:sz w:val="32"/>
          <w:szCs w:val="32"/>
        </w:rPr>
      </w:pPr>
      <w:r>
        <w:rPr>
          <w:b/>
          <w:bCs/>
          <w:sz w:val="32"/>
          <w:szCs w:val="32"/>
        </w:rPr>
        <w:t xml:space="preserve">  </w:t>
      </w:r>
      <w:r>
        <w:rPr>
          <w:rFonts w:hint="eastAsia"/>
          <w:b/>
          <w:bCs/>
          <w:sz w:val="32"/>
          <w:szCs w:val="32"/>
        </w:rPr>
        <w:t>投标人</w:t>
      </w:r>
      <w:r>
        <w:rPr>
          <w:rFonts w:hint="eastAsia"/>
          <w:b/>
          <w:bCs/>
          <w:spacing w:val="21"/>
          <w:sz w:val="32"/>
          <w:szCs w:val="32"/>
        </w:rPr>
        <w:t>基本情况表</w:t>
      </w:r>
    </w:p>
    <w:tbl>
      <w:tblPr>
        <w:tblStyle w:val="44"/>
        <w:tblW w:w="954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802"/>
        <w:gridCol w:w="990"/>
        <w:gridCol w:w="1188"/>
        <w:gridCol w:w="1205"/>
        <w:gridCol w:w="364"/>
        <w:gridCol w:w="1258"/>
        <w:gridCol w:w="576"/>
        <w:gridCol w:w="1003"/>
        <w:gridCol w:w="1159"/>
      </w:tblGrid>
      <w:tr w14:paraId="287787E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802" w:type="dxa"/>
            <w:vAlign w:val="center"/>
          </w:tcPr>
          <w:p w14:paraId="2A572506">
            <w:pPr>
              <w:pStyle w:val="241"/>
              <w:ind w:firstLine="315"/>
              <w:rPr>
                <w:color w:val="auto"/>
                <w:sz w:val="21"/>
              </w:rPr>
            </w:pPr>
            <w:r>
              <w:rPr>
                <w:rFonts w:hint="eastAsia"/>
                <w:color w:val="auto"/>
                <w:sz w:val="21"/>
              </w:rPr>
              <w:t>投标人</w:t>
            </w:r>
            <w:r>
              <w:rPr>
                <w:color w:val="auto"/>
                <w:sz w:val="21"/>
              </w:rPr>
              <w:t>名称</w:t>
            </w:r>
          </w:p>
        </w:tc>
        <w:tc>
          <w:tcPr>
            <w:tcW w:w="7743" w:type="dxa"/>
            <w:gridSpan w:val="8"/>
            <w:vAlign w:val="center"/>
          </w:tcPr>
          <w:p w14:paraId="6C342B8C">
            <w:pPr>
              <w:pStyle w:val="241"/>
              <w:ind w:firstLine="315"/>
              <w:rPr>
                <w:color w:val="auto"/>
                <w:sz w:val="21"/>
              </w:rPr>
            </w:pPr>
          </w:p>
        </w:tc>
      </w:tr>
      <w:tr w14:paraId="0611CDB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802" w:type="dxa"/>
            <w:vAlign w:val="center"/>
          </w:tcPr>
          <w:p w14:paraId="0CA688DC">
            <w:pPr>
              <w:pStyle w:val="241"/>
              <w:ind w:firstLine="315"/>
              <w:rPr>
                <w:color w:val="auto"/>
                <w:sz w:val="21"/>
              </w:rPr>
            </w:pPr>
            <w:r>
              <w:rPr>
                <w:color w:val="auto"/>
                <w:sz w:val="21"/>
              </w:rPr>
              <w:t>注册地址</w:t>
            </w:r>
          </w:p>
        </w:tc>
        <w:tc>
          <w:tcPr>
            <w:tcW w:w="3747" w:type="dxa"/>
            <w:gridSpan w:val="4"/>
            <w:vAlign w:val="center"/>
          </w:tcPr>
          <w:p w14:paraId="6BDD19C4">
            <w:pPr>
              <w:pStyle w:val="241"/>
              <w:ind w:firstLine="315"/>
              <w:rPr>
                <w:color w:val="auto"/>
                <w:sz w:val="21"/>
              </w:rPr>
            </w:pPr>
          </w:p>
        </w:tc>
        <w:tc>
          <w:tcPr>
            <w:tcW w:w="1258" w:type="dxa"/>
            <w:vAlign w:val="center"/>
          </w:tcPr>
          <w:p w14:paraId="1C3256BD">
            <w:pPr>
              <w:pStyle w:val="241"/>
              <w:jc w:val="center"/>
              <w:rPr>
                <w:color w:val="auto"/>
                <w:sz w:val="21"/>
              </w:rPr>
            </w:pPr>
            <w:r>
              <w:rPr>
                <w:color w:val="auto"/>
                <w:sz w:val="21"/>
              </w:rPr>
              <w:t>邮政编码</w:t>
            </w:r>
          </w:p>
        </w:tc>
        <w:tc>
          <w:tcPr>
            <w:tcW w:w="2738" w:type="dxa"/>
            <w:gridSpan w:val="3"/>
            <w:vAlign w:val="center"/>
          </w:tcPr>
          <w:p w14:paraId="52363EBE">
            <w:pPr>
              <w:pStyle w:val="241"/>
              <w:ind w:firstLine="315"/>
              <w:rPr>
                <w:color w:val="auto"/>
                <w:sz w:val="21"/>
              </w:rPr>
            </w:pPr>
          </w:p>
        </w:tc>
      </w:tr>
      <w:tr w14:paraId="6781EED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Merge w:val="restart"/>
            <w:vAlign w:val="center"/>
          </w:tcPr>
          <w:p w14:paraId="740D1B39">
            <w:pPr>
              <w:pStyle w:val="241"/>
              <w:ind w:firstLine="315"/>
              <w:rPr>
                <w:color w:val="auto"/>
                <w:sz w:val="21"/>
              </w:rPr>
            </w:pPr>
            <w:r>
              <w:rPr>
                <w:color w:val="auto"/>
                <w:sz w:val="21"/>
              </w:rPr>
              <w:t>联系方式</w:t>
            </w:r>
          </w:p>
        </w:tc>
        <w:tc>
          <w:tcPr>
            <w:tcW w:w="990" w:type="dxa"/>
            <w:vAlign w:val="center"/>
          </w:tcPr>
          <w:p w14:paraId="35DA59AF">
            <w:pPr>
              <w:pStyle w:val="241"/>
              <w:jc w:val="center"/>
              <w:rPr>
                <w:color w:val="auto"/>
                <w:sz w:val="21"/>
              </w:rPr>
            </w:pPr>
            <w:r>
              <w:rPr>
                <w:color w:val="auto"/>
                <w:sz w:val="21"/>
              </w:rPr>
              <w:t>联系人</w:t>
            </w:r>
          </w:p>
        </w:tc>
        <w:tc>
          <w:tcPr>
            <w:tcW w:w="2757" w:type="dxa"/>
            <w:gridSpan w:val="3"/>
            <w:vAlign w:val="center"/>
          </w:tcPr>
          <w:p w14:paraId="14AF71B5">
            <w:pPr>
              <w:pStyle w:val="241"/>
              <w:ind w:firstLine="315"/>
              <w:rPr>
                <w:color w:val="auto"/>
                <w:sz w:val="21"/>
              </w:rPr>
            </w:pPr>
          </w:p>
        </w:tc>
        <w:tc>
          <w:tcPr>
            <w:tcW w:w="1258" w:type="dxa"/>
            <w:vAlign w:val="center"/>
          </w:tcPr>
          <w:p w14:paraId="29A9EC25">
            <w:pPr>
              <w:pStyle w:val="241"/>
              <w:jc w:val="center"/>
              <w:rPr>
                <w:color w:val="auto"/>
                <w:sz w:val="21"/>
              </w:rPr>
            </w:pPr>
            <w:r>
              <w:rPr>
                <w:color w:val="auto"/>
                <w:sz w:val="21"/>
              </w:rPr>
              <w:t>电 话</w:t>
            </w:r>
          </w:p>
        </w:tc>
        <w:tc>
          <w:tcPr>
            <w:tcW w:w="2738" w:type="dxa"/>
            <w:gridSpan w:val="3"/>
            <w:vAlign w:val="center"/>
          </w:tcPr>
          <w:p w14:paraId="76D5148A">
            <w:pPr>
              <w:pStyle w:val="241"/>
              <w:ind w:firstLine="315"/>
              <w:rPr>
                <w:color w:val="auto"/>
                <w:sz w:val="21"/>
              </w:rPr>
            </w:pPr>
          </w:p>
        </w:tc>
      </w:tr>
      <w:tr w14:paraId="32484B6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Merge w:val="continue"/>
            <w:vAlign w:val="center"/>
          </w:tcPr>
          <w:p w14:paraId="7EB384FD">
            <w:pPr>
              <w:pStyle w:val="241"/>
              <w:ind w:firstLine="315"/>
              <w:jc w:val="center"/>
              <w:rPr>
                <w:color w:val="auto"/>
                <w:sz w:val="21"/>
              </w:rPr>
            </w:pPr>
          </w:p>
        </w:tc>
        <w:tc>
          <w:tcPr>
            <w:tcW w:w="990" w:type="dxa"/>
            <w:vAlign w:val="center"/>
          </w:tcPr>
          <w:p w14:paraId="4801DF89">
            <w:pPr>
              <w:pStyle w:val="241"/>
              <w:jc w:val="center"/>
              <w:rPr>
                <w:color w:val="auto"/>
                <w:sz w:val="21"/>
              </w:rPr>
            </w:pPr>
            <w:r>
              <w:rPr>
                <w:color w:val="auto"/>
                <w:sz w:val="21"/>
              </w:rPr>
              <w:t>传 真</w:t>
            </w:r>
          </w:p>
        </w:tc>
        <w:tc>
          <w:tcPr>
            <w:tcW w:w="2757" w:type="dxa"/>
            <w:gridSpan w:val="3"/>
            <w:vAlign w:val="center"/>
          </w:tcPr>
          <w:p w14:paraId="0AE96DC1">
            <w:pPr>
              <w:pStyle w:val="241"/>
              <w:ind w:firstLine="315"/>
              <w:rPr>
                <w:color w:val="auto"/>
                <w:sz w:val="21"/>
              </w:rPr>
            </w:pPr>
          </w:p>
        </w:tc>
        <w:tc>
          <w:tcPr>
            <w:tcW w:w="1258" w:type="dxa"/>
            <w:vAlign w:val="center"/>
          </w:tcPr>
          <w:p w14:paraId="38243691">
            <w:pPr>
              <w:pStyle w:val="241"/>
              <w:jc w:val="center"/>
              <w:rPr>
                <w:color w:val="auto"/>
                <w:sz w:val="21"/>
              </w:rPr>
            </w:pPr>
            <w:r>
              <w:rPr>
                <w:color w:val="auto"/>
                <w:sz w:val="21"/>
              </w:rPr>
              <w:t>电子邮件</w:t>
            </w:r>
          </w:p>
        </w:tc>
        <w:tc>
          <w:tcPr>
            <w:tcW w:w="2738" w:type="dxa"/>
            <w:gridSpan w:val="3"/>
            <w:vAlign w:val="center"/>
          </w:tcPr>
          <w:p w14:paraId="604E2E04">
            <w:pPr>
              <w:pStyle w:val="241"/>
              <w:ind w:firstLine="315"/>
              <w:rPr>
                <w:color w:val="auto"/>
                <w:sz w:val="21"/>
              </w:rPr>
            </w:pPr>
          </w:p>
        </w:tc>
      </w:tr>
      <w:tr w14:paraId="2D73729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802" w:type="dxa"/>
            <w:vAlign w:val="center"/>
          </w:tcPr>
          <w:p w14:paraId="1A80D914">
            <w:pPr>
              <w:pStyle w:val="241"/>
              <w:ind w:firstLine="315"/>
              <w:rPr>
                <w:color w:val="auto"/>
                <w:sz w:val="21"/>
              </w:rPr>
            </w:pPr>
            <w:r>
              <w:rPr>
                <w:color w:val="auto"/>
                <w:sz w:val="21"/>
              </w:rPr>
              <w:t>法定代表人</w:t>
            </w:r>
          </w:p>
        </w:tc>
        <w:tc>
          <w:tcPr>
            <w:tcW w:w="990" w:type="dxa"/>
            <w:vAlign w:val="center"/>
          </w:tcPr>
          <w:p w14:paraId="5C148C03">
            <w:pPr>
              <w:pStyle w:val="241"/>
              <w:ind w:firstLine="315"/>
              <w:rPr>
                <w:color w:val="auto"/>
                <w:sz w:val="21"/>
              </w:rPr>
            </w:pPr>
            <w:r>
              <w:rPr>
                <w:color w:val="auto"/>
                <w:sz w:val="21"/>
              </w:rPr>
              <w:t>姓名</w:t>
            </w:r>
          </w:p>
        </w:tc>
        <w:tc>
          <w:tcPr>
            <w:tcW w:w="1188" w:type="dxa"/>
            <w:vAlign w:val="center"/>
          </w:tcPr>
          <w:p w14:paraId="1B4C2E54">
            <w:pPr>
              <w:pStyle w:val="241"/>
              <w:ind w:firstLine="315"/>
              <w:rPr>
                <w:color w:val="auto"/>
                <w:sz w:val="21"/>
              </w:rPr>
            </w:pPr>
          </w:p>
        </w:tc>
        <w:tc>
          <w:tcPr>
            <w:tcW w:w="1205" w:type="dxa"/>
            <w:vAlign w:val="center"/>
          </w:tcPr>
          <w:p w14:paraId="5499FAD2">
            <w:pPr>
              <w:pStyle w:val="241"/>
              <w:jc w:val="center"/>
              <w:rPr>
                <w:color w:val="auto"/>
                <w:sz w:val="21"/>
              </w:rPr>
            </w:pPr>
            <w:r>
              <w:rPr>
                <w:color w:val="auto"/>
                <w:sz w:val="21"/>
              </w:rPr>
              <w:t>技术职称</w:t>
            </w:r>
          </w:p>
        </w:tc>
        <w:tc>
          <w:tcPr>
            <w:tcW w:w="2198" w:type="dxa"/>
            <w:gridSpan w:val="3"/>
            <w:vAlign w:val="center"/>
          </w:tcPr>
          <w:p w14:paraId="32382DDF">
            <w:pPr>
              <w:pStyle w:val="241"/>
              <w:ind w:firstLine="315"/>
              <w:rPr>
                <w:color w:val="auto"/>
                <w:sz w:val="21"/>
              </w:rPr>
            </w:pPr>
          </w:p>
        </w:tc>
        <w:tc>
          <w:tcPr>
            <w:tcW w:w="1003" w:type="dxa"/>
            <w:vAlign w:val="center"/>
          </w:tcPr>
          <w:p w14:paraId="304486D9">
            <w:pPr>
              <w:pStyle w:val="241"/>
              <w:ind w:firstLine="315"/>
              <w:rPr>
                <w:color w:val="auto"/>
                <w:sz w:val="21"/>
              </w:rPr>
            </w:pPr>
            <w:r>
              <w:rPr>
                <w:color w:val="auto"/>
                <w:sz w:val="21"/>
              </w:rPr>
              <w:t>电话</w:t>
            </w:r>
          </w:p>
        </w:tc>
        <w:tc>
          <w:tcPr>
            <w:tcW w:w="1159" w:type="dxa"/>
            <w:vAlign w:val="center"/>
          </w:tcPr>
          <w:p w14:paraId="4FF60D92">
            <w:pPr>
              <w:pStyle w:val="241"/>
              <w:ind w:firstLine="315"/>
              <w:rPr>
                <w:color w:val="auto"/>
                <w:sz w:val="21"/>
              </w:rPr>
            </w:pPr>
          </w:p>
        </w:tc>
      </w:tr>
      <w:tr w14:paraId="577A3A5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802" w:type="dxa"/>
            <w:vAlign w:val="center"/>
          </w:tcPr>
          <w:p w14:paraId="4100729C">
            <w:pPr>
              <w:pStyle w:val="241"/>
              <w:ind w:firstLine="315"/>
              <w:rPr>
                <w:color w:val="auto"/>
                <w:sz w:val="21"/>
              </w:rPr>
            </w:pPr>
            <w:r>
              <w:rPr>
                <w:rFonts w:hint="eastAsia"/>
                <w:color w:val="auto"/>
                <w:sz w:val="21"/>
              </w:rPr>
              <w:t>技术</w:t>
            </w:r>
            <w:r>
              <w:rPr>
                <w:color w:val="auto"/>
                <w:sz w:val="21"/>
              </w:rPr>
              <w:t>负责人</w:t>
            </w:r>
          </w:p>
        </w:tc>
        <w:tc>
          <w:tcPr>
            <w:tcW w:w="990" w:type="dxa"/>
            <w:vAlign w:val="center"/>
          </w:tcPr>
          <w:p w14:paraId="49399D64">
            <w:pPr>
              <w:pStyle w:val="241"/>
              <w:ind w:firstLine="315"/>
              <w:rPr>
                <w:color w:val="auto"/>
                <w:sz w:val="21"/>
              </w:rPr>
            </w:pPr>
            <w:r>
              <w:rPr>
                <w:color w:val="auto"/>
                <w:sz w:val="21"/>
              </w:rPr>
              <w:t>姓名</w:t>
            </w:r>
          </w:p>
        </w:tc>
        <w:tc>
          <w:tcPr>
            <w:tcW w:w="1188" w:type="dxa"/>
            <w:vAlign w:val="center"/>
          </w:tcPr>
          <w:p w14:paraId="4257F38C">
            <w:pPr>
              <w:pStyle w:val="241"/>
              <w:ind w:firstLine="315"/>
              <w:rPr>
                <w:color w:val="auto"/>
                <w:sz w:val="21"/>
              </w:rPr>
            </w:pPr>
          </w:p>
        </w:tc>
        <w:tc>
          <w:tcPr>
            <w:tcW w:w="1205" w:type="dxa"/>
            <w:vAlign w:val="center"/>
          </w:tcPr>
          <w:p w14:paraId="4327231E">
            <w:pPr>
              <w:pStyle w:val="241"/>
              <w:jc w:val="center"/>
              <w:rPr>
                <w:color w:val="auto"/>
                <w:sz w:val="21"/>
              </w:rPr>
            </w:pPr>
            <w:r>
              <w:rPr>
                <w:color w:val="auto"/>
                <w:sz w:val="21"/>
              </w:rPr>
              <w:t>技术职称</w:t>
            </w:r>
          </w:p>
        </w:tc>
        <w:tc>
          <w:tcPr>
            <w:tcW w:w="2198" w:type="dxa"/>
            <w:gridSpan w:val="3"/>
            <w:vAlign w:val="center"/>
          </w:tcPr>
          <w:p w14:paraId="4F7B06E5">
            <w:pPr>
              <w:pStyle w:val="241"/>
              <w:ind w:firstLine="315"/>
              <w:rPr>
                <w:color w:val="auto"/>
                <w:sz w:val="21"/>
              </w:rPr>
            </w:pPr>
          </w:p>
        </w:tc>
        <w:tc>
          <w:tcPr>
            <w:tcW w:w="1003" w:type="dxa"/>
            <w:vAlign w:val="center"/>
          </w:tcPr>
          <w:p w14:paraId="3DC46698">
            <w:pPr>
              <w:pStyle w:val="241"/>
              <w:ind w:firstLine="315"/>
              <w:rPr>
                <w:color w:val="auto"/>
                <w:sz w:val="21"/>
              </w:rPr>
            </w:pPr>
            <w:r>
              <w:rPr>
                <w:color w:val="auto"/>
                <w:sz w:val="21"/>
              </w:rPr>
              <w:t>电话</w:t>
            </w:r>
          </w:p>
        </w:tc>
        <w:tc>
          <w:tcPr>
            <w:tcW w:w="1159" w:type="dxa"/>
            <w:vAlign w:val="center"/>
          </w:tcPr>
          <w:p w14:paraId="32A0A22C">
            <w:pPr>
              <w:pStyle w:val="241"/>
              <w:ind w:firstLine="315"/>
              <w:rPr>
                <w:color w:val="auto"/>
                <w:sz w:val="21"/>
              </w:rPr>
            </w:pPr>
          </w:p>
        </w:tc>
      </w:tr>
      <w:tr w14:paraId="632A15F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802" w:type="dxa"/>
            <w:vAlign w:val="center"/>
          </w:tcPr>
          <w:p w14:paraId="071DED76">
            <w:pPr>
              <w:pStyle w:val="241"/>
              <w:ind w:firstLine="315"/>
              <w:rPr>
                <w:color w:val="auto"/>
                <w:sz w:val="21"/>
              </w:rPr>
            </w:pPr>
            <w:r>
              <w:rPr>
                <w:color w:val="auto"/>
                <w:sz w:val="21"/>
              </w:rPr>
              <w:t>成立时间</w:t>
            </w:r>
          </w:p>
        </w:tc>
        <w:tc>
          <w:tcPr>
            <w:tcW w:w="2178" w:type="dxa"/>
            <w:gridSpan w:val="2"/>
            <w:vAlign w:val="center"/>
          </w:tcPr>
          <w:p w14:paraId="222B7C05">
            <w:pPr>
              <w:pStyle w:val="241"/>
              <w:ind w:firstLine="315"/>
              <w:rPr>
                <w:color w:val="auto"/>
                <w:sz w:val="21"/>
              </w:rPr>
            </w:pPr>
          </w:p>
        </w:tc>
        <w:tc>
          <w:tcPr>
            <w:tcW w:w="5565" w:type="dxa"/>
            <w:gridSpan w:val="6"/>
            <w:vAlign w:val="center"/>
          </w:tcPr>
          <w:p w14:paraId="79418F79">
            <w:pPr>
              <w:pStyle w:val="241"/>
              <w:ind w:firstLine="315"/>
              <w:rPr>
                <w:color w:val="auto"/>
                <w:sz w:val="21"/>
              </w:rPr>
            </w:pPr>
            <w:r>
              <w:rPr>
                <w:color w:val="auto"/>
                <w:sz w:val="21"/>
              </w:rPr>
              <w:t>员工总人数：</w:t>
            </w:r>
          </w:p>
        </w:tc>
      </w:tr>
      <w:tr w14:paraId="0051AAF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Align w:val="center"/>
          </w:tcPr>
          <w:p w14:paraId="609A3624">
            <w:pPr>
              <w:pStyle w:val="241"/>
              <w:ind w:firstLine="315"/>
              <w:rPr>
                <w:color w:val="auto"/>
                <w:sz w:val="21"/>
              </w:rPr>
            </w:pPr>
            <w:r>
              <w:rPr>
                <w:color w:val="auto"/>
                <w:sz w:val="21"/>
              </w:rPr>
              <w:t>企业资质</w:t>
            </w:r>
          </w:p>
        </w:tc>
        <w:tc>
          <w:tcPr>
            <w:tcW w:w="2178" w:type="dxa"/>
            <w:gridSpan w:val="2"/>
            <w:vAlign w:val="center"/>
          </w:tcPr>
          <w:p w14:paraId="171BFBDE">
            <w:pPr>
              <w:pStyle w:val="241"/>
              <w:ind w:firstLine="315"/>
              <w:rPr>
                <w:color w:val="auto"/>
                <w:sz w:val="21"/>
              </w:rPr>
            </w:pPr>
          </w:p>
        </w:tc>
        <w:tc>
          <w:tcPr>
            <w:tcW w:w="1205" w:type="dxa"/>
            <w:vMerge w:val="restart"/>
            <w:vAlign w:val="center"/>
          </w:tcPr>
          <w:p w14:paraId="279A1FA2">
            <w:pPr>
              <w:pStyle w:val="241"/>
              <w:ind w:firstLine="315"/>
              <w:rPr>
                <w:color w:val="auto"/>
                <w:sz w:val="21"/>
              </w:rPr>
            </w:pPr>
            <w:r>
              <w:rPr>
                <w:color w:val="auto"/>
                <w:sz w:val="21"/>
              </w:rPr>
              <w:t>其中</w:t>
            </w:r>
          </w:p>
        </w:tc>
        <w:tc>
          <w:tcPr>
            <w:tcW w:w="2198" w:type="dxa"/>
            <w:gridSpan w:val="3"/>
            <w:vAlign w:val="center"/>
          </w:tcPr>
          <w:p w14:paraId="5EBC553A">
            <w:pPr>
              <w:pStyle w:val="241"/>
              <w:ind w:firstLine="315"/>
              <w:rPr>
                <w:color w:val="auto"/>
                <w:sz w:val="21"/>
              </w:rPr>
            </w:pPr>
            <w:r>
              <w:rPr>
                <w:rFonts w:hint="eastAsia"/>
                <w:color w:val="auto"/>
                <w:sz w:val="21"/>
              </w:rPr>
              <w:t>运维经理</w:t>
            </w:r>
          </w:p>
        </w:tc>
        <w:tc>
          <w:tcPr>
            <w:tcW w:w="2162" w:type="dxa"/>
            <w:gridSpan w:val="2"/>
            <w:vAlign w:val="center"/>
          </w:tcPr>
          <w:p w14:paraId="7A1E87EE">
            <w:pPr>
              <w:pStyle w:val="241"/>
              <w:ind w:firstLine="315"/>
              <w:rPr>
                <w:color w:val="auto"/>
                <w:sz w:val="21"/>
              </w:rPr>
            </w:pPr>
          </w:p>
        </w:tc>
      </w:tr>
      <w:tr w14:paraId="295EB6B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Align w:val="center"/>
          </w:tcPr>
          <w:p w14:paraId="5817FEEC">
            <w:pPr>
              <w:pStyle w:val="241"/>
              <w:ind w:firstLine="315"/>
              <w:rPr>
                <w:color w:val="auto"/>
                <w:sz w:val="21"/>
              </w:rPr>
            </w:pPr>
            <w:r>
              <w:rPr>
                <w:color w:val="auto"/>
                <w:sz w:val="21"/>
              </w:rPr>
              <w:t>营业执照号</w:t>
            </w:r>
          </w:p>
        </w:tc>
        <w:tc>
          <w:tcPr>
            <w:tcW w:w="2178" w:type="dxa"/>
            <w:gridSpan w:val="2"/>
            <w:vAlign w:val="center"/>
          </w:tcPr>
          <w:p w14:paraId="2B9B8AFD">
            <w:pPr>
              <w:pStyle w:val="241"/>
              <w:ind w:firstLine="315"/>
              <w:rPr>
                <w:color w:val="auto"/>
                <w:sz w:val="21"/>
              </w:rPr>
            </w:pPr>
          </w:p>
        </w:tc>
        <w:tc>
          <w:tcPr>
            <w:tcW w:w="1205" w:type="dxa"/>
            <w:vMerge w:val="continue"/>
            <w:vAlign w:val="center"/>
          </w:tcPr>
          <w:p w14:paraId="092FD951">
            <w:pPr>
              <w:pStyle w:val="241"/>
              <w:ind w:firstLine="315"/>
              <w:rPr>
                <w:color w:val="auto"/>
                <w:sz w:val="21"/>
              </w:rPr>
            </w:pPr>
          </w:p>
        </w:tc>
        <w:tc>
          <w:tcPr>
            <w:tcW w:w="2198" w:type="dxa"/>
            <w:gridSpan w:val="3"/>
            <w:vAlign w:val="center"/>
          </w:tcPr>
          <w:p w14:paraId="0BB09DE5">
            <w:pPr>
              <w:pStyle w:val="241"/>
              <w:ind w:firstLine="315"/>
              <w:rPr>
                <w:color w:val="auto"/>
                <w:sz w:val="21"/>
              </w:rPr>
            </w:pPr>
            <w:r>
              <w:rPr>
                <w:color w:val="auto"/>
                <w:sz w:val="21"/>
              </w:rPr>
              <w:t>高级职称人员</w:t>
            </w:r>
          </w:p>
        </w:tc>
        <w:tc>
          <w:tcPr>
            <w:tcW w:w="2162" w:type="dxa"/>
            <w:gridSpan w:val="2"/>
            <w:vAlign w:val="center"/>
          </w:tcPr>
          <w:p w14:paraId="11A606C7">
            <w:pPr>
              <w:pStyle w:val="241"/>
              <w:ind w:firstLine="315"/>
              <w:rPr>
                <w:color w:val="auto"/>
                <w:sz w:val="21"/>
              </w:rPr>
            </w:pPr>
          </w:p>
        </w:tc>
      </w:tr>
      <w:tr w14:paraId="4B5E28B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Align w:val="center"/>
          </w:tcPr>
          <w:p w14:paraId="31937932">
            <w:pPr>
              <w:pStyle w:val="241"/>
              <w:ind w:firstLine="315"/>
              <w:rPr>
                <w:color w:val="auto"/>
                <w:sz w:val="21"/>
              </w:rPr>
            </w:pPr>
            <w:r>
              <w:rPr>
                <w:color w:val="auto"/>
                <w:sz w:val="21"/>
              </w:rPr>
              <w:t>注册资金</w:t>
            </w:r>
          </w:p>
        </w:tc>
        <w:tc>
          <w:tcPr>
            <w:tcW w:w="2178" w:type="dxa"/>
            <w:gridSpan w:val="2"/>
            <w:vAlign w:val="center"/>
          </w:tcPr>
          <w:p w14:paraId="019D454A">
            <w:pPr>
              <w:pStyle w:val="241"/>
              <w:ind w:firstLine="315"/>
              <w:rPr>
                <w:color w:val="auto"/>
                <w:sz w:val="21"/>
              </w:rPr>
            </w:pPr>
          </w:p>
        </w:tc>
        <w:tc>
          <w:tcPr>
            <w:tcW w:w="1205" w:type="dxa"/>
            <w:vMerge w:val="continue"/>
            <w:vAlign w:val="center"/>
          </w:tcPr>
          <w:p w14:paraId="0977DE5C">
            <w:pPr>
              <w:pStyle w:val="241"/>
              <w:ind w:firstLine="315"/>
              <w:rPr>
                <w:color w:val="auto"/>
                <w:sz w:val="21"/>
              </w:rPr>
            </w:pPr>
          </w:p>
        </w:tc>
        <w:tc>
          <w:tcPr>
            <w:tcW w:w="2198" w:type="dxa"/>
            <w:gridSpan w:val="3"/>
            <w:vAlign w:val="center"/>
          </w:tcPr>
          <w:p w14:paraId="569A24EC">
            <w:pPr>
              <w:pStyle w:val="241"/>
              <w:ind w:firstLine="315"/>
              <w:rPr>
                <w:color w:val="auto"/>
                <w:sz w:val="21"/>
              </w:rPr>
            </w:pPr>
            <w:r>
              <w:rPr>
                <w:color w:val="auto"/>
                <w:sz w:val="21"/>
              </w:rPr>
              <w:t>中级职称人员</w:t>
            </w:r>
          </w:p>
        </w:tc>
        <w:tc>
          <w:tcPr>
            <w:tcW w:w="2162" w:type="dxa"/>
            <w:gridSpan w:val="2"/>
            <w:vAlign w:val="center"/>
          </w:tcPr>
          <w:p w14:paraId="72874B3C">
            <w:pPr>
              <w:pStyle w:val="241"/>
              <w:ind w:firstLine="315"/>
              <w:rPr>
                <w:color w:val="auto"/>
                <w:sz w:val="21"/>
              </w:rPr>
            </w:pPr>
          </w:p>
        </w:tc>
      </w:tr>
      <w:tr w14:paraId="27E6203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Align w:val="center"/>
          </w:tcPr>
          <w:p w14:paraId="764BFDB7">
            <w:pPr>
              <w:pStyle w:val="241"/>
              <w:jc w:val="center"/>
              <w:rPr>
                <w:color w:val="auto"/>
                <w:sz w:val="21"/>
              </w:rPr>
            </w:pPr>
            <w:r>
              <w:rPr>
                <w:color w:val="auto"/>
                <w:sz w:val="21"/>
              </w:rPr>
              <w:t>基本账户开户</w:t>
            </w:r>
          </w:p>
          <w:p w14:paraId="5C515981">
            <w:pPr>
              <w:pStyle w:val="241"/>
              <w:jc w:val="center"/>
              <w:rPr>
                <w:color w:val="auto"/>
                <w:sz w:val="21"/>
              </w:rPr>
            </w:pPr>
            <w:r>
              <w:rPr>
                <w:color w:val="auto"/>
                <w:sz w:val="21"/>
              </w:rPr>
              <w:t>银行</w:t>
            </w:r>
          </w:p>
        </w:tc>
        <w:tc>
          <w:tcPr>
            <w:tcW w:w="2178" w:type="dxa"/>
            <w:gridSpan w:val="2"/>
            <w:vAlign w:val="center"/>
          </w:tcPr>
          <w:p w14:paraId="37E385A7">
            <w:pPr>
              <w:pStyle w:val="241"/>
              <w:ind w:firstLine="315"/>
              <w:rPr>
                <w:color w:val="auto"/>
                <w:sz w:val="21"/>
              </w:rPr>
            </w:pPr>
          </w:p>
        </w:tc>
        <w:tc>
          <w:tcPr>
            <w:tcW w:w="1205" w:type="dxa"/>
            <w:vMerge w:val="continue"/>
            <w:vAlign w:val="center"/>
          </w:tcPr>
          <w:p w14:paraId="2E8B1EB4">
            <w:pPr>
              <w:pStyle w:val="241"/>
              <w:ind w:firstLine="315"/>
              <w:rPr>
                <w:color w:val="auto"/>
                <w:sz w:val="21"/>
              </w:rPr>
            </w:pPr>
          </w:p>
        </w:tc>
        <w:tc>
          <w:tcPr>
            <w:tcW w:w="2198" w:type="dxa"/>
            <w:gridSpan w:val="3"/>
            <w:vAlign w:val="center"/>
          </w:tcPr>
          <w:p w14:paraId="2A259A5C">
            <w:pPr>
              <w:pStyle w:val="241"/>
              <w:ind w:firstLine="315"/>
              <w:rPr>
                <w:color w:val="auto"/>
                <w:sz w:val="21"/>
              </w:rPr>
            </w:pPr>
            <w:r>
              <w:rPr>
                <w:color w:val="auto"/>
                <w:sz w:val="21"/>
              </w:rPr>
              <w:t>初级职称人员</w:t>
            </w:r>
          </w:p>
        </w:tc>
        <w:tc>
          <w:tcPr>
            <w:tcW w:w="2162" w:type="dxa"/>
            <w:gridSpan w:val="2"/>
            <w:vAlign w:val="center"/>
          </w:tcPr>
          <w:p w14:paraId="7F9F9362">
            <w:pPr>
              <w:pStyle w:val="241"/>
              <w:ind w:firstLine="315"/>
              <w:rPr>
                <w:color w:val="auto"/>
                <w:sz w:val="21"/>
              </w:rPr>
            </w:pPr>
          </w:p>
        </w:tc>
      </w:tr>
      <w:tr w14:paraId="617578B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Align w:val="center"/>
          </w:tcPr>
          <w:p w14:paraId="426FDE4A">
            <w:pPr>
              <w:pStyle w:val="241"/>
              <w:ind w:firstLine="210"/>
              <w:rPr>
                <w:color w:val="auto"/>
                <w:sz w:val="21"/>
              </w:rPr>
            </w:pPr>
            <w:r>
              <w:rPr>
                <w:color w:val="auto"/>
                <w:sz w:val="21"/>
              </w:rPr>
              <w:t>基本账户账号</w:t>
            </w:r>
          </w:p>
        </w:tc>
        <w:tc>
          <w:tcPr>
            <w:tcW w:w="2178" w:type="dxa"/>
            <w:gridSpan w:val="2"/>
            <w:vAlign w:val="center"/>
          </w:tcPr>
          <w:p w14:paraId="58AF88B6">
            <w:pPr>
              <w:pStyle w:val="241"/>
              <w:ind w:firstLine="315"/>
              <w:rPr>
                <w:color w:val="auto"/>
                <w:sz w:val="21"/>
              </w:rPr>
            </w:pPr>
          </w:p>
        </w:tc>
        <w:tc>
          <w:tcPr>
            <w:tcW w:w="1205" w:type="dxa"/>
            <w:vMerge w:val="continue"/>
            <w:vAlign w:val="center"/>
          </w:tcPr>
          <w:p w14:paraId="611C8110">
            <w:pPr>
              <w:pStyle w:val="241"/>
              <w:ind w:firstLine="315"/>
              <w:rPr>
                <w:color w:val="auto"/>
                <w:sz w:val="21"/>
              </w:rPr>
            </w:pPr>
          </w:p>
        </w:tc>
        <w:tc>
          <w:tcPr>
            <w:tcW w:w="2198" w:type="dxa"/>
            <w:gridSpan w:val="3"/>
            <w:vAlign w:val="center"/>
          </w:tcPr>
          <w:p w14:paraId="1D901F93">
            <w:pPr>
              <w:pStyle w:val="241"/>
              <w:ind w:firstLine="315"/>
              <w:rPr>
                <w:color w:val="auto"/>
                <w:sz w:val="21"/>
              </w:rPr>
            </w:pPr>
            <w:r>
              <w:rPr>
                <w:color w:val="auto"/>
                <w:sz w:val="21"/>
              </w:rPr>
              <w:t>其他</w:t>
            </w:r>
          </w:p>
        </w:tc>
        <w:tc>
          <w:tcPr>
            <w:tcW w:w="2162" w:type="dxa"/>
            <w:gridSpan w:val="2"/>
            <w:vAlign w:val="center"/>
          </w:tcPr>
          <w:p w14:paraId="3D181F4C">
            <w:pPr>
              <w:pStyle w:val="241"/>
              <w:ind w:firstLine="315"/>
              <w:rPr>
                <w:color w:val="auto"/>
                <w:sz w:val="21"/>
              </w:rPr>
            </w:pPr>
          </w:p>
        </w:tc>
      </w:tr>
      <w:tr w14:paraId="78E750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704" w:hRule="exact"/>
          <w:jc w:val="center"/>
        </w:trPr>
        <w:tc>
          <w:tcPr>
            <w:tcW w:w="1802" w:type="dxa"/>
            <w:vAlign w:val="center"/>
          </w:tcPr>
          <w:p w14:paraId="72A57AC4">
            <w:pPr>
              <w:pStyle w:val="241"/>
              <w:ind w:firstLine="315"/>
              <w:rPr>
                <w:color w:val="auto"/>
                <w:sz w:val="21"/>
              </w:rPr>
            </w:pPr>
            <w:r>
              <w:rPr>
                <w:color w:val="auto"/>
                <w:sz w:val="21"/>
              </w:rPr>
              <w:t>经营范围</w:t>
            </w:r>
          </w:p>
        </w:tc>
        <w:tc>
          <w:tcPr>
            <w:tcW w:w="7743" w:type="dxa"/>
            <w:gridSpan w:val="8"/>
            <w:vAlign w:val="center"/>
          </w:tcPr>
          <w:p w14:paraId="5163B36E">
            <w:pPr>
              <w:pStyle w:val="241"/>
              <w:ind w:firstLine="315"/>
              <w:rPr>
                <w:color w:val="auto"/>
                <w:sz w:val="21"/>
              </w:rPr>
            </w:pPr>
          </w:p>
        </w:tc>
      </w:tr>
      <w:tr w14:paraId="030FB39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63" w:hRule="exact"/>
          <w:jc w:val="center"/>
        </w:trPr>
        <w:tc>
          <w:tcPr>
            <w:tcW w:w="1802" w:type="dxa"/>
            <w:vAlign w:val="center"/>
          </w:tcPr>
          <w:p w14:paraId="5D19CA94">
            <w:pPr>
              <w:pStyle w:val="241"/>
              <w:jc w:val="center"/>
              <w:rPr>
                <w:color w:val="auto"/>
                <w:sz w:val="21"/>
              </w:rPr>
            </w:pPr>
            <w:r>
              <w:rPr>
                <w:color w:val="auto"/>
                <w:sz w:val="21"/>
              </w:rPr>
              <w:t>资产构成情况及</w:t>
            </w:r>
            <w:r>
              <w:rPr>
                <w:rFonts w:hint="eastAsia"/>
                <w:color w:val="auto"/>
                <w:sz w:val="21"/>
              </w:rPr>
              <w:t>投标人</w:t>
            </w:r>
            <w:r>
              <w:rPr>
                <w:color w:val="auto"/>
                <w:sz w:val="21"/>
              </w:rPr>
              <w:t>投资参股的关联企业情况</w:t>
            </w:r>
          </w:p>
        </w:tc>
        <w:tc>
          <w:tcPr>
            <w:tcW w:w="7743" w:type="dxa"/>
            <w:gridSpan w:val="8"/>
            <w:vAlign w:val="center"/>
          </w:tcPr>
          <w:p w14:paraId="417D681B">
            <w:pPr>
              <w:pStyle w:val="241"/>
              <w:ind w:firstLine="315"/>
              <w:rPr>
                <w:color w:val="auto"/>
                <w:sz w:val="21"/>
              </w:rPr>
            </w:pPr>
          </w:p>
        </w:tc>
      </w:tr>
      <w:tr w14:paraId="118426D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1" w:hRule="exact"/>
          <w:jc w:val="center"/>
        </w:trPr>
        <w:tc>
          <w:tcPr>
            <w:tcW w:w="1802" w:type="dxa"/>
            <w:vAlign w:val="center"/>
          </w:tcPr>
          <w:p w14:paraId="0C68A0C3">
            <w:pPr>
              <w:pStyle w:val="241"/>
              <w:ind w:firstLine="315"/>
              <w:jc w:val="center"/>
              <w:rPr>
                <w:color w:val="auto"/>
                <w:sz w:val="21"/>
              </w:rPr>
            </w:pPr>
            <w:r>
              <w:rPr>
                <w:color w:val="auto"/>
                <w:sz w:val="21"/>
              </w:rPr>
              <w:t>备    注</w:t>
            </w:r>
          </w:p>
        </w:tc>
        <w:tc>
          <w:tcPr>
            <w:tcW w:w="7743" w:type="dxa"/>
            <w:gridSpan w:val="8"/>
            <w:vAlign w:val="center"/>
          </w:tcPr>
          <w:p w14:paraId="24EC1F94">
            <w:pPr>
              <w:pStyle w:val="241"/>
              <w:ind w:firstLine="315"/>
              <w:rPr>
                <w:color w:val="auto"/>
                <w:sz w:val="21"/>
              </w:rPr>
            </w:pPr>
          </w:p>
        </w:tc>
      </w:tr>
    </w:tbl>
    <w:p w14:paraId="15D36FB3">
      <w:pPr>
        <w:widowControl/>
        <w:jc w:val="left"/>
        <w:rPr>
          <w:rFonts w:ascii="宋体" w:hAnsi="宋体" w:cs="宋体"/>
          <w:b/>
          <w:bCs/>
          <w:sz w:val="24"/>
          <w:szCs w:val="24"/>
        </w:rPr>
      </w:pPr>
    </w:p>
    <w:p w14:paraId="6B70D079">
      <w:pPr>
        <w:widowControl/>
        <w:jc w:val="left"/>
        <w:rPr>
          <w:rFonts w:ascii="宋体" w:hAnsi="宋体" w:cs="宋体"/>
          <w:b/>
          <w:bCs/>
          <w:sz w:val="24"/>
          <w:szCs w:val="24"/>
        </w:rPr>
      </w:pPr>
    </w:p>
    <w:p w14:paraId="61FA9B1E">
      <w:pPr>
        <w:widowControl/>
        <w:jc w:val="left"/>
        <w:rPr>
          <w:rFonts w:ascii="宋体"/>
          <w:b/>
          <w:bCs/>
          <w:sz w:val="28"/>
          <w:szCs w:val="28"/>
        </w:rPr>
      </w:pPr>
      <w:r>
        <w:rPr>
          <w:rFonts w:hint="eastAsia" w:ascii="宋体" w:hAnsi="宋体" w:cs="宋体"/>
          <w:b/>
          <w:bCs/>
          <w:sz w:val="24"/>
          <w:szCs w:val="24"/>
        </w:rPr>
        <w:t>附件3：</w:t>
      </w:r>
    </w:p>
    <w:p w14:paraId="661DB85F">
      <w:pPr>
        <w:pStyle w:val="230"/>
        <w:spacing w:line="360" w:lineRule="auto"/>
        <w:jc w:val="center"/>
        <w:rPr>
          <w:rFonts w:ascii="宋体"/>
          <w:b/>
          <w:bCs/>
          <w:spacing w:val="21"/>
          <w:sz w:val="32"/>
          <w:szCs w:val="32"/>
        </w:rPr>
      </w:pPr>
      <w:r>
        <w:rPr>
          <w:rFonts w:hint="eastAsia" w:ascii="宋体" w:hAnsi="宋体" w:cs="宋体"/>
          <w:b/>
          <w:bCs/>
          <w:spacing w:val="21"/>
          <w:sz w:val="32"/>
          <w:szCs w:val="32"/>
        </w:rPr>
        <w:t>证书一览表</w:t>
      </w:r>
    </w:p>
    <w:tbl>
      <w:tblPr>
        <w:tblStyle w:val="44"/>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2388"/>
        <w:gridCol w:w="2390"/>
        <w:gridCol w:w="2165"/>
      </w:tblGrid>
      <w:tr w14:paraId="76231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975" w:type="dxa"/>
            <w:tcBorders>
              <w:top w:val="single" w:color="auto" w:sz="4" w:space="0"/>
              <w:left w:val="single" w:color="auto" w:sz="4" w:space="0"/>
            </w:tcBorders>
            <w:vAlign w:val="center"/>
          </w:tcPr>
          <w:p w14:paraId="1D36F2A0">
            <w:pPr>
              <w:pStyle w:val="230"/>
              <w:spacing w:line="360" w:lineRule="auto"/>
              <w:jc w:val="center"/>
              <w:rPr>
                <w:rFonts w:ascii="宋体"/>
                <w:b/>
                <w:bCs/>
                <w:sz w:val="24"/>
                <w:szCs w:val="24"/>
              </w:rPr>
            </w:pPr>
            <w:r>
              <w:rPr>
                <w:rFonts w:hint="eastAsia" w:ascii="宋体" w:hAnsi="宋体" w:cs="宋体"/>
                <w:b/>
                <w:bCs/>
                <w:sz w:val="24"/>
                <w:szCs w:val="24"/>
              </w:rPr>
              <w:t>证书名称</w:t>
            </w:r>
          </w:p>
        </w:tc>
        <w:tc>
          <w:tcPr>
            <w:tcW w:w="2388" w:type="dxa"/>
            <w:tcBorders>
              <w:top w:val="single" w:color="auto" w:sz="4" w:space="0"/>
            </w:tcBorders>
            <w:vAlign w:val="center"/>
          </w:tcPr>
          <w:p w14:paraId="60069CFE">
            <w:pPr>
              <w:pStyle w:val="230"/>
              <w:spacing w:line="360" w:lineRule="auto"/>
              <w:jc w:val="center"/>
              <w:rPr>
                <w:rFonts w:ascii="宋体"/>
                <w:b/>
                <w:bCs/>
                <w:sz w:val="24"/>
                <w:szCs w:val="24"/>
              </w:rPr>
            </w:pPr>
            <w:r>
              <w:rPr>
                <w:rFonts w:hint="eastAsia" w:ascii="宋体" w:hAnsi="宋体" w:cs="宋体"/>
                <w:b/>
                <w:bCs/>
                <w:sz w:val="24"/>
                <w:szCs w:val="24"/>
              </w:rPr>
              <w:t>发证单位</w:t>
            </w:r>
          </w:p>
        </w:tc>
        <w:tc>
          <w:tcPr>
            <w:tcW w:w="2390" w:type="dxa"/>
            <w:tcBorders>
              <w:top w:val="single" w:color="auto" w:sz="4" w:space="0"/>
            </w:tcBorders>
            <w:vAlign w:val="center"/>
          </w:tcPr>
          <w:p w14:paraId="78C1B74D">
            <w:pPr>
              <w:pStyle w:val="230"/>
              <w:spacing w:line="360" w:lineRule="auto"/>
              <w:jc w:val="center"/>
              <w:rPr>
                <w:rFonts w:ascii="宋体"/>
                <w:b/>
                <w:bCs/>
                <w:sz w:val="24"/>
                <w:szCs w:val="24"/>
              </w:rPr>
            </w:pPr>
            <w:r>
              <w:rPr>
                <w:rFonts w:hint="eastAsia" w:ascii="宋体" w:hAnsi="宋体" w:cs="宋体"/>
                <w:b/>
                <w:bCs/>
                <w:sz w:val="24"/>
                <w:szCs w:val="24"/>
              </w:rPr>
              <w:t>证书等级</w:t>
            </w:r>
          </w:p>
        </w:tc>
        <w:tc>
          <w:tcPr>
            <w:tcW w:w="2165" w:type="dxa"/>
            <w:tcBorders>
              <w:top w:val="single" w:color="auto" w:sz="4" w:space="0"/>
              <w:right w:val="single" w:color="auto" w:sz="4" w:space="0"/>
            </w:tcBorders>
            <w:vAlign w:val="center"/>
          </w:tcPr>
          <w:p w14:paraId="3AA20EEB">
            <w:pPr>
              <w:pStyle w:val="230"/>
              <w:spacing w:line="360" w:lineRule="auto"/>
              <w:jc w:val="center"/>
              <w:rPr>
                <w:rFonts w:ascii="宋体"/>
                <w:b/>
                <w:bCs/>
                <w:sz w:val="24"/>
                <w:szCs w:val="24"/>
              </w:rPr>
            </w:pPr>
            <w:r>
              <w:rPr>
                <w:rFonts w:hint="eastAsia" w:ascii="宋体" w:hAnsi="宋体" w:cs="宋体"/>
                <w:b/>
                <w:bCs/>
                <w:sz w:val="24"/>
                <w:szCs w:val="24"/>
              </w:rPr>
              <w:t>证书有效期</w:t>
            </w:r>
          </w:p>
        </w:tc>
      </w:tr>
      <w:tr w14:paraId="5F2AF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single" w:color="auto" w:sz="4" w:space="0"/>
            </w:tcBorders>
          </w:tcPr>
          <w:p w14:paraId="3A347BDD">
            <w:pPr>
              <w:pStyle w:val="230"/>
              <w:spacing w:line="360" w:lineRule="auto"/>
              <w:jc w:val="center"/>
              <w:rPr>
                <w:rFonts w:ascii="宋体"/>
              </w:rPr>
            </w:pPr>
          </w:p>
        </w:tc>
        <w:tc>
          <w:tcPr>
            <w:tcW w:w="2388" w:type="dxa"/>
          </w:tcPr>
          <w:p w14:paraId="0A80A1BC">
            <w:pPr>
              <w:pStyle w:val="230"/>
              <w:spacing w:line="360" w:lineRule="auto"/>
              <w:jc w:val="center"/>
              <w:rPr>
                <w:rFonts w:ascii="宋体"/>
              </w:rPr>
            </w:pPr>
          </w:p>
        </w:tc>
        <w:tc>
          <w:tcPr>
            <w:tcW w:w="2390" w:type="dxa"/>
          </w:tcPr>
          <w:p w14:paraId="03C9519D">
            <w:pPr>
              <w:pStyle w:val="230"/>
              <w:spacing w:line="360" w:lineRule="auto"/>
              <w:jc w:val="center"/>
              <w:rPr>
                <w:rFonts w:ascii="宋体"/>
              </w:rPr>
            </w:pPr>
          </w:p>
        </w:tc>
        <w:tc>
          <w:tcPr>
            <w:tcW w:w="2165" w:type="dxa"/>
            <w:tcBorders>
              <w:right w:val="single" w:color="auto" w:sz="4" w:space="0"/>
            </w:tcBorders>
          </w:tcPr>
          <w:p w14:paraId="5D4C9CDF">
            <w:pPr>
              <w:pStyle w:val="230"/>
              <w:spacing w:line="360" w:lineRule="auto"/>
              <w:jc w:val="center"/>
              <w:rPr>
                <w:rFonts w:ascii="宋体"/>
              </w:rPr>
            </w:pPr>
          </w:p>
        </w:tc>
      </w:tr>
      <w:tr w14:paraId="35F91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single" w:color="auto" w:sz="4" w:space="0"/>
            </w:tcBorders>
          </w:tcPr>
          <w:p w14:paraId="0D5E0D42">
            <w:pPr>
              <w:pStyle w:val="230"/>
              <w:spacing w:line="360" w:lineRule="auto"/>
              <w:jc w:val="center"/>
              <w:rPr>
                <w:rFonts w:ascii="宋体"/>
              </w:rPr>
            </w:pPr>
          </w:p>
        </w:tc>
        <w:tc>
          <w:tcPr>
            <w:tcW w:w="2388" w:type="dxa"/>
          </w:tcPr>
          <w:p w14:paraId="6C2F5C5D">
            <w:pPr>
              <w:pStyle w:val="230"/>
              <w:spacing w:line="360" w:lineRule="auto"/>
              <w:jc w:val="center"/>
              <w:rPr>
                <w:rFonts w:ascii="宋体"/>
              </w:rPr>
            </w:pPr>
          </w:p>
        </w:tc>
        <w:tc>
          <w:tcPr>
            <w:tcW w:w="2390" w:type="dxa"/>
          </w:tcPr>
          <w:p w14:paraId="6FF74F3F">
            <w:pPr>
              <w:pStyle w:val="230"/>
              <w:spacing w:line="360" w:lineRule="auto"/>
              <w:jc w:val="center"/>
              <w:rPr>
                <w:rFonts w:ascii="宋体"/>
              </w:rPr>
            </w:pPr>
          </w:p>
        </w:tc>
        <w:tc>
          <w:tcPr>
            <w:tcW w:w="2165" w:type="dxa"/>
            <w:tcBorders>
              <w:right w:val="single" w:color="auto" w:sz="4" w:space="0"/>
            </w:tcBorders>
          </w:tcPr>
          <w:p w14:paraId="7DA820A4">
            <w:pPr>
              <w:pStyle w:val="230"/>
              <w:spacing w:line="360" w:lineRule="auto"/>
              <w:jc w:val="center"/>
              <w:rPr>
                <w:rFonts w:ascii="宋体"/>
              </w:rPr>
            </w:pPr>
          </w:p>
        </w:tc>
      </w:tr>
      <w:tr w14:paraId="53D0D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single" w:color="auto" w:sz="4" w:space="0"/>
            </w:tcBorders>
          </w:tcPr>
          <w:p w14:paraId="3102B6E9">
            <w:pPr>
              <w:pStyle w:val="230"/>
              <w:spacing w:line="360" w:lineRule="auto"/>
              <w:jc w:val="center"/>
              <w:rPr>
                <w:rFonts w:ascii="宋体"/>
              </w:rPr>
            </w:pPr>
          </w:p>
        </w:tc>
        <w:tc>
          <w:tcPr>
            <w:tcW w:w="2388" w:type="dxa"/>
          </w:tcPr>
          <w:p w14:paraId="502FC87C">
            <w:pPr>
              <w:pStyle w:val="230"/>
              <w:spacing w:line="360" w:lineRule="auto"/>
              <w:jc w:val="center"/>
              <w:rPr>
                <w:rFonts w:ascii="宋体"/>
              </w:rPr>
            </w:pPr>
          </w:p>
        </w:tc>
        <w:tc>
          <w:tcPr>
            <w:tcW w:w="2390" w:type="dxa"/>
          </w:tcPr>
          <w:p w14:paraId="542B0D98">
            <w:pPr>
              <w:pStyle w:val="230"/>
              <w:spacing w:line="360" w:lineRule="auto"/>
              <w:jc w:val="center"/>
              <w:rPr>
                <w:rFonts w:ascii="宋体"/>
              </w:rPr>
            </w:pPr>
          </w:p>
        </w:tc>
        <w:tc>
          <w:tcPr>
            <w:tcW w:w="2165" w:type="dxa"/>
            <w:tcBorders>
              <w:right w:val="single" w:color="auto" w:sz="4" w:space="0"/>
            </w:tcBorders>
          </w:tcPr>
          <w:p w14:paraId="12B5642D">
            <w:pPr>
              <w:pStyle w:val="230"/>
              <w:spacing w:line="360" w:lineRule="auto"/>
              <w:jc w:val="center"/>
              <w:rPr>
                <w:rFonts w:ascii="宋体"/>
              </w:rPr>
            </w:pPr>
          </w:p>
        </w:tc>
      </w:tr>
      <w:tr w14:paraId="7E715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single" w:color="auto" w:sz="4" w:space="0"/>
            </w:tcBorders>
          </w:tcPr>
          <w:p w14:paraId="0D082CE5">
            <w:pPr>
              <w:pStyle w:val="230"/>
              <w:spacing w:line="360" w:lineRule="auto"/>
              <w:jc w:val="center"/>
              <w:rPr>
                <w:rFonts w:ascii="宋体"/>
              </w:rPr>
            </w:pPr>
          </w:p>
        </w:tc>
        <w:tc>
          <w:tcPr>
            <w:tcW w:w="2388" w:type="dxa"/>
          </w:tcPr>
          <w:p w14:paraId="0DAF0145">
            <w:pPr>
              <w:pStyle w:val="230"/>
              <w:spacing w:line="360" w:lineRule="auto"/>
              <w:jc w:val="center"/>
              <w:rPr>
                <w:rFonts w:ascii="宋体"/>
              </w:rPr>
            </w:pPr>
          </w:p>
        </w:tc>
        <w:tc>
          <w:tcPr>
            <w:tcW w:w="2390" w:type="dxa"/>
          </w:tcPr>
          <w:p w14:paraId="0DD070C3">
            <w:pPr>
              <w:pStyle w:val="230"/>
              <w:spacing w:line="360" w:lineRule="auto"/>
              <w:jc w:val="center"/>
              <w:rPr>
                <w:rFonts w:ascii="宋体"/>
              </w:rPr>
            </w:pPr>
          </w:p>
        </w:tc>
        <w:tc>
          <w:tcPr>
            <w:tcW w:w="2165" w:type="dxa"/>
            <w:tcBorders>
              <w:right w:val="single" w:color="auto" w:sz="4" w:space="0"/>
            </w:tcBorders>
          </w:tcPr>
          <w:p w14:paraId="1082A144">
            <w:pPr>
              <w:pStyle w:val="230"/>
              <w:spacing w:line="360" w:lineRule="auto"/>
              <w:jc w:val="center"/>
              <w:rPr>
                <w:rFonts w:ascii="宋体"/>
              </w:rPr>
            </w:pPr>
          </w:p>
        </w:tc>
      </w:tr>
      <w:tr w14:paraId="6850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single" w:color="auto" w:sz="4" w:space="0"/>
            </w:tcBorders>
          </w:tcPr>
          <w:p w14:paraId="5D5F6241">
            <w:pPr>
              <w:pStyle w:val="230"/>
              <w:spacing w:line="360" w:lineRule="auto"/>
              <w:jc w:val="center"/>
              <w:rPr>
                <w:rFonts w:ascii="宋体"/>
              </w:rPr>
            </w:pPr>
          </w:p>
        </w:tc>
        <w:tc>
          <w:tcPr>
            <w:tcW w:w="2388" w:type="dxa"/>
          </w:tcPr>
          <w:p w14:paraId="2F493EA4">
            <w:pPr>
              <w:pStyle w:val="230"/>
              <w:spacing w:line="360" w:lineRule="auto"/>
              <w:jc w:val="center"/>
              <w:rPr>
                <w:rFonts w:ascii="宋体"/>
              </w:rPr>
            </w:pPr>
          </w:p>
        </w:tc>
        <w:tc>
          <w:tcPr>
            <w:tcW w:w="2390" w:type="dxa"/>
          </w:tcPr>
          <w:p w14:paraId="27F4EA0E">
            <w:pPr>
              <w:pStyle w:val="230"/>
              <w:spacing w:line="360" w:lineRule="auto"/>
              <w:jc w:val="center"/>
              <w:rPr>
                <w:rFonts w:ascii="宋体"/>
              </w:rPr>
            </w:pPr>
          </w:p>
        </w:tc>
        <w:tc>
          <w:tcPr>
            <w:tcW w:w="2165" w:type="dxa"/>
            <w:tcBorders>
              <w:right w:val="single" w:color="auto" w:sz="4" w:space="0"/>
            </w:tcBorders>
          </w:tcPr>
          <w:p w14:paraId="79C3D1B5">
            <w:pPr>
              <w:pStyle w:val="230"/>
              <w:spacing w:line="360" w:lineRule="auto"/>
              <w:jc w:val="center"/>
              <w:rPr>
                <w:rFonts w:ascii="宋体"/>
              </w:rPr>
            </w:pPr>
          </w:p>
        </w:tc>
      </w:tr>
      <w:tr w14:paraId="69FEB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single" w:color="auto" w:sz="4" w:space="0"/>
            </w:tcBorders>
          </w:tcPr>
          <w:p w14:paraId="050F6B59">
            <w:pPr>
              <w:pStyle w:val="230"/>
              <w:spacing w:line="360" w:lineRule="auto"/>
              <w:jc w:val="center"/>
              <w:rPr>
                <w:rFonts w:ascii="宋体"/>
              </w:rPr>
            </w:pPr>
          </w:p>
        </w:tc>
        <w:tc>
          <w:tcPr>
            <w:tcW w:w="2388" w:type="dxa"/>
          </w:tcPr>
          <w:p w14:paraId="3B95ECEE">
            <w:pPr>
              <w:pStyle w:val="230"/>
              <w:spacing w:line="360" w:lineRule="auto"/>
              <w:jc w:val="center"/>
              <w:rPr>
                <w:rFonts w:ascii="宋体"/>
              </w:rPr>
            </w:pPr>
          </w:p>
        </w:tc>
        <w:tc>
          <w:tcPr>
            <w:tcW w:w="2390" w:type="dxa"/>
          </w:tcPr>
          <w:p w14:paraId="01AF37C3">
            <w:pPr>
              <w:pStyle w:val="230"/>
              <w:spacing w:line="360" w:lineRule="auto"/>
              <w:jc w:val="center"/>
              <w:rPr>
                <w:rFonts w:ascii="宋体"/>
              </w:rPr>
            </w:pPr>
          </w:p>
        </w:tc>
        <w:tc>
          <w:tcPr>
            <w:tcW w:w="2165" w:type="dxa"/>
            <w:tcBorders>
              <w:right w:val="single" w:color="auto" w:sz="4" w:space="0"/>
            </w:tcBorders>
          </w:tcPr>
          <w:p w14:paraId="39FAEA63">
            <w:pPr>
              <w:pStyle w:val="230"/>
              <w:spacing w:line="360" w:lineRule="auto"/>
              <w:jc w:val="center"/>
              <w:rPr>
                <w:rFonts w:ascii="宋体"/>
              </w:rPr>
            </w:pPr>
          </w:p>
        </w:tc>
      </w:tr>
      <w:tr w14:paraId="13925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975" w:type="dxa"/>
            <w:tcBorders>
              <w:left w:val="single" w:color="auto" w:sz="4" w:space="0"/>
              <w:bottom w:val="single" w:color="auto" w:sz="4" w:space="0"/>
            </w:tcBorders>
          </w:tcPr>
          <w:p w14:paraId="6C5104FD">
            <w:pPr>
              <w:pStyle w:val="230"/>
              <w:spacing w:line="360" w:lineRule="auto"/>
              <w:jc w:val="center"/>
              <w:rPr>
                <w:rFonts w:ascii="宋体"/>
              </w:rPr>
            </w:pPr>
          </w:p>
        </w:tc>
        <w:tc>
          <w:tcPr>
            <w:tcW w:w="2388" w:type="dxa"/>
            <w:tcBorders>
              <w:bottom w:val="single" w:color="auto" w:sz="4" w:space="0"/>
            </w:tcBorders>
          </w:tcPr>
          <w:p w14:paraId="7B3958CA">
            <w:pPr>
              <w:pStyle w:val="230"/>
              <w:spacing w:line="360" w:lineRule="auto"/>
              <w:jc w:val="center"/>
              <w:rPr>
                <w:rFonts w:ascii="宋体"/>
              </w:rPr>
            </w:pPr>
          </w:p>
        </w:tc>
        <w:tc>
          <w:tcPr>
            <w:tcW w:w="2390" w:type="dxa"/>
            <w:tcBorders>
              <w:bottom w:val="single" w:color="auto" w:sz="4" w:space="0"/>
            </w:tcBorders>
          </w:tcPr>
          <w:p w14:paraId="62103963">
            <w:pPr>
              <w:pStyle w:val="230"/>
              <w:spacing w:line="360" w:lineRule="auto"/>
              <w:jc w:val="center"/>
              <w:rPr>
                <w:rFonts w:ascii="宋体"/>
              </w:rPr>
            </w:pPr>
          </w:p>
        </w:tc>
        <w:tc>
          <w:tcPr>
            <w:tcW w:w="2165" w:type="dxa"/>
            <w:tcBorders>
              <w:bottom w:val="single" w:color="auto" w:sz="4" w:space="0"/>
              <w:right w:val="single" w:color="auto" w:sz="4" w:space="0"/>
            </w:tcBorders>
          </w:tcPr>
          <w:p w14:paraId="23767C7C">
            <w:pPr>
              <w:pStyle w:val="230"/>
              <w:spacing w:line="360" w:lineRule="auto"/>
              <w:jc w:val="center"/>
              <w:rPr>
                <w:rFonts w:ascii="宋体"/>
              </w:rPr>
            </w:pPr>
          </w:p>
        </w:tc>
      </w:tr>
    </w:tbl>
    <w:p w14:paraId="70D27E10">
      <w:pPr>
        <w:pStyle w:val="230"/>
        <w:tabs>
          <w:tab w:val="left" w:pos="1050"/>
        </w:tabs>
        <w:spacing w:line="360" w:lineRule="auto"/>
        <w:rPr>
          <w:rFonts w:ascii="仿宋_GB2312" w:hAnsi="宋体" w:eastAsia="仿宋_GB2312"/>
          <w:sz w:val="24"/>
          <w:szCs w:val="24"/>
        </w:rPr>
      </w:pPr>
    </w:p>
    <w:p w14:paraId="563B23B2">
      <w:pPr>
        <w:pStyle w:val="230"/>
        <w:tabs>
          <w:tab w:val="left" w:pos="1050"/>
        </w:tabs>
        <w:spacing w:line="360" w:lineRule="auto"/>
        <w:rPr>
          <w:rFonts w:ascii="宋体"/>
        </w:rPr>
      </w:pPr>
      <w:r>
        <w:rPr>
          <w:rFonts w:hint="eastAsia" w:ascii="宋体" w:hAnsi="宋体" w:cs="宋体"/>
          <w:b/>
          <w:bCs/>
        </w:rPr>
        <w:t>要求：</w:t>
      </w:r>
    </w:p>
    <w:p w14:paraId="35D5557B">
      <w:pPr>
        <w:pStyle w:val="230"/>
        <w:tabs>
          <w:tab w:val="left" w:pos="1050"/>
        </w:tabs>
        <w:spacing w:line="360" w:lineRule="auto"/>
        <w:ind w:firstLine="424"/>
        <w:rPr>
          <w:rFonts w:ascii="宋体"/>
        </w:rPr>
      </w:pPr>
      <w:r>
        <w:rPr>
          <w:rFonts w:ascii="宋体" w:hAnsi="宋体" w:cs="宋体"/>
        </w:rPr>
        <w:t>1.</w:t>
      </w:r>
      <w:r>
        <w:rPr>
          <w:rFonts w:hint="eastAsia" w:ascii="宋体" w:hAnsi="宋体" w:cs="宋体"/>
        </w:rPr>
        <w:t>填写投标人获得资质、认证或企业信誉证书；</w:t>
      </w:r>
    </w:p>
    <w:p w14:paraId="543D2626">
      <w:pPr>
        <w:pStyle w:val="230"/>
        <w:tabs>
          <w:tab w:val="left" w:pos="1050"/>
        </w:tabs>
        <w:spacing w:line="360" w:lineRule="auto"/>
        <w:ind w:firstLine="424"/>
        <w:rPr>
          <w:rFonts w:ascii="宋体"/>
        </w:rPr>
      </w:pPr>
      <w:r>
        <w:rPr>
          <w:rFonts w:ascii="宋体" w:hAnsi="宋体" w:cs="宋体"/>
        </w:rPr>
        <w:t>2.</w:t>
      </w:r>
      <w:r>
        <w:rPr>
          <w:rFonts w:hint="eastAsia" w:ascii="宋体" w:hAnsi="宋体" w:cs="宋体"/>
        </w:rPr>
        <w:t>附所列证书复印件或其他证明材料。</w:t>
      </w:r>
    </w:p>
    <w:p w14:paraId="48ED712C">
      <w:pPr>
        <w:pStyle w:val="230"/>
        <w:tabs>
          <w:tab w:val="left" w:pos="1050"/>
        </w:tabs>
        <w:spacing w:line="360" w:lineRule="auto"/>
        <w:ind w:firstLine="720"/>
        <w:rPr>
          <w:rFonts w:ascii="仿宋_GB2312" w:hAnsi="宋体" w:eastAsia="仿宋_GB2312"/>
          <w:sz w:val="24"/>
          <w:szCs w:val="24"/>
        </w:rPr>
      </w:pPr>
    </w:p>
    <w:p w14:paraId="581B7801">
      <w:pPr>
        <w:pStyle w:val="230"/>
        <w:tabs>
          <w:tab w:val="left" w:pos="1050"/>
        </w:tabs>
        <w:spacing w:line="360" w:lineRule="auto"/>
        <w:ind w:firstLine="720"/>
        <w:rPr>
          <w:rFonts w:ascii="仿宋_GB2312" w:hAnsi="宋体" w:eastAsia="仿宋_GB2312"/>
          <w:sz w:val="24"/>
          <w:szCs w:val="24"/>
        </w:rPr>
      </w:pPr>
    </w:p>
    <w:p w14:paraId="30D7A218">
      <w:pPr>
        <w:pStyle w:val="230"/>
        <w:tabs>
          <w:tab w:val="left" w:pos="1050"/>
        </w:tabs>
        <w:spacing w:line="360" w:lineRule="auto"/>
        <w:ind w:firstLine="720"/>
        <w:rPr>
          <w:rFonts w:ascii="仿宋_GB2312" w:hAnsi="宋体" w:eastAsia="仿宋_GB2312"/>
          <w:sz w:val="24"/>
          <w:szCs w:val="24"/>
        </w:rPr>
      </w:pPr>
    </w:p>
    <w:p w14:paraId="5B72437D">
      <w:pPr>
        <w:spacing w:line="360" w:lineRule="auto"/>
        <w:ind w:firstLine="424"/>
        <w:rPr>
          <w:rFonts w:ascii="宋体"/>
          <w:sz w:val="24"/>
          <w:szCs w:val="24"/>
          <w:u w:val="single"/>
        </w:rPr>
      </w:pPr>
      <w:r>
        <w:rPr>
          <w:rFonts w:hint="eastAsia" w:ascii="宋体" w:hAnsi="宋体" w:cs="宋体"/>
          <w:sz w:val="24"/>
          <w:szCs w:val="24"/>
        </w:rPr>
        <w:t>投标人全称（单位公章）：</w:t>
      </w:r>
    </w:p>
    <w:p w14:paraId="49940B45">
      <w:pPr>
        <w:spacing w:line="360" w:lineRule="auto"/>
        <w:ind w:left="420"/>
        <w:rPr>
          <w:rFonts w:ascii="宋体"/>
          <w:sz w:val="24"/>
          <w:szCs w:val="24"/>
        </w:rPr>
      </w:pPr>
    </w:p>
    <w:p w14:paraId="4F812F61">
      <w:pPr>
        <w:spacing w:line="360" w:lineRule="auto"/>
        <w:ind w:firstLine="424"/>
        <w:rPr>
          <w:rFonts w:ascii="宋体"/>
          <w:sz w:val="24"/>
          <w:szCs w:val="24"/>
        </w:rPr>
      </w:pPr>
      <w:r>
        <w:rPr>
          <w:rFonts w:hint="eastAsia" w:ascii="宋体" w:hAnsi="宋体" w:cs="宋体"/>
          <w:sz w:val="24"/>
          <w:szCs w:val="24"/>
        </w:rPr>
        <w:t>法定代表人或委托代理人（盖章或签名）：</w:t>
      </w:r>
    </w:p>
    <w:p w14:paraId="2A0389DC">
      <w:pPr>
        <w:spacing w:line="360" w:lineRule="auto"/>
        <w:rPr>
          <w:rFonts w:ascii="宋体"/>
          <w:sz w:val="24"/>
          <w:szCs w:val="24"/>
        </w:rPr>
      </w:pPr>
    </w:p>
    <w:p w14:paraId="64CC8CCB">
      <w:pPr>
        <w:pStyle w:val="226"/>
        <w:shd w:val="clear" w:color="auto" w:fill="FFFFFF"/>
        <w:spacing w:before="0" w:beforeAutospacing="0" w:after="0" w:afterAutospacing="0" w:line="360" w:lineRule="auto"/>
        <w:ind w:firstLine="424"/>
        <w:rPr>
          <w:rFonts w:cs="Times New Roman"/>
          <w:b/>
          <w:bCs/>
          <w:spacing w:val="11"/>
        </w:rPr>
      </w:pPr>
      <w:r>
        <w:rPr>
          <w:rFonts w:hint="eastAsia"/>
        </w:rPr>
        <w:t>日</w:t>
      </w:r>
      <w:r>
        <w:t xml:space="preserve">        </w:t>
      </w:r>
      <w:r>
        <w:rPr>
          <w:rFonts w:hint="eastAsia"/>
        </w:rPr>
        <w:t>期：</w:t>
      </w:r>
    </w:p>
    <w:p w14:paraId="164239B7">
      <w:pPr>
        <w:rPr>
          <w:rFonts w:ascii="宋体" w:hAnsi="宋体" w:cs="宋体"/>
          <w:sz w:val="24"/>
          <w:szCs w:val="24"/>
        </w:rPr>
      </w:pPr>
      <w:r>
        <w:rPr>
          <w:rFonts w:hint="eastAsia"/>
          <w:color w:val="000000"/>
          <w:sz w:val="24"/>
          <w:lang w:bidi="ar"/>
        </w:rPr>
        <w:br w:type="page" w:clear="all"/>
      </w:r>
    </w:p>
    <w:p w14:paraId="05ACDF86">
      <w:pPr>
        <w:widowControl/>
        <w:jc w:val="left"/>
        <w:rPr>
          <w:rFonts w:ascii="宋体" w:hAnsi="宋体" w:cs="宋体"/>
          <w:b/>
          <w:bCs/>
          <w:sz w:val="24"/>
          <w:szCs w:val="24"/>
        </w:rPr>
      </w:pPr>
      <w:r>
        <w:rPr>
          <w:rFonts w:hint="eastAsia" w:ascii="宋体" w:hAnsi="宋体" w:cs="宋体"/>
          <w:b/>
          <w:bCs/>
          <w:sz w:val="24"/>
          <w:szCs w:val="24"/>
        </w:rPr>
        <w:t>附件4：</w:t>
      </w:r>
    </w:p>
    <w:p w14:paraId="5407DA71">
      <w:pPr>
        <w:pStyle w:val="23"/>
        <w:spacing w:before="120" w:after="120" w:line="480" w:lineRule="auto"/>
        <w:jc w:val="center"/>
        <w:rPr>
          <w:rFonts w:hAnsi="宋体"/>
          <w:b/>
          <w:sz w:val="32"/>
          <w:szCs w:val="32"/>
        </w:rPr>
      </w:pPr>
      <w:r>
        <w:rPr>
          <w:rFonts w:hAnsi="宋体"/>
          <w:b/>
          <w:sz w:val="32"/>
          <w:szCs w:val="32"/>
        </w:rPr>
        <w:t>类似业绩一览表</w:t>
      </w:r>
      <w:r>
        <w:rPr>
          <w:rFonts w:hint="eastAsia" w:hAnsi="宋体"/>
          <w:color w:val="000000"/>
          <w:sz w:val="24"/>
        </w:rPr>
        <w:t xml:space="preserve">    </w:t>
      </w:r>
      <w:r>
        <w:rPr>
          <w:rFonts w:hint="eastAsia" w:hAnsi="宋体"/>
          <w:sz w:val="24"/>
        </w:rPr>
        <w:t xml:space="preserve">                                 </w:t>
      </w:r>
    </w:p>
    <w:tbl>
      <w:tblPr>
        <w:tblStyle w:val="44"/>
        <w:tblW w:w="9237" w:type="dxa"/>
        <w:tblInd w:w="-507" w:type="dxa"/>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
      <w:tblGrid>
        <w:gridCol w:w="639"/>
        <w:gridCol w:w="1836"/>
        <w:gridCol w:w="1506"/>
        <w:gridCol w:w="1359"/>
        <w:gridCol w:w="1147"/>
        <w:gridCol w:w="1523"/>
        <w:gridCol w:w="1227"/>
      </w:tblGrid>
      <w:tr w14:paraId="3D4A6757">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925" w:hRule="atLeast"/>
        </w:trPr>
        <w:tc>
          <w:tcPr>
            <w:tcW w:w="639" w:type="dxa"/>
            <w:vAlign w:val="center"/>
          </w:tcPr>
          <w:p w14:paraId="4C53F4D2">
            <w:pPr>
              <w:spacing w:line="360" w:lineRule="auto"/>
              <w:jc w:val="center"/>
              <w:rPr>
                <w:rFonts w:ascii="宋体" w:hAnsi="宋体"/>
                <w:caps/>
                <w:spacing w:val="20"/>
              </w:rPr>
            </w:pPr>
            <w:r>
              <w:rPr>
                <w:rFonts w:hint="eastAsia" w:ascii="宋体" w:hAnsi="宋体"/>
                <w:caps/>
                <w:spacing w:val="20"/>
              </w:rPr>
              <w:t>序号</w:t>
            </w:r>
          </w:p>
        </w:tc>
        <w:tc>
          <w:tcPr>
            <w:tcW w:w="1836" w:type="dxa"/>
            <w:vAlign w:val="center"/>
          </w:tcPr>
          <w:p w14:paraId="4BE3F8FA">
            <w:pPr>
              <w:spacing w:line="360" w:lineRule="auto"/>
              <w:jc w:val="center"/>
              <w:rPr>
                <w:rFonts w:ascii="宋体" w:hAnsi="宋体"/>
                <w:caps/>
                <w:spacing w:val="20"/>
              </w:rPr>
            </w:pPr>
            <w:r>
              <w:rPr>
                <w:rFonts w:hint="eastAsia" w:ascii="宋体" w:hAnsi="宋体"/>
                <w:caps/>
                <w:spacing w:val="20"/>
              </w:rPr>
              <w:t>项目名称</w:t>
            </w:r>
          </w:p>
        </w:tc>
        <w:tc>
          <w:tcPr>
            <w:tcW w:w="1506" w:type="dxa"/>
            <w:vAlign w:val="center"/>
          </w:tcPr>
          <w:p w14:paraId="03D35CC0">
            <w:pPr>
              <w:spacing w:line="360" w:lineRule="auto"/>
              <w:jc w:val="center"/>
              <w:rPr>
                <w:rFonts w:ascii="宋体" w:hAnsi="宋体"/>
                <w:caps/>
                <w:spacing w:val="20"/>
              </w:rPr>
            </w:pPr>
            <w:r>
              <w:rPr>
                <w:rFonts w:hint="eastAsia" w:ascii="宋体" w:hAnsi="宋体"/>
                <w:caps/>
                <w:spacing w:val="20"/>
              </w:rPr>
              <w:t>业主名称</w:t>
            </w:r>
          </w:p>
        </w:tc>
        <w:tc>
          <w:tcPr>
            <w:tcW w:w="1359" w:type="dxa"/>
            <w:vAlign w:val="center"/>
          </w:tcPr>
          <w:p w14:paraId="5E99E1A1">
            <w:pPr>
              <w:spacing w:line="360" w:lineRule="auto"/>
              <w:jc w:val="center"/>
              <w:rPr>
                <w:rFonts w:ascii="宋体" w:hAnsi="宋体"/>
                <w:caps/>
                <w:spacing w:val="20"/>
              </w:rPr>
            </w:pPr>
            <w:r>
              <w:rPr>
                <w:rFonts w:hint="eastAsia" w:ascii="宋体" w:hAnsi="宋体"/>
                <w:caps/>
                <w:spacing w:val="20"/>
              </w:rPr>
              <w:t>合同金额</w:t>
            </w:r>
          </w:p>
        </w:tc>
        <w:tc>
          <w:tcPr>
            <w:tcW w:w="1147" w:type="dxa"/>
            <w:vAlign w:val="center"/>
          </w:tcPr>
          <w:p w14:paraId="5071B9F3">
            <w:pPr>
              <w:spacing w:line="360" w:lineRule="auto"/>
              <w:jc w:val="center"/>
              <w:rPr>
                <w:rFonts w:ascii="宋体" w:hAnsi="宋体"/>
                <w:caps/>
                <w:spacing w:val="20"/>
              </w:rPr>
            </w:pPr>
            <w:r>
              <w:rPr>
                <w:rFonts w:hint="eastAsia" w:ascii="宋体" w:hAnsi="宋体"/>
                <w:caps/>
                <w:spacing w:val="20"/>
              </w:rPr>
              <w:t>签约日期</w:t>
            </w:r>
          </w:p>
        </w:tc>
        <w:tc>
          <w:tcPr>
            <w:tcW w:w="1523" w:type="dxa"/>
            <w:vAlign w:val="center"/>
          </w:tcPr>
          <w:p w14:paraId="35F77EA9">
            <w:pPr>
              <w:jc w:val="center"/>
              <w:rPr>
                <w:rFonts w:ascii="宋体" w:hAnsi="宋体"/>
                <w:caps/>
                <w:spacing w:val="20"/>
              </w:rPr>
            </w:pPr>
            <w:r>
              <w:rPr>
                <w:rFonts w:hint="eastAsia" w:ascii="宋体" w:hAnsi="宋体"/>
                <w:caps/>
                <w:spacing w:val="20"/>
              </w:rPr>
              <w:t>业主单位联系人及电话</w:t>
            </w:r>
          </w:p>
        </w:tc>
        <w:tc>
          <w:tcPr>
            <w:tcW w:w="1227" w:type="dxa"/>
            <w:vAlign w:val="center"/>
          </w:tcPr>
          <w:p w14:paraId="72C2FBFF">
            <w:pPr>
              <w:jc w:val="center"/>
              <w:rPr>
                <w:rFonts w:ascii="宋体" w:hAnsi="宋体"/>
                <w:caps/>
                <w:spacing w:val="20"/>
              </w:rPr>
            </w:pPr>
            <w:r>
              <w:rPr>
                <w:rFonts w:hint="eastAsia" w:ascii="宋体" w:hAnsi="宋体"/>
                <w:caps/>
                <w:spacing w:val="20"/>
              </w:rPr>
              <w:t>合同对应页码</w:t>
            </w:r>
          </w:p>
        </w:tc>
      </w:tr>
      <w:tr w14:paraId="51194369">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639" w:type="dxa"/>
            <w:vAlign w:val="center"/>
          </w:tcPr>
          <w:p w14:paraId="6A6B3843">
            <w:pPr>
              <w:spacing w:line="360" w:lineRule="auto"/>
              <w:jc w:val="center"/>
              <w:rPr>
                <w:rFonts w:ascii="宋体" w:hAnsi="宋体"/>
                <w:caps/>
                <w:spacing w:val="20"/>
              </w:rPr>
            </w:pPr>
            <w:r>
              <w:rPr>
                <w:rFonts w:hint="eastAsia" w:ascii="宋体" w:hAnsi="宋体"/>
                <w:caps/>
                <w:spacing w:val="20"/>
              </w:rPr>
              <w:t>1</w:t>
            </w:r>
          </w:p>
        </w:tc>
        <w:tc>
          <w:tcPr>
            <w:tcW w:w="1836" w:type="dxa"/>
            <w:vAlign w:val="center"/>
          </w:tcPr>
          <w:p w14:paraId="2E5A635E">
            <w:pPr>
              <w:spacing w:line="360" w:lineRule="auto"/>
              <w:rPr>
                <w:rFonts w:ascii="宋体" w:hAnsi="宋体"/>
                <w:spacing w:val="20"/>
                <w:sz w:val="24"/>
              </w:rPr>
            </w:pPr>
            <w:r>
              <w:rPr>
                <w:rFonts w:ascii="宋体" w:hAnsi="宋体"/>
              </w:rPr>
              <w:t> </w:t>
            </w:r>
          </w:p>
        </w:tc>
        <w:tc>
          <w:tcPr>
            <w:tcW w:w="1506" w:type="dxa"/>
            <w:vAlign w:val="center"/>
          </w:tcPr>
          <w:p w14:paraId="5CA2DEBE">
            <w:pPr>
              <w:spacing w:line="360" w:lineRule="auto"/>
              <w:rPr>
                <w:rFonts w:ascii="宋体" w:hAnsi="宋体"/>
                <w:spacing w:val="20"/>
                <w:sz w:val="24"/>
              </w:rPr>
            </w:pPr>
            <w:r>
              <w:rPr>
                <w:rFonts w:ascii="宋体" w:hAnsi="宋体"/>
              </w:rPr>
              <w:t> </w:t>
            </w:r>
          </w:p>
        </w:tc>
        <w:tc>
          <w:tcPr>
            <w:tcW w:w="1359" w:type="dxa"/>
            <w:vAlign w:val="center"/>
          </w:tcPr>
          <w:p w14:paraId="6F4817CE">
            <w:pPr>
              <w:spacing w:line="360" w:lineRule="auto"/>
              <w:rPr>
                <w:rFonts w:ascii="宋体" w:hAnsi="宋体"/>
                <w:spacing w:val="20"/>
                <w:sz w:val="24"/>
              </w:rPr>
            </w:pPr>
            <w:r>
              <w:rPr>
                <w:rFonts w:ascii="宋体" w:hAnsi="宋体"/>
              </w:rPr>
              <w:t> </w:t>
            </w:r>
          </w:p>
        </w:tc>
        <w:tc>
          <w:tcPr>
            <w:tcW w:w="1147" w:type="dxa"/>
            <w:vAlign w:val="center"/>
          </w:tcPr>
          <w:p w14:paraId="3BC6328C">
            <w:pPr>
              <w:spacing w:line="360" w:lineRule="auto"/>
              <w:rPr>
                <w:rFonts w:ascii="宋体" w:hAnsi="宋体"/>
                <w:spacing w:val="20"/>
                <w:sz w:val="24"/>
              </w:rPr>
            </w:pPr>
            <w:r>
              <w:rPr>
                <w:rFonts w:ascii="宋体" w:hAnsi="宋体"/>
              </w:rPr>
              <w:t> </w:t>
            </w:r>
          </w:p>
        </w:tc>
        <w:tc>
          <w:tcPr>
            <w:tcW w:w="1523" w:type="dxa"/>
            <w:vAlign w:val="center"/>
          </w:tcPr>
          <w:p w14:paraId="3D8DF050">
            <w:pPr>
              <w:spacing w:line="360" w:lineRule="auto"/>
              <w:rPr>
                <w:rFonts w:ascii="宋体" w:hAnsi="宋体"/>
                <w:spacing w:val="20"/>
                <w:sz w:val="24"/>
              </w:rPr>
            </w:pPr>
            <w:r>
              <w:rPr>
                <w:rFonts w:ascii="宋体" w:hAnsi="宋体"/>
              </w:rPr>
              <w:t> </w:t>
            </w:r>
          </w:p>
        </w:tc>
        <w:tc>
          <w:tcPr>
            <w:tcW w:w="1227" w:type="dxa"/>
            <w:vAlign w:val="center"/>
          </w:tcPr>
          <w:p w14:paraId="09490389">
            <w:pPr>
              <w:spacing w:line="360" w:lineRule="auto"/>
              <w:rPr>
                <w:rFonts w:ascii="宋体" w:hAnsi="宋体"/>
              </w:rPr>
            </w:pPr>
          </w:p>
        </w:tc>
      </w:tr>
      <w:tr w14:paraId="21EE1854">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639" w:type="dxa"/>
            <w:vAlign w:val="center"/>
          </w:tcPr>
          <w:p w14:paraId="513BE62A">
            <w:pPr>
              <w:spacing w:line="360" w:lineRule="auto"/>
              <w:jc w:val="center"/>
              <w:rPr>
                <w:rFonts w:ascii="宋体" w:hAnsi="宋体"/>
                <w:caps/>
                <w:spacing w:val="20"/>
              </w:rPr>
            </w:pPr>
            <w:r>
              <w:rPr>
                <w:rFonts w:hint="eastAsia" w:ascii="宋体" w:hAnsi="宋体"/>
                <w:caps/>
                <w:spacing w:val="20"/>
              </w:rPr>
              <w:t>2</w:t>
            </w:r>
          </w:p>
        </w:tc>
        <w:tc>
          <w:tcPr>
            <w:tcW w:w="1836" w:type="dxa"/>
            <w:vAlign w:val="center"/>
          </w:tcPr>
          <w:p w14:paraId="01F9BCFE">
            <w:pPr>
              <w:spacing w:line="360" w:lineRule="auto"/>
              <w:rPr>
                <w:rFonts w:ascii="宋体" w:hAnsi="宋体"/>
                <w:spacing w:val="20"/>
                <w:sz w:val="24"/>
              </w:rPr>
            </w:pPr>
          </w:p>
        </w:tc>
        <w:tc>
          <w:tcPr>
            <w:tcW w:w="1506" w:type="dxa"/>
            <w:vAlign w:val="center"/>
          </w:tcPr>
          <w:p w14:paraId="64D406AE">
            <w:pPr>
              <w:spacing w:line="360" w:lineRule="auto"/>
              <w:rPr>
                <w:rFonts w:ascii="宋体" w:hAnsi="宋体"/>
                <w:spacing w:val="20"/>
                <w:sz w:val="24"/>
              </w:rPr>
            </w:pPr>
            <w:r>
              <w:rPr>
                <w:rFonts w:ascii="宋体" w:hAnsi="宋体"/>
              </w:rPr>
              <w:t> </w:t>
            </w:r>
          </w:p>
        </w:tc>
        <w:tc>
          <w:tcPr>
            <w:tcW w:w="1359" w:type="dxa"/>
            <w:vAlign w:val="center"/>
          </w:tcPr>
          <w:p w14:paraId="35113A13">
            <w:pPr>
              <w:spacing w:line="360" w:lineRule="auto"/>
              <w:rPr>
                <w:rFonts w:ascii="宋体" w:hAnsi="宋体"/>
                <w:spacing w:val="20"/>
                <w:sz w:val="24"/>
              </w:rPr>
            </w:pPr>
            <w:r>
              <w:rPr>
                <w:rFonts w:ascii="宋体" w:hAnsi="宋体"/>
              </w:rPr>
              <w:t> </w:t>
            </w:r>
          </w:p>
        </w:tc>
        <w:tc>
          <w:tcPr>
            <w:tcW w:w="1147" w:type="dxa"/>
            <w:vAlign w:val="center"/>
          </w:tcPr>
          <w:p w14:paraId="70EDB4DB">
            <w:pPr>
              <w:spacing w:line="360" w:lineRule="auto"/>
              <w:rPr>
                <w:rFonts w:ascii="宋体" w:hAnsi="宋体"/>
                <w:spacing w:val="20"/>
                <w:sz w:val="24"/>
              </w:rPr>
            </w:pPr>
            <w:r>
              <w:rPr>
                <w:rFonts w:ascii="宋体" w:hAnsi="宋体"/>
              </w:rPr>
              <w:t> </w:t>
            </w:r>
          </w:p>
        </w:tc>
        <w:tc>
          <w:tcPr>
            <w:tcW w:w="1523" w:type="dxa"/>
            <w:vAlign w:val="center"/>
          </w:tcPr>
          <w:p w14:paraId="6A401A1C">
            <w:pPr>
              <w:spacing w:line="360" w:lineRule="auto"/>
              <w:rPr>
                <w:rFonts w:ascii="宋体" w:hAnsi="宋体"/>
                <w:spacing w:val="20"/>
                <w:sz w:val="24"/>
              </w:rPr>
            </w:pPr>
            <w:r>
              <w:rPr>
                <w:rFonts w:ascii="宋体" w:hAnsi="宋体"/>
              </w:rPr>
              <w:t> </w:t>
            </w:r>
          </w:p>
        </w:tc>
        <w:tc>
          <w:tcPr>
            <w:tcW w:w="1227" w:type="dxa"/>
            <w:vAlign w:val="center"/>
          </w:tcPr>
          <w:p w14:paraId="38369B3C">
            <w:pPr>
              <w:spacing w:line="360" w:lineRule="auto"/>
              <w:rPr>
                <w:rFonts w:ascii="宋体" w:hAnsi="宋体"/>
              </w:rPr>
            </w:pPr>
          </w:p>
        </w:tc>
      </w:tr>
      <w:tr w14:paraId="33C6258D">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639" w:type="dxa"/>
            <w:vAlign w:val="center"/>
          </w:tcPr>
          <w:p w14:paraId="46280596">
            <w:pPr>
              <w:spacing w:line="360" w:lineRule="auto"/>
              <w:jc w:val="center"/>
              <w:rPr>
                <w:rFonts w:ascii="宋体" w:hAnsi="宋体"/>
                <w:caps/>
                <w:spacing w:val="20"/>
              </w:rPr>
            </w:pPr>
            <w:r>
              <w:rPr>
                <w:rFonts w:hint="eastAsia" w:ascii="宋体" w:hAnsi="宋体"/>
                <w:caps/>
                <w:spacing w:val="20"/>
              </w:rPr>
              <w:t>3</w:t>
            </w:r>
          </w:p>
        </w:tc>
        <w:tc>
          <w:tcPr>
            <w:tcW w:w="1836" w:type="dxa"/>
            <w:vAlign w:val="center"/>
          </w:tcPr>
          <w:p w14:paraId="086B38BE">
            <w:pPr>
              <w:spacing w:line="360" w:lineRule="auto"/>
              <w:rPr>
                <w:rFonts w:ascii="宋体" w:hAnsi="宋体"/>
                <w:spacing w:val="20"/>
                <w:sz w:val="24"/>
              </w:rPr>
            </w:pPr>
            <w:r>
              <w:rPr>
                <w:rFonts w:ascii="宋体" w:hAnsi="宋体"/>
              </w:rPr>
              <w:t> </w:t>
            </w:r>
            <w:r>
              <w:rPr>
                <w:rFonts w:hint="eastAsia" w:ascii="宋体" w:hAnsi="宋体"/>
              </w:rPr>
              <w:t>……</w:t>
            </w:r>
          </w:p>
        </w:tc>
        <w:tc>
          <w:tcPr>
            <w:tcW w:w="1506" w:type="dxa"/>
            <w:vAlign w:val="center"/>
          </w:tcPr>
          <w:p w14:paraId="146C7E0F">
            <w:pPr>
              <w:spacing w:line="360" w:lineRule="auto"/>
              <w:rPr>
                <w:rFonts w:ascii="宋体" w:hAnsi="宋体"/>
                <w:spacing w:val="20"/>
                <w:sz w:val="24"/>
              </w:rPr>
            </w:pPr>
            <w:r>
              <w:rPr>
                <w:rFonts w:ascii="宋体" w:hAnsi="宋体"/>
              </w:rPr>
              <w:t> </w:t>
            </w:r>
          </w:p>
        </w:tc>
        <w:tc>
          <w:tcPr>
            <w:tcW w:w="1359" w:type="dxa"/>
            <w:vAlign w:val="center"/>
          </w:tcPr>
          <w:p w14:paraId="212CBF4C">
            <w:pPr>
              <w:spacing w:line="360" w:lineRule="auto"/>
              <w:rPr>
                <w:rFonts w:ascii="宋体" w:hAnsi="宋体"/>
                <w:spacing w:val="20"/>
                <w:sz w:val="24"/>
              </w:rPr>
            </w:pPr>
            <w:r>
              <w:rPr>
                <w:rFonts w:ascii="宋体" w:hAnsi="宋体"/>
              </w:rPr>
              <w:t> </w:t>
            </w:r>
          </w:p>
        </w:tc>
        <w:tc>
          <w:tcPr>
            <w:tcW w:w="1147" w:type="dxa"/>
            <w:vAlign w:val="center"/>
          </w:tcPr>
          <w:p w14:paraId="4CB382C7">
            <w:pPr>
              <w:spacing w:line="360" w:lineRule="auto"/>
              <w:rPr>
                <w:rFonts w:ascii="宋体" w:hAnsi="宋体"/>
                <w:spacing w:val="20"/>
                <w:sz w:val="24"/>
              </w:rPr>
            </w:pPr>
            <w:r>
              <w:rPr>
                <w:rFonts w:ascii="宋体" w:hAnsi="宋体"/>
              </w:rPr>
              <w:t> </w:t>
            </w:r>
          </w:p>
        </w:tc>
        <w:tc>
          <w:tcPr>
            <w:tcW w:w="1523" w:type="dxa"/>
            <w:vAlign w:val="center"/>
          </w:tcPr>
          <w:p w14:paraId="1DACE0AA">
            <w:pPr>
              <w:spacing w:line="360" w:lineRule="auto"/>
              <w:rPr>
                <w:rFonts w:ascii="宋体" w:hAnsi="宋体"/>
                <w:spacing w:val="20"/>
                <w:sz w:val="24"/>
              </w:rPr>
            </w:pPr>
            <w:r>
              <w:rPr>
                <w:rFonts w:ascii="宋体" w:hAnsi="宋体"/>
              </w:rPr>
              <w:t> </w:t>
            </w:r>
          </w:p>
        </w:tc>
        <w:tc>
          <w:tcPr>
            <w:tcW w:w="1227" w:type="dxa"/>
            <w:vAlign w:val="center"/>
          </w:tcPr>
          <w:p w14:paraId="0C33A178">
            <w:pPr>
              <w:spacing w:line="360" w:lineRule="auto"/>
              <w:rPr>
                <w:rFonts w:ascii="宋体" w:hAnsi="宋体"/>
              </w:rPr>
            </w:pPr>
          </w:p>
        </w:tc>
      </w:tr>
      <w:tr w14:paraId="6B8B9355">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639" w:type="dxa"/>
            <w:vAlign w:val="center"/>
          </w:tcPr>
          <w:p w14:paraId="539B6B76">
            <w:pPr>
              <w:spacing w:line="360" w:lineRule="auto"/>
              <w:jc w:val="center"/>
              <w:rPr>
                <w:rFonts w:ascii="宋体" w:hAnsi="宋体"/>
                <w:caps/>
                <w:spacing w:val="20"/>
              </w:rPr>
            </w:pPr>
            <w:r>
              <w:rPr>
                <w:rFonts w:hint="eastAsia" w:ascii="宋体" w:hAnsi="宋体"/>
                <w:caps/>
                <w:spacing w:val="20"/>
              </w:rPr>
              <w:t>4</w:t>
            </w:r>
          </w:p>
        </w:tc>
        <w:tc>
          <w:tcPr>
            <w:tcW w:w="1836" w:type="dxa"/>
            <w:vAlign w:val="center"/>
          </w:tcPr>
          <w:p w14:paraId="0C767486">
            <w:pPr>
              <w:spacing w:line="360" w:lineRule="auto"/>
              <w:rPr>
                <w:rFonts w:ascii="宋体" w:hAnsi="宋体"/>
                <w:spacing w:val="20"/>
                <w:sz w:val="24"/>
              </w:rPr>
            </w:pPr>
            <w:r>
              <w:rPr>
                <w:rFonts w:ascii="宋体" w:hAnsi="宋体"/>
              </w:rPr>
              <w:t> </w:t>
            </w:r>
          </w:p>
        </w:tc>
        <w:tc>
          <w:tcPr>
            <w:tcW w:w="1506" w:type="dxa"/>
            <w:vAlign w:val="center"/>
          </w:tcPr>
          <w:p w14:paraId="3760E650">
            <w:pPr>
              <w:spacing w:line="360" w:lineRule="auto"/>
              <w:rPr>
                <w:rFonts w:ascii="宋体" w:hAnsi="宋体"/>
                <w:spacing w:val="20"/>
                <w:sz w:val="24"/>
              </w:rPr>
            </w:pPr>
            <w:r>
              <w:rPr>
                <w:rFonts w:ascii="宋体" w:hAnsi="宋体"/>
              </w:rPr>
              <w:t> </w:t>
            </w:r>
          </w:p>
        </w:tc>
        <w:tc>
          <w:tcPr>
            <w:tcW w:w="1359" w:type="dxa"/>
            <w:vAlign w:val="center"/>
          </w:tcPr>
          <w:p w14:paraId="1B70564B">
            <w:pPr>
              <w:spacing w:line="360" w:lineRule="auto"/>
              <w:rPr>
                <w:rFonts w:ascii="宋体" w:hAnsi="宋体"/>
                <w:spacing w:val="20"/>
                <w:sz w:val="24"/>
              </w:rPr>
            </w:pPr>
            <w:r>
              <w:rPr>
                <w:rFonts w:ascii="宋体" w:hAnsi="宋体"/>
              </w:rPr>
              <w:t> </w:t>
            </w:r>
          </w:p>
        </w:tc>
        <w:tc>
          <w:tcPr>
            <w:tcW w:w="1147" w:type="dxa"/>
            <w:vAlign w:val="center"/>
          </w:tcPr>
          <w:p w14:paraId="3FAB3CCF">
            <w:pPr>
              <w:spacing w:line="360" w:lineRule="auto"/>
              <w:rPr>
                <w:rFonts w:ascii="宋体" w:hAnsi="宋体"/>
                <w:spacing w:val="20"/>
                <w:sz w:val="24"/>
              </w:rPr>
            </w:pPr>
            <w:r>
              <w:rPr>
                <w:rFonts w:ascii="宋体" w:hAnsi="宋体"/>
              </w:rPr>
              <w:t> </w:t>
            </w:r>
          </w:p>
        </w:tc>
        <w:tc>
          <w:tcPr>
            <w:tcW w:w="1523" w:type="dxa"/>
            <w:vAlign w:val="center"/>
          </w:tcPr>
          <w:p w14:paraId="2748A891">
            <w:pPr>
              <w:spacing w:line="360" w:lineRule="auto"/>
              <w:rPr>
                <w:rFonts w:ascii="宋体" w:hAnsi="宋体"/>
                <w:spacing w:val="20"/>
                <w:sz w:val="24"/>
              </w:rPr>
            </w:pPr>
            <w:r>
              <w:rPr>
                <w:rFonts w:ascii="宋体" w:hAnsi="宋体"/>
              </w:rPr>
              <w:t> </w:t>
            </w:r>
          </w:p>
        </w:tc>
        <w:tc>
          <w:tcPr>
            <w:tcW w:w="1227" w:type="dxa"/>
            <w:vAlign w:val="center"/>
          </w:tcPr>
          <w:p w14:paraId="29779493">
            <w:pPr>
              <w:spacing w:line="360" w:lineRule="auto"/>
              <w:rPr>
                <w:rFonts w:ascii="宋体" w:hAnsi="宋体"/>
              </w:rPr>
            </w:pPr>
          </w:p>
        </w:tc>
      </w:tr>
      <w:tr w14:paraId="153516C4">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639" w:type="dxa"/>
            <w:vAlign w:val="center"/>
          </w:tcPr>
          <w:p w14:paraId="64A00C1A">
            <w:pPr>
              <w:spacing w:line="360" w:lineRule="auto"/>
              <w:jc w:val="center"/>
              <w:rPr>
                <w:rFonts w:ascii="宋体" w:hAnsi="宋体"/>
                <w:caps/>
                <w:spacing w:val="20"/>
              </w:rPr>
            </w:pPr>
            <w:r>
              <w:rPr>
                <w:rFonts w:hint="eastAsia" w:ascii="宋体" w:hAnsi="宋体"/>
                <w:caps/>
                <w:spacing w:val="20"/>
              </w:rPr>
              <w:t>5</w:t>
            </w:r>
          </w:p>
        </w:tc>
        <w:tc>
          <w:tcPr>
            <w:tcW w:w="1836" w:type="dxa"/>
            <w:vAlign w:val="center"/>
          </w:tcPr>
          <w:p w14:paraId="6AFD34C2">
            <w:pPr>
              <w:spacing w:line="360" w:lineRule="auto"/>
              <w:rPr>
                <w:rFonts w:ascii="宋体" w:hAnsi="宋体"/>
              </w:rPr>
            </w:pPr>
          </w:p>
        </w:tc>
        <w:tc>
          <w:tcPr>
            <w:tcW w:w="1506" w:type="dxa"/>
            <w:vAlign w:val="center"/>
          </w:tcPr>
          <w:p w14:paraId="0EDDE539">
            <w:pPr>
              <w:spacing w:line="360" w:lineRule="auto"/>
              <w:rPr>
                <w:rFonts w:ascii="宋体" w:hAnsi="宋体"/>
              </w:rPr>
            </w:pPr>
          </w:p>
        </w:tc>
        <w:tc>
          <w:tcPr>
            <w:tcW w:w="1359" w:type="dxa"/>
            <w:vAlign w:val="center"/>
          </w:tcPr>
          <w:p w14:paraId="71AF8103">
            <w:pPr>
              <w:spacing w:line="360" w:lineRule="auto"/>
              <w:rPr>
                <w:rFonts w:ascii="宋体" w:hAnsi="宋体"/>
              </w:rPr>
            </w:pPr>
          </w:p>
        </w:tc>
        <w:tc>
          <w:tcPr>
            <w:tcW w:w="1147" w:type="dxa"/>
            <w:vAlign w:val="center"/>
          </w:tcPr>
          <w:p w14:paraId="74F550F7">
            <w:pPr>
              <w:spacing w:line="360" w:lineRule="auto"/>
              <w:rPr>
                <w:rFonts w:ascii="宋体" w:hAnsi="宋体"/>
              </w:rPr>
            </w:pPr>
          </w:p>
        </w:tc>
        <w:tc>
          <w:tcPr>
            <w:tcW w:w="1523" w:type="dxa"/>
            <w:vAlign w:val="center"/>
          </w:tcPr>
          <w:p w14:paraId="022FFDC2">
            <w:pPr>
              <w:spacing w:line="360" w:lineRule="auto"/>
              <w:rPr>
                <w:rFonts w:ascii="宋体" w:hAnsi="宋体"/>
              </w:rPr>
            </w:pPr>
          </w:p>
        </w:tc>
        <w:tc>
          <w:tcPr>
            <w:tcW w:w="1227" w:type="dxa"/>
            <w:vAlign w:val="center"/>
          </w:tcPr>
          <w:p w14:paraId="0626AFDB">
            <w:pPr>
              <w:spacing w:line="360" w:lineRule="auto"/>
              <w:rPr>
                <w:rFonts w:ascii="宋体" w:hAnsi="宋体"/>
              </w:rPr>
            </w:pPr>
          </w:p>
        </w:tc>
      </w:tr>
      <w:tr w14:paraId="2C2F34BB">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639" w:type="dxa"/>
            <w:vAlign w:val="center"/>
          </w:tcPr>
          <w:p w14:paraId="30B71C24">
            <w:pPr>
              <w:spacing w:line="360" w:lineRule="auto"/>
              <w:jc w:val="center"/>
              <w:rPr>
                <w:rFonts w:ascii="宋体" w:hAnsi="宋体"/>
                <w:caps/>
                <w:spacing w:val="20"/>
              </w:rPr>
            </w:pPr>
            <w:r>
              <w:rPr>
                <w:rFonts w:hint="eastAsia" w:ascii="宋体" w:hAnsi="宋体"/>
                <w:caps/>
                <w:spacing w:val="20"/>
              </w:rPr>
              <w:t>6</w:t>
            </w:r>
          </w:p>
        </w:tc>
        <w:tc>
          <w:tcPr>
            <w:tcW w:w="1836" w:type="dxa"/>
            <w:vAlign w:val="center"/>
          </w:tcPr>
          <w:p w14:paraId="7BBF531B">
            <w:pPr>
              <w:spacing w:line="360" w:lineRule="auto"/>
              <w:rPr>
                <w:rFonts w:ascii="宋体" w:hAnsi="宋体"/>
              </w:rPr>
            </w:pPr>
          </w:p>
        </w:tc>
        <w:tc>
          <w:tcPr>
            <w:tcW w:w="1506" w:type="dxa"/>
            <w:vAlign w:val="center"/>
          </w:tcPr>
          <w:p w14:paraId="75E42C27">
            <w:pPr>
              <w:spacing w:line="360" w:lineRule="auto"/>
              <w:rPr>
                <w:rFonts w:ascii="宋体" w:hAnsi="宋体"/>
              </w:rPr>
            </w:pPr>
          </w:p>
        </w:tc>
        <w:tc>
          <w:tcPr>
            <w:tcW w:w="1359" w:type="dxa"/>
            <w:vAlign w:val="center"/>
          </w:tcPr>
          <w:p w14:paraId="4D7EC7A2">
            <w:pPr>
              <w:spacing w:line="360" w:lineRule="auto"/>
              <w:rPr>
                <w:rFonts w:ascii="宋体" w:hAnsi="宋体"/>
              </w:rPr>
            </w:pPr>
          </w:p>
        </w:tc>
        <w:tc>
          <w:tcPr>
            <w:tcW w:w="1147" w:type="dxa"/>
            <w:vAlign w:val="center"/>
          </w:tcPr>
          <w:p w14:paraId="13BD683F">
            <w:pPr>
              <w:spacing w:line="360" w:lineRule="auto"/>
              <w:rPr>
                <w:rFonts w:ascii="宋体" w:hAnsi="宋体"/>
              </w:rPr>
            </w:pPr>
          </w:p>
        </w:tc>
        <w:tc>
          <w:tcPr>
            <w:tcW w:w="1523" w:type="dxa"/>
            <w:vAlign w:val="center"/>
          </w:tcPr>
          <w:p w14:paraId="6454FCEB">
            <w:pPr>
              <w:spacing w:line="360" w:lineRule="auto"/>
              <w:rPr>
                <w:rFonts w:ascii="宋体" w:hAnsi="宋体"/>
              </w:rPr>
            </w:pPr>
          </w:p>
        </w:tc>
        <w:tc>
          <w:tcPr>
            <w:tcW w:w="1227" w:type="dxa"/>
            <w:vAlign w:val="center"/>
          </w:tcPr>
          <w:p w14:paraId="2B77C0E1">
            <w:pPr>
              <w:spacing w:line="360" w:lineRule="auto"/>
              <w:rPr>
                <w:rFonts w:ascii="宋体" w:hAnsi="宋体"/>
              </w:rPr>
            </w:pPr>
          </w:p>
        </w:tc>
      </w:tr>
      <w:tr w14:paraId="49605A57">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639" w:type="dxa"/>
            <w:vAlign w:val="center"/>
          </w:tcPr>
          <w:p w14:paraId="2A06BE3B">
            <w:pPr>
              <w:spacing w:line="360" w:lineRule="auto"/>
              <w:jc w:val="center"/>
              <w:rPr>
                <w:rFonts w:ascii="宋体" w:hAnsi="宋体"/>
                <w:caps/>
                <w:spacing w:val="20"/>
              </w:rPr>
            </w:pPr>
            <w:r>
              <w:rPr>
                <w:rFonts w:hint="eastAsia" w:ascii="宋体" w:hAnsi="宋体"/>
                <w:caps/>
                <w:spacing w:val="20"/>
              </w:rPr>
              <w:t>7</w:t>
            </w:r>
          </w:p>
        </w:tc>
        <w:tc>
          <w:tcPr>
            <w:tcW w:w="1836" w:type="dxa"/>
            <w:vAlign w:val="center"/>
          </w:tcPr>
          <w:p w14:paraId="5FBC9E2C">
            <w:pPr>
              <w:spacing w:line="360" w:lineRule="auto"/>
              <w:rPr>
                <w:rFonts w:ascii="宋体" w:hAnsi="宋体"/>
              </w:rPr>
            </w:pPr>
          </w:p>
        </w:tc>
        <w:tc>
          <w:tcPr>
            <w:tcW w:w="1506" w:type="dxa"/>
            <w:vAlign w:val="center"/>
          </w:tcPr>
          <w:p w14:paraId="620CD56D">
            <w:pPr>
              <w:spacing w:line="360" w:lineRule="auto"/>
              <w:rPr>
                <w:rFonts w:ascii="宋体" w:hAnsi="宋体"/>
              </w:rPr>
            </w:pPr>
          </w:p>
        </w:tc>
        <w:tc>
          <w:tcPr>
            <w:tcW w:w="1359" w:type="dxa"/>
            <w:vAlign w:val="center"/>
          </w:tcPr>
          <w:p w14:paraId="21648F77">
            <w:pPr>
              <w:spacing w:line="360" w:lineRule="auto"/>
              <w:rPr>
                <w:rFonts w:ascii="宋体" w:hAnsi="宋体"/>
              </w:rPr>
            </w:pPr>
          </w:p>
        </w:tc>
        <w:tc>
          <w:tcPr>
            <w:tcW w:w="1147" w:type="dxa"/>
            <w:vAlign w:val="center"/>
          </w:tcPr>
          <w:p w14:paraId="29E08C0B">
            <w:pPr>
              <w:spacing w:line="360" w:lineRule="auto"/>
              <w:rPr>
                <w:rFonts w:ascii="宋体" w:hAnsi="宋体"/>
              </w:rPr>
            </w:pPr>
          </w:p>
        </w:tc>
        <w:tc>
          <w:tcPr>
            <w:tcW w:w="1523" w:type="dxa"/>
            <w:vAlign w:val="center"/>
          </w:tcPr>
          <w:p w14:paraId="2669443C">
            <w:pPr>
              <w:spacing w:line="360" w:lineRule="auto"/>
              <w:rPr>
                <w:rFonts w:ascii="宋体" w:hAnsi="宋体"/>
              </w:rPr>
            </w:pPr>
          </w:p>
        </w:tc>
        <w:tc>
          <w:tcPr>
            <w:tcW w:w="1227" w:type="dxa"/>
            <w:vAlign w:val="center"/>
          </w:tcPr>
          <w:p w14:paraId="2F6B7B27">
            <w:pPr>
              <w:spacing w:line="360" w:lineRule="auto"/>
              <w:rPr>
                <w:rFonts w:ascii="宋体" w:hAnsi="宋体"/>
              </w:rPr>
            </w:pPr>
          </w:p>
        </w:tc>
      </w:tr>
      <w:tr w14:paraId="64E792AC">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639" w:type="dxa"/>
            <w:vAlign w:val="center"/>
          </w:tcPr>
          <w:p w14:paraId="107686E9">
            <w:pPr>
              <w:spacing w:line="360" w:lineRule="auto"/>
              <w:jc w:val="center"/>
              <w:rPr>
                <w:rFonts w:ascii="宋体" w:hAnsi="宋体"/>
                <w:caps/>
                <w:spacing w:val="20"/>
              </w:rPr>
            </w:pPr>
            <w:r>
              <w:rPr>
                <w:rFonts w:hint="eastAsia" w:ascii="宋体" w:hAnsi="宋体"/>
                <w:caps/>
                <w:spacing w:val="20"/>
              </w:rPr>
              <w:t>8</w:t>
            </w:r>
          </w:p>
        </w:tc>
        <w:tc>
          <w:tcPr>
            <w:tcW w:w="1836" w:type="dxa"/>
            <w:vAlign w:val="center"/>
          </w:tcPr>
          <w:p w14:paraId="2E22612D">
            <w:pPr>
              <w:spacing w:line="360" w:lineRule="auto"/>
              <w:rPr>
                <w:rFonts w:ascii="宋体" w:hAnsi="宋体"/>
                <w:spacing w:val="20"/>
                <w:sz w:val="24"/>
              </w:rPr>
            </w:pPr>
            <w:r>
              <w:rPr>
                <w:rFonts w:ascii="宋体" w:hAnsi="宋体"/>
              </w:rPr>
              <w:t> </w:t>
            </w:r>
          </w:p>
        </w:tc>
        <w:tc>
          <w:tcPr>
            <w:tcW w:w="1506" w:type="dxa"/>
            <w:vAlign w:val="center"/>
          </w:tcPr>
          <w:p w14:paraId="77F6CE97">
            <w:pPr>
              <w:spacing w:line="360" w:lineRule="auto"/>
              <w:rPr>
                <w:rFonts w:ascii="宋体" w:hAnsi="宋体"/>
                <w:spacing w:val="20"/>
                <w:sz w:val="24"/>
              </w:rPr>
            </w:pPr>
            <w:r>
              <w:rPr>
                <w:rFonts w:ascii="宋体" w:hAnsi="宋体"/>
              </w:rPr>
              <w:t> </w:t>
            </w:r>
          </w:p>
        </w:tc>
        <w:tc>
          <w:tcPr>
            <w:tcW w:w="1359" w:type="dxa"/>
            <w:vAlign w:val="center"/>
          </w:tcPr>
          <w:p w14:paraId="52606F7D">
            <w:pPr>
              <w:spacing w:line="360" w:lineRule="auto"/>
              <w:rPr>
                <w:rFonts w:ascii="宋体" w:hAnsi="宋体"/>
                <w:spacing w:val="20"/>
                <w:sz w:val="24"/>
              </w:rPr>
            </w:pPr>
            <w:r>
              <w:rPr>
                <w:rFonts w:ascii="宋体" w:hAnsi="宋体"/>
              </w:rPr>
              <w:t> </w:t>
            </w:r>
          </w:p>
        </w:tc>
        <w:tc>
          <w:tcPr>
            <w:tcW w:w="1147" w:type="dxa"/>
            <w:vAlign w:val="center"/>
          </w:tcPr>
          <w:p w14:paraId="58A1F92F">
            <w:pPr>
              <w:spacing w:line="360" w:lineRule="auto"/>
              <w:rPr>
                <w:rFonts w:ascii="宋体" w:hAnsi="宋体"/>
                <w:spacing w:val="20"/>
                <w:sz w:val="24"/>
              </w:rPr>
            </w:pPr>
            <w:r>
              <w:rPr>
                <w:rFonts w:ascii="宋体" w:hAnsi="宋体"/>
              </w:rPr>
              <w:t> </w:t>
            </w:r>
          </w:p>
        </w:tc>
        <w:tc>
          <w:tcPr>
            <w:tcW w:w="1523" w:type="dxa"/>
            <w:vAlign w:val="center"/>
          </w:tcPr>
          <w:p w14:paraId="58E153B1">
            <w:pPr>
              <w:spacing w:line="360" w:lineRule="auto"/>
              <w:rPr>
                <w:rFonts w:ascii="宋体" w:hAnsi="宋体"/>
                <w:spacing w:val="20"/>
                <w:sz w:val="24"/>
              </w:rPr>
            </w:pPr>
            <w:r>
              <w:rPr>
                <w:rFonts w:ascii="宋体" w:hAnsi="宋体"/>
              </w:rPr>
              <w:t> </w:t>
            </w:r>
          </w:p>
        </w:tc>
        <w:tc>
          <w:tcPr>
            <w:tcW w:w="1227" w:type="dxa"/>
            <w:vAlign w:val="center"/>
          </w:tcPr>
          <w:p w14:paraId="5754A26A">
            <w:pPr>
              <w:spacing w:line="360" w:lineRule="auto"/>
              <w:rPr>
                <w:rFonts w:ascii="宋体" w:hAnsi="宋体"/>
              </w:rPr>
            </w:pPr>
          </w:p>
        </w:tc>
      </w:tr>
    </w:tbl>
    <w:p w14:paraId="22F2CC58">
      <w:pPr>
        <w:tabs>
          <w:tab w:val="left" w:pos="4525"/>
        </w:tabs>
        <w:spacing w:line="460" w:lineRule="exact"/>
        <w:jc w:val="left"/>
        <w:rPr>
          <w:rFonts w:hAnsi="宋体"/>
          <w:sz w:val="24"/>
        </w:rPr>
      </w:pPr>
      <w:r>
        <w:rPr>
          <w:rFonts w:hint="eastAsia" w:hAnsi="宋体"/>
          <w:sz w:val="24"/>
        </w:rPr>
        <w:t>注：以上内容填写必须完整、真实，后附相关合同、中标通知书复印件。</w:t>
      </w:r>
    </w:p>
    <w:p w14:paraId="5796091C">
      <w:pPr>
        <w:tabs>
          <w:tab w:val="left" w:pos="4525"/>
        </w:tabs>
        <w:spacing w:line="460" w:lineRule="exact"/>
        <w:jc w:val="left"/>
        <w:rPr>
          <w:rFonts w:hAnsi="宋体"/>
          <w:sz w:val="24"/>
        </w:rPr>
      </w:pPr>
    </w:p>
    <w:p w14:paraId="31E85967">
      <w:pPr>
        <w:pStyle w:val="23"/>
        <w:rPr>
          <w:rFonts w:hAnsi="宋体"/>
          <w:sz w:val="24"/>
        </w:rPr>
      </w:pPr>
    </w:p>
    <w:p w14:paraId="39BAA347"/>
    <w:p w14:paraId="4816B2FC">
      <w:pPr>
        <w:tabs>
          <w:tab w:val="left" w:pos="4525"/>
        </w:tabs>
        <w:spacing w:line="460" w:lineRule="exact"/>
        <w:jc w:val="left"/>
        <w:rPr>
          <w:rFonts w:hAnsi="宋体"/>
          <w:sz w:val="24"/>
        </w:rPr>
      </w:pPr>
      <w:r>
        <w:rPr>
          <w:rFonts w:hint="eastAsia" w:hAnsi="宋体"/>
          <w:sz w:val="24"/>
        </w:rPr>
        <w:t>投标人全称（单位公章）：</w:t>
      </w:r>
    </w:p>
    <w:p w14:paraId="29DD3F5F">
      <w:pPr>
        <w:tabs>
          <w:tab w:val="left" w:pos="4525"/>
        </w:tabs>
        <w:spacing w:line="460" w:lineRule="exact"/>
        <w:jc w:val="left"/>
        <w:rPr>
          <w:rFonts w:hAnsi="宋体"/>
          <w:sz w:val="24"/>
        </w:rPr>
      </w:pPr>
      <w:r>
        <w:rPr>
          <w:rFonts w:hint="eastAsia" w:hAnsi="宋体"/>
          <w:sz w:val="24"/>
        </w:rPr>
        <w:t>法定代表人或委托代理人（盖章或签名）：</w:t>
      </w:r>
    </w:p>
    <w:p w14:paraId="27D4E07A">
      <w:pPr>
        <w:tabs>
          <w:tab w:val="left" w:pos="4525"/>
        </w:tabs>
        <w:spacing w:line="460" w:lineRule="exact"/>
        <w:jc w:val="left"/>
        <w:rPr>
          <w:rFonts w:hAnsi="宋体"/>
          <w:sz w:val="24"/>
        </w:rPr>
      </w:pPr>
      <w:r>
        <w:rPr>
          <w:rFonts w:hint="eastAsia" w:hAnsi="宋体"/>
          <w:sz w:val="24"/>
        </w:rPr>
        <w:t>日    期：</w:t>
      </w:r>
    </w:p>
    <w:p w14:paraId="2CB46E4E">
      <w:pPr>
        <w:rPr>
          <w:rFonts w:hAnsi="宋体"/>
          <w:sz w:val="24"/>
          <w:szCs w:val="24"/>
        </w:rPr>
      </w:pPr>
      <w:r>
        <w:rPr>
          <w:rFonts w:hint="eastAsia" w:hAnsi="宋体"/>
          <w:sz w:val="24"/>
          <w:szCs w:val="24"/>
        </w:rPr>
        <w:br w:type="page" w:clear="all"/>
      </w:r>
    </w:p>
    <w:p w14:paraId="5690AC70">
      <w:pPr>
        <w:widowControl/>
        <w:shd w:val="clear"/>
        <w:jc w:val="left"/>
        <w:rPr>
          <w:rFonts w:ascii="宋体"/>
          <w:color w:val="auto"/>
          <w:sz w:val="24"/>
          <w:szCs w:val="24"/>
          <w:highlight w:val="none"/>
          <w:shd w:val="clear" w:color="auto" w:fill="auto"/>
        </w:rPr>
      </w:pPr>
      <w:bookmarkStart w:id="43" w:name="_Toc19015"/>
      <w:r>
        <w:rPr>
          <w:rFonts w:hint="eastAsia" w:ascii="宋体" w:hAnsi="宋体" w:cs="宋体"/>
          <w:b/>
          <w:bCs/>
          <w:color w:val="auto"/>
          <w:sz w:val="24"/>
          <w:szCs w:val="24"/>
          <w:highlight w:val="none"/>
          <w:shd w:val="clear" w:color="auto" w:fill="auto"/>
        </w:rPr>
        <w:t>附件</w:t>
      </w:r>
      <w:r>
        <w:rPr>
          <w:rFonts w:hint="eastAsia" w:ascii="宋体" w:hAnsi="宋体" w:cs="宋体"/>
          <w:b/>
          <w:bCs/>
          <w:color w:val="auto"/>
          <w:sz w:val="24"/>
          <w:szCs w:val="24"/>
          <w:highlight w:val="none"/>
          <w:shd w:val="clear" w:color="auto" w:fill="auto"/>
          <w:lang w:val="en-US" w:eastAsia="zh-CN"/>
        </w:rPr>
        <w:t>5</w:t>
      </w:r>
      <w:r>
        <w:rPr>
          <w:rFonts w:hint="eastAsia" w:ascii="宋体" w:hAnsi="宋体" w:cs="宋体"/>
          <w:b/>
          <w:bCs/>
          <w:color w:val="auto"/>
          <w:sz w:val="24"/>
          <w:szCs w:val="24"/>
          <w:highlight w:val="none"/>
          <w:shd w:val="clear" w:color="auto" w:fill="auto"/>
        </w:rPr>
        <w:t>:</w:t>
      </w:r>
    </w:p>
    <w:p w14:paraId="056E2CB7">
      <w:pPr>
        <w:shd w:val="clear"/>
        <w:spacing w:before="156" w:beforeLines="50" w:after="156" w:afterLines="50" w:line="360" w:lineRule="auto"/>
        <w:ind w:right="-10"/>
        <w:jc w:val="center"/>
        <w:rPr>
          <w:rFonts w:ascii="宋体"/>
          <w:b/>
          <w:bCs/>
          <w:color w:val="auto"/>
          <w:spacing w:val="21"/>
          <w:kern w:val="0"/>
          <w:sz w:val="32"/>
          <w:szCs w:val="32"/>
          <w:highlight w:val="none"/>
          <w:shd w:val="clear" w:color="auto" w:fill="auto"/>
        </w:rPr>
      </w:pPr>
      <w:r>
        <w:rPr>
          <w:rFonts w:hint="eastAsia" w:ascii="宋体" w:hAnsi="宋体" w:cs="宋体"/>
          <w:b/>
          <w:bCs/>
          <w:color w:val="auto"/>
          <w:spacing w:val="21"/>
          <w:kern w:val="0"/>
          <w:sz w:val="32"/>
          <w:szCs w:val="32"/>
          <w:highlight w:val="none"/>
          <w:shd w:val="clear" w:color="auto" w:fill="auto"/>
        </w:rPr>
        <w:t>项目负责人资格情况表</w:t>
      </w:r>
    </w:p>
    <w:p w14:paraId="292FF1C1">
      <w:pPr>
        <w:shd w:val="clear"/>
        <w:spacing w:line="360" w:lineRule="auto"/>
        <w:rPr>
          <w:rFonts w:ascii="宋体"/>
          <w:color w:val="auto"/>
          <w:highlight w:val="none"/>
          <w:shd w:val="clear" w:color="auto" w:fill="auto"/>
        </w:rPr>
      </w:pPr>
      <w:r>
        <w:rPr>
          <w:rFonts w:hint="eastAsia" w:ascii="宋体" w:hAnsi="宋体" w:cs="宋体"/>
          <w:color w:val="auto"/>
          <w:highlight w:val="none"/>
          <w:shd w:val="clear" w:color="auto" w:fill="auto"/>
        </w:rPr>
        <w:t>采购项目：</w:t>
      </w:r>
      <w:r>
        <w:rPr>
          <w:rFonts w:ascii="宋体" w:hAnsi="宋体" w:cs="宋体"/>
          <w:color w:val="auto"/>
          <w:highlight w:val="none"/>
          <w:shd w:val="clear" w:color="auto" w:fill="auto"/>
        </w:rPr>
        <w:t xml:space="preserve">                                            </w:t>
      </w:r>
      <w:r>
        <w:rPr>
          <w:rFonts w:hint="eastAsia" w:ascii="宋体" w:hAnsi="宋体" w:cs="宋体"/>
          <w:color w:val="auto"/>
          <w:highlight w:val="none"/>
          <w:shd w:val="clear" w:color="auto" w:fill="auto"/>
        </w:rPr>
        <w:t>项目编号：</w:t>
      </w:r>
    </w:p>
    <w:tbl>
      <w:tblPr>
        <w:tblStyle w:val="44"/>
        <w:tblW w:w="862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766D3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6C86DE1E">
            <w:pPr>
              <w:keepNext w:val="0"/>
              <w:keepLines w:val="0"/>
              <w:suppressLineNumbers w:val="0"/>
              <w:shd w:val="clear"/>
              <w:autoSpaceDE w:val="0"/>
              <w:autoSpaceDN w:val="0"/>
              <w:adjustRightInd w:val="0"/>
              <w:snapToGrid w:val="0"/>
              <w:spacing w:before="0" w:beforeAutospacing="0" w:after="0" w:afterAutospacing="0" w:line="360" w:lineRule="auto"/>
              <w:ind w:left="0" w:right="0"/>
              <w:jc w:val="center"/>
              <w:rPr>
                <w:rFonts w:hint="default" w:ascii="宋体"/>
                <w:b/>
                <w:bCs/>
                <w:color w:val="auto"/>
                <w:highlight w:val="none"/>
                <w:shd w:val="clear" w:color="auto" w:fill="auto"/>
                <w:lang w:val="zh-CN"/>
              </w:rPr>
            </w:pPr>
            <w:r>
              <w:rPr>
                <w:rFonts w:hint="eastAsia" w:ascii="宋体" w:hAnsi="宋体" w:cs="宋体"/>
                <w:b/>
                <w:bCs/>
                <w:color w:val="auto"/>
                <w:highlight w:val="none"/>
                <w:shd w:val="clear" w:color="auto" w:fill="auto"/>
                <w:lang w:val="zh-CN"/>
              </w:rPr>
              <w:t>姓名</w:t>
            </w:r>
          </w:p>
        </w:tc>
        <w:tc>
          <w:tcPr>
            <w:tcW w:w="2967" w:type="dxa"/>
            <w:tcBorders>
              <w:top w:val="single" w:color="auto" w:sz="12" w:space="0"/>
            </w:tcBorders>
            <w:vAlign w:val="center"/>
          </w:tcPr>
          <w:p w14:paraId="61DA6597">
            <w:pPr>
              <w:keepNext w:val="0"/>
              <w:keepLines w:val="0"/>
              <w:suppressLineNumbers w:val="0"/>
              <w:shd w:val="clear"/>
              <w:autoSpaceDE w:val="0"/>
              <w:autoSpaceDN w:val="0"/>
              <w:adjustRightInd w:val="0"/>
              <w:snapToGrid w:val="0"/>
              <w:spacing w:before="0" w:beforeAutospacing="0" w:after="0" w:afterAutospacing="0" w:line="360" w:lineRule="auto"/>
              <w:ind w:left="0" w:right="0"/>
              <w:jc w:val="center"/>
              <w:rPr>
                <w:rFonts w:hint="default" w:ascii="宋体"/>
                <w:color w:val="auto"/>
                <w:highlight w:val="none"/>
                <w:shd w:val="clear" w:color="auto" w:fill="auto"/>
                <w:lang w:val="zh-CN"/>
              </w:rPr>
            </w:pPr>
          </w:p>
        </w:tc>
        <w:tc>
          <w:tcPr>
            <w:tcW w:w="3685" w:type="dxa"/>
            <w:tcBorders>
              <w:top w:val="single" w:color="auto" w:sz="12" w:space="0"/>
              <w:right w:val="single" w:color="auto" w:sz="12" w:space="0"/>
            </w:tcBorders>
            <w:vAlign w:val="center"/>
          </w:tcPr>
          <w:p w14:paraId="685ED6E6">
            <w:pPr>
              <w:keepNext w:val="0"/>
              <w:keepLines w:val="0"/>
              <w:suppressLineNumbers w:val="0"/>
              <w:shd w:val="clear"/>
              <w:autoSpaceDE w:val="0"/>
              <w:autoSpaceDN w:val="0"/>
              <w:adjustRightInd w:val="0"/>
              <w:snapToGrid w:val="0"/>
              <w:spacing w:before="0" w:beforeAutospacing="0" w:after="0" w:afterAutospacing="0" w:line="360" w:lineRule="auto"/>
              <w:ind w:left="0" w:right="0"/>
              <w:jc w:val="center"/>
              <w:rPr>
                <w:rFonts w:hint="default" w:ascii="宋体"/>
                <w:b/>
                <w:bCs/>
                <w:color w:val="auto"/>
                <w:highlight w:val="none"/>
                <w:shd w:val="clear" w:color="auto" w:fill="auto"/>
                <w:lang w:val="zh-CN"/>
              </w:rPr>
            </w:pPr>
            <w:r>
              <w:rPr>
                <w:rFonts w:hint="eastAsia" w:ascii="宋体" w:hAnsi="宋体" w:cs="宋体"/>
                <w:b/>
                <w:bCs/>
                <w:color w:val="auto"/>
                <w:highlight w:val="none"/>
                <w:shd w:val="clear" w:color="auto" w:fill="auto"/>
                <w:lang w:val="zh-CN"/>
              </w:rPr>
              <w:t>近年来主要工作业绩</w:t>
            </w:r>
          </w:p>
        </w:tc>
      </w:tr>
      <w:tr w14:paraId="285AC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26B179F3">
            <w:pPr>
              <w:keepNext w:val="0"/>
              <w:keepLines w:val="0"/>
              <w:suppressLineNumbers w:val="0"/>
              <w:shd w:val="clear"/>
              <w:autoSpaceDE w:val="0"/>
              <w:autoSpaceDN w:val="0"/>
              <w:adjustRightInd w:val="0"/>
              <w:snapToGrid w:val="0"/>
              <w:spacing w:before="0" w:beforeAutospacing="0" w:after="0" w:afterAutospacing="0" w:line="360" w:lineRule="auto"/>
              <w:ind w:left="0" w:right="0"/>
              <w:jc w:val="center"/>
              <w:rPr>
                <w:rFonts w:hint="default" w:ascii="宋体"/>
                <w:b/>
                <w:bCs/>
                <w:color w:val="auto"/>
                <w:highlight w:val="none"/>
                <w:shd w:val="clear" w:color="auto" w:fill="auto"/>
                <w:lang w:val="zh-CN"/>
              </w:rPr>
            </w:pPr>
            <w:r>
              <w:rPr>
                <w:rFonts w:hint="eastAsia" w:ascii="宋体" w:hAnsi="宋体" w:cs="宋体"/>
                <w:b/>
                <w:bCs/>
                <w:color w:val="auto"/>
                <w:highlight w:val="none"/>
                <w:shd w:val="clear" w:color="auto" w:fill="auto"/>
                <w:lang w:val="zh-CN"/>
              </w:rPr>
              <w:t>性别</w:t>
            </w:r>
          </w:p>
        </w:tc>
        <w:tc>
          <w:tcPr>
            <w:tcW w:w="2967" w:type="dxa"/>
            <w:vAlign w:val="center"/>
          </w:tcPr>
          <w:p w14:paraId="6930ABED">
            <w:pPr>
              <w:keepNext w:val="0"/>
              <w:keepLines w:val="0"/>
              <w:suppressLineNumbers w:val="0"/>
              <w:shd w:val="clear"/>
              <w:autoSpaceDE w:val="0"/>
              <w:autoSpaceDN w:val="0"/>
              <w:adjustRightInd w:val="0"/>
              <w:snapToGrid w:val="0"/>
              <w:spacing w:before="0" w:beforeAutospacing="0" w:after="0" w:afterAutospacing="0" w:line="360" w:lineRule="auto"/>
              <w:ind w:left="0" w:right="0"/>
              <w:jc w:val="center"/>
              <w:rPr>
                <w:rFonts w:hint="default" w:ascii="宋体"/>
                <w:color w:val="auto"/>
                <w:highlight w:val="none"/>
                <w:shd w:val="clear" w:color="auto" w:fill="auto"/>
                <w:lang w:val="zh-CN"/>
              </w:rPr>
            </w:pPr>
          </w:p>
        </w:tc>
        <w:tc>
          <w:tcPr>
            <w:tcW w:w="3685" w:type="dxa"/>
            <w:vMerge w:val="restart"/>
            <w:tcBorders>
              <w:right w:val="single" w:color="auto" w:sz="12" w:space="0"/>
            </w:tcBorders>
            <w:vAlign w:val="center"/>
          </w:tcPr>
          <w:p w14:paraId="0F63FFE0">
            <w:pPr>
              <w:keepNext w:val="0"/>
              <w:keepLines w:val="0"/>
              <w:suppressLineNumbers w:val="0"/>
              <w:shd w:val="clear"/>
              <w:autoSpaceDE w:val="0"/>
              <w:autoSpaceDN w:val="0"/>
              <w:adjustRightInd w:val="0"/>
              <w:snapToGrid w:val="0"/>
              <w:spacing w:before="0" w:beforeAutospacing="0" w:after="0" w:afterAutospacing="0" w:line="360" w:lineRule="auto"/>
              <w:ind w:left="0" w:right="0"/>
              <w:jc w:val="center"/>
              <w:rPr>
                <w:rFonts w:hint="default" w:ascii="宋体"/>
                <w:color w:val="auto"/>
                <w:highlight w:val="none"/>
                <w:shd w:val="clear" w:color="auto" w:fill="auto"/>
                <w:lang w:val="zh-CN"/>
              </w:rPr>
            </w:pPr>
            <w:r>
              <w:rPr>
                <w:rFonts w:hint="eastAsia" w:ascii="宋体" w:hAnsi="宋体" w:cs="宋体"/>
                <w:color w:val="auto"/>
                <w:highlight w:val="none"/>
                <w:shd w:val="clear" w:color="auto" w:fill="auto"/>
              </w:rPr>
              <w:t>注：业绩证明应提供旁证材料</w:t>
            </w:r>
          </w:p>
        </w:tc>
      </w:tr>
      <w:tr w14:paraId="7BDF1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CFADBB5">
            <w:pPr>
              <w:keepNext w:val="0"/>
              <w:keepLines w:val="0"/>
              <w:suppressLineNumbers w:val="0"/>
              <w:shd w:val="clear"/>
              <w:autoSpaceDE w:val="0"/>
              <w:autoSpaceDN w:val="0"/>
              <w:adjustRightInd w:val="0"/>
              <w:snapToGrid w:val="0"/>
              <w:spacing w:before="0" w:beforeAutospacing="0" w:after="0" w:afterAutospacing="0" w:line="360" w:lineRule="auto"/>
              <w:ind w:left="0" w:right="0"/>
              <w:jc w:val="center"/>
              <w:rPr>
                <w:rFonts w:hint="default" w:ascii="宋体"/>
                <w:b/>
                <w:bCs/>
                <w:color w:val="auto"/>
                <w:highlight w:val="none"/>
                <w:shd w:val="clear" w:color="auto" w:fill="auto"/>
                <w:lang w:val="zh-CN"/>
              </w:rPr>
            </w:pPr>
            <w:r>
              <w:rPr>
                <w:rFonts w:hint="eastAsia" w:ascii="宋体" w:hAnsi="宋体" w:cs="宋体"/>
                <w:b/>
                <w:bCs/>
                <w:color w:val="auto"/>
                <w:highlight w:val="none"/>
                <w:shd w:val="clear" w:color="auto" w:fill="auto"/>
                <w:lang w:val="zh-CN"/>
              </w:rPr>
              <w:t>年龄</w:t>
            </w:r>
          </w:p>
        </w:tc>
        <w:tc>
          <w:tcPr>
            <w:tcW w:w="2967" w:type="dxa"/>
            <w:vAlign w:val="center"/>
          </w:tcPr>
          <w:p w14:paraId="5C86F0C8">
            <w:pPr>
              <w:keepNext w:val="0"/>
              <w:keepLines w:val="0"/>
              <w:suppressLineNumbers w:val="0"/>
              <w:shd w:val="clear"/>
              <w:autoSpaceDE w:val="0"/>
              <w:autoSpaceDN w:val="0"/>
              <w:adjustRightInd w:val="0"/>
              <w:snapToGrid w:val="0"/>
              <w:spacing w:before="0" w:beforeAutospacing="0" w:after="0" w:afterAutospacing="0" w:line="360" w:lineRule="auto"/>
              <w:ind w:left="0" w:right="0"/>
              <w:jc w:val="center"/>
              <w:rPr>
                <w:rFonts w:hint="default" w:ascii="宋体"/>
                <w:color w:val="auto"/>
                <w:highlight w:val="none"/>
                <w:shd w:val="clear" w:color="auto" w:fill="auto"/>
                <w:lang w:val="zh-CN"/>
              </w:rPr>
            </w:pPr>
          </w:p>
        </w:tc>
        <w:tc>
          <w:tcPr>
            <w:tcW w:w="3685" w:type="dxa"/>
            <w:vMerge w:val="continue"/>
            <w:tcBorders>
              <w:right w:val="single" w:color="auto" w:sz="12" w:space="0"/>
            </w:tcBorders>
            <w:vAlign w:val="center"/>
          </w:tcPr>
          <w:p w14:paraId="7447D738">
            <w:pPr>
              <w:keepNext w:val="0"/>
              <w:keepLines w:val="0"/>
              <w:suppressLineNumbers w:val="0"/>
              <w:shd w:val="clear"/>
              <w:autoSpaceDE w:val="0"/>
              <w:autoSpaceDN w:val="0"/>
              <w:adjustRightInd w:val="0"/>
              <w:snapToGrid w:val="0"/>
              <w:spacing w:before="0" w:beforeAutospacing="0" w:after="0" w:afterAutospacing="0" w:line="360" w:lineRule="auto"/>
              <w:ind w:left="0" w:right="0"/>
              <w:jc w:val="center"/>
              <w:rPr>
                <w:rFonts w:hint="default" w:ascii="宋体"/>
                <w:color w:val="auto"/>
                <w:highlight w:val="none"/>
                <w:shd w:val="clear" w:color="auto" w:fill="auto"/>
                <w:lang w:val="zh-CN"/>
              </w:rPr>
            </w:pPr>
          </w:p>
        </w:tc>
      </w:tr>
      <w:tr w14:paraId="725A2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52398D56">
            <w:pPr>
              <w:keepNext w:val="0"/>
              <w:keepLines w:val="0"/>
              <w:suppressLineNumbers w:val="0"/>
              <w:shd w:val="clear"/>
              <w:autoSpaceDE w:val="0"/>
              <w:autoSpaceDN w:val="0"/>
              <w:adjustRightInd w:val="0"/>
              <w:snapToGrid w:val="0"/>
              <w:spacing w:before="0" w:beforeAutospacing="0" w:after="0" w:afterAutospacing="0" w:line="360" w:lineRule="auto"/>
              <w:ind w:left="0" w:right="0"/>
              <w:jc w:val="center"/>
              <w:rPr>
                <w:rFonts w:hint="default" w:ascii="宋体"/>
                <w:b/>
                <w:bCs/>
                <w:color w:val="auto"/>
                <w:highlight w:val="none"/>
                <w:shd w:val="clear" w:color="auto" w:fill="auto"/>
                <w:lang w:val="zh-CN"/>
              </w:rPr>
            </w:pPr>
            <w:r>
              <w:rPr>
                <w:rFonts w:hint="eastAsia" w:ascii="宋体" w:hAnsi="宋体" w:cs="宋体"/>
                <w:b/>
                <w:bCs/>
                <w:color w:val="auto"/>
                <w:highlight w:val="none"/>
                <w:shd w:val="clear" w:color="auto" w:fill="auto"/>
                <w:lang w:val="zh-CN"/>
              </w:rPr>
              <w:t>职称</w:t>
            </w:r>
          </w:p>
        </w:tc>
        <w:tc>
          <w:tcPr>
            <w:tcW w:w="2967" w:type="dxa"/>
            <w:vAlign w:val="center"/>
          </w:tcPr>
          <w:p w14:paraId="64E4D9B9">
            <w:pPr>
              <w:keepNext w:val="0"/>
              <w:keepLines w:val="0"/>
              <w:suppressLineNumbers w:val="0"/>
              <w:shd w:val="clear"/>
              <w:autoSpaceDE w:val="0"/>
              <w:autoSpaceDN w:val="0"/>
              <w:adjustRightInd w:val="0"/>
              <w:snapToGrid w:val="0"/>
              <w:spacing w:before="0" w:beforeAutospacing="0" w:after="0" w:afterAutospacing="0" w:line="360" w:lineRule="auto"/>
              <w:ind w:left="0" w:right="0"/>
              <w:jc w:val="center"/>
              <w:rPr>
                <w:rFonts w:hint="default" w:ascii="宋体"/>
                <w:color w:val="auto"/>
                <w:highlight w:val="none"/>
                <w:shd w:val="clear" w:color="auto" w:fill="auto"/>
                <w:lang w:val="zh-CN"/>
              </w:rPr>
            </w:pPr>
          </w:p>
        </w:tc>
        <w:tc>
          <w:tcPr>
            <w:tcW w:w="3685" w:type="dxa"/>
            <w:vMerge w:val="continue"/>
            <w:tcBorders>
              <w:right w:val="single" w:color="auto" w:sz="12" w:space="0"/>
            </w:tcBorders>
            <w:vAlign w:val="center"/>
          </w:tcPr>
          <w:p w14:paraId="378F618F">
            <w:pPr>
              <w:keepNext w:val="0"/>
              <w:keepLines w:val="0"/>
              <w:suppressLineNumbers w:val="0"/>
              <w:shd w:val="clear"/>
              <w:autoSpaceDE w:val="0"/>
              <w:autoSpaceDN w:val="0"/>
              <w:adjustRightInd w:val="0"/>
              <w:snapToGrid w:val="0"/>
              <w:spacing w:before="0" w:beforeAutospacing="0" w:after="0" w:afterAutospacing="0" w:line="360" w:lineRule="auto"/>
              <w:ind w:left="0" w:right="0"/>
              <w:jc w:val="center"/>
              <w:rPr>
                <w:rFonts w:hint="default" w:ascii="宋体"/>
                <w:color w:val="auto"/>
                <w:highlight w:val="none"/>
                <w:shd w:val="clear" w:color="auto" w:fill="auto"/>
                <w:lang w:val="zh-CN"/>
              </w:rPr>
            </w:pPr>
          </w:p>
        </w:tc>
      </w:tr>
      <w:tr w14:paraId="17EE3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8AACD6B">
            <w:pPr>
              <w:keepNext w:val="0"/>
              <w:keepLines w:val="0"/>
              <w:suppressLineNumbers w:val="0"/>
              <w:shd w:val="clear"/>
              <w:autoSpaceDE w:val="0"/>
              <w:autoSpaceDN w:val="0"/>
              <w:adjustRightInd w:val="0"/>
              <w:snapToGrid w:val="0"/>
              <w:spacing w:before="0" w:beforeAutospacing="0" w:after="0" w:afterAutospacing="0" w:line="360" w:lineRule="auto"/>
              <w:ind w:left="0" w:right="0"/>
              <w:jc w:val="center"/>
              <w:rPr>
                <w:rFonts w:hint="default" w:ascii="宋体"/>
                <w:b/>
                <w:bCs/>
                <w:color w:val="auto"/>
                <w:highlight w:val="none"/>
                <w:shd w:val="clear" w:color="auto" w:fill="auto"/>
                <w:lang w:val="zh-CN"/>
              </w:rPr>
            </w:pPr>
            <w:r>
              <w:rPr>
                <w:rFonts w:hint="eastAsia" w:ascii="宋体" w:hAnsi="宋体" w:cs="宋体"/>
                <w:b/>
                <w:bCs/>
                <w:color w:val="auto"/>
                <w:highlight w:val="none"/>
                <w:shd w:val="clear" w:color="auto" w:fill="auto"/>
                <w:lang w:val="zh-CN"/>
              </w:rPr>
              <w:t>毕业时间</w:t>
            </w:r>
          </w:p>
        </w:tc>
        <w:tc>
          <w:tcPr>
            <w:tcW w:w="2967" w:type="dxa"/>
            <w:vAlign w:val="center"/>
          </w:tcPr>
          <w:p w14:paraId="69DA90C0">
            <w:pPr>
              <w:keepNext w:val="0"/>
              <w:keepLines w:val="0"/>
              <w:suppressLineNumbers w:val="0"/>
              <w:shd w:val="clear"/>
              <w:autoSpaceDE w:val="0"/>
              <w:autoSpaceDN w:val="0"/>
              <w:adjustRightInd w:val="0"/>
              <w:snapToGrid w:val="0"/>
              <w:spacing w:before="0" w:beforeAutospacing="0" w:after="0" w:afterAutospacing="0" w:line="360" w:lineRule="auto"/>
              <w:ind w:left="0" w:right="0"/>
              <w:jc w:val="center"/>
              <w:rPr>
                <w:rFonts w:hint="default" w:ascii="宋体"/>
                <w:color w:val="auto"/>
                <w:highlight w:val="none"/>
                <w:shd w:val="clear" w:color="auto" w:fill="auto"/>
                <w:lang w:val="zh-CN"/>
              </w:rPr>
            </w:pPr>
          </w:p>
        </w:tc>
        <w:tc>
          <w:tcPr>
            <w:tcW w:w="3685" w:type="dxa"/>
            <w:vMerge w:val="continue"/>
            <w:tcBorders>
              <w:right w:val="single" w:color="auto" w:sz="12" w:space="0"/>
            </w:tcBorders>
            <w:vAlign w:val="center"/>
          </w:tcPr>
          <w:p w14:paraId="30610ABF">
            <w:pPr>
              <w:keepNext w:val="0"/>
              <w:keepLines w:val="0"/>
              <w:suppressLineNumbers w:val="0"/>
              <w:shd w:val="clear"/>
              <w:autoSpaceDE w:val="0"/>
              <w:autoSpaceDN w:val="0"/>
              <w:adjustRightInd w:val="0"/>
              <w:snapToGrid w:val="0"/>
              <w:spacing w:before="0" w:beforeAutospacing="0" w:after="0" w:afterAutospacing="0" w:line="360" w:lineRule="auto"/>
              <w:ind w:left="0" w:right="0"/>
              <w:jc w:val="center"/>
              <w:rPr>
                <w:rFonts w:hint="default" w:ascii="宋体"/>
                <w:color w:val="auto"/>
                <w:highlight w:val="none"/>
                <w:shd w:val="clear" w:color="auto" w:fill="auto"/>
                <w:lang w:val="zh-CN"/>
              </w:rPr>
            </w:pPr>
          </w:p>
        </w:tc>
      </w:tr>
      <w:tr w14:paraId="309FA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6E158BD0">
            <w:pPr>
              <w:keepNext w:val="0"/>
              <w:keepLines w:val="0"/>
              <w:suppressLineNumbers w:val="0"/>
              <w:shd w:val="clear"/>
              <w:autoSpaceDE w:val="0"/>
              <w:autoSpaceDN w:val="0"/>
              <w:adjustRightInd w:val="0"/>
              <w:snapToGrid w:val="0"/>
              <w:spacing w:before="0" w:beforeAutospacing="0" w:after="0" w:afterAutospacing="0" w:line="360" w:lineRule="auto"/>
              <w:ind w:left="0" w:right="0"/>
              <w:jc w:val="center"/>
              <w:rPr>
                <w:rFonts w:hint="default" w:ascii="宋体"/>
                <w:b/>
                <w:bCs/>
                <w:color w:val="auto"/>
                <w:highlight w:val="none"/>
                <w:shd w:val="clear" w:color="auto" w:fill="auto"/>
                <w:lang w:val="zh-CN"/>
              </w:rPr>
            </w:pPr>
            <w:r>
              <w:rPr>
                <w:rFonts w:hint="eastAsia" w:ascii="宋体" w:hAnsi="宋体" w:cs="宋体"/>
                <w:b/>
                <w:bCs/>
                <w:color w:val="auto"/>
                <w:highlight w:val="none"/>
                <w:shd w:val="clear" w:color="auto" w:fill="auto"/>
                <w:lang w:val="zh-CN"/>
              </w:rPr>
              <w:t>学校专业</w:t>
            </w:r>
          </w:p>
        </w:tc>
        <w:tc>
          <w:tcPr>
            <w:tcW w:w="2967" w:type="dxa"/>
            <w:vAlign w:val="center"/>
          </w:tcPr>
          <w:p w14:paraId="54D8E7D0">
            <w:pPr>
              <w:keepNext w:val="0"/>
              <w:keepLines w:val="0"/>
              <w:suppressLineNumbers w:val="0"/>
              <w:shd w:val="clear"/>
              <w:autoSpaceDE w:val="0"/>
              <w:autoSpaceDN w:val="0"/>
              <w:adjustRightInd w:val="0"/>
              <w:snapToGrid w:val="0"/>
              <w:spacing w:before="0" w:beforeAutospacing="0" w:after="0" w:afterAutospacing="0" w:line="360" w:lineRule="auto"/>
              <w:ind w:left="0" w:right="0"/>
              <w:jc w:val="center"/>
              <w:rPr>
                <w:rFonts w:hint="default" w:ascii="宋体"/>
                <w:color w:val="auto"/>
                <w:highlight w:val="none"/>
                <w:shd w:val="clear" w:color="auto" w:fill="auto"/>
                <w:lang w:val="zh-CN"/>
              </w:rPr>
            </w:pPr>
          </w:p>
        </w:tc>
        <w:tc>
          <w:tcPr>
            <w:tcW w:w="3685" w:type="dxa"/>
            <w:vMerge w:val="continue"/>
            <w:tcBorders>
              <w:right w:val="single" w:color="auto" w:sz="12" w:space="0"/>
            </w:tcBorders>
            <w:vAlign w:val="center"/>
          </w:tcPr>
          <w:p w14:paraId="2E001F16">
            <w:pPr>
              <w:keepNext w:val="0"/>
              <w:keepLines w:val="0"/>
              <w:suppressLineNumbers w:val="0"/>
              <w:shd w:val="clear"/>
              <w:autoSpaceDE w:val="0"/>
              <w:autoSpaceDN w:val="0"/>
              <w:adjustRightInd w:val="0"/>
              <w:snapToGrid w:val="0"/>
              <w:spacing w:before="0" w:beforeAutospacing="0" w:after="0" w:afterAutospacing="0" w:line="360" w:lineRule="auto"/>
              <w:ind w:left="0" w:right="0"/>
              <w:jc w:val="center"/>
              <w:rPr>
                <w:rFonts w:hint="default" w:ascii="宋体"/>
                <w:color w:val="auto"/>
                <w:highlight w:val="none"/>
                <w:shd w:val="clear" w:color="auto" w:fill="auto"/>
                <w:lang w:val="zh-CN"/>
              </w:rPr>
            </w:pPr>
          </w:p>
        </w:tc>
      </w:tr>
      <w:tr w14:paraId="7DCF8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7E8DB72">
            <w:pPr>
              <w:keepNext w:val="0"/>
              <w:keepLines w:val="0"/>
              <w:suppressLineNumbers w:val="0"/>
              <w:shd w:val="clear"/>
              <w:autoSpaceDE w:val="0"/>
              <w:autoSpaceDN w:val="0"/>
              <w:adjustRightInd w:val="0"/>
              <w:snapToGrid w:val="0"/>
              <w:spacing w:before="0" w:beforeAutospacing="0" w:after="0" w:afterAutospacing="0" w:line="360" w:lineRule="auto"/>
              <w:ind w:left="0" w:right="0"/>
              <w:jc w:val="center"/>
              <w:rPr>
                <w:rFonts w:hint="default" w:ascii="宋体"/>
                <w:b/>
                <w:bCs/>
                <w:color w:val="auto"/>
                <w:highlight w:val="none"/>
                <w:shd w:val="clear" w:color="auto" w:fill="auto"/>
                <w:lang w:val="zh-CN"/>
              </w:rPr>
            </w:pPr>
            <w:r>
              <w:rPr>
                <w:rFonts w:hint="eastAsia" w:ascii="宋体" w:hAnsi="宋体" w:cs="宋体"/>
                <w:b/>
                <w:bCs/>
                <w:color w:val="auto"/>
                <w:highlight w:val="none"/>
                <w:shd w:val="clear" w:color="auto" w:fill="auto"/>
                <w:lang w:val="zh-CN"/>
              </w:rPr>
              <w:t>联系电话</w:t>
            </w:r>
          </w:p>
        </w:tc>
        <w:tc>
          <w:tcPr>
            <w:tcW w:w="2967" w:type="dxa"/>
            <w:vAlign w:val="center"/>
          </w:tcPr>
          <w:p w14:paraId="03FF4395">
            <w:pPr>
              <w:keepNext w:val="0"/>
              <w:keepLines w:val="0"/>
              <w:suppressLineNumbers w:val="0"/>
              <w:shd w:val="clear"/>
              <w:autoSpaceDE w:val="0"/>
              <w:autoSpaceDN w:val="0"/>
              <w:adjustRightInd w:val="0"/>
              <w:snapToGrid w:val="0"/>
              <w:spacing w:before="0" w:beforeAutospacing="0" w:after="0" w:afterAutospacing="0" w:line="360" w:lineRule="auto"/>
              <w:ind w:left="0" w:right="0"/>
              <w:jc w:val="center"/>
              <w:rPr>
                <w:rFonts w:hint="default" w:ascii="宋体"/>
                <w:color w:val="auto"/>
                <w:highlight w:val="none"/>
                <w:shd w:val="clear" w:color="auto" w:fill="auto"/>
                <w:lang w:val="zh-CN"/>
              </w:rPr>
            </w:pPr>
          </w:p>
        </w:tc>
        <w:tc>
          <w:tcPr>
            <w:tcW w:w="3685" w:type="dxa"/>
            <w:vMerge w:val="continue"/>
            <w:tcBorders>
              <w:right w:val="single" w:color="auto" w:sz="12" w:space="0"/>
            </w:tcBorders>
            <w:vAlign w:val="center"/>
          </w:tcPr>
          <w:p w14:paraId="34EEACAB">
            <w:pPr>
              <w:keepNext w:val="0"/>
              <w:keepLines w:val="0"/>
              <w:suppressLineNumbers w:val="0"/>
              <w:shd w:val="clear"/>
              <w:autoSpaceDE w:val="0"/>
              <w:autoSpaceDN w:val="0"/>
              <w:adjustRightInd w:val="0"/>
              <w:snapToGrid w:val="0"/>
              <w:spacing w:before="0" w:beforeAutospacing="0" w:after="0" w:afterAutospacing="0" w:line="360" w:lineRule="auto"/>
              <w:ind w:left="0" w:right="0"/>
              <w:jc w:val="center"/>
              <w:rPr>
                <w:rFonts w:hint="default" w:ascii="宋体"/>
                <w:color w:val="auto"/>
                <w:highlight w:val="none"/>
                <w:shd w:val="clear" w:color="auto" w:fill="auto"/>
                <w:lang w:val="zh-CN"/>
              </w:rPr>
            </w:pPr>
          </w:p>
        </w:tc>
      </w:tr>
      <w:tr w14:paraId="7BF10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3CE186A6">
            <w:pPr>
              <w:keepNext w:val="0"/>
              <w:keepLines w:val="0"/>
              <w:suppressLineNumbers w:val="0"/>
              <w:shd w:val="clear"/>
              <w:autoSpaceDE w:val="0"/>
              <w:autoSpaceDN w:val="0"/>
              <w:adjustRightInd w:val="0"/>
              <w:snapToGrid w:val="0"/>
              <w:spacing w:before="0" w:beforeAutospacing="0" w:after="0" w:afterAutospacing="0" w:line="360" w:lineRule="auto"/>
              <w:ind w:left="0" w:right="0"/>
              <w:jc w:val="center"/>
              <w:rPr>
                <w:rFonts w:hint="default" w:ascii="宋体"/>
                <w:b/>
                <w:bCs/>
                <w:color w:val="auto"/>
                <w:highlight w:val="none"/>
                <w:shd w:val="clear" w:color="auto" w:fill="auto"/>
                <w:lang w:val="zh-CN"/>
              </w:rPr>
            </w:pPr>
            <w:r>
              <w:rPr>
                <w:rFonts w:hint="eastAsia" w:ascii="宋体" w:hAnsi="宋体" w:cs="宋体"/>
                <w:b/>
                <w:bCs/>
                <w:color w:val="auto"/>
                <w:highlight w:val="none"/>
                <w:shd w:val="clear" w:color="auto" w:fill="auto"/>
              </w:rPr>
              <w:t>最近一年工作状况</w:t>
            </w:r>
          </w:p>
        </w:tc>
        <w:tc>
          <w:tcPr>
            <w:tcW w:w="2967" w:type="dxa"/>
            <w:vAlign w:val="center"/>
          </w:tcPr>
          <w:p w14:paraId="5AA12EA1">
            <w:pPr>
              <w:keepNext w:val="0"/>
              <w:keepLines w:val="0"/>
              <w:suppressLineNumbers w:val="0"/>
              <w:shd w:val="clear"/>
              <w:autoSpaceDE w:val="0"/>
              <w:autoSpaceDN w:val="0"/>
              <w:adjustRightInd w:val="0"/>
              <w:snapToGrid w:val="0"/>
              <w:spacing w:before="0" w:beforeAutospacing="0" w:after="0" w:afterAutospacing="0" w:line="360" w:lineRule="auto"/>
              <w:ind w:left="0" w:right="0"/>
              <w:jc w:val="center"/>
              <w:rPr>
                <w:rFonts w:hint="default" w:ascii="宋体"/>
                <w:color w:val="auto"/>
                <w:highlight w:val="none"/>
                <w:shd w:val="clear" w:color="auto" w:fill="auto"/>
                <w:lang w:val="zh-CN"/>
              </w:rPr>
            </w:pPr>
          </w:p>
        </w:tc>
        <w:tc>
          <w:tcPr>
            <w:tcW w:w="3685" w:type="dxa"/>
            <w:vMerge w:val="continue"/>
            <w:tcBorders>
              <w:right w:val="single" w:color="auto" w:sz="12" w:space="0"/>
            </w:tcBorders>
            <w:vAlign w:val="center"/>
          </w:tcPr>
          <w:p w14:paraId="2C32AAE6">
            <w:pPr>
              <w:keepNext w:val="0"/>
              <w:keepLines w:val="0"/>
              <w:suppressLineNumbers w:val="0"/>
              <w:shd w:val="clear"/>
              <w:autoSpaceDE w:val="0"/>
              <w:autoSpaceDN w:val="0"/>
              <w:adjustRightInd w:val="0"/>
              <w:snapToGrid w:val="0"/>
              <w:spacing w:before="0" w:beforeAutospacing="0" w:after="0" w:afterAutospacing="0" w:line="360" w:lineRule="auto"/>
              <w:ind w:left="0" w:right="0"/>
              <w:jc w:val="center"/>
              <w:rPr>
                <w:rFonts w:hint="default" w:ascii="宋体"/>
                <w:color w:val="auto"/>
                <w:highlight w:val="none"/>
                <w:shd w:val="clear" w:color="auto" w:fill="auto"/>
                <w:lang w:val="zh-CN"/>
              </w:rPr>
            </w:pPr>
          </w:p>
        </w:tc>
      </w:tr>
      <w:tr w14:paraId="319A5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500B7BEC">
            <w:pPr>
              <w:keepNext w:val="0"/>
              <w:keepLines w:val="0"/>
              <w:suppressLineNumbers w:val="0"/>
              <w:shd w:val="clear"/>
              <w:autoSpaceDE w:val="0"/>
              <w:autoSpaceDN w:val="0"/>
              <w:adjustRightInd w:val="0"/>
              <w:snapToGrid w:val="0"/>
              <w:spacing w:before="0" w:beforeAutospacing="0" w:after="0" w:afterAutospacing="0" w:line="360" w:lineRule="auto"/>
              <w:ind w:left="0" w:right="0"/>
              <w:jc w:val="center"/>
              <w:rPr>
                <w:rFonts w:hint="default" w:ascii="宋体"/>
                <w:b/>
                <w:bCs/>
                <w:color w:val="auto"/>
                <w:highlight w:val="none"/>
                <w:shd w:val="clear" w:color="auto" w:fill="auto"/>
                <w:lang w:val="zh-CN"/>
              </w:rPr>
            </w:pPr>
            <w:r>
              <w:rPr>
                <w:rFonts w:hint="eastAsia" w:ascii="宋体" w:hAnsi="宋体" w:cs="宋体"/>
                <w:b/>
                <w:bCs/>
                <w:color w:val="auto"/>
                <w:highlight w:val="none"/>
                <w:shd w:val="clear" w:color="auto" w:fill="auto"/>
                <w:lang w:val="zh-CN"/>
              </w:rPr>
              <w:t>拟在本项目中担任主要工作</w:t>
            </w:r>
          </w:p>
        </w:tc>
        <w:tc>
          <w:tcPr>
            <w:tcW w:w="6652" w:type="dxa"/>
            <w:gridSpan w:val="2"/>
            <w:tcBorders>
              <w:bottom w:val="single" w:color="auto" w:sz="12" w:space="0"/>
              <w:right w:val="single" w:color="auto" w:sz="12" w:space="0"/>
            </w:tcBorders>
            <w:vAlign w:val="center"/>
          </w:tcPr>
          <w:p w14:paraId="4C9A2D0F">
            <w:pPr>
              <w:keepNext w:val="0"/>
              <w:keepLines w:val="0"/>
              <w:suppressLineNumbers w:val="0"/>
              <w:shd w:val="clear"/>
              <w:autoSpaceDE w:val="0"/>
              <w:autoSpaceDN w:val="0"/>
              <w:adjustRightInd w:val="0"/>
              <w:snapToGrid w:val="0"/>
              <w:spacing w:before="0" w:beforeAutospacing="0" w:after="0" w:afterAutospacing="0" w:line="360" w:lineRule="auto"/>
              <w:ind w:left="0" w:right="0"/>
              <w:jc w:val="center"/>
              <w:rPr>
                <w:rFonts w:hint="default" w:ascii="宋体"/>
                <w:color w:val="auto"/>
                <w:highlight w:val="none"/>
                <w:shd w:val="clear" w:color="auto" w:fill="auto"/>
                <w:lang w:val="zh-CN"/>
              </w:rPr>
            </w:pPr>
          </w:p>
        </w:tc>
      </w:tr>
    </w:tbl>
    <w:p w14:paraId="6D3F1183">
      <w:pPr>
        <w:shd w:val="clear"/>
        <w:spacing w:line="360" w:lineRule="auto"/>
        <w:ind w:left="420"/>
        <w:rPr>
          <w:rFonts w:ascii="宋体"/>
          <w:color w:val="auto"/>
          <w:sz w:val="24"/>
          <w:szCs w:val="24"/>
          <w:highlight w:val="none"/>
          <w:shd w:val="clear" w:color="auto" w:fill="auto"/>
        </w:rPr>
      </w:pPr>
    </w:p>
    <w:p w14:paraId="37FBF4F5">
      <w:pPr>
        <w:tabs>
          <w:tab w:val="left" w:pos="4525"/>
        </w:tabs>
        <w:spacing w:line="460" w:lineRule="exact"/>
        <w:jc w:val="left"/>
        <w:rPr>
          <w:rFonts w:hAnsi="宋体"/>
          <w:sz w:val="24"/>
        </w:rPr>
      </w:pPr>
      <w:r>
        <w:rPr>
          <w:rFonts w:hint="eastAsia" w:hAnsi="宋体"/>
          <w:sz w:val="24"/>
        </w:rPr>
        <w:t>投标人全称（单位公章）：</w:t>
      </w:r>
    </w:p>
    <w:p w14:paraId="40792004">
      <w:pPr>
        <w:tabs>
          <w:tab w:val="left" w:pos="4525"/>
        </w:tabs>
        <w:spacing w:line="460" w:lineRule="exact"/>
        <w:jc w:val="left"/>
        <w:rPr>
          <w:rFonts w:hAnsi="宋体"/>
          <w:sz w:val="24"/>
        </w:rPr>
      </w:pPr>
      <w:r>
        <w:rPr>
          <w:rFonts w:hint="eastAsia" w:hAnsi="宋体"/>
          <w:sz w:val="24"/>
        </w:rPr>
        <w:t>法定代表人或委托代理人（盖章或签名）：</w:t>
      </w:r>
    </w:p>
    <w:p w14:paraId="0A9D9D51">
      <w:pPr>
        <w:tabs>
          <w:tab w:val="left" w:pos="4525"/>
        </w:tabs>
        <w:spacing w:line="460" w:lineRule="exact"/>
        <w:jc w:val="left"/>
        <w:rPr>
          <w:rFonts w:hAnsi="宋体"/>
          <w:sz w:val="24"/>
        </w:rPr>
      </w:pPr>
      <w:r>
        <w:rPr>
          <w:rFonts w:hint="eastAsia" w:hAnsi="宋体"/>
          <w:sz w:val="24"/>
        </w:rPr>
        <w:t>日    期：</w:t>
      </w:r>
    </w:p>
    <w:p w14:paraId="00C267CB">
      <w:pPr>
        <w:widowControl/>
        <w:shd w:val="clear"/>
        <w:jc w:val="left"/>
        <w:rPr>
          <w:rFonts w:hint="eastAsia" w:ascii="宋体" w:hAnsi="宋体" w:eastAsia="宋体" w:cs="宋体"/>
          <w:b/>
          <w:bCs/>
          <w:color w:val="auto"/>
          <w:sz w:val="24"/>
          <w:szCs w:val="24"/>
          <w:highlight w:val="none"/>
          <w:shd w:val="clear" w:color="auto" w:fill="auto"/>
          <w:lang w:val="en-US" w:eastAsia="zh-CN"/>
        </w:rPr>
      </w:pPr>
    </w:p>
    <w:p w14:paraId="6BA8BF3A">
      <w:pPr>
        <w:widowControl/>
        <w:shd w:val="clear"/>
        <w:jc w:val="left"/>
        <w:rPr>
          <w:rFonts w:hint="eastAsia" w:ascii="宋体" w:hAnsi="宋体" w:eastAsia="宋体" w:cs="宋体"/>
          <w:b/>
          <w:bCs/>
          <w:color w:val="auto"/>
          <w:sz w:val="24"/>
          <w:szCs w:val="24"/>
          <w:highlight w:val="none"/>
          <w:shd w:val="clear" w:color="auto" w:fill="auto"/>
          <w:lang w:val="en-US" w:eastAsia="zh-CN"/>
        </w:rPr>
      </w:pPr>
    </w:p>
    <w:p w14:paraId="2E5AD53A">
      <w:pPr>
        <w:widowControl/>
        <w:shd w:val="clear"/>
        <w:jc w:val="left"/>
        <w:rPr>
          <w:rFonts w:hint="eastAsia" w:ascii="宋体" w:hAnsi="宋体" w:eastAsia="宋体" w:cs="宋体"/>
          <w:b/>
          <w:bCs/>
          <w:color w:val="auto"/>
          <w:sz w:val="24"/>
          <w:szCs w:val="24"/>
          <w:highlight w:val="none"/>
          <w:shd w:val="clear" w:color="auto" w:fill="auto"/>
          <w:lang w:val="en-US" w:eastAsia="zh-CN"/>
        </w:rPr>
      </w:pPr>
    </w:p>
    <w:p w14:paraId="58F95B37">
      <w:pPr>
        <w:widowControl/>
        <w:shd w:val="clear"/>
        <w:jc w:val="left"/>
        <w:rPr>
          <w:rFonts w:hint="eastAsia" w:ascii="宋体" w:hAnsi="宋体" w:eastAsia="宋体" w:cs="宋体"/>
          <w:b/>
          <w:bCs/>
          <w:color w:val="auto"/>
          <w:sz w:val="24"/>
          <w:szCs w:val="24"/>
          <w:highlight w:val="none"/>
          <w:shd w:val="clear" w:color="auto" w:fill="auto"/>
          <w:lang w:val="en-US" w:eastAsia="zh-CN"/>
        </w:rPr>
      </w:pPr>
    </w:p>
    <w:p w14:paraId="60A202D8">
      <w:pPr>
        <w:widowControl/>
        <w:shd w:val="clear"/>
        <w:jc w:val="left"/>
        <w:rPr>
          <w:rFonts w:hint="eastAsia" w:ascii="宋体" w:hAnsi="宋体" w:eastAsia="宋体" w:cs="宋体"/>
          <w:b/>
          <w:bCs/>
          <w:color w:val="auto"/>
          <w:sz w:val="24"/>
          <w:szCs w:val="24"/>
          <w:highlight w:val="none"/>
          <w:shd w:val="clear" w:color="auto" w:fill="auto"/>
          <w:lang w:val="en-US" w:eastAsia="zh-CN"/>
        </w:rPr>
      </w:pPr>
    </w:p>
    <w:p w14:paraId="3563849D">
      <w:pPr>
        <w:widowControl/>
        <w:shd w:val="clear"/>
        <w:jc w:val="left"/>
        <w:rPr>
          <w:rFonts w:hint="eastAsia" w:ascii="宋体" w:hAnsi="宋体" w:eastAsia="宋体" w:cs="宋体"/>
          <w:b/>
          <w:bCs/>
          <w:color w:val="auto"/>
          <w:sz w:val="24"/>
          <w:szCs w:val="24"/>
          <w:highlight w:val="none"/>
          <w:shd w:val="clear" w:color="auto" w:fill="auto"/>
          <w:lang w:val="en-US" w:eastAsia="zh-CN"/>
        </w:rPr>
      </w:pPr>
    </w:p>
    <w:p w14:paraId="521C2608">
      <w:pPr>
        <w:widowControl/>
        <w:shd w:val="clear"/>
        <w:jc w:val="left"/>
        <w:rPr>
          <w:rFonts w:hint="eastAsia" w:ascii="宋体" w:hAnsi="宋体" w:eastAsia="宋体" w:cs="宋体"/>
          <w:b/>
          <w:bCs/>
          <w:color w:val="auto"/>
          <w:sz w:val="24"/>
          <w:szCs w:val="24"/>
          <w:highlight w:val="none"/>
          <w:shd w:val="clear" w:color="auto" w:fill="auto"/>
          <w:lang w:val="en-US" w:eastAsia="zh-CN"/>
        </w:rPr>
      </w:pPr>
    </w:p>
    <w:p w14:paraId="6CCB751B">
      <w:pPr>
        <w:widowControl/>
        <w:shd w:val="clear"/>
        <w:jc w:val="left"/>
        <w:rPr>
          <w:rFonts w:hint="eastAsia" w:ascii="宋体" w:hAnsi="宋体" w:eastAsia="宋体" w:cs="宋体"/>
          <w:b/>
          <w:bCs/>
          <w:color w:val="auto"/>
          <w:sz w:val="24"/>
          <w:szCs w:val="24"/>
          <w:highlight w:val="none"/>
          <w:shd w:val="clear" w:color="auto" w:fill="auto"/>
          <w:lang w:val="en-US" w:eastAsia="zh-CN"/>
        </w:rPr>
      </w:pPr>
    </w:p>
    <w:p w14:paraId="256A4F42">
      <w:pPr>
        <w:widowControl/>
        <w:shd w:val="clear"/>
        <w:jc w:val="left"/>
        <w:rPr>
          <w:rFonts w:hint="default"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附件6：</w:t>
      </w:r>
    </w:p>
    <w:p w14:paraId="56EB208C">
      <w:pPr>
        <w:shd w:val="clear"/>
        <w:snapToGrid w:val="0"/>
        <w:spacing w:before="156" w:beforeLines="50" w:after="50" w:line="360" w:lineRule="auto"/>
        <w:jc w:val="center"/>
        <w:rPr>
          <w:rFonts w:hint="eastAsia" w:ascii="宋体" w:eastAsia="宋体"/>
          <w:b/>
          <w:bCs/>
          <w:color w:val="auto"/>
          <w:spacing w:val="21"/>
          <w:kern w:val="0"/>
          <w:sz w:val="32"/>
          <w:szCs w:val="32"/>
          <w:highlight w:val="none"/>
          <w:shd w:val="clear" w:color="auto" w:fill="auto"/>
          <w:lang w:eastAsia="zh-CN"/>
        </w:rPr>
      </w:pPr>
      <w:r>
        <w:rPr>
          <w:rFonts w:hint="eastAsia" w:ascii="宋体" w:hAnsi="宋体" w:cs="宋体"/>
          <w:b/>
          <w:bCs/>
          <w:color w:val="auto"/>
          <w:spacing w:val="21"/>
          <w:kern w:val="0"/>
          <w:sz w:val="32"/>
          <w:szCs w:val="32"/>
          <w:highlight w:val="none"/>
          <w:shd w:val="clear" w:color="auto" w:fill="auto"/>
          <w:lang w:eastAsia="zh-CN"/>
        </w:rPr>
        <w:t>拟投入人员情况汇总表</w:t>
      </w:r>
    </w:p>
    <w:tbl>
      <w:tblPr>
        <w:tblStyle w:val="44"/>
        <w:tblW w:w="9117" w:type="dxa"/>
        <w:tblInd w:w="-30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73"/>
        <w:gridCol w:w="1980"/>
        <w:gridCol w:w="933"/>
        <w:gridCol w:w="1374"/>
        <w:gridCol w:w="866"/>
        <w:gridCol w:w="2249"/>
        <w:gridCol w:w="842"/>
      </w:tblGrid>
      <w:tr w14:paraId="312D3E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49" w:hRule="atLeast"/>
        </w:trPr>
        <w:tc>
          <w:tcPr>
            <w:tcW w:w="2853" w:type="dxa"/>
            <w:gridSpan w:val="2"/>
            <w:vAlign w:val="center"/>
          </w:tcPr>
          <w:p w14:paraId="383ACAC5">
            <w:pPr>
              <w:pStyle w:val="15"/>
              <w:keepNext w:val="0"/>
              <w:keepLines w:val="0"/>
              <w:suppressLineNumbers w:val="0"/>
              <w:spacing w:before="0" w:beforeAutospacing="0" w:after="0" w:afterAutospacing="0" w:line="440" w:lineRule="exact"/>
              <w:ind w:left="0" w:right="0" w:firstLine="0"/>
              <w:jc w:val="center"/>
              <w:rPr>
                <w:rFonts w:hint="default"/>
                <w:b/>
                <w:bCs/>
                <w:sz w:val="22"/>
                <w:szCs w:val="15"/>
              </w:rPr>
            </w:pPr>
            <w:r>
              <w:rPr>
                <w:rFonts w:hint="default"/>
                <w:b/>
                <w:bCs/>
                <w:sz w:val="22"/>
                <w:szCs w:val="15"/>
              </w:rPr>
              <w:t>岗位名称</w:t>
            </w:r>
          </w:p>
        </w:tc>
        <w:tc>
          <w:tcPr>
            <w:tcW w:w="933" w:type="dxa"/>
            <w:vAlign w:val="center"/>
          </w:tcPr>
          <w:p w14:paraId="0C1176D5">
            <w:pPr>
              <w:pStyle w:val="15"/>
              <w:keepNext w:val="0"/>
              <w:keepLines w:val="0"/>
              <w:suppressLineNumbers w:val="0"/>
              <w:spacing w:before="0" w:beforeAutospacing="0" w:after="0" w:afterAutospacing="0" w:line="440" w:lineRule="exact"/>
              <w:ind w:left="0" w:right="0" w:firstLine="0"/>
              <w:rPr>
                <w:rFonts w:hint="default"/>
                <w:b/>
                <w:bCs/>
                <w:sz w:val="22"/>
                <w:szCs w:val="15"/>
              </w:rPr>
            </w:pPr>
            <w:r>
              <w:rPr>
                <w:rFonts w:hint="default"/>
                <w:b/>
                <w:bCs/>
                <w:sz w:val="22"/>
                <w:szCs w:val="15"/>
              </w:rPr>
              <w:t>姓名</w:t>
            </w:r>
          </w:p>
        </w:tc>
        <w:tc>
          <w:tcPr>
            <w:tcW w:w="1374" w:type="dxa"/>
            <w:vAlign w:val="center"/>
          </w:tcPr>
          <w:p w14:paraId="0ECCA204">
            <w:pPr>
              <w:pStyle w:val="15"/>
              <w:keepNext w:val="0"/>
              <w:keepLines w:val="0"/>
              <w:suppressLineNumbers w:val="0"/>
              <w:spacing w:before="0" w:beforeAutospacing="0" w:after="0" w:afterAutospacing="0" w:line="440" w:lineRule="exact"/>
              <w:ind w:left="0" w:right="0" w:firstLine="0"/>
              <w:rPr>
                <w:rFonts w:hint="default"/>
                <w:b/>
                <w:bCs/>
                <w:sz w:val="22"/>
                <w:szCs w:val="15"/>
              </w:rPr>
            </w:pPr>
            <w:r>
              <w:rPr>
                <w:rFonts w:hint="default"/>
                <w:b/>
                <w:bCs/>
                <w:sz w:val="22"/>
                <w:szCs w:val="15"/>
              </w:rPr>
              <w:t>执业资格/职称</w:t>
            </w:r>
          </w:p>
        </w:tc>
        <w:tc>
          <w:tcPr>
            <w:tcW w:w="866" w:type="dxa"/>
            <w:vAlign w:val="center"/>
          </w:tcPr>
          <w:p w14:paraId="45C213A1">
            <w:pPr>
              <w:keepNext w:val="0"/>
              <w:keepLines w:val="0"/>
              <w:suppressLineNumbers w:val="0"/>
              <w:spacing w:before="0" w:beforeAutospacing="0" w:after="0" w:afterAutospacing="0"/>
              <w:ind w:left="0" w:right="0"/>
              <w:rPr>
                <w:rFonts w:hint="default" w:ascii="宋体"/>
                <w:b/>
                <w:bCs/>
                <w:sz w:val="22"/>
                <w:szCs w:val="15"/>
              </w:rPr>
            </w:pPr>
            <w:r>
              <w:rPr>
                <w:rFonts w:hint="eastAsia" w:ascii="宋体"/>
                <w:b/>
                <w:bCs/>
                <w:sz w:val="22"/>
                <w:szCs w:val="15"/>
              </w:rPr>
              <w:t>现任</w:t>
            </w:r>
          </w:p>
          <w:p w14:paraId="0CCBECE5">
            <w:pPr>
              <w:keepNext w:val="0"/>
              <w:keepLines w:val="0"/>
              <w:suppressLineNumbers w:val="0"/>
              <w:spacing w:before="0" w:beforeAutospacing="0" w:after="0" w:afterAutospacing="0"/>
              <w:ind w:left="0" w:right="0"/>
              <w:rPr>
                <w:rFonts w:hint="default" w:ascii="宋体"/>
                <w:b/>
                <w:bCs/>
                <w:sz w:val="22"/>
                <w:szCs w:val="15"/>
              </w:rPr>
            </w:pPr>
            <w:r>
              <w:rPr>
                <w:rFonts w:hint="eastAsia" w:ascii="宋体"/>
                <w:b/>
                <w:bCs/>
                <w:sz w:val="22"/>
                <w:szCs w:val="15"/>
              </w:rPr>
              <w:t>职务</w:t>
            </w:r>
          </w:p>
        </w:tc>
        <w:tc>
          <w:tcPr>
            <w:tcW w:w="2249" w:type="dxa"/>
            <w:vAlign w:val="center"/>
          </w:tcPr>
          <w:p w14:paraId="6B6A7126">
            <w:pPr>
              <w:keepNext w:val="0"/>
              <w:keepLines w:val="0"/>
              <w:suppressLineNumbers w:val="0"/>
              <w:spacing w:before="0" w:beforeAutospacing="0" w:after="0" w:afterAutospacing="0"/>
              <w:ind w:left="0" w:right="0"/>
              <w:rPr>
                <w:rFonts w:hint="default" w:ascii="宋体"/>
                <w:b/>
                <w:bCs/>
                <w:sz w:val="22"/>
                <w:szCs w:val="15"/>
              </w:rPr>
            </w:pPr>
            <w:r>
              <w:rPr>
                <w:rFonts w:hint="eastAsia"/>
                <w:b/>
                <w:bCs/>
                <w:sz w:val="22"/>
                <w:szCs w:val="15"/>
              </w:rPr>
              <w:t>工作</w:t>
            </w:r>
            <w:r>
              <w:rPr>
                <w:rFonts w:hint="eastAsia" w:ascii="宋体"/>
                <w:b/>
                <w:bCs/>
                <w:sz w:val="22"/>
                <w:szCs w:val="15"/>
              </w:rPr>
              <w:t>年限、经验和在该项目中担任的职务</w:t>
            </w:r>
          </w:p>
        </w:tc>
        <w:tc>
          <w:tcPr>
            <w:tcW w:w="842" w:type="dxa"/>
            <w:vAlign w:val="center"/>
          </w:tcPr>
          <w:p w14:paraId="28A169F7">
            <w:pPr>
              <w:keepNext w:val="0"/>
              <w:keepLines w:val="0"/>
              <w:suppressLineNumbers w:val="0"/>
              <w:spacing w:before="0" w:beforeAutospacing="0" w:after="0" w:afterAutospacing="0"/>
              <w:ind w:left="0" w:right="0"/>
              <w:jc w:val="center"/>
              <w:rPr>
                <w:rFonts w:hint="default" w:ascii="宋体"/>
                <w:b/>
                <w:bCs/>
                <w:sz w:val="22"/>
                <w:szCs w:val="15"/>
              </w:rPr>
            </w:pPr>
            <w:r>
              <w:rPr>
                <w:rFonts w:hint="eastAsia" w:ascii="宋体"/>
                <w:b/>
                <w:bCs/>
                <w:sz w:val="22"/>
                <w:szCs w:val="15"/>
              </w:rPr>
              <w:t>备注</w:t>
            </w:r>
          </w:p>
        </w:tc>
      </w:tr>
      <w:tr w14:paraId="67C9E7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77" w:hRule="atLeast"/>
        </w:trPr>
        <w:tc>
          <w:tcPr>
            <w:tcW w:w="873" w:type="dxa"/>
            <w:vMerge w:val="restart"/>
            <w:vAlign w:val="center"/>
          </w:tcPr>
          <w:p w14:paraId="4338CA67">
            <w:pPr>
              <w:pStyle w:val="15"/>
              <w:keepNext w:val="0"/>
              <w:keepLines w:val="0"/>
              <w:suppressLineNumbers w:val="0"/>
              <w:spacing w:before="0" w:beforeAutospacing="0" w:after="0" w:afterAutospacing="0" w:line="440" w:lineRule="exact"/>
              <w:ind w:left="0" w:right="0" w:firstLine="0"/>
              <w:rPr>
                <w:rFonts w:hint="default"/>
                <w:sz w:val="24"/>
                <w:szCs w:val="16"/>
              </w:rPr>
            </w:pPr>
            <w:r>
              <w:rPr>
                <w:rFonts w:hint="default"/>
                <w:b/>
                <w:bCs/>
                <w:sz w:val="24"/>
                <w:szCs w:val="16"/>
              </w:rPr>
              <w:t>项</w:t>
            </w:r>
            <w:r>
              <w:rPr>
                <w:rFonts w:hint="eastAsia"/>
                <w:b/>
                <w:bCs/>
                <w:sz w:val="24"/>
                <w:szCs w:val="16"/>
              </w:rPr>
              <w:t>目</w:t>
            </w:r>
            <w:r>
              <w:rPr>
                <w:rFonts w:hint="default"/>
                <w:b/>
                <w:bCs/>
                <w:sz w:val="24"/>
                <w:szCs w:val="16"/>
              </w:rPr>
              <w:t>主要人</w:t>
            </w:r>
            <w:r>
              <w:rPr>
                <w:rFonts w:hint="eastAsia"/>
                <w:b/>
                <w:bCs/>
                <w:sz w:val="24"/>
                <w:szCs w:val="16"/>
                <w:lang w:val="en-US" w:eastAsia="zh-CN"/>
              </w:rPr>
              <w:t xml:space="preserve"> </w:t>
            </w:r>
            <w:r>
              <w:rPr>
                <w:rFonts w:hint="default"/>
                <w:b/>
                <w:bCs/>
                <w:sz w:val="24"/>
                <w:szCs w:val="16"/>
              </w:rPr>
              <w:t>员</w:t>
            </w:r>
          </w:p>
        </w:tc>
        <w:tc>
          <w:tcPr>
            <w:tcW w:w="1980" w:type="dxa"/>
            <w:vAlign w:val="center"/>
          </w:tcPr>
          <w:p w14:paraId="5ACBAF54">
            <w:pPr>
              <w:pStyle w:val="15"/>
              <w:keepNext w:val="0"/>
              <w:keepLines w:val="0"/>
              <w:suppressLineNumbers w:val="0"/>
              <w:spacing w:before="0" w:beforeAutospacing="0" w:after="0" w:afterAutospacing="0"/>
              <w:ind w:left="0" w:right="0" w:firstLine="0"/>
              <w:rPr>
                <w:rFonts w:hint="default"/>
                <w:sz w:val="24"/>
                <w:szCs w:val="16"/>
              </w:rPr>
            </w:pPr>
          </w:p>
        </w:tc>
        <w:tc>
          <w:tcPr>
            <w:tcW w:w="933" w:type="dxa"/>
          </w:tcPr>
          <w:p w14:paraId="1C6A13FA">
            <w:pPr>
              <w:pStyle w:val="15"/>
              <w:keepNext w:val="0"/>
              <w:keepLines w:val="0"/>
              <w:suppressLineNumbers w:val="0"/>
              <w:spacing w:before="0" w:beforeAutospacing="0" w:after="0" w:afterAutospacing="0" w:line="440" w:lineRule="exact"/>
              <w:ind w:left="0" w:right="0" w:firstLine="480"/>
              <w:jc w:val="center"/>
              <w:rPr>
                <w:rFonts w:hint="default"/>
                <w:sz w:val="24"/>
                <w:szCs w:val="16"/>
              </w:rPr>
            </w:pPr>
          </w:p>
        </w:tc>
        <w:tc>
          <w:tcPr>
            <w:tcW w:w="1374" w:type="dxa"/>
          </w:tcPr>
          <w:p w14:paraId="7B03CB21">
            <w:pPr>
              <w:pStyle w:val="15"/>
              <w:keepNext w:val="0"/>
              <w:keepLines w:val="0"/>
              <w:suppressLineNumbers w:val="0"/>
              <w:spacing w:before="0" w:beforeAutospacing="0" w:after="0" w:afterAutospacing="0" w:line="440" w:lineRule="exact"/>
              <w:ind w:left="0" w:right="0" w:firstLine="480"/>
              <w:jc w:val="center"/>
              <w:rPr>
                <w:rFonts w:hint="default"/>
                <w:sz w:val="24"/>
                <w:szCs w:val="16"/>
              </w:rPr>
            </w:pPr>
          </w:p>
        </w:tc>
        <w:tc>
          <w:tcPr>
            <w:tcW w:w="866" w:type="dxa"/>
          </w:tcPr>
          <w:p w14:paraId="7BA643E4">
            <w:pPr>
              <w:pStyle w:val="15"/>
              <w:keepNext w:val="0"/>
              <w:keepLines w:val="0"/>
              <w:suppressLineNumbers w:val="0"/>
              <w:spacing w:before="0" w:beforeAutospacing="0" w:after="0" w:afterAutospacing="0" w:line="440" w:lineRule="exact"/>
              <w:ind w:left="0" w:right="0" w:firstLine="480"/>
              <w:jc w:val="center"/>
              <w:rPr>
                <w:rFonts w:hint="default"/>
                <w:sz w:val="24"/>
                <w:szCs w:val="16"/>
              </w:rPr>
            </w:pPr>
          </w:p>
        </w:tc>
        <w:tc>
          <w:tcPr>
            <w:tcW w:w="2249" w:type="dxa"/>
          </w:tcPr>
          <w:p w14:paraId="25D50BD6">
            <w:pPr>
              <w:pStyle w:val="15"/>
              <w:keepNext w:val="0"/>
              <w:keepLines w:val="0"/>
              <w:suppressLineNumbers w:val="0"/>
              <w:spacing w:before="0" w:beforeAutospacing="0" w:after="0" w:afterAutospacing="0" w:line="440" w:lineRule="exact"/>
              <w:ind w:left="0" w:right="0" w:firstLine="480"/>
              <w:jc w:val="center"/>
              <w:rPr>
                <w:rFonts w:hint="default"/>
                <w:sz w:val="24"/>
                <w:szCs w:val="16"/>
              </w:rPr>
            </w:pPr>
          </w:p>
        </w:tc>
        <w:tc>
          <w:tcPr>
            <w:tcW w:w="842" w:type="dxa"/>
          </w:tcPr>
          <w:p w14:paraId="29941BBC">
            <w:pPr>
              <w:pStyle w:val="15"/>
              <w:keepNext w:val="0"/>
              <w:keepLines w:val="0"/>
              <w:suppressLineNumbers w:val="0"/>
              <w:spacing w:before="0" w:beforeAutospacing="0" w:after="0" w:afterAutospacing="0" w:line="440" w:lineRule="exact"/>
              <w:ind w:left="0" w:right="0" w:firstLine="480"/>
              <w:jc w:val="center"/>
              <w:rPr>
                <w:rFonts w:hint="default"/>
                <w:sz w:val="24"/>
                <w:szCs w:val="16"/>
              </w:rPr>
            </w:pPr>
          </w:p>
        </w:tc>
      </w:tr>
      <w:tr w14:paraId="27D8E3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57" w:hRule="atLeast"/>
        </w:trPr>
        <w:tc>
          <w:tcPr>
            <w:tcW w:w="873" w:type="dxa"/>
            <w:vMerge w:val="continue"/>
          </w:tcPr>
          <w:p w14:paraId="331B49B8">
            <w:pPr>
              <w:pStyle w:val="15"/>
              <w:keepNext w:val="0"/>
              <w:keepLines w:val="0"/>
              <w:suppressLineNumbers w:val="0"/>
              <w:spacing w:before="0" w:beforeAutospacing="0" w:after="0" w:afterAutospacing="0" w:line="440" w:lineRule="exact"/>
              <w:ind w:left="0" w:right="0" w:firstLine="480"/>
              <w:jc w:val="center"/>
              <w:rPr>
                <w:rFonts w:hint="default"/>
                <w:sz w:val="24"/>
                <w:szCs w:val="16"/>
              </w:rPr>
            </w:pPr>
          </w:p>
        </w:tc>
        <w:tc>
          <w:tcPr>
            <w:tcW w:w="1980" w:type="dxa"/>
            <w:vAlign w:val="center"/>
          </w:tcPr>
          <w:p w14:paraId="72C0CF18">
            <w:pPr>
              <w:pStyle w:val="15"/>
              <w:keepNext w:val="0"/>
              <w:keepLines w:val="0"/>
              <w:suppressLineNumbers w:val="0"/>
              <w:spacing w:before="0" w:beforeAutospacing="0" w:after="0" w:afterAutospacing="0" w:line="440" w:lineRule="exact"/>
              <w:ind w:left="0" w:right="0" w:firstLine="0"/>
              <w:rPr>
                <w:rFonts w:hint="default"/>
                <w:sz w:val="24"/>
                <w:szCs w:val="16"/>
              </w:rPr>
            </w:pPr>
          </w:p>
        </w:tc>
        <w:tc>
          <w:tcPr>
            <w:tcW w:w="933" w:type="dxa"/>
          </w:tcPr>
          <w:p w14:paraId="0DD4B350">
            <w:pPr>
              <w:pStyle w:val="15"/>
              <w:keepNext w:val="0"/>
              <w:keepLines w:val="0"/>
              <w:suppressLineNumbers w:val="0"/>
              <w:spacing w:before="0" w:beforeAutospacing="0" w:after="0" w:afterAutospacing="0" w:line="440" w:lineRule="exact"/>
              <w:ind w:left="0" w:right="0" w:firstLine="480"/>
              <w:jc w:val="center"/>
              <w:rPr>
                <w:rFonts w:hint="default"/>
                <w:sz w:val="24"/>
                <w:szCs w:val="16"/>
              </w:rPr>
            </w:pPr>
          </w:p>
        </w:tc>
        <w:tc>
          <w:tcPr>
            <w:tcW w:w="1374" w:type="dxa"/>
          </w:tcPr>
          <w:p w14:paraId="5B34338D">
            <w:pPr>
              <w:pStyle w:val="15"/>
              <w:keepNext w:val="0"/>
              <w:keepLines w:val="0"/>
              <w:suppressLineNumbers w:val="0"/>
              <w:spacing w:before="0" w:beforeAutospacing="0" w:after="0" w:afterAutospacing="0" w:line="440" w:lineRule="exact"/>
              <w:ind w:left="0" w:right="0" w:firstLine="480"/>
              <w:jc w:val="center"/>
              <w:rPr>
                <w:rFonts w:hint="default"/>
                <w:sz w:val="24"/>
                <w:szCs w:val="16"/>
              </w:rPr>
            </w:pPr>
          </w:p>
        </w:tc>
        <w:tc>
          <w:tcPr>
            <w:tcW w:w="866" w:type="dxa"/>
          </w:tcPr>
          <w:p w14:paraId="2E8DD3A3">
            <w:pPr>
              <w:pStyle w:val="15"/>
              <w:keepNext w:val="0"/>
              <w:keepLines w:val="0"/>
              <w:suppressLineNumbers w:val="0"/>
              <w:spacing w:before="0" w:beforeAutospacing="0" w:after="0" w:afterAutospacing="0" w:line="440" w:lineRule="exact"/>
              <w:ind w:left="0" w:right="0" w:firstLine="480"/>
              <w:jc w:val="center"/>
              <w:rPr>
                <w:rFonts w:hint="default"/>
                <w:sz w:val="24"/>
                <w:szCs w:val="16"/>
              </w:rPr>
            </w:pPr>
          </w:p>
        </w:tc>
        <w:tc>
          <w:tcPr>
            <w:tcW w:w="2249" w:type="dxa"/>
          </w:tcPr>
          <w:p w14:paraId="349BC916">
            <w:pPr>
              <w:pStyle w:val="15"/>
              <w:keepNext w:val="0"/>
              <w:keepLines w:val="0"/>
              <w:suppressLineNumbers w:val="0"/>
              <w:spacing w:before="0" w:beforeAutospacing="0" w:after="0" w:afterAutospacing="0" w:line="440" w:lineRule="exact"/>
              <w:ind w:left="0" w:right="0" w:firstLine="480"/>
              <w:jc w:val="center"/>
              <w:rPr>
                <w:rFonts w:hint="default"/>
                <w:sz w:val="24"/>
                <w:szCs w:val="16"/>
              </w:rPr>
            </w:pPr>
          </w:p>
        </w:tc>
        <w:tc>
          <w:tcPr>
            <w:tcW w:w="842" w:type="dxa"/>
          </w:tcPr>
          <w:p w14:paraId="0553D34C">
            <w:pPr>
              <w:pStyle w:val="15"/>
              <w:keepNext w:val="0"/>
              <w:keepLines w:val="0"/>
              <w:suppressLineNumbers w:val="0"/>
              <w:spacing w:before="0" w:beforeAutospacing="0" w:after="0" w:afterAutospacing="0" w:line="440" w:lineRule="exact"/>
              <w:ind w:left="0" w:right="0" w:firstLine="480"/>
              <w:jc w:val="center"/>
              <w:rPr>
                <w:rFonts w:hint="default"/>
                <w:sz w:val="24"/>
                <w:szCs w:val="16"/>
              </w:rPr>
            </w:pPr>
          </w:p>
        </w:tc>
      </w:tr>
      <w:tr w14:paraId="7A5A71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57" w:hRule="atLeast"/>
        </w:trPr>
        <w:tc>
          <w:tcPr>
            <w:tcW w:w="873" w:type="dxa"/>
            <w:vMerge w:val="continue"/>
          </w:tcPr>
          <w:p w14:paraId="5A85E009">
            <w:pPr>
              <w:pStyle w:val="15"/>
              <w:keepNext w:val="0"/>
              <w:keepLines w:val="0"/>
              <w:suppressLineNumbers w:val="0"/>
              <w:spacing w:before="0" w:beforeAutospacing="0" w:after="0" w:afterAutospacing="0" w:line="440" w:lineRule="exact"/>
              <w:ind w:left="0" w:right="0"/>
              <w:jc w:val="center"/>
              <w:rPr>
                <w:rFonts w:hint="default"/>
              </w:rPr>
            </w:pPr>
          </w:p>
        </w:tc>
        <w:tc>
          <w:tcPr>
            <w:tcW w:w="1980" w:type="dxa"/>
          </w:tcPr>
          <w:p w14:paraId="4DBB6285">
            <w:pPr>
              <w:pStyle w:val="15"/>
              <w:keepNext w:val="0"/>
              <w:keepLines w:val="0"/>
              <w:suppressLineNumbers w:val="0"/>
              <w:spacing w:before="0" w:beforeAutospacing="0" w:after="0" w:afterAutospacing="0" w:line="440" w:lineRule="exact"/>
              <w:ind w:left="0" w:right="0" w:firstLine="0"/>
              <w:rPr>
                <w:rFonts w:hint="default"/>
              </w:rPr>
            </w:pPr>
          </w:p>
        </w:tc>
        <w:tc>
          <w:tcPr>
            <w:tcW w:w="933" w:type="dxa"/>
          </w:tcPr>
          <w:p w14:paraId="7037E1EF">
            <w:pPr>
              <w:pStyle w:val="15"/>
              <w:keepNext w:val="0"/>
              <w:keepLines w:val="0"/>
              <w:suppressLineNumbers w:val="0"/>
              <w:spacing w:before="0" w:beforeAutospacing="0" w:after="0" w:afterAutospacing="0" w:line="440" w:lineRule="exact"/>
              <w:ind w:left="0" w:right="0"/>
              <w:jc w:val="center"/>
              <w:rPr>
                <w:rFonts w:hint="default"/>
              </w:rPr>
            </w:pPr>
          </w:p>
        </w:tc>
        <w:tc>
          <w:tcPr>
            <w:tcW w:w="1374" w:type="dxa"/>
          </w:tcPr>
          <w:p w14:paraId="1A5210B2">
            <w:pPr>
              <w:pStyle w:val="15"/>
              <w:keepNext w:val="0"/>
              <w:keepLines w:val="0"/>
              <w:suppressLineNumbers w:val="0"/>
              <w:spacing w:before="0" w:beforeAutospacing="0" w:after="0" w:afterAutospacing="0" w:line="440" w:lineRule="exact"/>
              <w:ind w:left="0" w:right="0"/>
              <w:jc w:val="center"/>
              <w:rPr>
                <w:rFonts w:hint="default"/>
              </w:rPr>
            </w:pPr>
          </w:p>
        </w:tc>
        <w:tc>
          <w:tcPr>
            <w:tcW w:w="866" w:type="dxa"/>
          </w:tcPr>
          <w:p w14:paraId="19EC67AB">
            <w:pPr>
              <w:pStyle w:val="15"/>
              <w:keepNext w:val="0"/>
              <w:keepLines w:val="0"/>
              <w:suppressLineNumbers w:val="0"/>
              <w:spacing w:before="0" w:beforeAutospacing="0" w:after="0" w:afterAutospacing="0" w:line="440" w:lineRule="exact"/>
              <w:ind w:left="0" w:right="0"/>
              <w:jc w:val="center"/>
              <w:rPr>
                <w:rFonts w:hint="default"/>
              </w:rPr>
            </w:pPr>
          </w:p>
        </w:tc>
        <w:tc>
          <w:tcPr>
            <w:tcW w:w="2249" w:type="dxa"/>
          </w:tcPr>
          <w:p w14:paraId="6611C6F3">
            <w:pPr>
              <w:pStyle w:val="15"/>
              <w:keepNext w:val="0"/>
              <w:keepLines w:val="0"/>
              <w:suppressLineNumbers w:val="0"/>
              <w:spacing w:before="0" w:beforeAutospacing="0" w:after="0" w:afterAutospacing="0" w:line="440" w:lineRule="exact"/>
              <w:ind w:left="0" w:right="0"/>
              <w:jc w:val="center"/>
              <w:rPr>
                <w:rFonts w:hint="default"/>
              </w:rPr>
            </w:pPr>
          </w:p>
        </w:tc>
        <w:tc>
          <w:tcPr>
            <w:tcW w:w="842" w:type="dxa"/>
          </w:tcPr>
          <w:p w14:paraId="1426015B">
            <w:pPr>
              <w:pStyle w:val="15"/>
              <w:keepNext w:val="0"/>
              <w:keepLines w:val="0"/>
              <w:suppressLineNumbers w:val="0"/>
              <w:spacing w:before="0" w:beforeAutospacing="0" w:after="0" w:afterAutospacing="0" w:line="440" w:lineRule="exact"/>
              <w:ind w:left="0" w:right="0"/>
              <w:jc w:val="center"/>
              <w:rPr>
                <w:rFonts w:hint="default"/>
              </w:rPr>
            </w:pPr>
          </w:p>
        </w:tc>
      </w:tr>
      <w:tr w14:paraId="3725B1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57" w:hRule="atLeast"/>
        </w:trPr>
        <w:tc>
          <w:tcPr>
            <w:tcW w:w="873" w:type="dxa"/>
            <w:vMerge w:val="continue"/>
          </w:tcPr>
          <w:p w14:paraId="7474CD05">
            <w:pPr>
              <w:pStyle w:val="15"/>
              <w:keepNext w:val="0"/>
              <w:keepLines w:val="0"/>
              <w:suppressLineNumbers w:val="0"/>
              <w:spacing w:before="0" w:beforeAutospacing="0" w:after="0" w:afterAutospacing="0" w:line="440" w:lineRule="exact"/>
              <w:ind w:left="0" w:right="0"/>
              <w:jc w:val="center"/>
              <w:rPr>
                <w:rFonts w:hint="default"/>
              </w:rPr>
            </w:pPr>
          </w:p>
        </w:tc>
        <w:tc>
          <w:tcPr>
            <w:tcW w:w="1980" w:type="dxa"/>
          </w:tcPr>
          <w:p w14:paraId="1B4BF5A2">
            <w:pPr>
              <w:pStyle w:val="15"/>
              <w:keepNext w:val="0"/>
              <w:keepLines w:val="0"/>
              <w:suppressLineNumbers w:val="0"/>
              <w:spacing w:before="0" w:beforeAutospacing="0" w:after="0" w:afterAutospacing="0" w:line="440" w:lineRule="exact"/>
              <w:ind w:left="0" w:right="0" w:firstLine="0"/>
              <w:rPr>
                <w:rFonts w:hint="default"/>
              </w:rPr>
            </w:pPr>
          </w:p>
        </w:tc>
        <w:tc>
          <w:tcPr>
            <w:tcW w:w="933" w:type="dxa"/>
          </w:tcPr>
          <w:p w14:paraId="09A30D98">
            <w:pPr>
              <w:pStyle w:val="15"/>
              <w:keepNext w:val="0"/>
              <w:keepLines w:val="0"/>
              <w:suppressLineNumbers w:val="0"/>
              <w:spacing w:before="0" w:beforeAutospacing="0" w:after="0" w:afterAutospacing="0" w:line="440" w:lineRule="exact"/>
              <w:ind w:left="0" w:right="0"/>
              <w:jc w:val="center"/>
              <w:rPr>
                <w:rFonts w:hint="default"/>
              </w:rPr>
            </w:pPr>
          </w:p>
        </w:tc>
        <w:tc>
          <w:tcPr>
            <w:tcW w:w="1374" w:type="dxa"/>
          </w:tcPr>
          <w:p w14:paraId="640B8CCA">
            <w:pPr>
              <w:pStyle w:val="15"/>
              <w:keepNext w:val="0"/>
              <w:keepLines w:val="0"/>
              <w:suppressLineNumbers w:val="0"/>
              <w:spacing w:before="0" w:beforeAutospacing="0" w:after="0" w:afterAutospacing="0" w:line="440" w:lineRule="exact"/>
              <w:ind w:left="0" w:right="0"/>
              <w:jc w:val="center"/>
              <w:rPr>
                <w:rFonts w:hint="default"/>
              </w:rPr>
            </w:pPr>
          </w:p>
        </w:tc>
        <w:tc>
          <w:tcPr>
            <w:tcW w:w="866" w:type="dxa"/>
          </w:tcPr>
          <w:p w14:paraId="04D498A7">
            <w:pPr>
              <w:pStyle w:val="15"/>
              <w:keepNext w:val="0"/>
              <w:keepLines w:val="0"/>
              <w:suppressLineNumbers w:val="0"/>
              <w:spacing w:before="0" w:beforeAutospacing="0" w:after="0" w:afterAutospacing="0" w:line="440" w:lineRule="exact"/>
              <w:ind w:left="0" w:right="0"/>
              <w:jc w:val="center"/>
              <w:rPr>
                <w:rFonts w:hint="default"/>
              </w:rPr>
            </w:pPr>
          </w:p>
        </w:tc>
        <w:tc>
          <w:tcPr>
            <w:tcW w:w="2249" w:type="dxa"/>
          </w:tcPr>
          <w:p w14:paraId="7B2FD24C">
            <w:pPr>
              <w:pStyle w:val="15"/>
              <w:keepNext w:val="0"/>
              <w:keepLines w:val="0"/>
              <w:suppressLineNumbers w:val="0"/>
              <w:spacing w:before="0" w:beforeAutospacing="0" w:after="0" w:afterAutospacing="0" w:line="440" w:lineRule="exact"/>
              <w:ind w:left="0" w:right="0"/>
              <w:jc w:val="center"/>
              <w:rPr>
                <w:rFonts w:hint="default"/>
              </w:rPr>
            </w:pPr>
          </w:p>
        </w:tc>
        <w:tc>
          <w:tcPr>
            <w:tcW w:w="842" w:type="dxa"/>
          </w:tcPr>
          <w:p w14:paraId="5EEFF966">
            <w:pPr>
              <w:pStyle w:val="15"/>
              <w:keepNext w:val="0"/>
              <w:keepLines w:val="0"/>
              <w:suppressLineNumbers w:val="0"/>
              <w:spacing w:before="0" w:beforeAutospacing="0" w:after="0" w:afterAutospacing="0" w:line="440" w:lineRule="exact"/>
              <w:ind w:left="0" w:right="0"/>
              <w:jc w:val="center"/>
              <w:rPr>
                <w:rFonts w:hint="default"/>
              </w:rPr>
            </w:pPr>
          </w:p>
        </w:tc>
      </w:tr>
      <w:tr w14:paraId="50B557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57" w:hRule="atLeast"/>
        </w:trPr>
        <w:tc>
          <w:tcPr>
            <w:tcW w:w="873" w:type="dxa"/>
            <w:vMerge w:val="continue"/>
          </w:tcPr>
          <w:p w14:paraId="2CDEE928">
            <w:pPr>
              <w:pStyle w:val="15"/>
              <w:keepNext w:val="0"/>
              <w:keepLines w:val="0"/>
              <w:suppressLineNumbers w:val="0"/>
              <w:spacing w:before="0" w:beforeAutospacing="0" w:after="0" w:afterAutospacing="0" w:line="440" w:lineRule="exact"/>
              <w:ind w:left="0" w:right="0"/>
              <w:jc w:val="center"/>
              <w:rPr>
                <w:rFonts w:hint="default"/>
              </w:rPr>
            </w:pPr>
          </w:p>
        </w:tc>
        <w:tc>
          <w:tcPr>
            <w:tcW w:w="1980" w:type="dxa"/>
          </w:tcPr>
          <w:p w14:paraId="280917D4">
            <w:pPr>
              <w:pStyle w:val="15"/>
              <w:keepNext w:val="0"/>
              <w:keepLines w:val="0"/>
              <w:suppressLineNumbers w:val="0"/>
              <w:spacing w:before="0" w:beforeAutospacing="0" w:after="0" w:afterAutospacing="0" w:line="440" w:lineRule="exact"/>
              <w:ind w:left="0" w:right="0"/>
              <w:rPr>
                <w:rFonts w:hint="default"/>
              </w:rPr>
            </w:pPr>
          </w:p>
        </w:tc>
        <w:tc>
          <w:tcPr>
            <w:tcW w:w="933" w:type="dxa"/>
          </w:tcPr>
          <w:p w14:paraId="6249CCC8">
            <w:pPr>
              <w:pStyle w:val="15"/>
              <w:keepNext w:val="0"/>
              <w:keepLines w:val="0"/>
              <w:suppressLineNumbers w:val="0"/>
              <w:spacing w:before="0" w:beforeAutospacing="0" w:after="0" w:afterAutospacing="0" w:line="440" w:lineRule="exact"/>
              <w:ind w:left="0" w:right="0"/>
              <w:jc w:val="center"/>
              <w:rPr>
                <w:rFonts w:hint="default"/>
              </w:rPr>
            </w:pPr>
          </w:p>
        </w:tc>
        <w:tc>
          <w:tcPr>
            <w:tcW w:w="1374" w:type="dxa"/>
          </w:tcPr>
          <w:p w14:paraId="5A7FF934">
            <w:pPr>
              <w:pStyle w:val="15"/>
              <w:keepNext w:val="0"/>
              <w:keepLines w:val="0"/>
              <w:suppressLineNumbers w:val="0"/>
              <w:spacing w:before="0" w:beforeAutospacing="0" w:after="0" w:afterAutospacing="0" w:line="440" w:lineRule="exact"/>
              <w:ind w:left="0" w:right="0"/>
              <w:jc w:val="center"/>
              <w:rPr>
                <w:rFonts w:hint="default"/>
              </w:rPr>
            </w:pPr>
          </w:p>
        </w:tc>
        <w:tc>
          <w:tcPr>
            <w:tcW w:w="866" w:type="dxa"/>
          </w:tcPr>
          <w:p w14:paraId="3A9359BB">
            <w:pPr>
              <w:pStyle w:val="15"/>
              <w:keepNext w:val="0"/>
              <w:keepLines w:val="0"/>
              <w:suppressLineNumbers w:val="0"/>
              <w:spacing w:before="0" w:beforeAutospacing="0" w:after="0" w:afterAutospacing="0" w:line="440" w:lineRule="exact"/>
              <w:ind w:left="0" w:right="0"/>
              <w:jc w:val="center"/>
              <w:rPr>
                <w:rFonts w:hint="default"/>
              </w:rPr>
            </w:pPr>
          </w:p>
        </w:tc>
        <w:tc>
          <w:tcPr>
            <w:tcW w:w="2249" w:type="dxa"/>
          </w:tcPr>
          <w:p w14:paraId="17B4C87D">
            <w:pPr>
              <w:pStyle w:val="15"/>
              <w:keepNext w:val="0"/>
              <w:keepLines w:val="0"/>
              <w:suppressLineNumbers w:val="0"/>
              <w:spacing w:before="0" w:beforeAutospacing="0" w:after="0" w:afterAutospacing="0" w:line="440" w:lineRule="exact"/>
              <w:ind w:left="0" w:right="0"/>
              <w:jc w:val="center"/>
              <w:rPr>
                <w:rFonts w:hint="default"/>
              </w:rPr>
            </w:pPr>
          </w:p>
        </w:tc>
        <w:tc>
          <w:tcPr>
            <w:tcW w:w="842" w:type="dxa"/>
          </w:tcPr>
          <w:p w14:paraId="63581F64">
            <w:pPr>
              <w:pStyle w:val="15"/>
              <w:keepNext w:val="0"/>
              <w:keepLines w:val="0"/>
              <w:suppressLineNumbers w:val="0"/>
              <w:spacing w:before="0" w:beforeAutospacing="0" w:after="0" w:afterAutospacing="0" w:line="440" w:lineRule="exact"/>
              <w:ind w:left="0" w:right="0"/>
              <w:jc w:val="center"/>
              <w:rPr>
                <w:rFonts w:hint="default"/>
              </w:rPr>
            </w:pPr>
          </w:p>
        </w:tc>
      </w:tr>
      <w:tr w14:paraId="747DEF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67" w:hRule="atLeast"/>
        </w:trPr>
        <w:tc>
          <w:tcPr>
            <w:tcW w:w="873" w:type="dxa"/>
            <w:vMerge w:val="continue"/>
          </w:tcPr>
          <w:p w14:paraId="4E69B1FA">
            <w:pPr>
              <w:pStyle w:val="15"/>
              <w:keepNext w:val="0"/>
              <w:keepLines w:val="0"/>
              <w:suppressLineNumbers w:val="0"/>
              <w:spacing w:before="0" w:beforeAutospacing="0" w:after="0" w:afterAutospacing="0" w:line="440" w:lineRule="exact"/>
              <w:ind w:left="0" w:right="0"/>
              <w:jc w:val="center"/>
              <w:rPr>
                <w:rFonts w:hint="default"/>
              </w:rPr>
            </w:pPr>
          </w:p>
        </w:tc>
        <w:tc>
          <w:tcPr>
            <w:tcW w:w="1980" w:type="dxa"/>
          </w:tcPr>
          <w:p w14:paraId="5B05C72E">
            <w:pPr>
              <w:pStyle w:val="15"/>
              <w:keepNext w:val="0"/>
              <w:keepLines w:val="0"/>
              <w:suppressLineNumbers w:val="0"/>
              <w:spacing w:before="0" w:beforeAutospacing="0" w:after="0" w:afterAutospacing="0" w:line="440" w:lineRule="exact"/>
              <w:ind w:left="0" w:right="0" w:firstLine="400"/>
              <w:rPr>
                <w:rFonts w:hint="default"/>
                <w:sz w:val="20"/>
              </w:rPr>
            </w:pPr>
          </w:p>
        </w:tc>
        <w:tc>
          <w:tcPr>
            <w:tcW w:w="933" w:type="dxa"/>
          </w:tcPr>
          <w:p w14:paraId="3A528A04">
            <w:pPr>
              <w:pStyle w:val="15"/>
              <w:keepNext w:val="0"/>
              <w:keepLines w:val="0"/>
              <w:suppressLineNumbers w:val="0"/>
              <w:spacing w:before="0" w:beforeAutospacing="0" w:after="0" w:afterAutospacing="0" w:line="440" w:lineRule="exact"/>
              <w:ind w:left="0" w:right="0"/>
              <w:jc w:val="center"/>
              <w:rPr>
                <w:rFonts w:hint="default"/>
              </w:rPr>
            </w:pPr>
          </w:p>
        </w:tc>
        <w:tc>
          <w:tcPr>
            <w:tcW w:w="1374" w:type="dxa"/>
          </w:tcPr>
          <w:p w14:paraId="36157124">
            <w:pPr>
              <w:pStyle w:val="15"/>
              <w:keepNext w:val="0"/>
              <w:keepLines w:val="0"/>
              <w:suppressLineNumbers w:val="0"/>
              <w:spacing w:before="0" w:beforeAutospacing="0" w:after="0" w:afterAutospacing="0" w:line="440" w:lineRule="exact"/>
              <w:ind w:left="0" w:right="0"/>
              <w:jc w:val="center"/>
              <w:rPr>
                <w:rFonts w:hint="default"/>
              </w:rPr>
            </w:pPr>
          </w:p>
        </w:tc>
        <w:tc>
          <w:tcPr>
            <w:tcW w:w="866" w:type="dxa"/>
          </w:tcPr>
          <w:p w14:paraId="43EFD2DF">
            <w:pPr>
              <w:pStyle w:val="15"/>
              <w:keepNext w:val="0"/>
              <w:keepLines w:val="0"/>
              <w:suppressLineNumbers w:val="0"/>
              <w:spacing w:before="0" w:beforeAutospacing="0" w:after="0" w:afterAutospacing="0" w:line="440" w:lineRule="exact"/>
              <w:ind w:left="0" w:right="0"/>
              <w:jc w:val="center"/>
              <w:rPr>
                <w:rFonts w:hint="default"/>
              </w:rPr>
            </w:pPr>
          </w:p>
        </w:tc>
        <w:tc>
          <w:tcPr>
            <w:tcW w:w="2249" w:type="dxa"/>
          </w:tcPr>
          <w:p w14:paraId="1D0A057C">
            <w:pPr>
              <w:pStyle w:val="15"/>
              <w:keepNext w:val="0"/>
              <w:keepLines w:val="0"/>
              <w:suppressLineNumbers w:val="0"/>
              <w:spacing w:before="0" w:beforeAutospacing="0" w:after="0" w:afterAutospacing="0" w:line="440" w:lineRule="exact"/>
              <w:ind w:left="0" w:right="0"/>
              <w:jc w:val="center"/>
              <w:rPr>
                <w:rFonts w:hint="default"/>
              </w:rPr>
            </w:pPr>
          </w:p>
        </w:tc>
        <w:tc>
          <w:tcPr>
            <w:tcW w:w="842" w:type="dxa"/>
          </w:tcPr>
          <w:p w14:paraId="67E11E77">
            <w:pPr>
              <w:pStyle w:val="15"/>
              <w:keepNext w:val="0"/>
              <w:keepLines w:val="0"/>
              <w:suppressLineNumbers w:val="0"/>
              <w:spacing w:before="0" w:beforeAutospacing="0" w:after="0" w:afterAutospacing="0" w:line="440" w:lineRule="exact"/>
              <w:ind w:left="0" w:right="0"/>
              <w:jc w:val="center"/>
              <w:rPr>
                <w:rFonts w:hint="default"/>
              </w:rPr>
            </w:pPr>
          </w:p>
        </w:tc>
      </w:tr>
      <w:tr w14:paraId="74B653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57" w:hRule="atLeast"/>
        </w:trPr>
        <w:tc>
          <w:tcPr>
            <w:tcW w:w="873" w:type="dxa"/>
            <w:vMerge w:val="continue"/>
          </w:tcPr>
          <w:p w14:paraId="7F12AFFA">
            <w:pPr>
              <w:pStyle w:val="15"/>
              <w:keepNext w:val="0"/>
              <w:keepLines w:val="0"/>
              <w:suppressLineNumbers w:val="0"/>
              <w:spacing w:before="0" w:beforeAutospacing="0" w:after="0" w:afterAutospacing="0" w:line="440" w:lineRule="exact"/>
              <w:ind w:left="0" w:right="0"/>
              <w:jc w:val="center"/>
              <w:rPr>
                <w:rFonts w:hint="default"/>
              </w:rPr>
            </w:pPr>
          </w:p>
        </w:tc>
        <w:tc>
          <w:tcPr>
            <w:tcW w:w="1980" w:type="dxa"/>
          </w:tcPr>
          <w:p w14:paraId="7FC0C2F7">
            <w:pPr>
              <w:pStyle w:val="15"/>
              <w:keepNext w:val="0"/>
              <w:keepLines w:val="0"/>
              <w:suppressLineNumbers w:val="0"/>
              <w:spacing w:before="0" w:beforeAutospacing="0" w:after="0" w:afterAutospacing="0" w:line="440" w:lineRule="exact"/>
              <w:ind w:left="0" w:right="0"/>
              <w:rPr>
                <w:rFonts w:hint="default"/>
              </w:rPr>
            </w:pPr>
          </w:p>
        </w:tc>
        <w:tc>
          <w:tcPr>
            <w:tcW w:w="933" w:type="dxa"/>
          </w:tcPr>
          <w:p w14:paraId="52FF98BB">
            <w:pPr>
              <w:pStyle w:val="15"/>
              <w:keepNext w:val="0"/>
              <w:keepLines w:val="0"/>
              <w:suppressLineNumbers w:val="0"/>
              <w:spacing w:before="0" w:beforeAutospacing="0" w:after="0" w:afterAutospacing="0" w:line="440" w:lineRule="exact"/>
              <w:ind w:left="0" w:right="0"/>
              <w:jc w:val="center"/>
              <w:rPr>
                <w:rFonts w:hint="default"/>
              </w:rPr>
            </w:pPr>
          </w:p>
        </w:tc>
        <w:tc>
          <w:tcPr>
            <w:tcW w:w="1374" w:type="dxa"/>
          </w:tcPr>
          <w:p w14:paraId="0FA62996">
            <w:pPr>
              <w:pStyle w:val="15"/>
              <w:keepNext w:val="0"/>
              <w:keepLines w:val="0"/>
              <w:suppressLineNumbers w:val="0"/>
              <w:spacing w:before="0" w:beforeAutospacing="0" w:after="0" w:afterAutospacing="0" w:line="440" w:lineRule="exact"/>
              <w:ind w:left="0" w:right="0"/>
              <w:jc w:val="center"/>
              <w:rPr>
                <w:rFonts w:hint="default"/>
              </w:rPr>
            </w:pPr>
          </w:p>
        </w:tc>
        <w:tc>
          <w:tcPr>
            <w:tcW w:w="866" w:type="dxa"/>
          </w:tcPr>
          <w:p w14:paraId="3CC48BB1">
            <w:pPr>
              <w:pStyle w:val="15"/>
              <w:keepNext w:val="0"/>
              <w:keepLines w:val="0"/>
              <w:suppressLineNumbers w:val="0"/>
              <w:spacing w:before="0" w:beforeAutospacing="0" w:after="0" w:afterAutospacing="0" w:line="440" w:lineRule="exact"/>
              <w:ind w:left="0" w:right="0"/>
              <w:jc w:val="center"/>
              <w:rPr>
                <w:rFonts w:hint="default"/>
              </w:rPr>
            </w:pPr>
          </w:p>
        </w:tc>
        <w:tc>
          <w:tcPr>
            <w:tcW w:w="2249" w:type="dxa"/>
          </w:tcPr>
          <w:p w14:paraId="3105A4C2">
            <w:pPr>
              <w:pStyle w:val="15"/>
              <w:keepNext w:val="0"/>
              <w:keepLines w:val="0"/>
              <w:suppressLineNumbers w:val="0"/>
              <w:spacing w:before="0" w:beforeAutospacing="0" w:after="0" w:afterAutospacing="0" w:line="440" w:lineRule="exact"/>
              <w:ind w:left="0" w:right="0"/>
              <w:jc w:val="center"/>
              <w:rPr>
                <w:rFonts w:hint="default"/>
              </w:rPr>
            </w:pPr>
          </w:p>
        </w:tc>
        <w:tc>
          <w:tcPr>
            <w:tcW w:w="842" w:type="dxa"/>
          </w:tcPr>
          <w:p w14:paraId="349F1421">
            <w:pPr>
              <w:pStyle w:val="15"/>
              <w:keepNext w:val="0"/>
              <w:keepLines w:val="0"/>
              <w:suppressLineNumbers w:val="0"/>
              <w:spacing w:before="0" w:beforeAutospacing="0" w:after="0" w:afterAutospacing="0" w:line="440" w:lineRule="exact"/>
              <w:ind w:left="0" w:right="0"/>
              <w:jc w:val="center"/>
              <w:rPr>
                <w:rFonts w:hint="default"/>
              </w:rPr>
            </w:pPr>
          </w:p>
        </w:tc>
      </w:tr>
      <w:tr w14:paraId="5FBAE7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82" w:hRule="atLeast"/>
        </w:trPr>
        <w:tc>
          <w:tcPr>
            <w:tcW w:w="873" w:type="dxa"/>
            <w:vMerge w:val="continue"/>
          </w:tcPr>
          <w:p w14:paraId="7245D09E">
            <w:pPr>
              <w:pStyle w:val="15"/>
              <w:keepNext w:val="0"/>
              <w:keepLines w:val="0"/>
              <w:suppressLineNumbers w:val="0"/>
              <w:spacing w:before="0" w:beforeAutospacing="0" w:after="0" w:afterAutospacing="0" w:line="440" w:lineRule="exact"/>
              <w:ind w:left="0" w:right="0"/>
              <w:jc w:val="center"/>
              <w:rPr>
                <w:rFonts w:hint="default"/>
              </w:rPr>
            </w:pPr>
          </w:p>
        </w:tc>
        <w:tc>
          <w:tcPr>
            <w:tcW w:w="1980" w:type="dxa"/>
            <w:tcMar>
              <w:left w:w="28" w:type="dxa"/>
              <w:right w:w="28" w:type="dxa"/>
            </w:tcMar>
          </w:tcPr>
          <w:p w14:paraId="372DE94D">
            <w:pPr>
              <w:pStyle w:val="15"/>
              <w:keepNext w:val="0"/>
              <w:keepLines w:val="0"/>
              <w:suppressLineNumbers w:val="0"/>
              <w:spacing w:before="0" w:beforeAutospacing="0" w:after="0" w:afterAutospacing="0" w:line="440" w:lineRule="exact"/>
              <w:ind w:left="0" w:right="0"/>
              <w:rPr>
                <w:rFonts w:hint="default"/>
              </w:rPr>
            </w:pPr>
          </w:p>
        </w:tc>
        <w:tc>
          <w:tcPr>
            <w:tcW w:w="933" w:type="dxa"/>
          </w:tcPr>
          <w:p w14:paraId="6C6BB305">
            <w:pPr>
              <w:pStyle w:val="15"/>
              <w:keepNext w:val="0"/>
              <w:keepLines w:val="0"/>
              <w:suppressLineNumbers w:val="0"/>
              <w:spacing w:before="0" w:beforeAutospacing="0" w:after="0" w:afterAutospacing="0" w:line="440" w:lineRule="exact"/>
              <w:ind w:left="0" w:right="0"/>
              <w:jc w:val="center"/>
              <w:rPr>
                <w:rFonts w:hint="default"/>
              </w:rPr>
            </w:pPr>
          </w:p>
        </w:tc>
        <w:tc>
          <w:tcPr>
            <w:tcW w:w="1374" w:type="dxa"/>
          </w:tcPr>
          <w:p w14:paraId="4AACB2B9">
            <w:pPr>
              <w:pStyle w:val="15"/>
              <w:keepNext w:val="0"/>
              <w:keepLines w:val="0"/>
              <w:suppressLineNumbers w:val="0"/>
              <w:spacing w:before="0" w:beforeAutospacing="0" w:after="0" w:afterAutospacing="0" w:line="440" w:lineRule="exact"/>
              <w:ind w:left="0" w:right="0"/>
              <w:jc w:val="center"/>
              <w:rPr>
                <w:rFonts w:hint="default"/>
              </w:rPr>
            </w:pPr>
          </w:p>
        </w:tc>
        <w:tc>
          <w:tcPr>
            <w:tcW w:w="866" w:type="dxa"/>
          </w:tcPr>
          <w:p w14:paraId="2284A4D3">
            <w:pPr>
              <w:pStyle w:val="15"/>
              <w:keepNext w:val="0"/>
              <w:keepLines w:val="0"/>
              <w:suppressLineNumbers w:val="0"/>
              <w:spacing w:before="0" w:beforeAutospacing="0" w:after="0" w:afterAutospacing="0" w:line="440" w:lineRule="exact"/>
              <w:ind w:left="0" w:right="0"/>
              <w:jc w:val="center"/>
              <w:rPr>
                <w:rFonts w:hint="default"/>
              </w:rPr>
            </w:pPr>
          </w:p>
        </w:tc>
        <w:tc>
          <w:tcPr>
            <w:tcW w:w="2249" w:type="dxa"/>
          </w:tcPr>
          <w:p w14:paraId="652F1347">
            <w:pPr>
              <w:pStyle w:val="15"/>
              <w:keepNext w:val="0"/>
              <w:keepLines w:val="0"/>
              <w:suppressLineNumbers w:val="0"/>
              <w:spacing w:before="0" w:beforeAutospacing="0" w:after="0" w:afterAutospacing="0" w:line="440" w:lineRule="exact"/>
              <w:ind w:left="0" w:right="0"/>
              <w:jc w:val="center"/>
              <w:rPr>
                <w:rFonts w:hint="default"/>
              </w:rPr>
            </w:pPr>
          </w:p>
        </w:tc>
        <w:tc>
          <w:tcPr>
            <w:tcW w:w="842" w:type="dxa"/>
          </w:tcPr>
          <w:p w14:paraId="0B7DBDF6">
            <w:pPr>
              <w:pStyle w:val="15"/>
              <w:keepNext w:val="0"/>
              <w:keepLines w:val="0"/>
              <w:suppressLineNumbers w:val="0"/>
              <w:spacing w:before="0" w:beforeAutospacing="0" w:after="0" w:afterAutospacing="0" w:line="440" w:lineRule="exact"/>
              <w:ind w:left="0" w:right="0"/>
              <w:jc w:val="center"/>
              <w:rPr>
                <w:rFonts w:hint="default"/>
              </w:rPr>
            </w:pPr>
          </w:p>
        </w:tc>
      </w:tr>
      <w:tr w14:paraId="55B48F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57" w:hRule="atLeast"/>
        </w:trPr>
        <w:tc>
          <w:tcPr>
            <w:tcW w:w="873" w:type="dxa"/>
            <w:vMerge w:val="continue"/>
          </w:tcPr>
          <w:p w14:paraId="16BF27BB">
            <w:pPr>
              <w:pStyle w:val="15"/>
              <w:keepNext w:val="0"/>
              <w:keepLines w:val="0"/>
              <w:suppressLineNumbers w:val="0"/>
              <w:spacing w:before="0" w:beforeAutospacing="0" w:after="0" w:afterAutospacing="0" w:line="440" w:lineRule="exact"/>
              <w:ind w:left="0" w:right="0"/>
              <w:jc w:val="center"/>
              <w:rPr>
                <w:rFonts w:hint="default"/>
              </w:rPr>
            </w:pPr>
          </w:p>
        </w:tc>
        <w:tc>
          <w:tcPr>
            <w:tcW w:w="1980" w:type="dxa"/>
          </w:tcPr>
          <w:p w14:paraId="2B137E98">
            <w:pPr>
              <w:pStyle w:val="15"/>
              <w:keepNext w:val="0"/>
              <w:keepLines w:val="0"/>
              <w:suppressLineNumbers w:val="0"/>
              <w:spacing w:before="0" w:beforeAutospacing="0" w:after="0" w:afterAutospacing="0" w:line="440" w:lineRule="exact"/>
              <w:ind w:left="0" w:right="0"/>
              <w:rPr>
                <w:rFonts w:hint="default"/>
              </w:rPr>
            </w:pPr>
          </w:p>
        </w:tc>
        <w:tc>
          <w:tcPr>
            <w:tcW w:w="933" w:type="dxa"/>
          </w:tcPr>
          <w:p w14:paraId="476F97C3">
            <w:pPr>
              <w:pStyle w:val="15"/>
              <w:keepNext w:val="0"/>
              <w:keepLines w:val="0"/>
              <w:suppressLineNumbers w:val="0"/>
              <w:spacing w:before="0" w:beforeAutospacing="0" w:after="0" w:afterAutospacing="0" w:line="440" w:lineRule="exact"/>
              <w:ind w:left="0" w:right="0"/>
              <w:jc w:val="center"/>
              <w:rPr>
                <w:rFonts w:hint="default"/>
              </w:rPr>
            </w:pPr>
          </w:p>
        </w:tc>
        <w:tc>
          <w:tcPr>
            <w:tcW w:w="1374" w:type="dxa"/>
          </w:tcPr>
          <w:p w14:paraId="7748E024">
            <w:pPr>
              <w:pStyle w:val="15"/>
              <w:keepNext w:val="0"/>
              <w:keepLines w:val="0"/>
              <w:suppressLineNumbers w:val="0"/>
              <w:spacing w:before="0" w:beforeAutospacing="0" w:after="0" w:afterAutospacing="0" w:line="440" w:lineRule="exact"/>
              <w:ind w:left="0" w:right="0"/>
              <w:jc w:val="center"/>
              <w:rPr>
                <w:rFonts w:hint="default"/>
              </w:rPr>
            </w:pPr>
          </w:p>
        </w:tc>
        <w:tc>
          <w:tcPr>
            <w:tcW w:w="866" w:type="dxa"/>
          </w:tcPr>
          <w:p w14:paraId="2A5CA317">
            <w:pPr>
              <w:pStyle w:val="15"/>
              <w:keepNext w:val="0"/>
              <w:keepLines w:val="0"/>
              <w:suppressLineNumbers w:val="0"/>
              <w:spacing w:before="0" w:beforeAutospacing="0" w:after="0" w:afterAutospacing="0" w:line="440" w:lineRule="exact"/>
              <w:ind w:left="0" w:right="0"/>
              <w:jc w:val="center"/>
              <w:rPr>
                <w:rFonts w:hint="default"/>
              </w:rPr>
            </w:pPr>
          </w:p>
        </w:tc>
        <w:tc>
          <w:tcPr>
            <w:tcW w:w="2249" w:type="dxa"/>
          </w:tcPr>
          <w:p w14:paraId="35A50A1D">
            <w:pPr>
              <w:pStyle w:val="15"/>
              <w:keepNext w:val="0"/>
              <w:keepLines w:val="0"/>
              <w:suppressLineNumbers w:val="0"/>
              <w:spacing w:before="0" w:beforeAutospacing="0" w:after="0" w:afterAutospacing="0" w:line="440" w:lineRule="exact"/>
              <w:ind w:left="0" w:right="0"/>
              <w:jc w:val="center"/>
              <w:rPr>
                <w:rFonts w:hint="default"/>
              </w:rPr>
            </w:pPr>
          </w:p>
        </w:tc>
        <w:tc>
          <w:tcPr>
            <w:tcW w:w="842" w:type="dxa"/>
          </w:tcPr>
          <w:p w14:paraId="66229385">
            <w:pPr>
              <w:pStyle w:val="15"/>
              <w:keepNext w:val="0"/>
              <w:keepLines w:val="0"/>
              <w:suppressLineNumbers w:val="0"/>
              <w:spacing w:before="0" w:beforeAutospacing="0" w:after="0" w:afterAutospacing="0" w:line="440" w:lineRule="exact"/>
              <w:ind w:left="0" w:right="0"/>
              <w:jc w:val="center"/>
              <w:rPr>
                <w:rFonts w:hint="default"/>
              </w:rPr>
            </w:pPr>
          </w:p>
        </w:tc>
      </w:tr>
      <w:tr w14:paraId="3BCFC5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57" w:hRule="atLeast"/>
        </w:trPr>
        <w:tc>
          <w:tcPr>
            <w:tcW w:w="873" w:type="dxa"/>
            <w:vMerge w:val="continue"/>
          </w:tcPr>
          <w:p w14:paraId="0774588F">
            <w:pPr>
              <w:pStyle w:val="15"/>
              <w:keepNext w:val="0"/>
              <w:keepLines w:val="0"/>
              <w:suppressLineNumbers w:val="0"/>
              <w:spacing w:before="0" w:beforeAutospacing="0" w:after="0" w:afterAutospacing="0" w:line="440" w:lineRule="exact"/>
              <w:ind w:left="0" w:right="0"/>
              <w:jc w:val="center"/>
              <w:rPr>
                <w:rFonts w:hint="default"/>
              </w:rPr>
            </w:pPr>
          </w:p>
        </w:tc>
        <w:tc>
          <w:tcPr>
            <w:tcW w:w="1980" w:type="dxa"/>
          </w:tcPr>
          <w:p w14:paraId="2E74185F">
            <w:pPr>
              <w:pStyle w:val="15"/>
              <w:keepNext w:val="0"/>
              <w:keepLines w:val="0"/>
              <w:suppressLineNumbers w:val="0"/>
              <w:spacing w:before="0" w:beforeAutospacing="0" w:after="0" w:afterAutospacing="0" w:line="440" w:lineRule="exact"/>
              <w:ind w:left="0" w:right="0"/>
              <w:rPr>
                <w:rFonts w:hint="default"/>
              </w:rPr>
            </w:pPr>
          </w:p>
        </w:tc>
        <w:tc>
          <w:tcPr>
            <w:tcW w:w="933" w:type="dxa"/>
          </w:tcPr>
          <w:p w14:paraId="3A02EE5F">
            <w:pPr>
              <w:pStyle w:val="15"/>
              <w:keepNext w:val="0"/>
              <w:keepLines w:val="0"/>
              <w:suppressLineNumbers w:val="0"/>
              <w:spacing w:before="0" w:beforeAutospacing="0" w:after="0" w:afterAutospacing="0" w:line="440" w:lineRule="exact"/>
              <w:ind w:left="0" w:right="0"/>
              <w:jc w:val="center"/>
              <w:rPr>
                <w:rFonts w:hint="default"/>
              </w:rPr>
            </w:pPr>
          </w:p>
        </w:tc>
        <w:tc>
          <w:tcPr>
            <w:tcW w:w="1374" w:type="dxa"/>
          </w:tcPr>
          <w:p w14:paraId="4FEA819F">
            <w:pPr>
              <w:pStyle w:val="15"/>
              <w:keepNext w:val="0"/>
              <w:keepLines w:val="0"/>
              <w:suppressLineNumbers w:val="0"/>
              <w:spacing w:before="0" w:beforeAutospacing="0" w:after="0" w:afterAutospacing="0" w:line="440" w:lineRule="exact"/>
              <w:ind w:left="0" w:right="0"/>
              <w:jc w:val="center"/>
              <w:rPr>
                <w:rFonts w:hint="default"/>
              </w:rPr>
            </w:pPr>
          </w:p>
        </w:tc>
        <w:tc>
          <w:tcPr>
            <w:tcW w:w="866" w:type="dxa"/>
          </w:tcPr>
          <w:p w14:paraId="7E9EBB00">
            <w:pPr>
              <w:pStyle w:val="15"/>
              <w:keepNext w:val="0"/>
              <w:keepLines w:val="0"/>
              <w:suppressLineNumbers w:val="0"/>
              <w:spacing w:before="0" w:beforeAutospacing="0" w:after="0" w:afterAutospacing="0" w:line="440" w:lineRule="exact"/>
              <w:ind w:left="0" w:right="0"/>
              <w:jc w:val="center"/>
              <w:rPr>
                <w:rFonts w:hint="default"/>
              </w:rPr>
            </w:pPr>
          </w:p>
        </w:tc>
        <w:tc>
          <w:tcPr>
            <w:tcW w:w="2249" w:type="dxa"/>
          </w:tcPr>
          <w:p w14:paraId="05797024">
            <w:pPr>
              <w:pStyle w:val="15"/>
              <w:keepNext w:val="0"/>
              <w:keepLines w:val="0"/>
              <w:suppressLineNumbers w:val="0"/>
              <w:spacing w:before="0" w:beforeAutospacing="0" w:after="0" w:afterAutospacing="0" w:line="440" w:lineRule="exact"/>
              <w:ind w:left="0" w:right="0"/>
              <w:jc w:val="center"/>
              <w:rPr>
                <w:rFonts w:hint="default"/>
              </w:rPr>
            </w:pPr>
          </w:p>
        </w:tc>
        <w:tc>
          <w:tcPr>
            <w:tcW w:w="842" w:type="dxa"/>
          </w:tcPr>
          <w:p w14:paraId="5EA05850">
            <w:pPr>
              <w:pStyle w:val="15"/>
              <w:keepNext w:val="0"/>
              <w:keepLines w:val="0"/>
              <w:suppressLineNumbers w:val="0"/>
              <w:spacing w:before="0" w:beforeAutospacing="0" w:after="0" w:afterAutospacing="0" w:line="440" w:lineRule="exact"/>
              <w:ind w:left="0" w:right="0"/>
              <w:jc w:val="center"/>
              <w:rPr>
                <w:rFonts w:hint="default"/>
              </w:rPr>
            </w:pPr>
          </w:p>
        </w:tc>
      </w:tr>
      <w:tr w14:paraId="22DDDA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57" w:hRule="atLeast"/>
        </w:trPr>
        <w:tc>
          <w:tcPr>
            <w:tcW w:w="873" w:type="dxa"/>
            <w:vMerge w:val="continue"/>
          </w:tcPr>
          <w:p w14:paraId="06A3EBAA">
            <w:pPr>
              <w:pStyle w:val="15"/>
              <w:keepNext w:val="0"/>
              <w:keepLines w:val="0"/>
              <w:suppressLineNumbers w:val="0"/>
              <w:spacing w:before="0" w:beforeAutospacing="0" w:after="0" w:afterAutospacing="0" w:line="440" w:lineRule="exact"/>
              <w:ind w:left="0" w:right="0"/>
              <w:jc w:val="center"/>
              <w:rPr>
                <w:rFonts w:hint="default"/>
              </w:rPr>
            </w:pPr>
          </w:p>
        </w:tc>
        <w:tc>
          <w:tcPr>
            <w:tcW w:w="1980" w:type="dxa"/>
          </w:tcPr>
          <w:p w14:paraId="653F939C">
            <w:pPr>
              <w:pStyle w:val="15"/>
              <w:keepNext w:val="0"/>
              <w:keepLines w:val="0"/>
              <w:suppressLineNumbers w:val="0"/>
              <w:spacing w:before="0" w:beforeAutospacing="0" w:after="0" w:afterAutospacing="0" w:line="440" w:lineRule="exact"/>
              <w:ind w:left="0" w:right="0"/>
              <w:rPr>
                <w:rFonts w:hint="default"/>
              </w:rPr>
            </w:pPr>
          </w:p>
        </w:tc>
        <w:tc>
          <w:tcPr>
            <w:tcW w:w="933" w:type="dxa"/>
          </w:tcPr>
          <w:p w14:paraId="588EA44B">
            <w:pPr>
              <w:pStyle w:val="15"/>
              <w:keepNext w:val="0"/>
              <w:keepLines w:val="0"/>
              <w:suppressLineNumbers w:val="0"/>
              <w:spacing w:before="0" w:beforeAutospacing="0" w:after="0" w:afterAutospacing="0" w:line="440" w:lineRule="exact"/>
              <w:ind w:left="0" w:right="0"/>
              <w:jc w:val="center"/>
              <w:rPr>
                <w:rFonts w:hint="default"/>
              </w:rPr>
            </w:pPr>
          </w:p>
        </w:tc>
        <w:tc>
          <w:tcPr>
            <w:tcW w:w="1374" w:type="dxa"/>
          </w:tcPr>
          <w:p w14:paraId="02D2843C">
            <w:pPr>
              <w:pStyle w:val="15"/>
              <w:keepNext w:val="0"/>
              <w:keepLines w:val="0"/>
              <w:suppressLineNumbers w:val="0"/>
              <w:spacing w:before="0" w:beforeAutospacing="0" w:after="0" w:afterAutospacing="0" w:line="440" w:lineRule="exact"/>
              <w:ind w:left="0" w:right="0"/>
              <w:jc w:val="center"/>
              <w:rPr>
                <w:rFonts w:hint="default"/>
              </w:rPr>
            </w:pPr>
          </w:p>
        </w:tc>
        <w:tc>
          <w:tcPr>
            <w:tcW w:w="866" w:type="dxa"/>
          </w:tcPr>
          <w:p w14:paraId="3EA5C17E">
            <w:pPr>
              <w:pStyle w:val="15"/>
              <w:keepNext w:val="0"/>
              <w:keepLines w:val="0"/>
              <w:suppressLineNumbers w:val="0"/>
              <w:spacing w:before="0" w:beforeAutospacing="0" w:after="0" w:afterAutospacing="0" w:line="440" w:lineRule="exact"/>
              <w:ind w:left="0" w:right="0"/>
              <w:jc w:val="center"/>
              <w:rPr>
                <w:rFonts w:hint="default"/>
              </w:rPr>
            </w:pPr>
          </w:p>
        </w:tc>
        <w:tc>
          <w:tcPr>
            <w:tcW w:w="2249" w:type="dxa"/>
          </w:tcPr>
          <w:p w14:paraId="7C76D356">
            <w:pPr>
              <w:pStyle w:val="15"/>
              <w:keepNext w:val="0"/>
              <w:keepLines w:val="0"/>
              <w:suppressLineNumbers w:val="0"/>
              <w:spacing w:before="0" w:beforeAutospacing="0" w:after="0" w:afterAutospacing="0" w:line="440" w:lineRule="exact"/>
              <w:ind w:left="0" w:right="0"/>
              <w:jc w:val="center"/>
              <w:rPr>
                <w:rFonts w:hint="default"/>
              </w:rPr>
            </w:pPr>
          </w:p>
        </w:tc>
        <w:tc>
          <w:tcPr>
            <w:tcW w:w="842" w:type="dxa"/>
          </w:tcPr>
          <w:p w14:paraId="4B8C7F6B">
            <w:pPr>
              <w:pStyle w:val="15"/>
              <w:keepNext w:val="0"/>
              <w:keepLines w:val="0"/>
              <w:suppressLineNumbers w:val="0"/>
              <w:spacing w:before="0" w:beforeAutospacing="0" w:after="0" w:afterAutospacing="0" w:line="440" w:lineRule="exact"/>
              <w:ind w:left="0" w:right="0"/>
              <w:jc w:val="center"/>
              <w:rPr>
                <w:rFonts w:hint="default"/>
              </w:rPr>
            </w:pPr>
          </w:p>
        </w:tc>
      </w:tr>
      <w:tr w14:paraId="6A3BC6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57" w:hRule="atLeast"/>
        </w:trPr>
        <w:tc>
          <w:tcPr>
            <w:tcW w:w="873" w:type="dxa"/>
            <w:vMerge w:val="continue"/>
          </w:tcPr>
          <w:p w14:paraId="68BF4AA7">
            <w:pPr>
              <w:pStyle w:val="15"/>
              <w:keepNext w:val="0"/>
              <w:keepLines w:val="0"/>
              <w:suppressLineNumbers w:val="0"/>
              <w:spacing w:before="0" w:beforeAutospacing="0" w:after="0" w:afterAutospacing="0" w:line="440" w:lineRule="exact"/>
              <w:ind w:left="0" w:right="0"/>
              <w:jc w:val="center"/>
              <w:rPr>
                <w:rFonts w:hint="default"/>
              </w:rPr>
            </w:pPr>
          </w:p>
        </w:tc>
        <w:tc>
          <w:tcPr>
            <w:tcW w:w="1980" w:type="dxa"/>
          </w:tcPr>
          <w:p w14:paraId="6DFC8FEB">
            <w:pPr>
              <w:pStyle w:val="15"/>
              <w:keepNext w:val="0"/>
              <w:keepLines w:val="0"/>
              <w:suppressLineNumbers w:val="0"/>
              <w:spacing w:before="0" w:beforeAutospacing="0" w:after="0" w:afterAutospacing="0" w:line="440" w:lineRule="exact"/>
              <w:ind w:left="0" w:right="0"/>
              <w:rPr>
                <w:rFonts w:hint="default"/>
              </w:rPr>
            </w:pPr>
          </w:p>
        </w:tc>
        <w:tc>
          <w:tcPr>
            <w:tcW w:w="933" w:type="dxa"/>
          </w:tcPr>
          <w:p w14:paraId="6A3C2D57">
            <w:pPr>
              <w:pStyle w:val="15"/>
              <w:keepNext w:val="0"/>
              <w:keepLines w:val="0"/>
              <w:suppressLineNumbers w:val="0"/>
              <w:spacing w:before="0" w:beforeAutospacing="0" w:after="0" w:afterAutospacing="0" w:line="440" w:lineRule="exact"/>
              <w:ind w:left="0" w:right="0"/>
              <w:jc w:val="center"/>
              <w:rPr>
                <w:rFonts w:hint="default"/>
              </w:rPr>
            </w:pPr>
          </w:p>
        </w:tc>
        <w:tc>
          <w:tcPr>
            <w:tcW w:w="1374" w:type="dxa"/>
          </w:tcPr>
          <w:p w14:paraId="7441910A">
            <w:pPr>
              <w:pStyle w:val="15"/>
              <w:keepNext w:val="0"/>
              <w:keepLines w:val="0"/>
              <w:suppressLineNumbers w:val="0"/>
              <w:spacing w:before="0" w:beforeAutospacing="0" w:after="0" w:afterAutospacing="0" w:line="440" w:lineRule="exact"/>
              <w:ind w:left="0" w:right="0"/>
              <w:jc w:val="center"/>
              <w:rPr>
                <w:rFonts w:hint="default"/>
              </w:rPr>
            </w:pPr>
          </w:p>
        </w:tc>
        <w:tc>
          <w:tcPr>
            <w:tcW w:w="866" w:type="dxa"/>
          </w:tcPr>
          <w:p w14:paraId="2AE0C4C4">
            <w:pPr>
              <w:pStyle w:val="15"/>
              <w:keepNext w:val="0"/>
              <w:keepLines w:val="0"/>
              <w:suppressLineNumbers w:val="0"/>
              <w:spacing w:before="0" w:beforeAutospacing="0" w:after="0" w:afterAutospacing="0" w:line="440" w:lineRule="exact"/>
              <w:ind w:left="0" w:right="0"/>
              <w:jc w:val="center"/>
              <w:rPr>
                <w:rFonts w:hint="default"/>
              </w:rPr>
            </w:pPr>
          </w:p>
        </w:tc>
        <w:tc>
          <w:tcPr>
            <w:tcW w:w="2249" w:type="dxa"/>
          </w:tcPr>
          <w:p w14:paraId="14BD1A70">
            <w:pPr>
              <w:pStyle w:val="15"/>
              <w:keepNext w:val="0"/>
              <w:keepLines w:val="0"/>
              <w:suppressLineNumbers w:val="0"/>
              <w:spacing w:before="0" w:beforeAutospacing="0" w:after="0" w:afterAutospacing="0" w:line="440" w:lineRule="exact"/>
              <w:ind w:left="0" w:right="0"/>
              <w:jc w:val="center"/>
              <w:rPr>
                <w:rFonts w:hint="default"/>
              </w:rPr>
            </w:pPr>
          </w:p>
        </w:tc>
        <w:tc>
          <w:tcPr>
            <w:tcW w:w="842" w:type="dxa"/>
          </w:tcPr>
          <w:p w14:paraId="5A18CCC2">
            <w:pPr>
              <w:pStyle w:val="15"/>
              <w:keepNext w:val="0"/>
              <w:keepLines w:val="0"/>
              <w:suppressLineNumbers w:val="0"/>
              <w:spacing w:before="0" w:beforeAutospacing="0" w:after="0" w:afterAutospacing="0" w:line="440" w:lineRule="exact"/>
              <w:ind w:left="0" w:right="0"/>
              <w:jc w:val="center"/>
              <w:rPr>
                <w:rFonts w:hint="default"/>
              </w:rPr>
            </w:pPr>
          </w:p>
        </w:tc>
      </w:tr>
      <w:tr w14:paraId="6882C3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57" w:hRule="atLeast"/>
        </w:trPr>
        <w:tc>
          <w:tcPr>
            <w:tcW w:w="873" w:type="dxa"/>
            <w:vMerge w:val="continue"/>
          </w:tcPr>
          <w:p w14:paraId="738DD870">
            <w:pPr>
              <w:pStyle w:val="15"/>
              <w:keepNext w:val="0"/>
              <w:keepLines w:val="0"/>
              <w:suppressLineNumbers w:val="0"/>
              <w:spacing w:before="0" w:beforeAutospacing="0" w:after="0" w:afterAutospacing="0" w:line="440" w:lineRule="exact"/>
              <w:ind w:left="0" w:right="0"/>
              <w:jc w:val="center"/>
              <w:rPr>
                <w:rFonts w:hint="default"/>
              </w:rPr>
            </w:pPr>
          </w:p>
        </w:tc>
        <w:tc>
          <w:tcPr>
            <w:tcW w:w="1980" w:type="dxa"/>
          </w:tcPr>
          <w:p w14:paraId="504C2F76">
            <w:pPr>
              <w:pStyle w:val="15"/>
              <w:keepNext w:val="0"/>
              <w:keepLines w:val="0"/>
              <w:suppressLineNumbers w:val="0"/>
              <w:spacing w:before="0" w:beforeAutospacing="0" w:after="0" w:afterAutospacing="0" w:line="440" w:lineRule="exact"/>
              <w:ind w:left="0" w:right="0"/>
              <w:rPr>
                <w:rFonts w:hint="default"/>
              </w:rPr>
            </w:pPr>
          </w:p>
        </w:tc>
        <w:tc>
          <w:tcPr>
            <w:tcW w:w="933" w:type="dxa"/>
          </w:tcPr>
          <w:p w14:paraId="20EC991E">
            <w:pPr>
              <w:pStyle w:val="15"/>
              <w:keepNext w:val="0"/>
              <w:keepLines w:val="0"/>
              <w:suppressLineNumbers w:val="0"/>
              <w:spacing w:before="0" w:beforeAutospacing="0" w:after="0" w:afterAutospacing="0" w:line="440" w:lineRule="exact"/>
              <w:ind w:left="0" w:right="0"/>
              <w:jc w:val="center"/>
              <w:rPr>
                <w:rFonts w:hint="default"/>
              </w:rPr>
            </w:pPr>
          </w:p>
        </w:tc>
        <w:tc>
          <w:tcPr>
            <w:tcW w:w="1374" w:type="dxa"/>
          </w:tcPr>
          <w:p w14:paraId="34C5B7B3">
            <w:pPr>
              <w:pStyle w:val="15"/>
              <w:keepNext w:val="0"/>
              <w:keepLines w:val="0"/>
              <w:suppressLineNumbers w:val="0"/>
              <w:spacing w:before="0" w:beforeAutospacing="0" w:after="0" w:afterAutospacing="0" w:line="440" w:lineRule="exact"/>
              <w:ind w:left="0" w:right="0"/>
              <w:jc w:val="center"/>
              <w:rPr>
                <w:rFonts w:hint="default"/>
              </w:rPr>
            </w:pPr>
          </w:p>
        </w:tc>
        <w:tc>
          <w:tcPr>
            <w:tcW w:w="866" w:type="dxa"/>
          </w:tcPr>
          <w:p w14:paraId="4B2DB837">
            <w:pPr>
              <w:pStyle w:val="15"/>
              <w:keepNext w:val="0"/>
              <w:keepLines w:val="0"/>
              <w:suppressLineNumbers w:val="0"/>
              <w:spacing w:before="0" w:beforeAutospacing="0" w:after="0" w:afterAutospacing="0" w:line="440" w:lineRule="exact"/>
              <w:ind w:left="0" w:right="0"/>
              <w:jc w:val="center"/>
              <w:rPr>
                <w:rFonts w:hint="default"/>
              </w:rPr>
            </w:pPr>
          </w:p>
        </w:tc>
        <w:tc>
          <w:tcPr>
            <w:tcW w:w="2249" w:type="dxa"/>
          </w:tcPr>
          <w:p w14:paraId="2056F6CD">
            <w:pPr>
              <w:pStyle w:val="15"/>
              <w:keepNext w:val="0"/>
              <w:keepLines w:val="0"/>
              <w:suppressLineNumbers w:val="0"/>
              <w:spacing w:before="0" w:beforeAutospacing="0" w:after="0" w:afterAutospacing="0" w:line="440" w:lineRule="exact"/>
              <w:ind w:left="0" w:right="0"/>
              <w:jc w:val="center"/>
              <w:rPr>
                <w:rFonts w:hint="default"/>
              </w:rPr>
            </w:pPr>
          </w:p>
        </w:tc>
        <w:tc>
          <w:tcPr>
            <w:tcW w:w="842" w:type="dxa"/>
          </w:tcPr>
          <w:p w14:paraId="2CF1BA56">
            <w:pPr>
              <w:pStyle w:val="15"/>
              <w:keepNext w:val="0"/>
              <w:keepLines w:val="0"/>
              <w:suppressLineNumbers w:val="0"/>
              <w:spacing w:before="0" w:beforeAutospacing="0" w:after="0" w:afterAutospacing="0" w:line="440" w:lineRule="exact"/>
              <w:ind w:left="0" w:right="0"/>
              <w:jc w:val="center"/>
              <w:rPr>
                <w:rFonts w:hint="default"/>
              </w:rPr>
            </w:pPr>
          </w:p>
        </w:tc>
      </w:tr>
      <w:tr w14:paraId="57BEA7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47" w:hRule="atLeast"/>
        </w:trPr>
        <w:tc>
          <w:tcPr>
            <w:tcW w:w="873" w:type="dxa"/>
            <w:vMerge w:val="continue"/>
          </w:tcPr>
          <w:p w14:paraId="3AEFB38F">
            <w:pPr>
              <w:pStyle w:val="15"/>
              <w:keepNext w:val="0"/>
              <w:keepLines w:val="0"/>
              <w:suppressLineNumbers w:val="0"/>
              <w:spacing w:before="0" w:beforeAutospacing="0" w:after="0" w:afterAutospacing="0" w:line="440" w:lineRule="exact"/>
              <w:ind w:left="0" w:right="0"/>
              <w:jc w:val="center"/>
              <w:rPr>
                <w:rFonts w:hint="default"/>
              </w:rPr>
            </w:pPr>
          </w:p>
        </w:tc>
        <w:tc>
          <w:tcPr>
            <w:tcW w:w="1980" w:type="dxa"/>
          </w:tcPr>
          <w:p w14:paraId="0C880442">
            <w:pPr>
              <w:pStyle w:val="15"/>
              <w:keepNext w:val="0"/>
              <w:keepLines w:val="0"/>
              <w:suppressLineNumbers w:val="0"/>
              <w:spacing w:before="0" w:beforeAutospacing="0" w:after="0" w:afterAutospacing="0"/>
              <w:ind w:left="0" w:right="0"/>
              <w:rPr>
                <w:rFonts w:hint="default"/>
              </w:rPr>
            </w:pPr>
          </w:p>
        </w:tc>
        <w:tc>
          <w:tcPr>
            <w:tcW w:w="933" w:type="dxa"/>
          </w:tcPr>
          <w:p w14:paraId="4A351D0A">
            <w:pPr>
              <w:pStyle w:val="15"/>
              <w:keepNext w:val="0"/>
              <w:keepLines w:val="0"/>
              <w:suppressLineNumbers w:val="0"/>
              <w:spacing w:before="0" w:beforeAutospacing="0" w:after="0" w:afterAutospacing="0" w:line="440" w:lineRule="exact"/>
              <w:ind w:left="0" w:right="0" w:firstLine="480"/>
              <w:jc w:val="center"/>
              <w:rPr>
                <w:rFonts w:hint="default"/>
                <w:sz w:val="24"/>
                <w:szCs w:val="24"/>
              </w:rPr>
            </w:pPr>
          </w:p>
        </w:tc>
        <w:tc>
          <w:tcPr>
            <w:tcW w:w="1374" w:type="dxa"/>
          </w:tcPr>
          <w:p w14:paraId="09F12F8C">
            <w:pPr>
              <w:pStyle w:val="15"/>
              <w:keepNext w:val="0"/>
              <w:keepLines w:val="0"/>
              <w:suppressLineNumbers w:val="0"/>
              <w:spacing w:before="0" w:beforeAutospacing="0" w:after="0" w:afterAutospacing="0" w:line="440" w:lineRule="exact"/>
              <w:ind w:left="0" w:right="0" w:firstLine="480"/>
              <w:jc w:val="center"/>
              <w:rPr>
                <w:rFonts w:hint="default"/>
                <w:sz w:val="24"/>
                <w:szCs w:val="24"/>
              </w:rPr>
            </w:pPr>
          </w:p>
        </w:tc>
        <w:tc>
          <w:tcPr>
            <w:tcW w:w="866" w:type="dxa"/>
          </w:tcPr>
          <w:p w14:paraId="302DC906">
            <w:pPr>
              <w:pStyle w:val="15"/>
              <w:keepNext w:val="0"/>
              <w:keepLines w:val="0"/>
              <w:suppressLineNumbers w:val="0"/>
              <w:spacing w:before="0" w:beforeAutospacing="0" w:after="0" w:afterAutospacing="0" w:line="440" w:lineRule="exact"/>
              <w:ind w:left="0" w:right="0" w:firstLine="480"/>
              <w:jc w:val="center"/>
              <w:rPr>
                <w:rFonts w:hint="default"/>
                <w:sz w:val="24"/>
                <w:szCs w:val="24"/>
              </w:rPr>
            </w:pPr>
          </w:p>
        </w:tc>
        <w:tc>
          <w:tcPr>
            <w:tcW w:w="2249" w:type="dxa"/>
          </w:tcPr>
          <w:p w14:paraId="1EEBD67E">
            <w:pPr>
              <w:pStyle w:val="15"/>
              <w:keepNext w:val="0"/>
              <w:keepLines w:val="0"/>
              <w:suppressLineNumbers w:val="0"/>
              <w:spacing w:before="0" w:beforeAutospacing="0" w:after="0" w:afterAutospacing="0" w:line="440" w:lineRule="exact"/>
              <w:ind w:left="0" w:right="0" w:firstLine="480"/>
              <w:jc w:val="center"/>
              <w:rPr>
                <w:rFonts w:hint="default"/>
                <w:sz w:val="24"/>
                <w:szCs w:val="24"/>
              </w:rPr>
            </w:pPr>
          </w:p>
        </w:tc>
        <w:tc>
          <w:tcPr>
            <w:tcW w:w="842" w:type="dxa"/>
          </w:tcPr>
          <w:p w14:paraId="1A732ACD">
            <w:pPr>
              <w:pStyle w:val="15"/>
              <w:keepNext w:val="0"/>
              <w:keepLines w:val="0"/>
              <w:suppressLineNumbers w:val="0"/>
              <w:spacing w:before="0" w:beforeAutospacing="0" w:after="0" w:afterAutospacing="0" w:line="440" w:lineRule="exact"/>
              <w:ind w:left="0" w:right="0" w:firstLine="480"/>
              <w:jc w:val="center"/>
              <w:rPr>
                <w:rFonts w:hint="default"/>
                <w:sz w:val="24"/>
                <w:szCs w:val="24"/>
              </w:rPr>
            </w:pPr>
          </w:p>
        </w:tc>
      </w:tr>
      <w:tr w14:paraId="2DD1DD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90" w:hRule="atLeast"/>
        </w:trPr>
        <w:tc>
          <w:tcPr>
            <w:tcW w:w="873" w:type="dxa"/>
            <w:vMerge w:val="continue"/>
          </w:tcPr>
          <w:p w14:paraId="6A30F48C">
            <w:pPr>
              <w:pStyle w:val="15"/>
              <w:keepNext w:val="0"/>
              <w:keepLines w:val="0"/>
              <w:suppressLineNumbers w:val="0"/>
              <w:spacing w:before="0" w:beforeAutospacing="0" w:after="0" w:afterAutospacing="0" w:line="440" w:lineRule="exact"/>
              <w:ind w:left="0" w:right="0" w:firstLine="480"/>
              <w:jc w:val="center"/>
              <w:rPr>
                <w:rFonts w:hint="default"/>
                <w:sz w:val="24"/>
                <w:szCs w:val="24"/>
              </w:rPr>
            </w:pPr>
          </w:p>
        </w:tc>
        <w:tc>
          <w:tcPr>
            <w:tcW w:w="1980" w:type="dxa"/>
          </w:tcPr>
          <w:p w14:paraId="14DD5365">
            <w:pPr>
              <w:pStyle w:val="15"/>
              <w:keepNext w:val="0"/>
              <w:keepLines w:val="0"/>
              <w:suppressLineNumbers w:val="0"/>
              <w:spacing w:before="0" w:beforeAutospacing="0" w:after="0" w:afterAutospacing="0" w:line="440" w:lineRule="exact"/>
              <w:ind w:left="0" w:right="0" w:firstLine="480"/>
              <w:jc w:val="center"/>
              <w:rPr>
                <w:rFonts w:hint="default"/>
                <w:sz w:val="24"/>
                <w:szCs w:val="24"/>
              </w:rPr>
            </w:pPr>
            <w:r>
              <w:rPr>
                <w:rFonts w:hint="default"/>
                <w:sz w:val="24"/>
                <w:szCs w:val="24"/>
              </w:rPr>
              <w:t>……</w:t>
            </w:r>
          </w:p>
        </w:tc>
        <w:tc>
          <w:tcPr>
            <w:tcW w:w="933" w:type="dxa"/>
          </w:tcPr>
          <w:p w14:paraId="7AD1FC8E">
            <w:pPr>
              <w:pStyle w:val="15"/>
              <w:keepNext w:val="0"/>
              <w:keepLines w:val="0"/>
              <w:suppressLineNumbers w:val="0"/>
              <w:spacing w:before="0" w:beforeAutospacing="0" w:after="0" w:afterAutospacing="0" w:line="440" w:lineRule="exact"/>
              <w:ind w:left="0" w:right="0" w:firstLine="480"/>
              <w:jc w:val="center"/>
              <w:rPr>
                <w:rFonts w:hint="default"/>
                <w:sz w:val="24"/>
                <w:szCs w:val="24"/>
              </w:rPr>
            </w:pPr>
          </w:p>
        </w:tc>
        <w:tc>
          <w:tcPr>
            <w:tcW w:w="1374" w:type="dxa"/>
          </w:tcPr>
          <w:p w14:paraId="740694AE">
            <w:pPr>
              <w:pStyle w:val="15"/>
              <w:keepNext w:val="0"/>
              <w:keepLines w:val="0"/>
              <w:suppressLineNumbers w:val="0"/>
              <w:spacing w:before="0" w:beforeAutospacing="0" w:after="0" w:afterAutospacing="0" w:line="440" w:lineRule="exact"/>
              <w:ind w:left="0" w:right="0" w:firstLine="480"/>
              <w:jc w:val="center"/>
              <w:rPr>
                <w:rFonts w:hint="default"/>
                <w:sz w:val="24"/>
                <w:szCs w:val="24"/>
              </w:rPr>
            </w:pPr>
          </w:p>
        </w:tc>
        <w:tc>
          <w:tcPr>
            <w:tcW w:w="866" w:type="dxa"/>
          </w:tcPr>
          <w:p w14:paraId="691DE7D1">
            <w:pPr>
              <w:pStyle w:val="15"/>
              <w:keepNext w:val="0"/>
              <w:keepLines w:val="0"/>
              <w:suppressLineNumbers w:val="0"/>
              <w:spacing w:before="0" w:beforeAutospacing="0" w:after="0" w:afterAutospacing="0" w:line="440" w:lineRule="exact"/>
              <w:ind w:left="0" w:right="0" w:firstLine="480"/>
              <w:jc w:val="center"/>
              <w:rPr>
                <w:rFonts w:hint="default"/>
                <w:sz w:val="24"/>
                <w:szCs w:val="24"/>
              </w:rPr>
            </w:pPr>
          </w:p>
        </w:tc>
        <w:tc>
          <w:tcPr>
            <w:tcW w:w="2249" w:type="dxa"/>
          </w:tcPr>
          <w:p w14:paraId="39324F85">
            <w:pPr>
              <w:pStyle w:val="15"/>
              <w:keepNext w:val="0"/>
              <w:keepLines w:val="0"/>
              <w:suppressLineNumbers w:val="0"/>
              <w:spacing w:before="0" w:beforeAutospacing="0" w:after="0" w:afterAutospacing="0" w:line="440" w:lineRule="exact"/>
              <w:ind w:left="0" w:right="0" w:firstLine="480"/>
              <w:jc w:val="center"/>
              <w:rPr>
                <w:rFonts w:hint="default"/>
                <w:sz w:val="24"/>
                <w:szCs w:val="24"/>
              </w:rPr>
            </w:pPr>
          </w:p>
        </w:tc>
        <w:tc>
          <w:tcPr>
            <w:tcW w:w="842" w:type="dxa"/>
          </w:tcPr>
          <w:p w14:paraId="4C82852D">
            <w:pPr>
              <w:pStyle w:val="15"/>
              <w:keepNext w:val="0"/>
              <w:keepLines w:val="0"/>
              <w:suppressLineNumbers w:val="0"/>
              <w:spacing w:before="0" w:beforeAutospacing="0" w:after="0" w:afterAutospacing="0" w:line="440" w:lineRule="exact"/>
              <w:ind w:left="0" w:right="0" w:firstLine="480"/>
              <w:jc w:val="center"/>
              <w:rPr>
                <w:rFonts w:hint="default"/>
                <w:sz w:val="24"/>
                <w:szCs w:val="24"/>
              </w:rPr>
            </w:pPr>
          </w:p>
        </w:tc>
      </w:tr>
    </w:tbl>
    <w:p w14:paraId="517F0B0E">
      <w:pPr>
        <w:shd w:val="clear"/>
        <w:spacing w:line="240" w:lineRule="auto"/>
        <w:rPr>
          <w:rFonts w:ascii="宋体"/>
          <w:b/>
          <w:bCs/>
          <w:color w:val="auto"/>
          <w:highlight w:val="none"/>
          <w:shd w:val="clear" w:color="auto" w:fill="auto"/>
        </w:rPr>
      </w:pPr>
      <w:r>
        <w:rPr>
          <w:rFonts w:hint="eastAsia" w:ascii="宋体" w:hAnsi="宋体" w:cs="宋体"/>
          <w:b/>
          <w:bCs/>
          <w:color w:val="auto"/>
          <w:highlight w:val="none"/>
          <w:shd w:val="clear" w:color="auto" w:fill="auto"/>
        </w:rPr>
        <w:t>要求：</w:t>
      </w:r>
    </w:p>
    <w:p w14:paraId="4FE7B1DB">
      <w:pPr>
        <w:shd w:val="clear"/>
        <w:spacing w:line="240" w:lineRule="auto"/>
        <w:ind w:right="-372" w:rightChars="-177"/>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1.在填写时，如本表格不适合</w:t>
      </w:r>
      <w:r>
        <w:rPr>
          <w:rFonts w:hint="eastAsia" w:ascii="宋体" w:hAnsi="宋体" w:eastAsia="宋体" w:cs="宋体"/>
          <w:color w:val="auto"/>
          <w:highlight w:val="none"/>
          <w:shd w:val="clear" w:color="auto" w:fill="auto"/>
          <w:lang w:val="en-US" w:eastAsia="zh-CN"/>
        </w:rPr>
        <w:t>投标人</w:t>
      </w:r>
      <w:r>
        <w:rPr>
          <w:rFonts w:hint="eastAsia" w:ascii="宋体" w:hAnsi="宋体" w:eastAsia="宋体" w:cs="宋体"/>
          <w:color w:val="auto"/>
          <w:highlight w:val="none"/>
          <w:shd w:val="clear" w:color="auto" w:fill="auto"/>
        </w:rPr>
        <w:t>的实际情况，可根据本表格式自行划表填写。</w:t>
      </w:r>
    </w:p>
    <w:p w14:paraId="69DB6B13">
      <w:pPr>
        <w:shd w:val="clear"/>
        <w:spacing w:line="240" w:lineRule="auto"/>
        <w:ind w:right="-372" w:rightChars="-177"/>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2.附人员证书复印件；</w:t>
      </w:r>
    </w:p>
    <w:p w14:paraId="3B44A2CB">
      <w:pPr>
        <w:shd w:val="clear"/>
        <w:spacing w:line="360" w:lineRule="auto"/>
        <w:ind w:firstLine="480" w:firstLineChars="200"/>
        <w:rPr>
          <w:rFonts w:ascii="宋体" w:hAnsi="宋体" w:cs="宋体"/>
          <w:color w:val="auto"/>
          <w:sz w:val="24"/>
          <w:szCs w:val="24"/>
          <w:highlight w:val="none"/>
          <w:shd w:val="clear" w:color="auto" w:fill="auto"/>
        </w:rPr>
      </w:pPr>
    </w:p>
    <w:bookmarkEnd w:id="43"/>
    <w:p w14:paraId="34464D2D">
      <w:pPr>
        <w:tabs>
          <w:tab w:val="left" w:pos="4525"/>
        </w:tabs>
        <w:spacing w:line="460" w:lineRule="exact"/>
        <w:jc w:val="left"/>
        <w:rPr>
          <w:rFonts w:hint="eastAsia" w:hAnsi="宋体"/>
          <w:sz w:val="24"/>
        </w:rPr>
      </w:pPr>
    </w:p>
    <w:p w14:paraId="422CA92B">
      <w:pPr>
        <w:tabs>
          <w:tab w:val="left" w:pos="4525"/>
        </w:tabs>
        <w:spacing w:line="460" w:lineRule="exact"/>
        <w:jc w:val="left"/>
        <w:rPr>
          <w:rFonts w:hAnsi="宋体"/>
          <w:sz w:val="24"/>
        </w:rPr>
      </w:pPr>
      <w:r>
        <w:rPr>
          <w:rFonts w:hint="eastAsia" w:hAnsi="宋体"/>
          <w:sz w:val="24"/>
        </w:rPr>
        <w:t>投标人全称（单位公章）：</w:t>
      </w:r>
    </w:p>
    <w:p w14:paraId="542DF2A4">
      <w:pPr>
        <w:tabs>
          <w:tab w:val="left" w:pos="4525"/>
        </w:tabs>
        <w:spacing w:line="460" w:lineRule="exact"/>
        <w:jc w:val="left"/>
        <w:rPr>
          <w:rFonts w:hAnsi="宋体"/>
          <w:sz w:val="24"/>
        </w:rPr>
      </w:pPr>
      <w:r>
        <w:rPr>
          <w:rFonts w:hint="eastAsia" w:hAnsi="宋体"/>
          <w:sz w:val="24"/>
        </w:rPr>
        <w:t>法定代表人或委托代理人（盖章或签名）：</w:t>
      </w:r>
    </w:p>
    <w:p w14:paraId="4C8536B8">
      <w:pPr>
        <w:tabs>
          <w:tab w:val="left" w:pos="4525"/>
        </w:tabs>
        <w:spacing w:line="460" w:lineRule="exact"/>
        <w:jc w:val="left"/>
        <w:rPr>
          <w:rFonts w:hAnsi="宋体"/>
          <w:sz w:val="24"/>
        </w:rPr>
      </w:pPr>
      <w:r>
        <w:rPr>
          <w:rFonts w:hint="eastAsia" w:hAnsi="宋体"/>
          <w:sz w:val="24"/>
        </w:rPr>
        <w:t>日    期：</w:t>
      </w:r>
    </w:p>
    <w:p w14:paraId="7D21447A">
      <w:pPr>
        <w:widowControl/>
        <w:jc w:val="left"/>
        <w:rPr>
          <w:rFonts w:hint="eastAsia" w:ascii="宋体" w:hAnsi="宋体" w:cs="宋体"/>
          <w:b/>
          <w:bCs/>
          <w:sz w:val="24"/>
          <w:szCs w:val="24"/>
        </w:rPr>
      </w:pPr>
    </w:p>
    <w:p w14:paraId="028A9BC4">
      <w:pPr>
        <w:widowControl/>
        <w:jc w:val="left"/>
        <w:rPr>
          <w:rFonts w:hint="eastAsia" w:ascii="宋体" w:hAnsi="宋体" w:cs="宋体"/>
          <w:b/>
          <w:bCs/>
          <w:sz w:val="24"/>
          <w:szCs w:val="24"/>
        </w:rPr>
      </w:pPr>
    </w:p>
    <w:p w14:paraId="70DA6A12">
      <w:pPr>
        <w:widowControl/>
        <w:jc w:val="left"/>
        <w:rPr>
          <w:rFonts w:hint="eastAsia" w:ascii="宋体" w:hAnsi="宋体" w:cs="宋体"/>
          <w:b/>
          <w:bCs/>
          <w:sz w:val="24"/>
          <w:szCs w:val="24"/>
        </w:rPr>
      </w:pPr>
    </w:p>
    <w:p w14:paraId="36E9355B">
      <w:pPr>
        <w:widowControl/>
        <w:jc w:val="left"/>
        <w:rPr>
          <w:rFonts w:hint="eastAsia" w:ascii="宋体" w:hAnsi="宋体" w:cs="宋体"/>
          <w:b/>
          <w:bCs/>
          <w:sz w:val="24"/>
          <w:szCs w:val="24"/>
        </w:rPr>
      </w:pPr>
    </w:p>
    <w:p w14:paraId="20F872D7">
      <w:pPr>
        <w:widowControl/>
        <w:jc w:val="left"/>
        <w:rPr>
          <w:rFonts w:ascii="宋体" w:hAnsi="宋体" w:cs="宋体"/>
          <w:b/>
          <w:bCs/>
          <w:sz w:val="24"/>
          <w:szCs w:val="24"/>
        </w:rPr>
      </w:pPr>
      <w:r>
        <w:rPr>
          <w:rFonts w:hint="eastAsia" w:ascii="宋体" w:hAnsi="宋体" w:cs="宋体"/>
          <w:b/>
          <w:bCs/>
          <w:sz w:val="24"/>
          <w:szCs w:val="24"/>
        </w:rPr>
        <w:t>附件</w:t>
      </w:r>
      <w:r>
        <w:rPr>
          <w:rFonts w:hint="eastAsia" w:ascii="宋体" w:hAnsi="宋体" w:cs="宋体"/>
          <w:b/>
          <w:bCs/>
          <w:sz w:val="24"/>
          <w:szCs w:val="24"/>
          <w:lang w:val="en-US" w:eastAsia="zh-CN"/>
        </w:rPr>
        <w:t>7</w:t>
      </w:r>
      <w:r>
        <w:rPr>
          <w:rFonts w:hint="eastAsia" w:ascii="宋体" w:hAnsi="宋体" w:cs="宋体"/>
          <w:b/>
          <w:bCs/>
          <w:sz w:val="24"/>
          <w:szCs w:val="24"/>
        </w:rPr>
        <w:t>:</w:t>
      </w:r>
    </w:p>
    <w:p w14:paraId="00D83303">
      <w:pPr>
        <w:pStyle w:val="3"/>
        <w:spacing w:line="400" w:lineRule="exact"/>
        <w:jc w:val="center"/>
        <w:rPr>
          <w:rFonts w:hint="default" w:cs="宋体"/>
          <w:bCs/>
          <w:color w:val="auto"/>
          <w:spacing w:val="21"/>
          <w:sz w:val="32"/>
          <w:szCs w:val="32"/>
        </w:rPr>
      </w:pPr>
      <w:bookmarkStart w:id="44" w:name="_Toc8106"/>
      <w:bookmarkStart w:id="45" w:name="_Toc14461"/>
      <w:bookmarkStart w:id="46" w:name="_Toc25350"/>
      <w:bookmarkStart w:id="47" w:name="_Toc5313"/>
      <w:bookmarkStart w:id="48" w:name="_Toc11796"/>
      <w:bookmarkStart w:id="49" w:name="_Toc2190"/>
      <w:bookmarkStart w:id="50" w:name="_Toc7181"/>
      <w:bookmarkStart w:id="51" w:name="_Toc12002"/>
      <w:r>
        <w:rPr>
          <w:rFonts w:cs="宋体"/>
          <w:bCs/>
          <w:color w:val="auto"/>
          <w:spacing w:val="21"/>
          <w:sz w:val="32"/>
          <w:szCs w:val="32"/>
        </w:rPr>
        <w:t>技术、商务偏离表</w:t>
      </w:r>
      <w:bookmarkEnd w:id="44"/>
      <w:bookmarkEnd w:id="45"/>
      <w:bookmarkEnd w:id="46"/>
      <w:bookmarkEnd w:id="47"/>
      <w:bookmarkEnd w:id="48"/>
      <w:bookmarkEnd w:id="49"/>
      <w:bookmarkEnd w:id="50"/>
      <w:bookmarkEnd w:id="51"/>
    </w:p>
    <w:p w14:paraId="0129A434">
      <w:pPr>
        <w:spacing w:line="450" w:lineRule="exact"/>
        <w:ind w:firstLine="120"/>
        <w:rPr>
          <w:rFonts w:hAnsi="宋体"/>
          <w:sz w:val="24"/>
        </w:rPr>
      </w:pPr>
      <w:r>
        <w:rPr>
          <w:rFonts w:hint="eastAsia" w:hAnsi="宋体"/>
          <w:sz w:val="24"/>
        </w:rPr>
        <w:t xml:space="preserve">项目编号：  </w:t>
      </w:r>
    </w:p>
    <w:tbl>
      <w:tblPr>
        <w:tblStyle w:val="44"/>
        <w:tblW w:w="93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0"/>
        <w:gridCol w:w="759"/>
        <w:gridCol w:w="1189"/>
        <w:gridCol w:w="1978"/>
        <w:gridCol w:w="2130"/>
        <w:gridCol w:w="1468"/>
        <w:gridCol w:w="986"/>
      </w:tblGrid>
      <w:tr w14:paraId="42BCEB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1549" w:type="dxa"/>
            <w:gridSpan w:val="2"/>
            <w:vAlign w:val="center"/>
          </w:tcPr>
          <w:p w14:paraId="358D1584">
            <w:pPr>
              <w:jc w:val="center"/>
              <w:rPr>
                <w:rFonts w:hAnsi="宋体"/>
                <w:sz w:val="24"/>
              </w:rPr>
            </w:pPr>
            <w:r>
              <w:rPr>
                <w:rFonts w:hint="eastAsia" w:hAnsi="宋体"/>
                <w:sz w:val="24"/>
              </w:rPr>
              <w:t>序号</w:t>
            </w:r>
          </w:p>
        </w:tc>
        <w:tc>
          <w:tcPr>
            <w:tcW w:w="1189" w:type="dxa"/>
            <w:vAlign w:val="center"/>
          </w:tcPr>
          <w:p w14:paraId="007F37E4">
            <w:pPr>
              <w:jc w:val="center"/>
              <w:rPr>
                <w:rFonts w:hAnsi="宋体"/>
                <w:sz w:val="24"/>
              </w:rPr>
            </w:pPr>
            <w:r>
              <w:rPr>
                <w:rFonts w:hint="eastAsia" w:hAnsi="宋体"/>
                <w:sz w:val="24"/>
              </w:rPr>
              <w:t>名称</w:t>
            </w:r>
          </w:p>
        </w:tc>
        <w:tc>
          <w:tcPr>
            <w:tcW w:w="1978" w:type="dxa"/>
            <w:vAlign w:val="center"/>
          </w:tcPr>
          <w:p w14:paraId="2B8FE345">
            <w:pPr>
              <w:ind w:left="-105" w:right="-100"/>
              <w:jc w:val="center"/>
              <w:rPr>
                <w:rFonts w:hAnsi="宋体"/>
                <w:spacing w:val="-12"/>
                <w:sz w:val="24"/>
              </w:rPr>
            </w:pPr>
            <w:r>
              <w:rPr>
                <w:rFonts w:hint="eastAsia" w:hAnsi="宋体"/>
                <w:sz w:val="24"/>
              </w:rPr>
              <w:t>采购文件要求</w:t>
            </w:r>
          </w:p>
        </w:tc>
        <w:tc>
          <w:tcPr>
            <w:tcW w:w="2130" w:type="dxa"/>
            <w:vAlign w:val="center"/>
          </w:tcPr>
          <w:p w14:paraId="4A0EA5CF">
            <w:pPr>
              <w:jc w:val="center"/>
              <w:rPr>
                <w:rFonts w:hAnsi="宋体"/>
                <w:sz w:val="24"/>
              </w:rPr>
            </w:pPr>
            <w:r>
              <w:rPr>
                <w:rFonts w:hint="eastAsia" w:hAnsi="宋体"/>
                <w:sz w:val="24"/>
              </w:rPr>
              <w:t>投标文件响应</w:t>
            </w:r>
          </w:p>
        </w:tc>
        <w:tc>
          <w:tcPr>
            <w:tcW w:w="1468" w:type="dxa"/>
            <w:vAlign w:val="center"/>
          </w:tcPr>
          <w:p w14:paraId="2EFBD014">
            <w:pPr>
              <w:jc w:val="center"/>
              <w:rPr>
                <w:rFonts w:hAnsi="宋体"/>
                <w:sz w:val="24"/>
              </w:rPr>
            </w:pPr>
            <w:r>
              <w:rPr>
                <w:rFonts w:hint="eastAsia" w:hAnsi="宋体"/>
                <w:sz w:val="24"/>
              </w:rPr>
              <w:t>偏离情况</w:t>
            </w:r>
          </w:p>
        </w:tc>
        <w:tc>
          <w:tcPr>
            <w:tcW w:w="986" w:type="dxa"/>
            <w:vAlign w:val="center"/>
          </w:tcPr>
          <w:p w14:paraId="0D6A5148">
            <w:pPr>
              <w:jc w:val="center"/>
              <w:rPr>
                <w:rFonts w:hAnsi="宋体"/>
                <w:sz w:val="24"/>
              </w:rPr>
            </w:pPr>
            <w:r>
              <w:rPr>
                <w:rFonts w:hint="eastAsia" w:hAnsi="宋体"/>
                <w:sz w:val="24"/>
              </w:rPr>
              <w:t>说明</w:t>
            </w:r>
          </w:p>
        </w:tc>
      </w:tr>
      <w:tr w14:paraId="39DCAF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9" w:hRule="atLeast"/>
          <w:jc w:val="center"/>
        </w:trPr>
        <w:tc>
          <w:tcPr>
            <w:tcW w:w="790" w:type="dxa"/>
            <w:vMerge w:val="restart"/>
            <w:vAlign w:val="center"/>
          </w:tcPr>
          <w:p w14:paraId="64A778D7">
            <w:pPr>
              <w:jc w:val="center"/>
              <w:rPr>
                <w:rFonts w:hAnsi="宋体"/>
                <w:sz w:val="24"/>
              </w:rPr>
            </w:pPr>
            <w:r>
              <w:rPr>
                <w:rFonts w:hint="eastAsia" w:hAnsi="宋体"/>
                <w:sz w:val="24"/>
              </w:rPr>
              <w:t>商务偏离</w:t>
            </w:r>
          </w:p>
        </w:tc>
        <w:tc>
          <w:tcPr>
            <w:tcW w:w="759" w:type="dxa"/>
            <w:vAlign w:val="center"/>
          </w:tcPr>
          <w:p w14:paraId="07D3C0A7">
            <w:pPr>
              <w:pStyle w:val="23"/>
              <w:spacing w:line="300" w:lineRule="exact"/>
              <w:jc w:val="center"/>
              <w:rPr>
                <w:rFonts w:hAnsi="宋体"/>
                <w:sz w:val="24"/>
              </w:rPr>
            </w:pPr>
            <w:r>
              <w:rPr>
                <w:rFonts w:hAnsi="宋体"/>
                <w:sz w:val="24"/>
              </w:rPr>
              <w:t>1</w:t>
            </w:r>
          </w:p>
        </w:tc>
        <w:tc>
          <w:tcPr>
            <w:tcW w:w="1189" w:type="dxa"/>
            <w:vAlign w:val="center"/>
          </w:tcPr>
          <w:p w14:paraId="61927366">
            <w:pPr>
              <w:jc w:val="center"/>
              <w:rPr>
                <w:rFonts w:hAnsi="宋体"/>
                <w:sz w:val="24"/>
              </w:rPr>
            </w:pPr>
          </w:p>
        </w:tc>
        <w:tc>
          <w:tcPr>
            <w:tcW w:w="1978" w:type="dxa"/>
            <w:vAlign w:val="center"/>
          </w:tcPr>
          <w:p w14:paraId="4A61FAC1">
            <w:pPr>
              <w:jc w:val="center"/>
              <w:rPr>
                <w:rFonts w:hAnsi="宋体"/>
                <w:sz w:val="24"/>
              </w:rPr>
            </w:pPr>
          </w:p>
        </w:tc>
        <w:tc>
          <w:tcPr>
            <w:tcW w:w="2130" w:type="dxa"/>
            <w:vAlign w:val="center"/>
          </w:tcPr>
          <w:p w14:paraId="2BDD8AC4">
            <w:pPr>
              <w:jc w:val="center"/>
              <w:rPr>
                <w:rFonts w:hAnsi="宋体"/>
                <w:sz w:val="24"/>
              </w:rPr>
            </w:pPr>
          </w:p>
        </w:tc>
        <w:tc>
          <w:tcPr>
            <w:tcW w:w="1468" w:type="dxa"/>
            <w:vAlign w:val="center"/>
          </w:tcPr>
          <w:p w14:paraId="6D215412">
            <w:pPr>
              <w:jc w:val="center"/>
              <w:rPr>
                <w:rFonts w:hAnsi="宋体"/>
                <w:sz w:val="24"/>
              </w:rPr>
            </w:pPr>
          </w:p>
        </w:tc>
        <w:tc>
          <w:tcPr>
            <w:tcW w:w="986" w:type="dxa"/>
            <w:vAlign w:val="center"/>
          </w:tcPr>
          <w:p w14:paraId="32A332B2">
            <w:pPr>
              <w:jc w:val="center"/>
              <w:rPr>
                <w:rFonts w:hAnsi="宋体"/>
                <w:sz w:val="24"/>
              </w:rPr>
            </w:pPr>
          </w:p>
        </w:tc>
      </w:tr>
      <w:tr w14:paraId="0EFAA3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jc w:val="center"/>
        </w:trPr>
        <w:tc>
          <w:tcPr>
            <w:tcW w:w="790" w:type="dxa"/>
            <w:vMerge w:val="continue"/>
            <w:vAlign w:val="center"/>
          </w:tcPr>
          <w:p w14:paraId="624F57D4">
            <w:pPr>
              <w:jc w:val="center"/>
              <w:rPr>
                <w:rFonts w:hAnsi="宋体"/>
                <w:sz w:val="24"/>
              </w:rPr>
            </w:pPr>
          </w:p>
        </w:tc>
        <w:tc>
          <w:tcPr>
            <w:tcW w:w="759" w:type="dxa"/>
            <w:vAlign w:val="center"/>
          </w:tcPr>
          <w:p w14:paraId="18E93C41">
            <w:pPr>
              <w:pStyle w:val="23"/>
              <w:spacing w:line="300" w:lineRule="exact"/>
              <w:jc w:val="center"/>
              <w:rPr>
                <w:rFonts w:hAnsi="宋体"/>
                <w:sz w:val="24"/>
              </w:rPr>
            </w:pPr>
            <w:r>
              <w:rPr>
                <w:rFonts w:hAnsi="宋体"/>
                <w:sz w:val="24"/>
              </w:rPr>
              <w:t>2</w:t>
            </w:r>
          </w:p>
        </w:tc>
        <w:tc>
          <w:tcPr>
            <w:tcW w:w="1189" w:type="dxa"/>
            <w:vAlign w:val="center"/>
          </w:tcPr>
          <w:p w14:paraId="46B95418">
            <w:pPr>
              <w:jc w:val="center"/>
              <w:rPr>
                <w:rFonts w:hAnsi="宋体"/>
                <w:sz w:val="24"/>
              </w:rPr>
            </w:pPr>
          </w:p>
        </w:tc>
        <w:tc>
          <w:tcPr>
            <w:tcW w:w="1978" w:type="dxa"/>
            <w:vAlign w:val="center"/>
          </w:tcPr>
          <w:p w14:paraId="4EDBE553">
            <w:pPr>
              <w:jc w:val="center"/>
              <w:rPr>
                <w:rFonts w:hAnsi="宋体"/>
                <w:sz w:val="24"/>
              </w:rPr>
            </w:pPr>
          </w:p>
        </w:tc>
        <w:tc>
          <w:tcPr>
            <w:tcW w:w="2130" w:type="dxa"/>
            <w:vAlign w:val="center"/>
          </w:tcPr>
          <w:p w14:paraId="64F97B5D">
            <w:pPr>
              <w:jc w:val="center"/>
              <w:rPr>
                <w:rFonts w:hAnsi="宋体"/>
                <w:sz w:val="24"/>
              </w:rPr>
            </w:pPr>
          </w:p>
        </w:tc>
        <w:tc>
          <w:tcPr>
            <w:tcW w:w="1468" w:type="dxa"/>
            <w:vAlign w:val="center"/>
          </w:tcPr>
          <w:p w14:paraId="51FE934C">
            <w:pPr>
              <w:jc w:val="center"/>
              <w:rPr>
                <w:rFonts w:hAnsi="宋体"/>
                <w:sz w:val="24"/>
              </w:rPr>
            </w:pPr>
          </w:p>
        </w:tc>
        <w:tc>
          <w:tcPr>
            <w:tcW w:w="986" w:type="dxa"/>
            <w:vAlign w:val="center"/>
          </w:tcPr>
          <w:p w14:paraId="2E65B5C2">
            <w:pPr>
              <w:jc w:val="center"/>
              <w:rPr>
                <w:rFonts w:hAnsi="宋体"/>
                <w:sz w:val="24"/>
              </w:rPr>
            </w:pPr>
          </w:p>
        </w:tc>
      </w:tr>
      <w:tr w14:paraId="1036BA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8" w:hRule="atLeast"/>
          <w:jc w:val="center"/>
        </w:trPr>
        <w:tc>
          <w:tcPr>
            <w:tcW w:w="790" w:type="dxa"/>
            <w:vMerge w:val="continue"/>
            <w:vAlign w:val="center"/>
          </w:tcPr>
          <w:p w14:paraId="40621EE9">
            <w:pPr>
              <w:jc w:val="center"/>
              <w:rPr>
                <w:rFonts w:hAnsi="宋体"/>
                <w:sz w:val="24"/>
              </w:rPr>
            </w:pPr>
          </w:p>
        </w:tc>
        <w:tc>
          <w:tcPr>
            <w:tcW w:w="759" w:type="dxa"/>
            <w:vAlign w:val="center"/>
          </w:tcPr>
          <w:p w14:paraId="0F48A8B0">
            <w:pPr>
              <w:pStyle w:val="23"/>
              <w:spacing w:line="300" w:lineRule="exact"/>
              <w:jc w:val="center"/>
              <w:rPr>
                <w:rFonts w:hAnsi="宋体"/>
                <w:sz w:val="24"/>
              </w:rPr>
            </w:pPr>
            <w:r>
              <w:rPr>
                <w:rFonts w:hAnsi="宋体"/>
                <w:sz w:val="24"/>
              </w:rPr>
              <w:t>3</w:t>
            </w:r>
          </w:p>
        </w:tc>
        <w:tc>
          <w:tcPr>
            <w:tcW w:w="1189" w:type="dxa"/>
            <w:vAlign w:val="center"/>
          </w:tcPr>
          <w:p w14:paraId="717C2BD2">
            <w:pPr>
              <w:jc w:val="center"/>
              <w:rPr>
                <w:rFonts w:hAnsi="宋体"/>
                <w:sz w:val="24"/>
              </w:rPr>
            </w:pPr>
          </w:p>
        </w:tc>
        <w:tc>
          <w:tcPr>
            <w:tcW w:w="1978" w:type="dxa"/>
            <w:vAlign w:val="center"/>
          </w:tcPr>
          <w:p w14:paraId="43AA06DB">
            <w:pPr>
              <w:jc w:val="center"/>
              <w:rPr>
                <w:rFonts w:hAnsi="宋体"/>
                <w:sz w:val="24"/>
              </w:rPr>
            </w:pPr>
          </w:p>
        </w:tc>
        <w:tc>
          <w:tcPr>
            <w:tcW w:w="2130" w:type="dxa"/>
            <w:vAlign w:val="center"/>
          </w:tcPr>
          <w:p w14:paraId="6CD5EB3A">
            <w:pPr>
              <w:jc w:val="center"/>
              <w:rPr>
                <w:rFonts w:hAnsi="宋体"/>
                <w:sz w:val="24"/>
              </w:rPr>
            </w:pPr>
          </w:p>
        </w:tc>
        <w:tc>
          <w:tcPr>
            <w:tcW w:w="1468" w:type="dxa"/>
            <w:vAlign w:val="center"/>
          </w:tcPr>
          <w:p w14:paraId="65AE10F2">
            <w:pPr>
              <w:jc w:val="center"/>
              <w:rPr>
                <w:rFonts w:hAnsi="宋体"/>
                <w:sz w:val="24"/>
              </w:rPr>
            </w:pPr>
          </w:p>
        </w:tc>
        <w:tc>
          <w:tcPr>
            <w:tcW w:w="986" w:type="dxa"/>
            <w:vAlign w:val="center"/>
          </w:tcPr>
          <w:p w14:paraId="61CCFDF0">
            <w:pPr>
              <w:jc w:val="center"/>
              <w:rPr>
                <w:rFonts w:hAnsi="宋体"/>
                <w:sz w:val="24"/>
              </w:rPr>
            </w:pPr>
          </w:p>
        </w:tc>
      </w:tr>
      <w:tr w14:paraId="5ED88A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90" w:type="dxa"/>
            <w:vMerge w:val="continue"/>
            <w:vAlign w:val="center"/>
          </w:tcPr>
          <w:p w14:paraId="1EAB0ECB">
            <w:pPr>
              <w:jc w:val="center"/>
              <w:rPr>
                <w:rFonts w:hAnsi="宋体"/>
                <w:sz w:val="24"/>
              </w:rPr>
            </w:pPr>
          </w:p>
        </w:tc>
        <w:tc>
          <w:tcPr>
            <w:tcW w:w="759" w:type="dxa"/>
            <w:vAlign w:val="center"/>
          </w:tcPr>
          <w:p w14:paraId="2363542B">
            <w:pPr>
              <w:jc w:val="center"/>
              <w:rPr>
                <w:rFonts w:hAnsi="宋体"/>
                <w:sz w:val="24"/>
              </w:rPr>
            </w:pPr>
            <w:r>
              <w:rPr>
                <w:rFonts w:hint="eastAsia" w:hAnsi="宋体"/>
                <w:sz w:val="24"/>
              </w:rPr>
              <w:t>…</w:t>
            </w:r>
          </w:p>
        </w:tc>
        <w:tc>
          <w:tcPr>
            <w:tcW w:w="1189" w:type="dxa"/>
            <w:vAlign w:val="center"/>
          </w:tcPr>
          <w:p w14:paraId="34A0C7F8">
            <w:pPr>
              <w:jc w:val="center"/>
              <w:rPr>
                <w:rFonts w:hAnsi="宋体"/>
                <w:sz w:val="24"/>
              </w:rPr>
            </w:pPr>
          </w:p>
        </w:tc>
        <w:tc>
          <w:tcPr>
            <w:tcW w:w="1978" w:type="dxa"/>
            <w:vAlign w:val="center"/>
          </w:tcPr>
          <w:p w14:paraId="17244079">
            <w:pPr>
              <w:jc w:val="center"/>
              <w:rPr>
                <w:rFonts w:hAnsi="宋体"/>
                <w:sz w:val="24"/>
              </w:rPr>
            </w:pPr>
          </w:p>
        </w:tc>
        <w:tc>
          <w:tcPr>
            <w:tcW w:w="2130" w:type="dxa"/>
            <w:vAlign w:val="center"/>
          </w:tcPr>
          <w:p w14:paraId="64CA3174">
            <w:pPr>
              <w:jc w:val="center"/>
              <w:rPr>
                <w:rFonts w:hAnsi="宋体"/>
                <w:sz w:val="24"/>
              </w:rPr>
            </w:pPr>
          </w:p>
        </w:tc>
        <w:tc>
          <w:tcPr>
            <w:tcW w:w="1468" w:type="dxa"/>
            <w:vAlign w:val="center"/>
          </w:tcPr>
          <w:p w14:paraId="3BD824A1">
            <w:pPr>
              <w:jc w:val="center"/>
              <w:rPr>
                <w:rFonts w:hAnsi="宋体"/>
                <w:sz w:val="24"/>
              </w:rPr>
            </w:pPr>
          </w:p>
        </w:tc>
        <w:tc>
          <w:tcPr>
            <w:tcW w:w="986" w:type="dxa"/>
            <w:vAlign w:val="center"/>
          </w:tcPr>
          <w:p w14:paraId="6E020722">
            <w:pPr>
              <w:jc w:val="center"/>
              <w:rPr>
                <w:rFonts w:hAnsi="宋体"/>
                <w:sz w:val="24"/>
              </w:rPr>
            </w:pPr>
          </w:p>
        </w:tc>
      </w:tr>
      <w:tr w14:paraId="3BD086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90" w:type="dxa"/>
            <w:vMerge w:val="restart"/>
            <w:vAlign w:val="center"/>
          </w:tcPr>
          <w:p w14:paraId="344A1B53">
            <w:pPr>
              <w:jc w:val="center"/>
              <w:rPr>
                <w:rFonts w:hAnsi="宋体"/>
                <w:sz w:val="24"/>
              </w:rPr>
            </w:pPr>
            <w:r>
              <w:rPr>
                <w:rFonts w:hint="eastAsia" w:hAnsi="宋体"/>
                <w:sz w:val="24"/>
              </w:rPr>
              <w:t>技术偏离</w:t>
            </w:r>
          </w:p>
        </w:tc>
        <w:tc>
          <w:tcPr>
            <w:tcW w:w="759" w:type="dxa"/>
            <w:vAlign w:val="center"/>
          </w:tcPr>
          <w:p w14:paraId="1A070FC7">
            <w:pPr>
              <w:pStyle w:val="23"/>
              <w:spacing w:line="300" w:lineRule="exact"/>
              <w:jc w:val="center"/>
              <w:rPr>
                <w:rFonts w:hAnsi="宋体"/>
                <w:sz w:val="24"/>
              </w:rPr>
            </w:pPr>
            <w:r>
              <w:rPr>
                <w:rFonts w:hAnsi="宋体"/>
                <w:sz w:val="24"/>
              </w:rPr>
              <w:t>1</w:t>
            </w:r>
          </w:p>
        </w:tc>
        <w:tc>
          <w:tcPr>
            <w:tcW w:w="1189" w:type="dxa"/>
            <w:vAlign w:val="center"/>
          </w:tcPr>
          <w:p w14:paraId="1BF509DB">
            <w:pPr>
              <w:jc w:val="center"/>
              <w:rPr>
                <w:rFonts w:hAnsi="宋体"/>
                <w:sz w:val="24"/>
              </w:rPr>
            </w:pPr>
          </w:p>
        </w:tc>
        <w:tc>
          <w:tcPr>
            <w:tcW w:w="1978" w:type="dxa"/>
            <w:vAlign w:val="center"/>
          </w:tcPr>
          <w:p w14:paraId="2287D1C1">
            <w:pPr>
              <w:jc w:val="center"/>
              <w:rPr>
                <w:rFonts w:hAnsi="宋体"/>
                <w:sz w:val="24"/>
              </w:rPr>
            </w:pPr>
          </w:p>
        </w:tc>
        <w:tc>
          <w:tcPr>
            <w:tcW w:w="2130" w:type="dxa"/>
            <w:vAlign w:val="center"/>
          </w:tcPr>
          <w:p w14:paraId="4F869F9F">
            <w:pPr>
              <w:jc w:val="center"/>
              <w:rPr>
                <w:rFonts w:hAnsi="宋体"/>
                <w:sz w:val="24"/>
              </w:rPr>
            </w:pPr>
          </w:p>
        </w:tc>
        <w:tc>
          <w:tcPr>
            <w:tcW w:w="1468" w:type="dxa"/>
            <w:vAlign w:val="center"/>
          </w:tcPr>
          <w:p w14:paraId="7AA66DAD">
            <w:pPr>
              <w:jc w:val="center"/>
              <w:rPr>
                <w:rFonts w:hAnsi="宋体"/>
                <w:sz w:val="24"/>
              </w:rPr>
            </w:pPr>
          </w:p>
        </w:tc>
        <w:tc>
          <w:tcPr>
            <w:tcW w:w="986" w:type="dxa"/>
            <w:vAlign w:val="center"/>
          </w:tcPr>
          <w:p w14:paraId="5DCA7AA9">
            <w:pPr>
              <w:jc w:val="center"/>
              <w:rPr>
                <w:rFonts w:hAnsi="宋体"/>
                <w:sz w:val="24"/>
              </w:rPr>
            </w:pPr>
          </w:p>
        </w:tc>
      </w:tr>
      <w:tr w14:paraId="38C3FE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90" w:type="dxa"/>
            <w:vMerge w:val="continue"/>
            <w:vAlign w:val="center"/>
          </w:tcPr>
          <w:p w14:paraId="49B66692">
            <w:pPr>
              <w:jc w:val="center"/>
              <w:rPr>
                <w:rFonts w:hAnsi="宋体"/>
                <w:sz w:val="24"/>
              </w:rPr>
            </w:pPr>
          </w:p>
        </w:tc>
        <w:tc>
          <w:tcPr>
            <w:tcW w:w="759" w:type="dxa"/>
            <w:vAlign w:val="center"/>
          </w:tcPr>
          <w:p w14:paraId="7589CCEC">
            <w:pPr>
              <w:pStyle w:val="23"/>
              <w:spacing w:line="300" w:lineRule="exact"/>
              <w:jc w:val="center"/>
              <w:rPr>
                <w:rFonts w:hAnsi="宋体"/>
                <w:sz w:val="24"/>
              </w:rPr>
            </w:pPr>
            <w:r>
              <w:rPr>
                <w:rFonts w:hAnsi="宋体"/>
                <w:sz w:val="24"/>
              </w:rPr>
              <w:t>2</w:t>
            </w:r>
          </w:p>
        </w:tc>
        <w:tc>
          <w:tcPr>
            <w:tcW w:w="1189" w:type="dxa"/>
            <w:vAlign w:val="center"/>
          </w:tcPr>
          <w:p w14:paraId="42876A6D">
            <w:pPr>
              <w:jc w:val="center"/>
              <w:rPr>
                <w:rFonts w:hAnsi="宋体"/>
                <w:sz w:val="24"/>
              </w:rPr>
            </w:pPr>
          </w:p>
        </w:tc>
        <w:tc>
          <w:tcPr>
            <w:tcW w:w="1978" w:type="dxa"/>
            <w:vAlign w:val="center"/>
          </w:tcPr>
          <w:p w14:paraId="600AB8A1">
            <w:pPr>
              <w:jc w:val="center"/>
              <w:rPr>
                <w:rFonts w:hAnsi="宋体"/>
                <w:sz w:val="24"/>
              </w:rPr>
            </w:pPr>
          </w:p>
        </w:tc>
        <w:tc>
          <w:tcPr>
            <w:tcW w:w="2130" w:type="dxa"/>
            <w:vAlign w:val="center"/>
          </w:tcPr>
          <w:p w14:paraId="1659DAF2">
            <w:pPr>
              <w:jc w:val="center"/>
              <w:rPr>
                <w:rFonts w:hAnsi="宋体"/>
                <w:sz w:val="24"/>
              </w:rPr>
            </w:pPr>
          </w:p>
        </w:tc>
        <w:tc>
          <w:tcPr>
            <w:tcW w:w="1468" w:type="dxa"/>
            <w:vAlign w:val="center"/>
          </w:tcPr>
          <w:p w14:paraId="10314351">
            <w:pPr>
              <w:jc w:val="center"/>
              <w:rPr>
                <w:rFonts w:hAnsi="宋体"/>
                <w:sz w:val="24"/>
              </w:rPr>
            </w:pPr>
          </w:p>
        </w:tc>
        <w:tc>
          <w:tcPr>
            <w:tcW w:w="986" w:type="dxa"/>
            <w:vAlign w:val="center"/>
          </w:tcPr>
          <w:p w14:paraId="4CF04641">
            <w:pPr>
              <w:jc w:val="center"/>
              <w:rPr>
                <w:rFonts w:hAnsi="宋体"/>
                <w:sz w:val="24"/>
              </w:rPr>
            </w:pPr>
          </w:p>
        </w:tc>
      </w:tr>
      <w:tr w14:paraId="35DD93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90" w:type="dxa"/>
            <w:vMerge w:val="continue"/>
            <w:vAlign w:val="center"/>
          </w:tcPr>
          <w:p w14:paraId="520990B6">
            <w:pPr>
              <w:jc w:val="center"/>
              <w:rPr>
                <w:rFonts w:hAnsi="宋体"/>
                <w:sz w:val="24"/>
              </w:rPr>
            </w:pPr>
          </w:p>
        </w:tc>
        <w:tc>
          <w:tcPr>
            <w:tcW w:w="759" w:type="dxa"/>
            <w:vAlign w:val="center"/>
          </w:tcPr>
          <w:p w14:paraId="54016B03">
            <w:pPr>
              <w:pStyle w:val="23"/>
              <w:spacing w:line="300" w:lineRule="exact"/>
              <w:jc w:val="center"/>
              <w:rPr>
                <w:rFonts w:hAnsi="宋体"/>
                <w:sz w:val="24"/>
              </w:rPr>
            </w:pPr>
            <w:r>
              <w:rPr>
                <w:rFonts w:hAnsi="宋体"/>
                <w:sz w:val="24"/>
              </w:rPr>
              <w:t>3</w:t>
            </w:r>
          </w:p>
        </w:tc>
        <w:tc>
          <w:tcPr>
            <w:tcW w:w="1189" w:type="dxa"/>
            <w:vAlign w:val="center"/>
          </w:tcPr>
          <w:p w14:paraId="55732436">
            <w:pPr>
              <w:jc w:val="center"/>
              <w:rPr>
                <w:rFonts w:hAnsi="宋体"/>
                <w:sz w:val="24"/>
              </w:rPr>
            </w:pPr>
          </w:p>
        </w:tc>
        <w:tc>
          <w:tcPr>
            <w:tcW w:w="1978" w:type="dxa"/>
            <w:vAlign w:val="center"/>
          </w:tcPr>
          <w:p w14:paraId="3D410874">
            <w:pPr>
              <w:jc w:val="center"/>
              <w:rPr>
                <w:rFonts w:hAnsi="宋体"/>
                <w:sz w:val="24"/>
              </w:rPr>
            </w:pPr>
          </w:p>
        </w:tc>
        <w:tc>
          <w:tcPr>
            <w:tcW w:w="2130" w:type="dxa"/>
            <w:vAlign w:val="center"/>
          </w:tcPr>
          <w:p w14:paraId="02EE2602">
            <w:pPr>
              <w:jc w:val="center"/>
              <w:rPr>
                <w:rFonts w:hAnsi="宋体"/>
                <w:sz w:val="24"/>
              </w:rPr>
            </w:pPr>
          </w:p>
        </w:tc>
        <w:tc>
          <w:tcPr>
            <w:tcW w:w="1468" w:type="dxa"/>
            <w:vAlign w:val="center"/>
          </w:tcPr>
          <w:p w14:paraId="0534C25E">
            <w:pPr>
              <w:jc w:val="center"/>
              <w:rPr>
                <w:rFonts w:hAnsi="宋体"/>
                <w:sz w:val="24"/>
              </w:rPr>
            </w:pPr>
          </w:p>
        </w:tc>
        <w:tc>
          <w:tcPr>
            <w:tcW w:w="986" w:type="dxa"/>
            <w:vAlign w:val="center"/>
          </w:tcPr>
          <w:p w14:paraId="541146FF">
            <w:pPr>
              <w:jc w:val="center"/>
              <w:rPr>
                <w:rFonts w:hAnsi="宋体"/>
                <w:sz w:val="24"/>
              </w:rPr>
            </w:pPr>
          </w:p>
        </w:tc>
      </w:tr>
      <w:tr w14:paraId="2BFFCD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90" w:type="dxa"/>
            <w:vMerge w:val="continue"/>
            <w:vAlign w:val="center"/>
          </w:tcPr>
          <w:p w14:paraId="1082ACDF">
            <w:pPr>
              <w:jc w:val="center"/>
              <w:rPr>
                <w:rFonts w:hAnsi="宋体"/>
                <w:sz w:val="24"/>
              </w:rPr>
            </w:pPr>
          </w:p>
        </w:tc>
        <w:tc>
          <w:tcPr>
            <w:tcW w:w="759" w:type="dxa"/>
            <w:vAlign w:val="center"/>
          </w:tcPr>
          <w:p w14:paraId="002EB2B2">
            <w:pPr>
              <w:jc w:val="center"/>
              <w:rPr>
                <w:rFonts w:hAnsi="宋体"/>
                <w:sz w:val="24"/>
              </w:rPr>
            </w:pPr>
            <w:r>
              <w:rPr>
                <w:rFonts w:hint="eastAsia" w:hAnsi="宋体"/>
                <w:sz w:val="24"/>
              </w:rPr>
              <w:t>…</w:t>
            </w:r>
          </w:p>
        </w:tc>
        <w:tc>
          <w:tcPr>
            <w:tcW w:w="1189" w:type="dxa"/>
            <w:vAlign w:val="center"/>
          </w:tcPr>
          <w:p w14:paraId="1A89F550">
            <w:pPr>
              <w:jc w:val="center"/>
              <w:rPr>
                <w:rFonts w:hAnsi="宋体"/>
                <w:sz w:val="24"/>
              </w:rPr>
            </w:pPr>
          </w:p>
        </w:tc>
        <w:tc>
          <w:tcPr>
            <w:tcW w:w="1978" w:type="dxa"/>
            <w:vAlign w:val="center"/>
          </w:tcPr>
          <w:p w14:paraId="3994BCB4">
            <w:pPr>
              <w:jc w:val="center"/>
              <w:rPr>
                <w:rFonts w:hAnsi="宋体"/>
                <w:sz w:val="24"/>
              </w:rPr>
            </w:pPr>
          </w:p>
        </w:tc>
        <w:tc>
          <w:tcPr>
            <w:tcW w:w="2130" w:type="dxa"/>
            <w:vAlign w:val="center"/>
          </w:tcPr>
          <w:p w14:paraId="1A1827E8">
            <w:pPr>
              <w:jc w:val="center"/>
              <w:rPr>
                <w:rFonts w:hAnsi="宋体"/>
                <w:sz w:val="24"/>
              </w:rPr>
            </w:pPr>
          </w:p>
        </w:tc>
        <w:tc>
          <w:tcPr>
            <w:tcW w:w="1468" w:type="dxa"/>
            <w:vAlign w:val="center"/>
          </w:tcPr>
          <w:p w14:paraId="2BBFA528">
            <w:pPr>
              <w:jc w:val="center"/>
              <w:rPr>
                <w:rFonts w:hAnsi="宋体"/>
                <w:sz w:val="24"/>
              </w:rPr>
            </w:pPr>
          </w:p>
        </w:tc>
        <w:tc>
          <w:tcPr>
            <w:tcW w:w="986" w:type="dxa"/>
            <w:vAlign w:val="center"/>
          </w:tcPr>
          <w:p w14:paraId="722FBA02">
            <w:pPr>
              <w:jc w:val="center"/>
              <w:rPr>
                <w:rFonts w:hAnsi="宋体"/>
                <w:sz w:val="24"/>
              </w:rPr>
            </w:pPr>
          </w:p>
        </w:tc>
      </w:tr>
    </w:tbl>
    <w:p w14:paraId="0F82FFF5">
      <w:pPr>
        <w:pStyle w:val="228"/>
        <w:tabs>
          <w:tab w:val="left" w:pos="360"/>
        </w:tabs>
        <w:spacing w:line="360" w:lineRule="auto"/>
        <w:ind w:right="84"/>
        <w:rPr>
          <w:rFonts w:ascii="宋体"/>
          <w:b/>
          <w:bCs/>
        </w:rPr>
      </w:pPr>
      <w:r>
        <w:rPr>
          <w:rFonts w:hint="eastAsia" w:ascii="宋体" w:cs="宋体"/>
          <w:b/>
          <w:bCs/>
        </w:rPr>
        <w:t>要求：</w:t>
      </w:r>
    </w:p>
    <w:p w14:paraId="2FA208C3">
      <w:pPr>
        <w:pStyle w:val="228"/>
        <w:spacing w:line="360" w:lineRule="auto"/>
        <w:ind w:right="84" w:firstLine="420"/>
        <w:rPr>
          <w:rFonts w:ascii="宋体"/>
        </w:rPr>
      </w:pPr>
      <w:r>
        <w:rPr>
          <w:rFonts w:hint="eastAsia" w:ascii="宋体"/>
        </w:rPr>
        <w:t>注：1.投标人应对照招标文件要求一一比对给出，在“偏离情况”栏注明“正偏离”、“负偏离”或“无偏离”。如投标人不填写内容，视为完全响应本次招标文件要求。若因技术实现方式等其他问题而导致的理解不同未标注负偏离的，需在备注中具体说明；若未按要求标注负偏离又未予以说明的，评审小组将视偏离程度给予扣分或认定为虚假应标。</w:t>
      </w:r>
    </w:p>
    <w:p w14:paraId="7636E180">
      <w:pPr>
        <w:pStyle w:val="228"/>
        <w:spacing w:line="360" w:lineRule="auto"/>
        <w:ind w:right="84" w:firstLine="420"/>
        <w:rPr>
          <w:rFonts w:ascii="宋体"/>
        </w:rPr>
      </w:pPr>
      <w:r>
        <w:rPr>
          <w:rFonts w:hint="eastAsia" w:ascii="宋体"/>
        </w:rPr>
        <w:t>▲2.本次采购的付款方式不允许负偏离。</w:t>
      </w:r>
    </w:p>
    <w:p w14:paraId="3275E256">
      <w:pPr>
        <w:pStyle w:val="228"/>
        <w:spacing w:line="360" w:lineRule="auto"/>
        <w:ind w:right="84" w:firstLine="420"/>
        <w:rPr>
          <w:rFonts w:ascii="宋体"/>
        </w:rPr>
      </w:pPr>
    </w:p>
    <w:p w14:paraId="6F78DA3A">
      <w:pPr>
        <w:spacing w:line="360" w:lineRule="auto"/>
        <w:ind w:left="420"/>
        <w:rPr>
          <w:rFonts w:ascii="宋体"/>
          <w:sz w:val="24"/>
          <w:szCs w:val="24"/>
          <w:u w:val="single"/>
        </w:rPr>
      </w:pPr>
      <w:r>
        <w:rPr>
          <w:rFonts w:hint="eastAsia" w:ascii="宋体" w:hAnsi="宋体" w:cs="宋体"/>
          <w:sz w:val="24"/>
          <w:szCs w:val="24"/>
        </w:rPr>
        <w:t>投标人全称（单位公章）：</w:t>
      </w:r>
    </w:p>
    <w:p w14:paraId="0A58CCDF">
      <w:pPr>
        <w:spacing w:line="360" w:lineRule="auto"/>
        <w:ind w:firstLine="424"/>
        <w:rPr>
          <w:rFonts w:ascii="宋体"/>
          <w:sz w:val="24"/>
          <w:szCs w:val="24"/>
        </w:rPr>
      </w:pPr>
      <w:r>
        <w:rPr>
          <w:rFonts w:hint="eastAsia" w:ascii="宋体" w:hAnsi="宋体" w:cs="宋体"/>
          <w:sz w:val="24"/>
          <w:szCs w:val="24"/>
        </w:rPr>
        <w:t>法定代表人或委托代理人（盖章或签名）：</w:t>
      </w:r>
    </w:p>
    <w:p w14:paraId="0BB84CC6">
      <w:pPr>
        <w:spacing w:line="360" w:lineRule="auto"/>
        <w:ind w:firstLine="435"/>
        <w:rPr>
          <w:rFonts w:ascii="宋体" w:hAnsi="宋体" w:cs="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14:paraId="3865FF87">
      <w:pPr>
        <w:pStyle w:val="209"/>
        <w:sectPr>
          <w:footerReference r:id="rId12" w:type="default"/>
          <w:pgSz w:w="11907" w:h="16840"/>
          <w:pgMar w:top="1440" w:right="1531" w:bottom="1440" w:left="1928" w:header="851" w:footer="1304" w:gutter="0"/>
          <w:cols w:space="720" w:num="1"/>
          <w:docGrid w:linePitch="360" w:charSpace="0"/>
        </w:sectPr>
      </w:pPr>
    </w:p>
    <w:p w14:paraId="3C08AF57">
      <w:pPr>
        <w:pStyle w:val="18"/>
      </w:pPr>
    </w:p>
    <w:p w14:paraId="343B7985">
      <w:pPr>
        <w:spacing w:line="360" w:lineRule="auto"/>
        <w:ind w:right="-108"/>
        <w:jc w:val="center"/>
        <w:outlineLvl w:val="0"/>
        <w:rPr>
          <w:rFonts w:hint="eastAsia" w:ascii="宋体" w:hAnsi="宋体" w:eastAsia="宋体" w:cs="宋体"/>
          <w:b/>
          <w:bCs/>
          <w:sz w:val="32"/>
          <w:szCs w:val="32"/>
          <w:lang w:eastAsia="zh-CN"/>
        </w:rPr>
      </w:pPr>
      <w:r>
        <w:rPr>
          <w:rFonts w:hint="eastAsia" w:ascii="宋体" w:hAnsi="宋体" w:cs="宋体"/>
          <w:b/>
          <w:bCs/>
          <w:spacing w:val="40"/>
          <w:sz w:val="44"/>
          <w:szCs w:val="44"/>
          <w:lang w:eastAsia="zh-CN"/>
        </w:rPr>
        <w:t>温岭市供水有限公司二次供水泵房运维服务采购</w:t>
      </w:r>
    </w:p>
    <w:p w14:paraId="68B19FC8">
      <w:pPr>
        <w:spacing w:line="360" w:lineRule="auto"/>
        <w:ind w:right="-108"/>
        <w:jc w:val="center"/>
        <w:rPr>
          <w:rFonts w:hint="eastAsia" w:ascii="宋体" w:hAnsi="宋体" w:eastAsia="宋体" w:cs="宋体"/>
          <w:sz w:val="32"/>
          <w:szCs w:val="32"/>
          <w:lang w:eastAsia="zh-CN"/>
        </w:rPr>
      </w:pPr>
      <w:r>
        <w:rPr>
          <w:rFonts w:hint="eastAsia" w:ascii="宋体" w:hAnsi="宋体" w:cs="宋体"/>
          <w:sz w:val="32"/>
          <w:szCs w:val="32"/>
        </w:rPr>
        <w:t>项目编号：</w:t>
      </w:r>
      <w:r>
        <w:rPr>
          <w:rFonts w:hint="eastAsia" w:ascii="宋体" w:hAnsi="宋体" w:cs="宋体"/>
          <w:sz w:val="32"/>
          <w:szCs w:val="32"/>
          <w:lang w:eastAsia="zh-CN"/>
        </w:rPr>
        <w:t>JJWL25031748</w:t>
      </w:r>
    </w:p>
    <w:p w14:paraId="014BABE7">
      <w:pPr>
        <w:spacing w:after="100" w:afterAutospacing="1" w:line="360" w:lineRule="auto"/>
        <w:ind w:right="-108"/>
        <w:jc w:val="center"/>
        <w:outlineLvl w:val="0"/>
        <w:rPr>
          <w:rFonts w:ascii="宋体"/>
          <w:b/>
          <w:bCs/>
          <w:spacing w:val="40"/>
          <w:sz w:val="84"/>
          <w:szCs w:val="84"/>
        </w:rPr>
      </w:pPr>
      <w:bookmarkStart w:id="52" w:name="_Toc6104"/>
      <w:bookmarkStart w:id="53" w:name="_Toc30780"/>
      <w:bookmarkStart w:id="54" w:name="_Toc19592"/>
      <w:bookmarkStart w:id="55" w:name="_Toc11325"/>
      <w:bookmarkStart w:id="56" w:name="_Toc23812"/>
      <w:bookmarkStart w:id="57" w:name="_Toc21072"/>
      <w:bookmarkStart w:id="58" w:name="_Toc21097"/>
      <w:bookmarkStart w:id="59" w:name="_Toc13359"/>
      <w:bookmarkStart w:id="60" w:name="_Toc22900"/>
      <w:r>
        <w:rPr>
          <w:rFonts w:hint="eastAsia" w:ascii="宋体" w:hAnsi="宋体" w:cs="宋体"/>
          <w:b/>
          <w:bCs/>
          <w:spacing w:val="40"/>
          <w:sz w:val="84"/>
          <w:szCs w:val="84"/>
        </w:rPr>
        <w:t>报</w:t>
      </w:r>
      <w:bookmarkEnd w:id="52"/>
      <w:bookmarkEnd w:id="53"/>
      <w:bookmarkEnd w:id="54"/>
      <w:bookmarkEnd w:id="55"/>
      <w:bookmarkEnd w:id="56"/>
      <w:bookmarkEnd w:id="57"/>
      <w:bookmarkEnd w:id="58"/>
      <w:bookmarkEnd w:id="59"/>
      <w:bookmarkEnd w:id="60"/>
    </w:p>
    <w:p w14:paraId="4F0E7424">
      <w:pPr>
        <w:spacing w:after="100" w:afterAutospacing="1" w:line="360" w:lineRule="auto"/>
        <w:ind w:right="-108"/>
        <w:jc w:val="center"/>
        <w:outlineLvl w:val="0"/>
        <w:rPr>
          <w:rFonts w:ascii="宋体"/>
          <w:b/>
          <w:bCs/>
          <w:spacing w:val="40"/>
          <w:sz w:val="84"/>
          <w:szCs w:val="84"/>
        </w:rPr>
      </w:pPr>
      <w:bookmarkStart w:id="61" w:name="_Toc30079"/>
      <w:bookmarkStart w:id="62" w:name="_Toc17927"/>
      <w:bookmarkStart w:id="63" w:name="_Toc24362"/>
      <w:bookmarkStart w:id="64" w:name="_Toc19432"/>
      <w:bookmarkStart w:id="65" w:name="_Toc2696"/>
      <w:bookmarkStart w:id="66" w:name="_Toc3627"/>
      <w:bookmarkStart w:id="67" w:name="_Toc7031"/>
      <w:bookmarkStart w:id="68" w:name="_Toc27475"/>
      <w:bookmarkStart w:id="69" w:name="_Toc12133"/>
      <w:r>
        <w:rPr>
          <w:rFonts w:hint="eastAsia" w:ascii="宋体" w:hAnsi="宋体" w:cs="宋体"/>
          <w:b/>
          <w:bCs/>
          <w:spacing w:val="40"/>
          <w:sz w:val="84"/>
          <w:szCs w:val="84"/>
        </w:rPr>
        <w:t>价</w:t>
      </w:r>
      <w:bookmarkEnd w:id="61"/>
      <w:bookmarkEnd w:id="62"/>
      <w:bookmarkEnd w:id="63"/>
      <w:bookmarkEnd w:id="64"/>
      <w:bookmarkEnd w:id="65"/>
      <w:bookmarkEnd w:id="66"/>
      <w:bookmarkEnd w:id="67"/>
      <w:bookmarkEnd w:id="68"/>
      <w:bookmarkEnd w:id="69"/>
    </w:p>
    <w:p w14:paraId="788A5DE5">
      <w:pPr>
        <w:spacing w:after="100" w:afterAutospacing="1" w:line="360" w:lineRule="auto"/>
        <w:ind w:right="-108"/>
        <w:jc w:val="center"/>
        <w:outlineLvl w:val="0"/>
        <w:rPr>
          <w:rFonts w:ascii="宋体"/>
          <w:b/>
          <w:bCs/>
          <w:spacing w:val="40"/>
          <w:sz w:val="84"/>
          <w:szCs w:val="84"/>
        </w:rPr>
      </w:pPr>
      <w:bookmarkStart w:id="70" w:name="_Toc13429"/>
      <w:bookmarkStart w:id="71" w:name="_Toc27445"/>
      <w:bookmarkStart w:id="72" w:name="_Toc13750"/>
      <w:bookmarkStart w:id="73" w:name="_Toc6070"/>
      <w:bookmarkStart w:id="74" w:name="_Toc13618"/>
      <w:bookmarkStart w:id="75" w:name="_Toc26845"/>
      <w:bookmarkStart w:id="76" w:name="_Toc22666"/>
      <w:bookmarkStart w:id="77" w:name="_Toc9978"/>
      <w:bookmarkStart w:id="78" w:name="_Toc979"/>
      <w:r>
        <w:rPr>
          <w:rFonts w:hint="eastAsia" w:ascii="宋体" w:hAnsi="宋体" w:cs="宋体"/>
          <w:b/>
          <w:bCs/>
          <w:spacing w:val="40"/>
          <w:sz w:val="84"/>
          <w:szCs w:val="84"/>
        </w:rPr>
        <w:t>文</w:t>
      </w:r>
      <w:bookmarkEnd w:id="70"/>
      <w:bookmarkEnd w:id="71"/>
      <w:bookmarkEnd w:id="72"/>
      <w:bookmarkEnd w:id="73"/>
      <w:bookmarkEnd w:id="74"/>
      <w:bookmarkEnd w:id="75"/>
      <w:bookmarkEnd w:id="76"/>
      <w:bookmarkEnd w:id="77"/>
      <w:bookmarkEnd w:id="78"/>
    </w:p>
    <w:p w14:paraId="6F41172B">
      <w:pPr>
        <w:spacing w:after="100" w:afterAutospacing="1" w:line="360" w:lineRule="auto"/>
        <w:ind w:right="-108"/>
        <w:jc w:val="center"/>
        <w:outlineLvl w:val="0"/>
        <w:rPr>
          <w:rFonts w:ascii="宋体"/>
          <w:sz w:val="36"/>
          <w:szCs w:val="36"/>
        </w:rPr>
      </w:pPr>
      <w:bookmarkStart w:id="79" w:name="_Toc7537"/>
      <w:bookmarkStart w:id="80" w:name="_Toc31063"/>
      <w:bookmarkStart w:id="81" w:name="_Toc5188"/>
      <w:bookmarkStart w:id="82" w:name="_Toc4861"/>
      <w:bookmarkStart w:id="83" w:name="_Toc27611"/>
      <w:bookmarkStart w:id="84" w:name="_Toc25440"/>
      <w:bookmarkStart w:id="85" w:name="_Toc8534"/>
      <w:bookmarkStart w:id="86" w:name="_Toc18061"/>
      <w:bookmarkStart w:id="87" w:name="_Toc28470"/>
      <w:r>
        <w:rPr>
          <w:rFonts w:hint="eastAsia" w:ascii="宋体" w:hAnsi="宋体" w:cs="宋体"/>
          <w:b/>
          <w:bCs/>
          <w:spacing w:val="40"/>
          <w:sz w:val="84"/>
          <w:szCs w:val="84"/>
        </w:rPr>
        <w:t>件</w:t>
      </w:r>
      <w:bookmarkEnd w:id="79"/>
      <w:bookmarkEnd w:id="80"/>
      <w:bookmarkEnd w:id="81"/>
      <w:bookmarkEnd w:id="82"/>
      <w:bookmarkEnd w:id="83"/>
      <w:bookmarkEnd w:id="84"/>
      <w:bookmarkEnd w:id="85"/>
      <w:bookmarkEnd w:id="86"/>
      <w:bookmarkEnd w:id="87"/>
    </w:p>
    <w:p w14:paraId="2F22CBED">
      <w:pPr>
        <w:spacing w:line="360" w:lineRule="auto"/>
        <w:ind w:right="532" w:firstLine="720"/>
        <w:outlineLvl w:val="0"/>
        <w:rPr>
          <w:rFonts w:ascii="宋体"/>
          <w:sz w:val="36"/>
          <w:szCs w:val="36"/>
        </w:rPr>
      </w:pPr>
      <w:bookmarkStart w:id="88" w:name="_Toc16750"/>
      <w:bookmarkStart w:id="89" w:name="_Toc12251"/>
      <w:bookmarkStart w:id="90" w:name="_Toc13389"/>
      <w:bookmarkStart w:id="91" w:name="_Toc25032"/>
      <w:bookmarkStart w:id="92" w:name="_Toc31182"/>
      <w:bookmarkStart w:id="93" w:name="_Toc3077"/>
      <w:bookmarkStart w:id="94" w:name="_Toc2600"/>
      <w:bookmarkStart w:id="95" w:name="_Toc32600"/>
      <w:bookmarkStart w:id="96" w:name="_Toc4037"/>
      <w:r>
        <w:rPr>
          <w:rFonts w:hint="eastAsia" w:ascii="宋体" w:hAnsi="宋体" w:cs="宋体"/>
          <w:sz w:val="36"/>
          <w:szCs w:val="36"/>
        </w:rPr>
        <w:t>投标人全称（公章）：</w:t>
      </w:r>
      <w:bookmarkEnd w:id="88"/>
      <w:bookmarkEnd w:id="89"/>
      <w:bookmarkEnd w:id="90"/>
      <w:bookmarkEnd w:id="91"/>
      <w:bookmarkEnd w:id="92"/>
      <w:bookmarkEnd w:id="93"/>
      <w:bookmarkEnd w:id="94"/>
      <w:bookmarkEnd w:id="95"/>
      <w:bookmarkEnd w:id="96"/>
    </w:p>
    <w:p w14:paraId="64F60DF3">
      <w:pPr>
        <w:spacing w:line="360" w:lineRule="auto"/>
        <w:ind w:right="-108" w:firstLine="720"/>
        <w:outlineLvl w:val="0"/>
        <w:rPr>
          <w:rFonts w:ascii="宋体"/>
          <w:sz w:val="36"/>
          <w:szCs w:val="36"/>
        </w:rPr>
      </w:pPr>
      <w:bookmarkStart w:id="97" w:name="_Toc8755"/>
      <w:bookmarkStart w:id="98" w:name="_Toc31500"/>
      <w:bookmarkStart w:id="99" w:name="_Toc18466"/>
      <w:bookmarkStart w:id="100" w:name="_Toc17732"/>
      <w:bookmarkStart w:id="101" w:name="_Toc18068"/>
      <w:bookmarkStart w:id="102" w:name="_Toc133"/>
      <w:bookmarkStart w:id="103" w:name="_Toc20879"/>
      <w:bookmarkStart w:id="104" w:name="_Toc28042"/>
      <w:bookmarkStart w:id="105" w:name="_Toc28882"/>
      <w:r>
        <w:rPr>
          <w:rFonts w:hint="eastAsia" w:ascii="宋体" w:hAnsi="宋体" w:cs="宋体"/>
          <w:sz w:val="36"/>
          <w:szCs w:val="36"/>
        </w:rPr>
        <w:t>地</w:t>
      </w:r>
      <w:r>
        <w:rPr>
          <w:rFonts w:ascii="宋体" w:hAnsi="宋体" w:cs="宋体"/>
          <w:sz w:val="36"/>
          <w:szCs w:val="36"/>
        </w:rPr>
        <w:t xml:space="preserve">    </w:t>
      </w:r>
      <w:r>
        <w:rPr>
          <w:rFonts w:hint="eastAsia" w:ascii="宋体" w:hAnsi="宋体" w:cs="宋体"/>
          <w:sz w:val="36"/>
          <w:szCs w:val="36"/>
        </w:rPr>
        <w:t>址：</w:t>
      </w:r>
      <w:bookmarkEnd w:id="97"/>
      <w:bookmarkEnd w:id="98"/>
      <w:bookmarkEnd w:id="99"/>
      <w:bookmarkEnd w:id="100"/>
      <w:bookmarkEnd w:id="101"/>
      <w:bookmarkEnd w:id="102"/>
      <w:bookmarkEnd w:id="103"/>
      <w:bookmarkEnd w:id="104"/>
      <w:bookmarkEnd w:id="105"/>
    </w:p>
    <w:p w14:paraId="4E820EB9">
      <w:pPr>
        <w:spacing w:line="360" w:lineRule="auto"/>
        <w:ind w:right="-108" w:firstLine="720"/>
        <w:outlineLvl w:val="0"/>
        <w:rPr>
          <w:rFonts w:ascii="宋体"/>
          <w:sz w:val="36"/>
          <w:szCs w:val="36"/>
        </w:rPr>
      </w:pPr>
      <w:bookmarkStart w:id="106" w:name="_Toc17050"/>
      <w:bookmarkStart w:id="107" w:name="_Toc25108"/>
      <w:bookmarkStart w:id="108" w:name="_Toc5952"/>
      <w:bookmarkStart w:id="109" w:name="_Toc12202"/>
      <w:bookmarkStart w:id="110" w:name="_Toc27716"/>
      <w:bookmarkStart w:id="111" w:name="_Toc12525"/>
      <w:bookmarkStart w:id="112" w:name="_Toc13812"/>
      <w:bookmarkStart w:id="113" w:name="_Toc5605"/>
      <w:bookmarkStart w:id="114" w:name="_Toc12512"/>
      <w:r>
        <w:rPr>
          <w:rFonts w:hint="eastAsia" w:ascii="宋体" w:hAnsi="宋体" w:cs="宋体"/>
          <w:sz w:val="36"/>
          <w:szCs w:val="36"/>
        </w:rPr>
        <w:t>时</w:t>
      </w:r>
      <w:r>
        <w:rPr>
          <w:rFonts w:ascii="宋体" w:hAnsi="宋体" w:cs="宋体"/>
          <w:sz w:val="36"/>
          <w:szCs w:val="36"/>
        </w:rPr>
        <w:t xml:space="preserve">    </w:t>
      </w:r>
      <w:r>
        <w:rPr>
          <w:rFonts w:hint="eastAsia" w:ascii="宋体" w:hAnsi="宋体" w:cs="宋体"/>
          <w:sz w:val="36"/>
          <w:szCs w:val="36"/>
        </w:rPr>
        <w:t>间：</w:t>
      </w:r>
      <w:bookmarkEnd w:id="106"/>
      <w:bookmarkEnd w:id="107"/>
      <w:bookmarkEnd w:id="108"/>
      <w:bookmarkEnd w:id="109"/>
      <w:bookmarkEnd w:id="110"/>
      <w:bookmarkEnd w:id="111"/>
      <w:bookmarkEnd w:id="112"/>
      <w:bookmarkEnd w:id="113"/>
      <w:bookmarkEnd w:id="114"/>
    </w:p>
    <w:p w14:paraId="6E7BBB2D">
      <w:pPr>
        <w:spacing w:line="360" w:lineRule="auto"/>
        <w:ind w:right="-108"/>
        <w:jc w:val="center"/>
        <w:outlineLvl w:val="0"/>
        <w:rPr>
          <w:rFonts w:ascii="宋体"/>
          <w:b/>
          <w:bCs/>
          <w:sz w:val="32"/>
          <w:szCs w:val="32"/>
          <w:lang w:val="zh-CN"/>
        </w:rPr>
      </w:pPr>
      <w:r>
        <w:rPr>
          <w:rFonts w:hint="eastAsia" w:ascii="宋体" w:hAnsi="宋体" w:cs="宋体"/>
          <w:b/>
          <w:bCs/>
          <w:sz w:val="32"/>
          <w:szCs w:val="32"/>
          <w:lang w:val="zh-CN"/>
        </w:rPr>
        <w:br w:type="page" w:clear="all"/>
      </w:r>
      <w:bookmarkStart w:id="115" w:name="_Toc22753"/>
      <w:r>
        <w:rPr>
          <w:rFonts w:hint="eastAsia" w:ascii="宋体" w:hAnsi="宋体" w:cs="宋体"/>
          <w:b/>
          <w:bCs/>
          <w:sz w:val="32"/>
          <w:szCs w:val="32"/>
          <w:lang w:val="zh-CN"/>
        </w:rPr>
        <w:t>报价文件目录（</w:t>
      </w:r>
      <w:r>
        <w:rPr>
          <w:rFonts w:hint="eastAsia" w:ascii="宋体" w:hAnsi="宋体" w:cs="宋体"/>
          <w:b/>
          <w:bCs/>
          <w:sz w:val="32"/>
          <w:szCs w:val="32"/>
        </w:rPr>
        <w:t>仅供参考</w:t>
      </w:r>
      <w:r>
        <w:rPr>
          <w:rFonts w:hint="eastAsia" w:ascii="宋体" w:hAnsi="宋体" w:cs="宋体"/>
          <w:b/>
          <w:bCs/>
          <w:sz w:val="32"/>
          <w:szCs w:val="32"/>
          <w:lang w:val="zh-CN"/>
        </w:rPr>
        <w:t>）</w:t>
      </w:r>
      <w:bookmarkEnd w:id="115"/>
    </w:p>
    <w:p w14:paraId="1BC8A3BD">
      <w:pPr>
        <w:spacing w:line="360" w:lineRule="auto"/>
        <w:ind w:right="-108"/>
        <w:jc w:val="center"/>
        <w:rPr>
          <w:rFonts w:ascii="仿宋_GB2312" w:hAnsi="宋体" w:eastAsia="仿宋_GB2312"/>
          <w:b/>
          <w:bCs/>
          <w:sz w:val="36"/>
          <w:szCs w:val="36"/>
        </w:rPr>
      </w:pPr>
    </w:p>
    <w:p w14:paraId="7B3E3CD5">
      <w:pPr>
        <w:spacing w:line="360" w:lineRule="auto"/>
        <w:outlineLvl w:val="0"/>
        <w:rPr>
          <w:rFonts w:ascii="宋体" w:hAnsi="宋体" w:cs="宋体"/>
          <w:sz w:val="28"/>
          <w:szCs w:val="28"/>
        </w:rPr>
      </w:pPr>
      <w:bookmarkStart w:id="116" w:name="_Toc23845"/>
      <w:r>
        <w:rPr>
          <w:rFonts w:hint="eastAsia" w:ascii="宋体" w:hAnsi="宋体" w:cs="宋体"/>
          <w:sz w:val="28"/>
          <w:szCs w:val="28"/>
        </w:rPr>
        <w:t>1、投标函</w:t>
      </w:r>
      <w:r>
        <w:rPr>
          <w:rFonts w:hint="eastAsia" w:cs="宋体"/>
          <w:sz w:val="28"/>
          <w:szCs w:val="28"/>
        </w:rPr>
        <w:t>………………………………………………………页码；</w:t>
      </w:r>
      <w:bookmarkEnd w:id="116"/>
    </w:p>
    <w:p w14:paraId="1DB0B9E8">
      <w:pPr>
        <w:spacing w:line="360" w:lineRule="auto"/>
        <w:outlineLvl w:val="0"/>
        <w:rPr>
          <w:rFonts w:ascii="宋体" w:hAnsi="宋体" w:cs="宋体"/>
          <w:sz w:val="28"/>
          <w:szCs w:val="28"/>
        </w:rPr>
      </w:pPr>
      <w:bookmarkStart w:id="117" w:name="_Toc12579"/>
      <w:r>
        <w:rPr>
          <w:rFonts w:hint="eastAsia" w:ascii="宋体" w:hAnsi="宋体" w:cs="宋体"/>
          <w:sz w:val="28"/>
          <w:szCs w:val="28"/>
        </w:rPr>
        <w:t>2、开标一览表</w:t>
      </w:r>
      <w:r>
        <w:rPr>
          <w:rFonts w:hint="eastAsia" w:cs="宋体"/>
          <w:sz w:val="28"/>
          <w:szCs w:val="28"/>
        </w:rPr>
        <w:t>…………………………………………………页码；</w:t>
      </w:r>
      <w:bookmarkEnd w:id="117"/>
    </w:p>
    <w:p w14:paraId="1FD8BCCB">
      <w:pPr>
        <w:spacing w:line="360" w:lineRule="auto"/>
        <w:outlineLvl w:val="0"/>
        <w:rPr>
          <w:rFonts w:ascii="宋体" w:hAnsi="宋体" w:cs="宋体"/>
          <w:sz w:val="28"/>
          <w:szCs w:val="28"/>
        </w:rPr>
      </w:pPr>
      <w:bookmarkStart w:id="118" w:name="_Toc31099"/>
      <w:r>
        <w:rPr>
          <w:rFonts w:hint="eastAsia" w:ascii="宋体" w:hAnsi="宋体" w:cs="宋体"/>
          <w:sz w:val="28"/>
          <w:szCs w:val="28"/>
        </w:rPr>
        <w:t>3、针对报价投标人认为其他需要说明的……………………页码；</w:t>
      </w:r>
      <w:bookmarkEnd w:id="118"/>
    </w:p>
    <w:p w14:paraId="58CF8479">
      <w:pPr>
        <w:pStyle w:val="25"/>
        <w:spacing w:line="360" w:lineRule="auto"/>
        <w:ind w:left="0"/>
        <w:rPr>
          <w:rFonts w:ascii="宋体" w:hAnsi="宋体" w:eastAsia="宋体" w:cs="Times New Roman"/>
          <w:sz w:val="28"/>
          <w:szCs w:val="28"/>
        </w:rPr>
      </w:pPr>
    </w:p>
    <w:p w14:paraId="2C19EFCC">
      <w:pPr>
        <w:spacing w:line="360" w:lineRule="auto"/>
        <w:ind w:left="480"/>
        <w:rPr>
          <w:rFonts w:ascii="宋体"/>
          <w:b/>
          <w:bCs/>
          <w:sz w:val="28"/>
          <w:szCs w:val="28"/>
        </w:rPr>
      </w:pPr>
    </w:p>
    <w:p w14:paraId="7A1136C7">
      <w:pPr>
        <w:spacing w:line="360" w:lineRule="auto"/>
        <w:ind w:left="480"/>
        <w:rPr>
          <w:rFonts w:ascii="宋体"/>
          <w:b/>
          <w:bCs/>
          <w:sz w:val="28"/>
          <w:szCs w:val="28"/>
        </w:rPr>
      </w:pPr>
    </w:p>
    <w:p w14:paraId="016F700D">
      <w:pPr>
        <w:spacing w:line="360" w:lineRule="auto"/>
        <w:ind w:left="480"/>
        <w:rPr>
          <w:rFonts w:ascii="宋体"/>
          <w:b/>
          <w:bCs/>
          <w:sz w:val="28"/>
          <w:szCs w:val="28"/>
        </w:rPr>
      </w:pPr>
    </w:p>
    <w:p w14:paraId="2B2A4AA9">
      <w:pPr>
        <w:spacing w:line="360" w:lineRule="auto"/>
        <w:ind w:left="480"/>
        <w:rPr>
          <w:rFonts w:ascii="宋体"/>
          <w:b/>
          <w:bCs/>
          <w:sz w:val="28"/>
          <w:szCs w:val="28"/>
        </w:rPr>
      </w:pPr>
    </w:p>
    <w:p w14:paraId="107F081F">
      <w:pPr>
        <w:spacing w:line="360" w:lineRule="auto"/>
        <w:ind w:left="480"/>
        <w:rPr>
          <w:rFonts w:ascii="宋体"/>
          <w:b/>
          <w:bCs/>
          <w:sz w:val="28"/>
          <w:szCs w:val="28"/>
        </w:rPr>
      </w:pPr>
    </w:p>
    <w:p w14:paraId="74673A41">
      <w:pPr>
        <w:spacing w:line="360" w:lineRule="auto"/>
        <w:ind w:left="480"/>
        <w:rPr>
          <w:rFonts w:ascii="宋体"/>
          <w:b/>
          <w:bCs/>
          <w:sz w:val="28"/>
          <w:szCs w:val="28"/>
        </w:rPr>
      </w:pPr>
    </w:p>
    <w:p w14:paraId="3732BF85">
      <w:pPr>
        <w:spacing w:line="360" w:lineRule="auto"/>
        <w:ind w:left="480"/>
        <w:rPr>
          <w:rFonts w:ascii="宋体"/>
          <w:b/>
          <w:bCs/>
          <w:sz w:val="28"/>
          <w:szCs w:val="28"/>
        </w:rPr>
      </w:pPr>
    </w:p>
    <w:p w14:paraId="30EA22C4">
      <w:pPr>
        <w:spacing w:line="360" w:lineRule="auto"/>
        <w:ind w:left="480"/>
        <w:rPr>
          <w:rFonts w:ascii="宋体"/>
          <w:b/>
          <w:bCs/>
          <w:sz w:val="28"/>
          <w:szCs w:val="28"/>
        </w:rPr>
      </w:pPr>
    </w:p>
    <w:p w14:paraId="21447DB1">
      <w:pPr>
        <w:spacing w:line="360" w:lineRule="auto"/>
        <w:ind w:left="480"/>
        <w:rPr>
          <w:rFonts w:ascii="宋体"/>
          <w:b/>
          <w:bCs/>
          <w:sz w:val="28"/>
          <w:szCs w:val="28"/>
        </w:rPr>
      </w:pPr>
    </w:p>
    <w:p w14:paraId="5B96A386">
      <w:pPr>
        <w:spacing w:line="360" w:lineRule="auto"/>
        <w:outlineLvl w:val="0"/>
        <w:rPr>
          <w:rFonts w:ascii="宋体"/>
          <w:b/>
          <w:bCs/>
          <w:sz w:val="28"/>
          <w:szCs w:val="28"/>
        </w:rPr>
      </w:pPr>
      <w:r>
        <w:rPr>
          <w:rFonts w:ascii="宋体" w:hAnsi="宋体" w:cs="宋体"/>
          <w:b/>
          <w:bCs/>
          <w:sz w:val="28"/>
          <w:szCs w:val="28"/>
        </w:rPr>
        <w:br w:type="page" w:clear="all"/>
      </w:r>
      <w:bookmarkStart w:id="119" w:name="_Toc24428"/>
      <w:r>
        <w:rPr>
          <w:rFonts w:hint="eastAsia" w:ascii="宋体" w:hAnsi="宋体" w:cs="宋体"/>
          <w:b/>
          <w:bCs/>
          <w:sz w:val="24"/>
          <w:szCs w:val="24"/>
        </w:rPr>
        <w:t>附件1:</w:t>
      </w:r>
      <w:bookmarkEnd w:id="119"/>
    </w:p>
    <w:p w14:paraId="3D0C3CAC">
      <w:pPr>
        <w:widowControl/>
        <w:spacing w:line="560" w:lineRule="exact"/>
        <w:jc w:val="center"/>
        <w:rPr>
          <w:rFonts w:ascii="宋体" w:hAnsi="宋体" w:cs="宋体"/>
          <w:b/>
          <w:color w:val="000000"/>
          <w:sz w:val="44"/>
          <w:szCs w:val="44"/>
        </w:rPr>
      </w:pPr>
      <w:r>
        <w:rPr>
          <w:rFonts w:hint="eastAsia" w:ascii="宋体" w:hAnsi="宋体" w:cs="宋体"/>
          <w:b/>
          <w:color w:val="000000"/>
          <w:sz w:val="44"/>
          <w:szCs w:val="44"/>
          <w:lang w:bidi="ar"/>
        </w:rPr>
        <w:t>投   标   函</w:t>
      </w:r>
    </w:p>
    <w:p w14:paraId="19806907">
      <w:pPr>
        <w:spacing w:line="440" w:lineRule="exact"/>
        <w:rPr>
          <w:rFonts w:hAnsi="宋体"/>
          <w:sz w:val="24"/>
          <w:szCs w:val="24"/>
        </w:rPr>
      </w:pPr>
    </w:p>
    <w:p w14:paraId="6E4A0383">
      <w:pPr>
        <w:spacing w:line="440" w:lineRule="exact"/>
        <w:rPr>
          <w:rFonts w:hAnsi="宋体"/>
          <w:sz w:val="24"/>
          <w:szCs w:val="24"/>
        </w:rPr>
      </w:pPr>
      <w:r>
        <w:rPr>
          <w:rFonts w:hint="eastAsia" w:hAnsi="宋体" w:cs="仿宋_GB2312"/>
          <w:sz w:val="24"/>
          <w:szCs w:val="24"/>
        </w:rPr>
        <w:t xml:space="preserve">致：温岭市供水有限公司     </w:t>
      </w:r>
    </w:p>
    <w:p w14:paraId="2875ADDB">
      <w:pPr>
        <w:spacing w:line="440" w:lineRule="exact"/>
        <w:rPr>
          <w:rFonts w:hAnsi="宋体"/>
          <w:sz w:val="24"/>
          <w:szCs w:val="24"/>
        </w:rPr>
      </w:pPr>
      <w:r>
        <w:rPr>
          <w:rFonts w:hAnsi="宋体" w:cs="仿宋_GB2312"/>
          <w:sz w:val="24"/>
          <w:szCs w:val="24"/>
        </w:rPr>
        <w:t xml:space="preserve">    </w:t>
      </w:r>
      <w:r>
        <w:rPr>
          <w:rFonts w:hAnsi="宋体" w:cs="仿宋_GB2312"/>
          <w:sz w:val="24"/>
          <w:szCs w:val="24"/>
          <w:u w:val="single"/>
        </w:rPr>
        <w:t xml:space="preserve">                            </w:t>
      </w:r>
      <w:r>
        <w:rPr>
          <w:rFonts w:hint="eastAsia" w:hAnsi="宋体" w:cs="仿宋_GB2312"/>
          <w:sz w:val="24"/>
          <w:szCs w:val="24"/>
        </w:rPr>
        <w:t>（投标人名称）授权</w:t>
      </w:r>
      <w:r>
        <w:rPr>
          <w:rFonts w:hAnsi="宋体" w:cs="仿宋_GB2312"/>
          <w:sz w:val="24"/>
          <w:szCs w:val="24"/>
          <w:u w:val="single"/>
        </w:rPr>
        <w:t xml:space="preserve">               </w:t>
      </w:r>
      <w:r>
        <w:rPr>
          <w:rFonts w:hint="eastAsia" w:hAnsi="宋体" w:cs="仿宋_GB2312"/>
          <w:sz w:val="24"/>
          <w:szCs w:val="24"/>
        </w:rPr>
        <w:t>（全权代表姓名、职务）为全权代表，参加贵单位组织的</w:t>
      </w:r>
      <w:r>
        <w:rPr>
          <w:rFonts w:hint="eastAsia" w:hAnsi="宋体" w:cs="仿宋_GB2312"/>
          <w:sz w:val="24"/>
          <w:szCs w:val="24"/>
          <w:u w:val="single"/>
        </w:rPr>
        <w:t xml:space="preserve">              </w:t>
      </w:r>
      <w:r>
        <w:rPr>
          <w:rFonts w:hint="eastAsia" w:hAnsi="宋体" w:cs="仿宋_GB2312"/>
          <w:sz w:val="24"/>
          <w:szCs w:val="24"/>
        </w:rPr>
        <w:t>（招标项目名称）（项目编号为</w:t>
      </w:r>
      <w:r>
        <w:rPr>
          <w:rFonts w:hint="eastAsia" w:hAnsi="宋体" w:cs="仿宋_GB2312"/>
          <w:sz w:val="24"/>
          <w:szCs w:val="24"/>
          <w:u w:val="single"/>
        </w:rPr>
        <w:t xml:space="preserve">             </w:t>
      </w:r>
      <w:r>
        <w:rPr>
          <w:rFonts w:hint="eastAsia" w:hAnsi="宋体" w:cs="仿宋_GB2312"/>
          <w:sz w:val="24"/>
          <w:szCs w:val="24"/>
        </w:rPr>
        <w:t>）招标的有关活动，并进行投标。为此：</w:t>
      </w:r>
    </w:p>
    <w:p w14:paraId="459B6860">
      <w:pPr>
        <w:numPr>
          <w:ilvl w:val="0"/>
          <w:numId w:val="13"/>
        </w:numPr>
        <w:spacing w:line="440" w:lineRule="exact"/>
        <w:ind w:firstLine="480"/>
        <w:rPr>
          <w:rFonts w:hAnsi="宋体" w:cs="仿宋_GB2312"/>
          <w:sz w:val="24"/>
          <w:szCs w:val="24"/>
        </w:rPr>
      </w:pPr>
      <w:r>
        <w:rPr>
          <w:rFonts w:hint="eastAsia" w:hAnsi="宋体" w:cs="仿宋_GB2312"/>
          <w:sz w:val="24"/>
          <w:szCs w:val="24"/>
        </w:rPr>
        <w:t>提供投标人须知规定的全部投标文件。</w:t>
      </w:r>
    </w:p>
    <w:p w14:paraId="75FFFF17">
      <w:pPr>
        <w:numPr>
          <w:ilvl w:val="0"/>
          <w:numId w:val="13"/>
        </w:numPr>
        <w:spacing w:line="440" w:lineRule="exact"/>
        <w:ind w:firstLine="480"/>
        <w:rPr>
          <w:rFonts w:hAnsi="宋体" w:cs="仿宋_GB2312"/>
          <w:sz w:val="24"/>
          <w:szCs w:val="24"/>
        </w:rPr>
      </w:pPr>
      <w:r>
        <w:rPr>
          <w:rFonts w:hint="eastAsia" w:hAnsi="宋体" w:cs="仿宋_GB2312"/>
          <w:sz w:val="24"/>
          <w:szCs w:val="24"/>
        </w:rPr>
        <w:t>我方的投标总报价详见《开标一览表》。</w:t>
      </w:r>
    </w:p>
    <w:p w14:paraId="78EA1BD9">
      <w:pPr>
        <w:numPr>
          <w:ilvl w:val="0"/>
          <w:numId w:val="13"/>
        </w:numPr>
        <w:spacing w:line="440" w:lineRule="exact"/>
        <w:ind w:firstLine="480"/>
        <w:rPr>
          <w:rFonts w:hAnsi="宋体" w:cs="仿宋_GB2312"/>
          <w:sz w:val="24"/>
          <w:szCs w:val="24"/>
        </w:rPr>
      </w:pPr>
      <w:r>
        <w:rPr>
          <w:rFonts w:hint="eastAsia" w:hAnsi="宋体" w:cs="仿宋_GB2312"/>
          <w:sz w:val="24"/>
          <w:szCs w:val="24"/>
        </w:rPr>
        <w:t>我方已详细审查全部招标文件，完全同意招标文件中的各项要求，保证遵守招标文件中的有关规定和相关标准，对招标文件的合理性、合法性不再有异议。</w:t>
      </w:r>
    </w:p>
    <w:p w14:paraId="483B55D5">
      <w:pPr>
        <w:numPr>
          <w:ilvl w:val="0"/>
          <w:numId w:val="13"/>
        </w:numPr>
        <w:spacing w:line="440" w:lineRule="exact"/>
        <w:ind w:firstLine="480"/>
        <w:rPr>
          <w:rFonts w:hAnsi="宋体" w:cs="仿宋_GB2312"/>
          <w:sz w:val="24"/>
          <w:szCs w:val="24"/>
        </w:rPr>
      </w:pPr>
      <w:r>
        <w:rPr>
          <w:rFonts w:hint="eastAsia" w:hAnsi="宋体" w:cs="仿宋_GB2312"/>
          <w:sz w:val="24"/>
          <w:szCs w:val="24"/>
        </w:rPr>
        <w:t>若中标，本投标文件至本项目合同履行完毕止均保持有效，我方将按招标文件规定履行合同责任和义务。</w:t>
      </w:r>
    </w:p>
    <w:p w14:paraId="2758ABEA">
      <w:pPr>
        <w:numPr>
          <w:ilvl w:val="0"/>
          <w:numId w:val="13"/>
        </w:numPr>
        <w:spacing w:line="440" w:lineRule="exact"/>
        <w:ind w:firstLine="480"/>
        <w:rPr>
          <w:rFonts w:hAnsi="宋体" w:cs="仿宋_GB2312"/>
          <w:sz w:val="24"/>
          <w:szCs w:val="24"/>
        </w:rPr>
      </w:pPr>
      <w:r>
        <w:rPr>
          <w:rFonts w:hint="eastAsia" w:hAnsi="宋体" w:cs="仿宋_GB2312"/>
          <w:sz w:val="24"/>
          <w:szCs w:val="24"/>
        </w:rPr>
        <w:t>投标文件自开标之日起有效期为9</w:t>
      </w:r>
      <w:r>
        <w:rPr>
          <w:rFonts w:hAnsi="宋体" w:cs="仿宋_GB2312"/>
          <w:sz w:val="24"/>
          <w:szCs w:val="24"/>
        </w:rPr>
        <w:t>0</w:t>
      </w:r>
      <w:r>
        <w:rPr>
          <w:rFonts w:hint="eastAsia" w:hAnsi="宋体" w:cs="仿宋_GB2312"/>
          <w:sz w:val="24"/>
          <w:szCs w:val="24"/>
        </w:rPr>
        <w:t>天。</w:t>
      </w:r>
    </w:p>
    <w:p w14:paraId="0FC7FA31">
      <w:pPr>
        <w:numPr>
          <w:ilvl w:val="0"/>
          <w:numId w:val="13"/>
        </w:numPr>
        <w:spacing w:line="440" w:lineRule="exact"/>
        <w:ind w:firstLine="480"/>
        <w:rPr>
          <w:rFonts w:hAnsi="宋体" w:cs="仿宋_GB2312"/>
          <w:sz w:val="24"/>
          <w:szCs w:val="24"/>
        </w:rPr>
      </w:pPr>
      <w:r>
        <w:rPr>
          <w:rFonts w:hint="eastAsia" w:hAnsi="宋体" w:cs="仿宋_GB2312"/>
          <w:sz w:val="24"/>
          <w:szCs w:val="24"/>
        </w:rPr>
        <w:t>我方同意提供按照贵方可能要求的与本项投标有关的一切数据或资料，并保证其真实性、合法性。</w:t>
      </w:r>
    </w:p>
    <w:p w14:paraId="05D5D689">
      <w:pPr>
        <w:numPr>
          <w:ilvl w:val="0"/>
          <w:numId w:val="13"/>
        </w:numPr>
        <w:spacing w:line="440" w:lineRule="exact"/>
        <w:ind w:firstLine="480"/>
        <w:rPr>
          <w:rFonts w:hAnsi="宋体" w:cs="仿宋_GB2312"/>
          <w:sz w:val="24"/>
          <w:szCs w:val="24"/>
        </w:rPr>
      </w:pPr>
      <w:r>
        <w:rPr>
          <w:rFonts w:hint="eastAsia" w:hAnsi="宋体" w:cs="仿宋_GB2312"/>
          <w:sz w:val="24"/>
          <w:szCs w:val="24"/>
        </w:rPr>
        <w:t>我方与本次投标有关的一切正式来往通讯请寄：</w:t>
      </w:r>
    </w:p>
    <w:p w14:paraId="77940A1A">
      <w:pPr>
        <w:spacing w:line="440" w:lineRule="exact"/>
        <w:rPr>
          <w:rFonts w:hAnsi="宋体"/>
          <w:sz w:val="24"/>
          <w:szCs w:val="24"/>
        </w:rPr>
      </w:pPr>
    </w:p>
    <w:p w14:paraId="05547A77">
      <w:pPr>
        <w:spacing w:line="440" w:lineRule="exact"/>
        <w:rPr>
          <w:rFonts w:hAnsi="宋体" w:cs="仿宋_GB2312"/>
          <w:sz w:val="24"/>
          <w:szCs w:val="24"/>
        </w:rPr>
      </w:pPr>
      <w:r>
        <w:rPr>
          <w:rFonts w:hAnsi="宋体" w:cs="仿宋_GB2312"/>
          <w:sz w:val="24"/>
          <w:szCs w:val="24"/>
        </w:rPr>
        <w:t xml:space="preserve">    </w:t>
      </w:r>
    </w:p>
    <w:p w14:paraId="14EAD3D1">
      <w:pPr>
        <w:spacing w:line="440" w:lineRule="exact"/>
        <w:rPr>
          <w:rFonts w:hAnsi="宋体"/>
          <w:sz w:val="24"/>
          <w:szCs w:val="24"/>
        </w:rPr>
      </w:pPr>
      <w:r>
        <w:rPr>
          <w:rFonts w:hAnsi="宋体" w:cs="仿宋_GB2312"/>
          <w:sz w:val="24"/>
          <w:szCs w:val="24"/>
        </w:rPr>
        <w:t xml:space="preserve">      </w:t>
      </w:r>
      <w:r>
        <w:rPr>
          <w:rFonts w:hint="eastAsia" w:hAnsi="宋体" w:cs="仿宋_GB2312"/>
          <w:sz w:val="24"/>
          <w:szCs w:val="24"/>
        </w:rPr>
        <w:t>地址：</w:t>
      </w:r>
      <w:r>
        <w:rPr>
          <w:rFonts w:hAnsi="宋体" w:cs="仿宋_GB2312"/>
          <w:sz w:val="24"/>
          <w:szCs w:val="24"/>
          <w:u w:val="single"/>
        </w:rPr>
        <w:t xml:space="preserve">                 </w:t>
      </w:r>
      <w:r>
        <w:rPr>
          <w:rFonts w:hAnsi="宋体" w:cs="仿宋_GB2312"/>
          <w:sz w:val="24"/>
          <w:szCs w:val="24"/>
        </w:rPr>
        <w:t xml:space="preserve"> </w:t>
      </w:r>
      <w:r>
        <w:rPr>
          <w:rFonts w:hint="eastAsia" w:hAnsi="宋体" w:cs="仿宋_GB2312"/>
          <w:sz w:val="24"/>
          <w:szCs w:val="24"/>
        </w:rPr>
        <w:t>邮编：</w:t>
      </w:r>
      <w:r>
        <w:rPr>
          <w:rFonts w:hAnsi="宋体" w:cs="仿宋_GB2312"/>
          <w:sz w:val="24"/>
          <w:szCs w:val="24"/>
          <w:u w:val="single"/>
        </w:rPr>
        <w:t xml:space="preserve">               </w:t>
      </w:r>
    </w:p>
    <w:p w14:paraId="0FCCAF54">
      <w:pPr>
        <w:spacing w:line="440" w:lineRule="exact"/>
        <w:rPr>
          <w:rFonts w:hAnsi="宋体" w:cs="仿宋_GB2312"/>
          <w:sz w:val="24"/>
          <w:szCs w:val="24"/>
          <w:u w:val="single"/>
        </w:rPr>
      </w:pPr>
      <w:r>
        <w:rPr>
          <w:rFonts w:hAnsi="宋体" w:cs="仿宋_GB2312"/>
          <w:sz w:val="24"/>
          <w:szCs w:val="24"/>
        </w:rPr>
        <w:t xml:space="preserve">      </w:t>
      </w:r>
      <w:r>
        <w:rPr>
          <w:rFonts w:hint="eastAsia" w:hAnsi="宋体" w:cs="仿宋_GB2312"/>
          <w:sz w:val="24"/>
          <w:szCs w:val="24"/>
        </w:rPr>
        <w:t>电话：</w:t>
      </w:r>
      <w:r>
        <w:rPr>
          <w:rFonts w:hAnsi="宋体" w:cs="仿宋_GB2312"/>
          <w:sz w:val="24"/>
          <w:szCs w:val="24"/>
          <w:u w:val="single"/>
        </w:rPr>
        <w:t xml:space="preserve">                 </w:t>
      </w:r>
      <w:r>
        <w:rPr>
          <w:rFonts w:hAnsi="宋体" w:cs="仿宋_GB2312"/>
          <w:sz w:val="24"/>
          <w:szCs w:val="24"/>
        </w:rPr>
        <w:t xml:space="preserve"> </w:t>
      </w:r>
      <w:r>
        <w:rPr>
          <w:rFonts w:hint="eastAsia" w:hAnsi="宋体" w:cs="仿宋_GB2312"/>
          <w:sz w:val="24"/>
          <w:szCs w:val="24"/>
        </w:rPr>
        <w:t>传真：</w:t>
      </w:r>
      <w:r>
        <w:rPr>
          <w:rFonts w:hAnsi="宋体" w:cs="仿宋_GB2312"/>
          <w:sz w:val="24"/>
          <w:szCs w:val="24"/>
          <w:u w:val="single"/>
        </w:rPr>
        <w:t xml:space="preserve">               </w:t>
      </w:r>
    </w:p>
    <w:p w14:paraId="3A6ED80C">
      <w:pPr>
        <w:spacing w:line="440" w:lineRule="exact"/>
        <w:rPr>
          <w:rFonts w:hAnsi="宋体" w:cs="仿宋_GB2312"/>
          <w:sz w:val="24"/>
          <w:szCs w:val="24"/>
          <w:u w:val="single"/>
        </w:rPr>
      </w:pPr>
    </w:p>
    <w:p w14:paraId="1358A921">
      <w:pPr>
        <w:spacing w:line="360" w:lineRule="auto"/>
        <w:ind w:left="420"/>
        <w:rPr>
          <w:rFonts w:hint="eastAsia" w:ascii="宋体" w:hAnsi="宋体" w:cs="宋体"/>
          <w:sz w:val="24"/>
          <w:szCs w:val="24"/>
        </w:rPr>
      </w:pPr>
    </w:p>
    <w:p w14:paraId="1448CEC9">
      <w:pPr>
        <w:spacing w:line="360" w:lineRule="auto"/>
        <w:ind w:left="420"/>
        <w:rPr>
          <w:rFonts w:ascii="宋体"/>
          <w:sz w:val="24"/>
          <w:szCs w:val="24"/>
          <w:u w:val="single"/>
        </w:rPr>
      </w:pPr>
      <w:r>
        <w:rPr>
          <w:rFonts w:hint="eastAsia" w:ascii="宋体" w:hAnsi="宋体" w:cs="宋体"/>
          <w:sz w:val="24"/>
          <w:szCs w:val="24"/>
        </w:rPr>
        <w:t>投标人全称（单位公章）：</w:t>
      </w:r>
    </w:p>
    <w:p w14:paraId="76A69755">
      <w:pPr>
        <w:spacing w:line="360" w:lineRule="auto"/>
        <w:ind w:firstLine="424"/>
        <w:rPr>
          <w:rFonts w:ascii="宋体"/>
          <w:sz w:val="24"/>
          <w:szCs w:val="24"/>
        </w:rPr>
      </w:pPr>
      <w:r>
        <w:rPr>
          <w:rFonts w:hint="eastAsia" w:ascii="宋体" w:hAnsi="宋体" w:cs="宋体"/>
          <w:sz w:val="24"/>
          <w:szCs w:val="24"/>
        </w:rPr>
        <w:t>法定代表人或委托代理人（盖章或签名）：</w:t>
      </w:r>
    </w:p>
    <w:p w14:paraId="619DBB98">
      <w:pPr>
        <w:spacing w:line="360" w:lineRule="auto"/>
        <w:ind w:firstLine="435"/>
        <w:rPr>
          <w:rFonts w:ascii="宋体" w:hAnsi="宋体" w:cs="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14:paraId="70D172DA">
      <w:pPr>
        <w:rPr>
          <w:rFonts w:ascii="宋体" w:hAnsi="宋体" w:cs="宋体"/>
          <w:b/>
          <w:color w:val="000000"/>
          <w:sz w:val="28"/>
          <w:szCs w:val="28"/>
          <w:lang w:bidi="ar"/>
        </w:rPr>
        <w:sectPr>
          <w:pgSz w:w="11906" w:h="16838"/>
          <w:pgMar w:top="1361" w:right="1644" w:bottom="1361" w:left="1644" w:header="851" w:footer="992" w:gutter="0"/>
          <w:cols w:space="425" w:num="1"/>
          <w:docGrid w:linePitch="360" w:charSpace="0"/>
        </w:sectPr>
      </w:pPr>
      <w:r>
        <w:rPr>
          <w:rFonts w:hint="eastAsia" w:ascii="宋体" w:hAnsi="宋体" w:cs="宋体"/>
          <w:b/>
          <w:color w:val="000000"/>
          <w:sz w:val="28"/>
          <w:szCs w:val="28"/>
          <w:lang w:bidi="ar"/>
        </w:rPr>
        <w:br w:type="page" w:clear="all"/>
      </w:r>
      <w:bookmarkStart w:id="120" w:name="_Toc3292"/>
      <w:bookmarkStart w:id="121" w:name="_Toc21062"/>
      <w:bookmarkStart w:id="122" w:name="_Toc22418"/>
      <w:bookmarkStart w:id="123" w:name="_Toc26798"/>
    </w:p>
    <w:p w14:paraId="2E301B52">
      <w:pPr>
        <w:widowControl/>
        <w:spacing w:line="560" w:lineRule="exact"/>
        <w:outlineLvl w:val="0"/>
        <w:rPr>
          <w:rFonts w:hAnsi="宋体" w:cs="仿宋_GB2312"/>
          <w:b/>
          <w:bCs/>
          <w:sz w:val="28"/>
          <w:szCs w:val="28"/>
        </w:rPr>
      </w:pPr>
      <w:r>
        <w:rPr>
          <w:rFonts w:hint="eastAsia" w:ascii="宋体" w:hAnsi="宋体" w:cs="宋体"/>
          <w:b/>
          <w:bCs/>
          <w:sz w:val="24"/>
          <w:szCs w:val="24"/>
        </w:rPr>
        <w:t>附件2：</w:t>
      </w:r>
      <w:bookmarkEnd w:id="120"/>
      <w:r>
        <w:rPr>
          <w:rFonts w:hint="eastAsia" w:hAnsi="宋体" w:cs="仿宋_GB2312"/>
          <w:b/>
          <w:bCs/>
          <w:sz w:val="28"/>
          <w:szCs w:val="28"/>
        </w:rPr>
        <w:t xml:space="preserve">       </w:t>
      </w:r>
    </w:p>
    <w:p w14:paraId="0694D183">
      <w:pPr>
        <w:tabs>
          <w:tab w:val="left" w:pos="5792"/>
        </w:tabs>
        <w:spacing w:line="460" w:lineRule="exact"/>
        <w:jc w:val="center"/>
        <w:outlineLvl w:val="0"/>
        <w:rPr>
          <w:rFonts w:hint="eastAsia" w:hAnsi="宋体" w:eastAsia="宋体" w:cs="宋体"/>
          <w:b/>
          <w:sz w:val="32"/>
          <w:szCs w:val="32"/>
          <w:lang w:eastAsia="zh-CN"/>
        </w:rPr>
      </w:pPr>
      <w:r>
        <w:rPr>
          <w:rFonts w:hint="eastAsia" w:hAnsi="宋体" w:cs="宋体"/>
          <w:b/>
          <w:sz w:val="32"/>
          <w:szCs w:val="32"/>
        </w:rPr>
        <w:t xml:space="preserve"> </w:t>
      </w:r>
      <w:r>
        <w:rPr>
          <w:rFonts w:hint="eastAsia" w:hAnsi="宋体" w:cs="宋体"/>
          <w:b/>
          <w:sz w:val="32"/>
          <w:szCs w:val="32"/>
          <w:lang w:eastAsia="zh-CN"/>
        </w:rPr>
        <w:t>温岭市供水有限公司二次供水泵房运维服务采购</w:t>
      </w:r>
    </w:p>
    <w:p w14:paraId="16365553">
      <w:pPr>
        <w:tabs>
          <w:tab w:val="left" w:pos="5792"/>
        </w:tabs>
        <w:spacing w:line="460" w:lineRule="exact"/>
        <w:jc w:val="center"/>
        <w:outlineLvl w:val="0"/>
        <w:rPr>
          <w:rFonts w:hAnsi="宋体" w:cs="宋体"/>
          <w:b/>
          <w:sz w:val="32"/>
          <w:szCs w:val="32"/>
        </w:rPr>
      </w:pPr>
      <w:bookmarkStart w:id="124" w:name="_Toc5881"/>
      <w:r>
        <w:rPr>
          <w:rFonts w:hint="eastAsia" w:hAnsi="宋体" w:cs="宋体"/>
          <w:b/>
          <w:sz w:val="32"/>
          <w:szCs w:val="32"/>
        </w:rPr>
        <w:t>开标一览表</w:t>
      </w:r>
      <w:bookmarkEnd w:id="124"/>
      <w:r>
        <w:rPr>
          <w:rFonts w:hint="eastAsia" w:hAnsi="宋体" w:cs="宋体"/>
          <w:b/>
          <w:sz w:val="32"/>
          <w:szCs w:val="32"/>
        </w:rPr>
        <w:t xml:space="preserve"> </w:t>
      </w:r>
    </w:p>
    <w:p w14:paraId="3D74169D">
      <w:pPr>
        <w:pStyle w:val="26"/>
        <w:rPr>
          <w:rFonts w:hAnsi="宋体" w:cs="仿宋_GB2312"/>
          <w:szCs w:val="24"/>
        </w:rPr>
      </w:pPr>
    </w:p>
    <w:tbl>
      <w:tblPr>
        <w:tblStyle w:val="44"/>
        <w:tblW w:w="9690" w:type="dxa"/>
        <w:tblInd w:w="17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2"/>
        <w:gridCol w:w="3015"/>
        <w:gridCol w:w="3223"/>
      </w:tblGrid>
      <w:tr w14:paraId="2D52C5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3452" w:type="dxa"/>
            <w:vAlign w:val="center"/>
          </w:tcPr>
          <w:p w14:paraId="29944720">
            <w:pPr>
              <w:jc w:val="center"/>
              <w:rPr>
                <w:rFonts w:ascii="新宋体" w:hAnsi="新宋体" w:eastAsia="新宋体"/>
                <w:sz w:val="24"/>
                <w:szCs w:val="16"/>
              </w:rPr>
            </w:pPr>
            <w:r>
              <w:rPr>
                <w:rFonts w:hint="eastAsia" w:ascii="新宋体" w:hAnsi="新宋体" w:eastAsia="新宋体"/>
                <w:sz w:val="24"/>
                <w:szCs w:val="16"/>
                <w:lang w:val="en-US" w:eastAsia="zh-CN"/>
              </w:rPr>
              <w:t>项目</w:t>
            </w:r>
            <w:r>
              <w:rPr>
                <w:rFonts w:hint="eastAsia" w:ascii="新宋体" w:hAnsi="新宋体" w:eastAsia="新宋体"/>
                <w:sz w:val="24"/>
                <w:szCs w:val="16"/>
              </w:rPr>
              <w:t>内容</w:t>
            </w:r>
          </w:p>
        </w:tc>
        <w:tc>
          <w:tcPr>
            <w:tcW w:w="3015" w:type="dxa"/>
            <w:vAlign w:val="center"/>
          </w:tcPr>
          <w:p w14:paraId="3879520B">
            <w:pPr>
              <w:jc w:val="center"/>
              <w:rPr>
                <w:rFonts w:ascii="新宋体" w:hAnsi="新宋体" w:eastAsia="新宋体"/>
                <w:sz w:val="24"/>
                <w:szCs w:val="16"/>
              </w:rPr>
            </w:pPr>
            <w:r>
              <w:rPr>
                <w:rFonts w:hint="eastAsia" w:ascii="新宋体" w:hAnsi="新宋体" w:eastAsia="新宋体"/>
                <w:sz w:val="24"/>
                <w:szCs w:val="16"/>
              </w:rPr>
              <w:t>投标报价（元/小区）</w:t>
            </w:r>
          </w:p>
        </w:tc>
        <w:tc>
          <w:tcPr>
            <w:tcW w:w="3223" w:type="dxa"/>
            <w:vAlign w:val="center"/>
          </w:tcPr>
          <w:p w14:paraId="214D4B69">
            <w:pPr>
              <w:jc w:val="center"/>
              <w:rPr>
                <w:rFonts w:ascii="新宋体" w:hAnsi="新宋体" w:eastAsia="新宋体"/>
                <w:sz w:val="24"/>
                <w:szCs w:val="16"/>
              </w:rPr>
            </w:pPr>
            <w:r>
              <w:rPr>
                <w:rFonts w:hint="eastAsia" w:ascii="新宋体" w:hAnsi="新宋体" w:eastAsia="新宋体"/>
                <w:sz w:val="24"/>
                <w:szCs w:val="16"/>
              </w:rPr>
              <w:t>最高限价（元/小区）</w:t>
            </w:r>
          </w:p>
        </w:tc>
      </w:tr>
      <w:tr w14:paraId="69F9F5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3452" w:type="dxa"/>
            <w:vAlign w:val="center"/>
          </w:tcPr>
          <w:p w14:paraId="5B77339A">
            <w:pPr>
              <w:jc w:val="center"/>
              <w:rPr>
                <w:rFonts w:ascii="新宋体" w:hAnsi="新宋体" w:eastAsia="新宋体"/>
                <w:sz w:val="24"/>
                <w:szCs w:val="16"/>
              </w:rPr>
            </w:pPr>
            <w:r>
              <w:rPr>
                <w:rFonts w:hint="eastAsia" w:ascii="新宋体" w:hAnsi="新宋体" w:eastAsia="新宋体"/>
                <w:sz w:val="24"/>
                <w:szCs w:val="16"/>
                <w:lang w:eastAsia="zh-CN"/>
              </w:rPr>
              <w:t>二次供水泵房运维服务</w:t>
            </w:r>
          </w:p>
        </w:tc>
        <w:tc>
          <w:tcPr>
            <w:tcW w:w="3015" w:type="dxa"/>
            <w:vAlign w:val="center"/>
          </w:tcPr>
          <w:p w14:paraId="0703710B">
            <w:pPr>
              <w:rPr>
                <w:rFonts w:ascii="新宋体" w:hAnsi="新宋体" w:eastAsia="新宋体"/>
                <w:sz w:val="24"/>
                <w:szCs w:val="16"/>
              </w:rPr>
            </w:pPr>
          </w:p>
        </w:tc>
        <w:tc>
          <w:tcPr>
            <w:tcW w:w="3223" w:type="dxa"/>
            <w:vAlign w:val="center"/>
          </w:tcPr>
          <w:p w14:paraId="2A145B29">
            <w:pPr>
              <w:jc w:val="center"/>
              <w:rPr>
                <w:rFonts w:hint="default" w:ascii="新宋体" w:hAnsi="新宋体" w:eastAsia="新宋体"/>
                <w:sz w:val="24"/>
                <w:szCs w:val="16"/>
                <w:lang w:val="en-US" w:eastAsia="zh-CN"/>
              </w:rPr>
            </w:pPr>
            <w:r>
              <w:rPr>
                <w:rFonts w:hint="eastAsia" w:ascii="新宋体" w:hAnsi="新宋体" w:eastAsia="新宋体"/>
                <w:sz w:val="24"/>
                <w:szCs w:val="16"/>
                <w:lang w:val="en-US" w:eastAsia="zh-CN"/>
              </w:rPr>
              <w:t>8000</w:t>
            </w:r>
          </w:p>
        </w:tc>
      </w:tr>
    </w:tbl>
    <w:p w14:paraId="353EE163">
      <w:pPr>
        <w:pStyle w:val="26"/>
        <w:rPr>
          <w:rFonts w:hAnsi="宋体" w:cs="仿宋_GB2312"/>
          <w:szCs w:val="24"/>
        </w:rPr>
      </w:pPr>
    </w:p>
    <w:p w14:paraId="48597558">
      <w:pPr>
        <w:spacing w:line="360" w:lineRule="auto"/>
        <w:rPr>
          <w:rFonts w:ascii="宋体"/>
          <w:sz w:val="24"/>
          <w:szCs w:val="24"/>
        </w:rPr>
      </w:pPr>
      <w:r>
        <w:rPr>
          <w:rFonts w:hint="eastAsia" w:ascii="宋体" w:hAnsi="宋体" w:cs="宋体"/>
          <w:b/>
          <w:bCs/>
        </w:rPr>
        <w:t>填报要求：</w:t>
      </w:r>
    </w:p>
    <w:p w14:paraId="2AF79DC4">
      <w:pPr>
        <w:spacing w:line="360" w:lineRule="auto"/>
        <w:rPr>
          <w:rFonts w:ascii="宋体" w:hAnsi="宋体" w:cs="宋体"/>
        </w:rPr>
      </w:pPr>
      <w:r>
        <w:rPr>
          <w:rFonts w:hint="eastAsia" w:ascii="宋体" w:hAnsi="宋体" w:cs="宋体"/>
          <w:b/>
          <w:bCs/>
        </w:rPr>
        <w:t>1.投标报价包含泵房内二次供水成套设备、管道、阀门、水箱(池)、排水系统及泵房附属设施的巡检、养护、水箱清洗等及其他技术服务。</w:t>
      </w:r>
      <w:r>
        <w:rPr>
          <w:rFonts w:hint="eastAsia" w:ascii="宋体" w:hAnsi="宋体" w:cs="宋体"/>
        </w:rPr>
        <w:t>以人民币为结算货币，由投标人进行报价，采取总价（包括所有费用）合同承包，按总价投标和定标。除非合同中另有规定，投标报价须包括市政、市容、环保、交通、治安等可能发生的费用，须包括劳务、管理、（劳动、社会、医疗、安全）保险、利润、税金、政策性文件规定及合同包含的所有风险、责任等合同中明示或暗示的所有一般风险、责任和义务等一切应由采购人支付的各项费用。投标人凡未列入的，将被认为均已包含在投标报价中。</w:t>
      </w:r>
    </w:p>
    <w:p w14:paraId="786C3826">
      <w:pPr>
        <w:spacing w:line="360" w:lineRule="auto"/>
        <w:rPr>
          <w:rFonts w:ascii="宋体" w:cs="宋体"/>
        </w:rPr>
      </w:pPr>
      <w:r>
        <w:rPr>
          <w:rFonts w:hint="eastAsia" w:ascii="宋体" w:hAnsi="宋体" w:cs="宋体"/>
        </w:rPr>
        <w:t>2</w:t>
      </w:r>
      <w:r>
        <w:rPr>
          <w:rFonts w:ascii="宋体" w:hAnsi="宋体" w:cs="宋体"/>
        </w:rPr>
        <w:t>.</w:t>
      </w:r>
      <w:r>
        <w:rPr>
          <w:rFonts w:hint="eastAsia" w:ascii="宋体" w:hAnsi="宋体" w:cs="宋体"/>
        </w:rPr>
        <w:t>报价一经涂改，应在涂改处加盖单位公章，或者由法定代表人或授权代理人签名或盖章，否则其投标作无效标处理。</w:t>
      </w:r>
    </w:p>
    <w:p w14:paraId="6AB302BD">
      <w:pPr>
        <w:tabs>
          <w:tab w:val="left" w:pos="5792"/>
        </w:tabs>
        <w:spacing w:line="460" w:lineRule="exact"/>
        <w:jc w:val="center"/>
        <w:rPr>
          <w:rFonts w:hAnsi="宋体"/>
          <w:sz w:val="24"/>
        </w:rPr>
      </w:pPr>
    </w:p>
    <w:p w14:paraId="707CECF1">
      <w:pPr>
        <w:pStyle w:val="42"/>
      </w:pPr>
    </w:p>
    <w:bookmarkEnd w:id="121"/>
    <w:bookmarkEnd w:id="122"/>
    <w:bookmarkEnd w:id="123"/>
    <w:p w14:paraId="0E16A018">
      <w:pPr>
        <w:spacing w:line="360" w:lineRule="auto"/>
        <w:ind w:left="420"/>
        <w:rPr>
          <w:rFonts w:ascii="宋体"/>
          <w:sz w:val="24"/>
          <w:szCs w:val="24"/>
          <w:u w:val="single"/>
        </w:rPr>
      </w:pPr>
      <w:r>
        <w:rPr>
          <w:rFonts w:hint="eastAsia" w:ascii="宋体" w:hAnsi="宋体" w:cs="宋体"/>
          <w:sz w:val="24"/>
          <w:szCs w:val="24"/>
        </w:rPr>
        <w:t>投标人全称（单位公章）：</w:t>
      </w:r>
    </w:p>
    <w:p w14:paraId="7204EE0D">
      <w:pPr>
        <w:spacing w:line="360" w:lineRule="auto"/>
        <w:ind w:firstLine="424"/>
        <w:rPr>
          <w:rFonts w:ascii="宋体"/>
          <w:sz w:val="24"/>
          <w:szCs w:val="24"/>
        </w:rPr>
      </w:pPr>
      <w:r>
        <w:rPr>
          <w:rFonts w:hint="eastAsia" w:ascii="宋体" w:hAnsi="宋体" w:cs="宋体"/>
          <w:sz w:val="24"/>
          <w:szCs w:val="24"/>
        </w:rPr>
        <w:t>法定代表人或委托代理人（盖章或签名）：</w:t>
      </w:r>
    </w:p>
    <w:p w14:paraId="48167A5E">
      <w:pPr>
        <w:spacing w:line="360" w:lineRule="auto"/>
        <w:ind w:firstLine="435"/>
        <w:rPr>
          <w:rFonts w:ascii="宋体" w:hAnsi="宋体" w:cs="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14:paraId="3CF48E7C">
      <w:pPr>
        <w:tabs>
          <w:tab w:val="left" w:pos="5792"/>
        </w:tabs>
        <w:spacing w:line="460" w:lineRule="exact"/>
        <w:jc w:val="center"/>
        <w:outlineLvl w:val="0"/>
      </w:pPr>
    </w:p>
    <w:sectPr>
      <w:pgSz w:w="11906" w:h="16838"/>
      <w:pgMar w:top="1361" w:right="1134" w:bottom="1361" w:left="1134" w:header="851" w:footer="992"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B0604020202020204"/>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20B0604020202020204"/>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长城仿宋">
    <w:altName w:val="仿宋"/>
    <w:panose1 w:val="020B0604020202020204"/>
    <w:charset w:val="00"/>
    <w:family w:val="auto"/>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FF2AF">
    <w:pPr>
      <w:pStyle w:val="18"/>
      <w:spacing w:line="14" w:lineRule="auto"/>
      <w:rPr>
        <w:sz w:val="16"/>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54A4393">
                          <w:pPr>
                            <w:pStyle w:val="29"/>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14:paraId="354A4393">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AD47F">
    <w:pPr>
      <w:pStyle w:val="2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D649B8">
                          <w:pPr>
                            <w:pStyle w:val="29"/>
                          </w:pPr>
                          <w:r>
                            <w:fldChar w:fldCharType="begin"/>
                          </w:r>
                          <w:r>
                            <w:instrText xml:space="preserve"> PAGE  \* MERGEFORMAT </w:instrText>
                          </w:r>
                          <w:r>
                            <w:fldChar w:fldCharType="separate"/>
                          </w:r>
                          <w:r>
                            <w:t>24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4CD649B8">
                    <w:pPr>
                      <w:pStyle w:val="29"/>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176F9">
    <w:pPr>
      <w:pStyle w:val="2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AC051A">
                          <w:pPr>
                            <w:pStyle w:val="29"/>
                          </w:pPr>
                          <w:r>
                            <w:fldChar w:fldCharType="begin"/>
                          </w:r>
                          <w:r>
                            <w:instrText xml:space="preserve"> PAGE  \* MERGEFORMAT </w:instrText>
                          </w:r>
                          <w:r>
                            <w:fldChar w:fldCharType="separate"/>
                          </w:r>
                          <w:r>
                            <w:t>- 85 -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MpJ43AgAAZAQAAA4AAABkcnMvZTJvRG9jLnhtbK1UwW4TMRC9I/EP&#10;lu90k1RUUdRNFRoFIRVaqSDOjtfbXcn2WLbT3fIB8AecuHDvd+U7ePZmAyoceuBizXrGb+a9mdnz&#10;i95odq98aMmWfHoy4UxZSVVr70r+6ePm1ZyzEIWthCarSv6gAr9Yvnxx3rmFmlFDulKeAcSGRedK&#10;3sToFkURZKOMCCfklIWzJm9ExKe/KyovOqAbXcwmk7OiI185T1KFgNv14OQHRP8cQKrrVqo1yZ1R&#10;Ng6oXmkRQSk0rQt8mautayXjdV0HFZkuOZjGfCIJ7G06i+W5WNx54ZpWHkoQzynhCScjWoukR6i1&#10;iILtfPsXlGmlp0B1PJFkioFIVgQsppMn2tw2wqnMBVIHdxQ9/D9Y+eH+xrO2KvkpZ1YYNHz//dv+&#10;x+P+51c2nSZ9OhcWCLt1CIz9G+oxNeN9SJfb7j1VeCh2kbIIfe1NEgP0GKKh9cNRa9VHJhPEfDaf&#10;T+CS8I0fyFaIxfjc+RDfKjIsGSX3aGaGF/dXIQ6hY0jKZmnTap0bqi3rSn52+nqSHxw9ANcWORKl&#10;VPpALvbb/sBzS9UDGHkaBiU4uWmR/EqEeCM8JgMFY3fiNY5aE5LQweKsIf/lX/cpHg2Dl7MOk1Zy&#10;i8XiTL+zaCQA42j40diOht2ZS8LoTrGTTmYTD3zUo1l7Mp+xUKuUAy5hJTKVPI7mZRymHQsp1WqV&#10;gzB6TsQre+tkgk7iBbdC9zZt1jXJMyhx0ArDlztzWJQ03X9+56jfP4fl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TjKSeNwIAAGQEAAAOAAAAAAAAAAEAIAAAAB8BAABkcnMvZTJvRG9jLnht&#10;bFBLBQYAAAAABgAGAFkBAADIBQAAAAA=&#10;">
              <v:fill on="f" focussize="0,0"/>
              <v:stroke on="f" weight="0.5pt"/>
              <v:imagedata o:title=""/>
              <o:lock v:ext="edit" aspectratio="f"/>
              <v:textbox inset="0mm,0mm,0mm,0mm" style="mso-fit-shape-to-text:t;">
                <w:txbxContent>
                  <w:p w14:paraId="79AC051A">
                    <w:pPr>
                      <w:pStyle w:val="29"/>
                    </w:pPr>
                    <w:r>
                      <w:fldChar w:fldCharType="begin"/>
                    </w:r>
                    <w:r>
                      <w:instrText xml:space="preserve"> PAGE  \* MERGEFORMAT </w:instrText>
                    </w:r>
                    <w:r>
                      <w:fldChar w:fldCharType="separate"/>
                    </w:r>
                    <w:r>
                      <w:t>- 85 -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88051">
    <w:pPr>
      <w:pStyle w:val="2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5"/>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8C0A1A">
                          <w:pPr>
                            <w:pStyle w:val="29"/>
                          </w:pPr>
                          <w:r>
                            <w:fldChar w:fldCharType="begin"/>
                          </w:r>
                          <w:r>
                            <w:instrText xml:space="preserve"> PAGE  \* MERGEFORMAT </w:instrText>
                          </w:r>
                          <w:r>
                            <w:fldChar w:fldCharType="separate"/>
                          </w:r>
                          <w:r>
                            <w:t>- 98 -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RMvM3AgAAZAQAAA4AAABkcnMvZTJvRG9jLnhtbK1UwW4TMRC9I/EP&#10;lu90k6BWUdRNFRoFIRVaqSDOjtfbXcn2WLbT3fIB8AecuHDvd+U7ePZmAyoceuBizXrGb+a9mdnz&#10;i95odq98aMmWfHoy4UxZSVVr70r+6ePm1ZyzEIWthCarSv6gAr9Yvnxx3rmFmlFDulKeAcSGRedK&#10;3sToFkURZKOMCCfklIWzJm9ExKe/KyovOqAbXcwmk7OiI185T1KFgNv14OQHRP8cQKrrVqo1yZ1R&#10;Ng6oXmkRQSk0rQt8mautayXjdV0HFZkuOZjGfCIJ7G06i+W5WNx54ZpWHkoQzynhCScjWoukR6i1&#10;iILtfPsXlGmlp0B1PJFkioFIVgQsppMn2tw2wqnMBVIHdxQ9/D9Y+eH+xrO2KvkZZ1YYNHz//dv+&#10;x+P+51c2PU36dC4sEHbrEBj7N9Rjasb7kC633Xuq8FDsImUR+tqbJAboMURD64ej1qqPTCaI+Ww+&#10;n8Al4Rs/kK0Qi/G58yG+VWRYMkru0cwML+6vQhxCx5CUzdKm1To3VFvWgdHr00l+cPQAXFvkSJRS&#10;6QO52G/7A88tVQ9g5GkYlODkpkXyKxHijfCYDBSM3YnXOGpNSEIHi7OG/Jd/3ad4NAxezjpMWskt&#10;Fosz/c6ikQCMo+FHYzsadmcuCaM7xU46mU088FGPZu3JfMZCrVIOuISVyFTyOJqXcZh2LKRUq1UO&#10;wug5Ea/srZMJOokX3Ard27RZ1yTPoMRBKwxf7sxhUdJ0//mdo37/HJa/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FUTLzNwIAAGQEAAAOAAAAAAAAAAEAIAAAAB8BAABkcnMvZTJvRG9jLnht&#10;bFBLBQYAAAAABgAGAFkBAADIBQAAAAA=&#10;">
              <v:fill on="f" focussize="0,0"/>
              <v:stroke on="f" weight="0.5pt"/>
              <v:imagedata o:title=""/>
              <o:lock v:ext="edit" aspectratio="f"/>
              <v:textbox inset="0mm,0mm,0mm,0mm" style="mso-fit-shape-to-text:t;">
                <w:txbxContent>
                  <w:p w14:paraId="358C0A1A">
                    <w:pPr>
                      <w:pStyle w:val="29"/>
                    </w:pPr>
                    <w:r>
                      <w:fldChar w:fldCharType="begin"/>
                    </w:r>
                    <w:r>
                      <w:instrText xml:space="preserve"> PAGE  \* MERGEFORMAT </w:instrText>
                    </w:r>
                    <w:r>
                      <w:fldChar w:fldCharType="separate"/>
                    </w:r>
                    <w:r>
                      <w:t>- 98 -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57916">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7A95C">
    <w:pPr>
      <w:pStyle w:val="19"/>
      <w:ind w:left="0"/>
      <w:rPr>
        <w:b/>
        <w:bCs/>
        <w:sz w:val="18"/>
        <w:szCs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9B815">
    <w:pPr>
      <w:spacing w:line="440" w:lineRule="exact"/>
      <w:rPr>
        <w:rFonts w:eastAsia="黑体"/>
        <w:sz w:val="24"/>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D2D19">
    <w:pPr>
      <w:pStyle w:val="30"/>
      <w:pBdr>
        <w:top w:val="none" w:color="auto" w:sz="0" w:space="0"/>
        <w:left w:val="none" w:color="auto" w:sz="0" w:space="0"/>
        <w:bottom w:val="none" w:color="auto" w:sz="0" w:space="0"/>
        <w:right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F0B9A">
    <w:pPr>
      <w:pStyle w:val="30"/>
      <w:pBdr>
        <w:top w:val="none" w:color="auto" w:sz="0" w:space="0"/>
        <w:left w:val="none" w:color="auto" w:sz="0" w:space="0"/>
        <w:bottom w:val="none" w:color="auto" w:sz="0" w:space="0"/>
        <w:right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E7DCD">
    <w:pPr>
      <w:pStyle w:val="30"/>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B5372"/>
    <w:multiLevelType w:val="multilevel"/>
    <w:tmpl w:val="845B5372"/>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8600CFF4"/>
    <w:multiLevelType w:val="singleLevel"/>
    <w:tmpl w:val="8600CFF4"/>
    <w:lvl w:ilvl="0" w:tentative="0">
      <w:start w:val="1"/>
      <w:numFmt w:val="chineseCounting"/>
      <w:lvlText w:val="(%1)"/>
      <w:lvlJc w:val="left"/>
      <w:pPr>
        <w:tabs>
          <w:tab w:val="left" w:pos="312"/>
        </w:tabs>
      </w:pPr>
      <w:rPr>
        <w:rFonts w:hint="eastAsia"/>
      </w:rPr>
    </w:lvl>
  </w:abstractNum>
  <w:abstractNum w:abstractNumId="2">
    <w:nsid w:val="8CAEB125"/>
    <w:multiLevelType w:val="multilevel"/>
    <w:tmpl w:val="8CAEB125"/>
    <w:lvl w:ilvl="0" w:tentative="0">
      <w:start w:val="1"/>
      <w:numFmt w:val="decimal"/>
      <w:suff w:val="nothing"/>
      <w:lvlText w:val="%1、"/>
      <w:lvlJc w:val="left"/>
      <w:pPr>
        <w:ind w:left="-14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BF205925"/>
    <w:multiLevelType w:val="multilevel"/>
    <w:tmpl w:val="BF205925"/>
    <w:lvl w:ilvl="0" w:tentative="0">
      <w:start w:val="1"/>
      <w:numFmt w:val="decimal"/>
      <w:lvlText w:val="%1."/>
      <w:lvlJc w:val="left"/>
      <w:pPr>
        <w:tabs>
          <w:tab w:val="left" w:pos="312"/>
        </w:tabs>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
    <w:nsid w:val="CF092B84"/>
    <w:multiLevelType w:val="multilevel"/>
    <w:tmpl w:val="CF092B84"/>
    <w:lvl w:ilvl="0" w:tentative="0">
      <w:start w:val="1"/>
      <w:numFmt w:val="decimal"/>
      <w:pStyle w:val="251"/>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E33B11D4"/>
    <w:multiLevelType w:val="singleLevel"/>
    <w:tmpl w:val="E33B11D4"/>
    <w:lvl w:ilvl="0" w:tentative="0">
      <w:start w:val="3"/>
      <w:numFmt w:val="decimal"/>
      <w:suff w:val="nothing"/>
      <w:lvlText w:val="%1、"/>
      <w:lvlJc w:val="left"/>
    </w:lvl>
  </w:abstractNum>
  <w:abstractNum w:abstractNumId="6">
    <w:nsid w:val="E7891912"/>
    <w:multiLevelType w:val="singleLevel"/>
    <w:tmpl w:val="E7891912"/>
    <w:lvl w:ilvl="0" w:tentative="0">
      <w:start w:val="1"/>
      <w:numFmt w:val="decimal"/>
      <w:lvlText w:val="%1."/>
      <w:lvlJc w:val="left"/>
      <w:pPr>
        <w:ind w:left="425" w:hanging="425"/>
      </w:pPr>
      <w:rPr>
        <w:rFonts w:hint="default"/>
      </w:rPr>
    </w:lvl>
  </w:abstractNum>
  <w:abstractNum w:abstractNumId="7">
    <w:nsid w:val="0053208E"/>
    <w:multiLevelType w:val="multilevel"/>
    <w:tmpl w:val="0053208E"/>
    <w:lvl w:ilvl="0" w:tentative="0">
      <w:start w:val="1"/>
      <w:numFmt w:val="decimal"/>
      <w:pStyle w:val="14"/>
      <w:lvlText w:val="%1."/>
      <w:lvlJc w:val="left"/>
      <w:pPr>
        <w:tabs>
          <w:tab w:val="left" w:pos="1070"/>
        </w:tabs>
        <w:ind w:left="1070" w:hanging="360"/>
      </w:pPr>
      <w:rPr>
        <w:rFonts w:cs="Times New Roman"/>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8">
    <w:nsid w:val="4A900E97"/>
    <w:multiLevelType w:val="singleLevel"/>
    <w:tmpl w:val="4A900E97"/>
    <w:lvl w:ilvl="0" w:tentative="0">
      <w:start w:val="2"/>
      <w:numFmt w:val="chineseCounting"/>
      <w:suff w:val="nothing"/>
      <w:lvlText w:val="%1、"/>
      <w:lvlJc w:val="left"/>
      <w:rPr>
        <w:rFonts w:hint="eastAsia"/>
      </w:rPr>
    </w:lvl>
  </w:abstractNum>
  <w:abstractNum w:abstractNumId="9">
    <w:nsid w:val="59ADCABA"/>
    <w:multiLevelType w:val="multilevel"/>
    <w:tmpl w:val="59ADCABA"/>
    <w:lvl w:ilvl="0" w:tentative="0">
      <w:start w:val="1"/>
      <w:numFmt w:val="decimal"/>
      <w:lvlText w:val="%1."/>
      <w:lvlJc w:val="left"/>
      <w:pPr>
        <w:tabs>
          <w:tab w:val="left" w:pos="312"/>
        </w:tabs>
      </w:pPr>
      <w:rPr>
        <w:rFonts w:cs="Times New Roman"/>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0">
    <w:nsid w:val="5E29AB5A"/>
    <w:multiLevelType w:val="multilevel"/>
    <w:tmpl w:val="5E29AB5A"/>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1">
    <w:nsid w:val="5FFFB1A7"/>
    <w:multiLevelType w:val="multilevel"/>
    <w:tmpl w:val="5FFFB1A7"/>
    <w:lvl w:ilvl="0" w:tentative="0">
      <w:start w:val="1"/>
      <w:numFmt w:val="decimal"/>
      <w:suff w:val="nothing"/>
      <w:lvlText w:val="%1．"/>
      <w:lvlJc w:val="left"/>
      <w:pPr>
        <w:ind w:left="0" w:firstLine="400"/>
      </w:pPr>
      <w:rPr>
        <w:rFonts w:hint="default"/>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2">
    <w:nsid w:val="6F1B2B8D"/>
    <w:multiLevelType w:val="singleLevel"/>
    <w:tmpl w:val="6F1B2B8D"/>
    <w:lvl w:ilvl="0" w:tentative="0">
      <w:start w:val="1"/>
      <w:numFmt w:val="decimal"/>
      <w:lvlText w:val="%1."/>
      <w:lvlJc w:val="left"/>
      <w:pPr>
        <w:ind w:left="425" w:hanging="425"/>
      </w:pPr>
      <w:rPr>
        <w:rFonts w:hint="default"/>
      </w:rPr>
    </w:lvl>
  </w:abstractNum>
  <w:num w:numId="1">
    <w:abstractNumId w:val="7"/>
  </w:num>
  <w:num w:numId="2">
    <w:abstractNumId w:val="4"/>
  </w:num>
  <w:num w:numId="3">
    <w:abstractNumId w:val="6"/>
  </w:num>
  <w:num w:numId="4">
    <w:abstractNumId w:val="12"/>
  </w:num>
  <w:num w:numId="5">
    <w:abstractNumId w:val="9"/>
  </w:num>
  <w:num w:numId="6">
    <w:abstractNumId w:val="3"/>
  </w:num>
  <w:num w:numId="7">
    <w:abstractNumId w:val="1"/>
  </w:num>
  <w:num w:numId="8">
    <w:abstractNumId w:val="5"/>
  </w:num>
  <w:num w:numId="9">
    <w:abstractNumId w:val="8"/>
  </w:num>
  <w:num w:numId="10">
    <w:abstractNumId w:val="10"/>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noPunctuationKerning w:val="1"/>
  <w:characterSpacingControl w:val="doNotCompress"/>
  <w:compat>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5ZjM4MTA4OTQxNjRmOGE0NDQ0OTRkMGViMjIzYWEifQ=="/>
  </w:docVars>
  <w:rsids>
    <w:rsidRoot w:val="008A5152"/>
    <w:rsid w:val="000C1FF9"/>
    <w:rsid w:val="000C7CC5"/>
    <w:rsid w:val="00131EDF"/>
    <w:rsid w:val="001F7F7E"/>
    <w:rsid w:val="00360B5B"/>
    <w:rsid w:val="00567148"/>
    <w:rsid w:val="005A0D91"/>
    <w:rsid w:val="005F037B"/>
    <w:rsid w:val="00727443"/>
    <w:rsid w:val="007756C4"/>
    <w:rsid w:val="007C1BFC"/>
    <w:rsid w:val="007F5AB7"/>
    <w:rsid w:val="008550B9"/>
    <w:rsid w:val="008A5152"/>
    <w:rsid w:val="009269A2"/>
    <w:rsid w:val="0098388D"/>
    <w:rsid w:val="009E5B5F"/>
    <w:rsid w:val="00B608CC"/>
    <w:rsid w:val="00B7288E"/>
    <w:rsid w:val="00DE1928"/>
    <w:rsid w:val="00EF38A0"/>
    <w:rsid w:val="012706AB"/>
    <w:rsid w:val="01596446"/>
    <w:rsid w:val="0186237A"/>
    <w:rsid w:val="01AE147F"/>
    <w:rsid w:val="01F4561D"/>
    <w:rsid w:val="02251150"/>
    <w:rsid w:val="023F2212"/>
    <w:rsid w:val="026003DA"/>
    <w:rsid w:val="02755A92"/>
    <w:rsid w:val="02867E41"/>
    <w:rsid w:val="0295277A"/>
    <w:rsid w:val="02FF5E45"/>
    <w:rsid w:val="030659D3"/>
    <w:rsid w:val="030A25A4"/>
    <w:rsid w:val="03241A2B"/>
    <w:rsid w:val="03801059"/>
    <w:rsid w:val="038500F8"/>
    <w:rsid w:val="03E00A2D"/>
    <w:rsid w:val="03E94B2B"/>
    <w:rsid w:val="03EB77E1"/>
    <w:rsid w:val="03FC35CA"/>
    <w:rsid w:val="04476C1C"/>
    <w:rsid w:val="044C330C"/>
    <w:rsid w:val="04544994"/>
    <w:rsid w:val="047563BF"/>
    <w:rsid w:val="047A1C27"/>
    <w:rsid w:val="047B0B0B"/>
    <w:rsid w:val="04C6510A"/>
    <w:rsid w:val="04E35A1E"/>
    <w:rsid w:val="04E622BB"/>
    <w:rsid w:val="04FC6AE0"/>
    <w:rsid w:val="052B1173"/>
    <w:rsid w:val="057E2034"/>
    <w:rsid w:val="05AD1B88"/>
    <w:rsid w:val="05C649F8"/>
    <w:rsid w:val="062260D2"/>
    <w:rsid w:val="06514C09"/>
    <w:rsid w:val="065B15E4"/>
    <w:rsid w:val="069B7C33"/>
    <w:rsid w:val="06D51397"/>
    <w:rsid w:val="06D60267"/>
    <w:rsid w:val="06FC4B75"/>
    <w:rsid w:val="071A4FFB"/>
    <w:rsid w:val="07272049"/>
    <w:rsid w:val="07293490"/>
    <w:rsid w:val="07554285"/>
    <w:rsid w:val="07723089"/>
    <w:rsid w:val="078D3874"/>
    <w:rsid w:val="07A1571D"/>
    <w:rsid w:val="07B71D79"/>
    <w:rsid w:val="08326375"/>
    <w:rsid w:val="08F44C78"/>
    <w:rsid w:val="08FD6983"/>
    <w:rsid w:val="094F0205"/>
    <w:rsid w:val="095C06BE"/>
    <w:rsid w:val="095C18FB"/>
    <w:rsid w:val="09B63701"/>
    <w:rsid w:val="09BE4D75"/>
    <w:rsid w:val="09ED69F7"/>
    <w:rsid w:val="0A0F2E11"/>
    <w:rsid w:val="0A256F47"/>
    <w:rsid w:val="0A6A6814"/>
    <w:rsid w:val="0ACE1715"/>
    <w:rsid w:val="0ADE5B87"/>
    <w:rsid w:val="0AE463D7"/>
    <w:rsid w:val="0B344073"/>
    <w:rsid w:val="0B5F3925"/>
    <w:rsid w:val="0B6131F9"/>
    <w:rsid w:val="0B786794"/>
    <w:rsid w:val="0BC81BCE"/>
    <w:rsid w:val="0C0D3730"/>
    <w:rsid w:val="0C0D512F"/>
    <w:rsid w:val="0C581B0F"/>
    <w:rsid w:val="0C857FD9"/>
    <w:rsid w:val="0C8D69A8"/>
    <w:rsid w:val="0CFA1B57"/>
    <w:rsid w:val="0D7511DD"/>
    <w:rsid w:val="0D7D0984"/>
    <w:rsid w:val="0D847672"/>
    <w:rsid w:val="0DE8620F"/>
    <w:rsid w:val="0DF93BBD"/>
    <w:rsid w:val="0E012A71"/>
    <w:rsid w:val="0E395C1C"/>
    <w:rsid w:val="0E6354DA"/>
    <w:rsid w:val="0E883192"/>
    <w:rsid w:val="0EBB5316"/>
    <w:rsid w:val="0EF90DF3"/>
    <w:rsid w:val="0EFF1F8E"/>
    <w:rsid w:val="0F22295F"/>
    <w:rsid w:val="0F452E31"/>
    <w:rsid w:val="0FAC53B1"/>
    <w:rsid w:val="0FBD0C1A"/>
    <w:rsid w:val="0FD20B69"/>
    <w:rsid w:val="1008009D"/>
    <w:rsid w:val="109951E3"/>
    <w:rsid w:val="10A87B1C"/>
    <w:rsid w:val="10AD60E8"/>
    <w:rsid w:val="10C61D50"/>
    <w:rsid w:val="10EF0B7A"/>
    <w:rsid w:val="10FD39C4"/>
    <w:rsid w:val="10FE773C"/>
    <w:rsid w:val="116B779F"/>
    <w:rsid w:val="11C269BB"/>
    <w:rsid w:val="11C444E1"/>
    <w:rsid w:val="11DA1F57"/>
    <w:rsid w:val="12107727"/>
    <w:rsid w:val="12352A26"/>
    <w:rsid w:val="125A6BF4"/>
    <w:rsid w:val="12971BF6"/>
    <w:rsid w:val="12E36BE9"/>
    <w:rsid w:val="12EF3EDA"/>
    <w:rsid w:val="12FE3A23"/>
    <w:rsid w:val="13051255"/>
    <w:rsid w:val="13070B2A"/>
    <w:rsid w:val="131D659F"/>
    <w:rsid w:val="132A0CBC"/>
    <w:rsid w:val="132D60B6"/>
    <w:rsid w:val="13511DA5"/>
    <w:rsid w:val="135B1F37"/>
    <w:rsid w:val="1369563B"/>
    <w:rsid w:val="13907C7B"/>
    <w:rsid w:val="139C1CD8"/>
    <w:rsid w:val="139F590B"/>
    <w:rsid w:val="13DF0ACA"/>
    <w:rsid w:val="13E744B7"/>
    <w:rsid w:val="13F84916"/>
    <w:rsid w:val="14087F0D"/>
    <w:rsid w:val="14170780"/>
    <w:rsid w:val="14237BE5"/>
    <w:rsid w:val="144933C4"/>
    <w:rsid w:val="14506500"/>
    <w:rsid w:val="146D0E60"/>
    <w:rsid w:val="1482435B"/>
    <w:rsid w:val="14832432"/>
    <w:rsid w:val="148517E8"/>
    <w:rsid w:val="14860174"/>
    <w:rsid w:val="14957240"/>
    <w:rsid w:val="14C50C9C"/>
    <w:rsid w:val="1528122B"/>
    <w:rsid w:val="154B059B"/>
    <w:rsid w:val="15667941"/>
    <w:rsid w:val="157B135B"/>
    <w:rsid w:val="15892D48"/>
    <w:rsid w:val="160C28FB"/>
    <w:rsid w:val="163065E9"/>
    <w:rsid w:val="164838A4"/>
    <w:rsid w:val="1699418F"/>
    <w:rsid w:val="16B849F9"/>
    <w:rsid w:val="16CE195E"/>
    <w:rsid w:val="172872C1"/>
    <w:rsid w:val="1737159A"/>
    <w:rsid w:val="177D585E"/>
    <w:rsid w:val="17C84600"/>
    <w:rsid w:val="18257A1E"/>
    <w:rsid w:val="182E6B59"/>
    <w:rsid w:val="18610CDC"/>
    <w:rsid w:val="186747EB"/>
    <w:rsid w:val="18C179CD"/>
    <w:rsid w:val="18E15979"/>
    <w:rsid w:val="190873AA"/>
    <w:rsid w:val="19114A56"/>
    <w:rsid w:val="192F6693"/>
    <w:rsid w:val="193463F1"/>
    <w:rsid w:val="19437C60"/>
    <w:rsid w:val="19520625"/>
    <w:rsid w:val="196A0064"/>
    <w:rsid w:val="198A612C"/>
    <w:rsid w:val="19B60738"/>
    <w:rsid w:val="1A384090"/>
    <w:rsid w:val="1A5403CD"/>
    <w:rsid w:val="1A75058A"/>
    <w:rsid w:val="1A7647E7"/>
    <w:rsid w:val="1AC32B7C"/>
    <w:rsid w:val="1AFF47DC"/>
    <w:rsid w:val="1B4D0506"/>
    <w:rsid w:val="1BA15893"/>
    <w:rsid w:val="1C4133A8"/>
    <w:rsid w:val="1C646FED"/>
    <w:rsid w:val="1CC15C8B"/>
    <w:rsid w:val="1CC57360"/>
    <w:rsid w:val="1CF739BD"/>
    <w:rsid w:val="1CFA525B"/>
    <w:rsid w:val="1CFE585B"/>
    <w:rsid w:val="1DB00010"/>
    <w:rsid w:val="1DF0665E"/>
    <w:rsid w:val="1E2C58E8"/>
    <w:rsid w:val="1E4B0C15"/>
    <w:rsid w:val="1E7554E1"/>
    <w:rsid w:val="1E9870CF"/>
    <w:rsid w:val="1ECB5101"/>
    <w:rsid w:val="1ECC2C27"/>
    <w:rsid w:val="1EED0876"/>
    <w:rsid w:val="1F5B215A"/>
    <w:rsid w:val="1F7A36E2"/>
    <w:rsid w:val="1F882FF2"/>
    <w:rsid w:val="1F972790"/>
    <w:rsid w:val="1F9C084C"/>
    <w:rsid w:val="1F9F20EA"/>
    <w:rsid w:val="1FB43DE7"/>
    <w:rsid w:val="1FC550BE"/>
    <w:rsid w:val="1FDE70B6"/>
    <w:rsid w:val="1FF95C9E"/>
    <w:rsid w:val="200563F1"/>
    <w:rsid w:val="20084133"/>
    <w:rsid w:val="20144886"/>
    <w:rsid w:val="20E15355"/>
    <w:rsid w:val="213056EF"/>
    <w:rsid w:val="215559FC"/>
    <w:rsid w:val="217001E2"/>
    <w:rsid w:val="217750CC"/>
    <w:rsid w:val="218B6DCA"/>
    <w:rsid w:val="21AF0D0A"/>
    <w:rsid w:val="21B43F2C"/>
    <w:rsid w:val="21DA565B"/>
    <w:rsid w:val="22235254"/>
    <w:rsid w:val="223C1E72"/>
    <w:rsid w:val="22485C15"/>
    <w:rsid w:val="224E48BB"/>
    <w:rsid w:val="227B706A"/>
    <w:rsid w:val="22B440FE"/>
    <w:rsid w:val="22C00CF5"/>
    <w:rsid w:val="22E744D4"/>
    <w:rsid w:val="22F233EB"/>
    <w:rsid w:val="23447230"/>
    <w:rsid w:val="23614286"/>
    <w:rsid w:val="238177E3"/>
    <w:rsid w:val="239C0C8D"/>
    <w:rsid w:val="23A140B7"/>
    <w:rsid w:val="23C06D7D"/>
    <w:rsid w:val="23D749CD"/>
    <w:rsid w:val="23FC3FAF"/>
    <w:rsid w:val="245165E7"/>
    <w:rsid w:val="2467042A"/>
    <w:rsid w:val="246D6C5B"/>
    <w:rsid w:val="247B55C5"/>
    <w:rsid w:val="248D2E59"/>
    <w:rsid w:val="24A0493A"/>
    <w:rsid w:val="25302162"/>
    <w:rsid w:val="253B4663"/>
    <w:rsid w:val="25537BFE"/>
    <w:rsid w:val="255D6CCF"/>
    <w:rsid w:val="25755470"/>
    <w:rsid w:val="257F6C45"/>
    <w:rsid w:val="25D86356"/>
    <w:rsid w:val="261465EB"/>
    <w:rsid w:val="262D6ADE"/>
    <w:rsid w:val="26795443"/>
    <w:rsid w:val="26881206"/>
    <w:rsid w:val="26995AE5"/>
    <w:rsid w:val="26AD333E"/>
    <w:rsid w:val="27035654"/>
    <w:rsid w:val="27C616D2"/>
    <w:rsid w:val="27D25752"/>
    <w:rsid w:val="27E020BF"/>
    <w:rsid w:val="27E41BBE"/>
    <w:rsid w:val="27E9484A"/>
    <w:rsid w:val="28011B94"/>
    <w:rsid w:val="282E5827"/>
    <w:rsid w:val="286D7229"/>
    <w:rsid w:val="28845678"/>
    <w:rsid w:val="28904CC6"/>
    <w:rsid w:val="2899001E"/>
    <w:rsid w:val="28B430AA"/>
    <w:rsid w:val="28BB12D9"/>
    <w:rsid w:val="28EA6ACC"/>
    <w:rsid w:val="290C6A42"/>
    <w:rsid w:val="292952F5"/>
    <w:rsid w:val="295D54F0"/>
    <w:rsid w:val="296A09E4"/>
    <w:rsid w:val="29B33362"/>
    <w:rsid w:val="29C76E0D"/>
    <w:rsid w:val="2A061347"/>
    <w:rsid w:val="2A473AAA"/>
    <w:rsid w:val="2A841F63"/>
    <w:rsid w:val="2A967735"/>
    <w:rsid w:val="2ACB7982"/>
    <w:rsid w:val="2AFB6D6E"/>
    <w:rsid w:val="2AFC6660"/>
    <w:rsid w:val="2BA2543C"/>
    <w:rsid w:val="2BA72A52"/>
    <w:rsid w:val="2BA967CA"/>
    <w:rsid w:val="2BD1187D"/>
    <w:rsid w:val="2BF0264B"/>
    <w:rsid w:val="2C4402A1"/>
    <w:rsid w:val="2C506C46"/>
    <w:rsid w:val="2CC41574"/>
    <w:rsid w:val="2CE43832"/>
    <w:rsid w:val="2CF63500"/>
    <w:rsid w:val="2CFC0B7C"/>
    <w:rsid w:val="2D151C3D"/>
    <w:rsid w:val="2D1B36F8"/>
    <w:rsid w:val="2D1C121E"/>
    <w:rsid w:val="2D1C2FCC"/>
    <w:rsid w:val="2D497877"/>
    <w:rsid w:val="2D7B7CF2"/>
    <w:rsid w:val="2DA42EE9"/>
    <w:rsid w:val="2DAF5BEE"/>
    <w:rsid w:val="2E8452CD"/>
    <w:rsid w:val="2ED27DE6"/>
    <w:rsid w:val="2EDF615F"/>
    <w:rsid w:val="2EE144CD"/>
    <w:rsid w:val="2EEB5029"/>
    <w:rsid w:val="2EF02962"/>
    <w:rsid w:val="2F0E4B96"/>
    <w:rsid w:val="2F464330"/>
    <w:rsid w:val="2F725123"/>
    <w:rsid w:val="2F726A97"/>
    <w:rsid w:val="2F9953DE"/>
    <w:rsid w:val="2FAC6889"/>
    <w:rsid w:val="301663F8"/>
    <w:rsid w:val="306058C5"/>
    <w:rsid w:val="30642C33"/>
    <w:rsid w:val="30F15FBD"/>
    <w:rsid w:val="31175F84"/>
    <w:rsid w:val="31603DCF"/>
    <w:rsid w:val="31644F41"/>
    <w:rsid w:val="3183186B"/>
    <w:rsid w:val="318A2BFA"/>
    <w:rsid w:val="31BA18BD"/>
    <w:rsid w:val="31C12394"/>
    <w:rsid w:val="32252923"/>
    <w:rsid w:val="323A4165"/>
    <w:rsid w:val="324234D5"/>
    <w:rsid w:val="324C6101"/>
    <w:rsid w:val="325D030E"/>
    <w:rsid w:val="327D62BB"/>
    <w:rsid w:val="32EB2F10"/>
    <w:rsid w:val="32ED1692"/>
    <w:rsid w:val="332F33FD"/>
    <w:rsid w:val="33520A10"/>
    <w:rsid w:val="3368056A"/>
    <w:rsid w:val="337A67A6"/>
    <w:rsid w:val="339715FE"/>
    <w:rsid w:val="339733AC"/>
    <w:rsid w:val="339A687B"/>
    <w:rsid w:val="33B64797"/>
    <w:rsid w:val="33F26834"/>
    <w:rsid w:val="34313AAC"/>
    <w:rsid w:val="347A51A8"/>
    <w:rsid w:val="348002E4"/>
    <w:rsid w:val="34A9783B"/>
    <w:rsid w:val="34AF23C5"/>
    <w:rsid w:val="34C44675"/>
    <w:rsid w:val="359F165A"/>
    <w:rsid w:val="35D00DF7"/>
    <w:rsid w:val="362D7FF8"/>
    <w:rsid w:val="365B2DB7"/>
    <w:rsid w:val="366C4C39"/>
    <w:rsid w:val="36703696"/>
    <w:rsid w:val="36AC0F31"/>
    <w:rsid w:val="36D4023B"/>
    <w:rsid w:val="373B6744"/>
    <w:rsid w:val="375479B9"/>
    <w:rsid w:val="37EF1A09"/>
    <w:rsid w:val="380E11B5"/>
    <w:rsid w:val="38327B47"/>
    <w:rsid w:val="385F357C"/>
    <w:rsid w:val="3862667F"/>
    <w:rsid w:val="3882287D"/>
    <w:rsid w:val="38D94467"/>
    <w:rsid w:val="38E5105E"/>
    <w:rsid w:val="38EC5F48"/>
    <w:rsid w:val="38EE0521"/>
    <w:rsid w:val="39472CE8"/>
    <w:rsid w:val="397C551E"/>
    <w:rsid w:val="398038A7"/>
    <w:rsid w:val="39B527DE"/>
    <w:rsid w:val="39B8407C"/>
    <w:rsid w:val="39D23390"/>
    <w:rsid w:val="3A250810"/>
    <w:rsid w:val="3A4662C7"/>
    <w:rsid w:val="3A9315A8"/>
    <w:rsid w:val="3AAD767D"/>
    <w:rsid w:val="3AC71463"/>
    <w:rsid w:val="3AFB6043"/>
    <w:rsid w:val="3B585B17"/>
    <w:rsid w:val="3B6C3370"/>
    <w:rsid w:val="3B901966"/>
    <w:rsid w:val="3BBA2067"/>
    <w:rsid w:val="3C3D6ABB"/>
    <w:rsid w:val="3C9E57AB"/>
    <w:rsid w:val="3CBA7F82"/>
    <w:rsid w:val="3CCC056A"/>
    <w:rsid w:val="3CCF005B"/>
    <w:rsid w:val="3D233F03"/>
    <w:rsid w:val="3D424B72"/>
    <w:rsid w:val="3D516CC2"/>
    <w:rsid w:val="3D7E57B5"/>
    <w:rsid w:val="3D8B543F"/>
    <w:rsid w:val="3D92565F"/>
    <w:rsid w:val="3DC47D28"/>
    <w:rsid w:val="3E071FD3"/>
    <w:rsid w:val="3E171CB9"/>
    <w:rsid w:val="3E3321C4"/>
    <w:rsid w:val="3E410AE4"/>
    <w:rsid w:val="3E4660FB"/>
    <w:rsid w:val="3E5A3954"/>
    <w:rsid w:val="3E6B3DB3"/>
    <w:rsid w:val="3E9926CE"/>
    <w:rsid w:val="3EA41B2F"/>
    <w:rsid w:val="3EAD431B"/>
    <w:rsid w:val="3EC05EAD"/>
    <w:rsid w:val="3ED823F9"/>
    <w:rsid w:val="3EEA28D5"/>
    <w:rsid w:val="3EEB1B16"/>
    <w:rsid w:val="3EF76DA0"/>
    <w:rsid w:val="3F063AB8"/>
    <w:rsid w:val="3F0E0D25"/>
    <w:rsid w:val="3F5213BA"/>
    <w:rsid w:val="3FA550A3"/>
    <w:rsid w:val="3FA72BC9"/>
    <w:rsid w:val="3FF81676"/>
    <w:rsid w:val="3FF977EF"/>
    <w:rsid w:val="407451A1"/>
    <w:rsid w:val="40AD420F"/>
    <w:rsid w:val="40B27F79"/>
    <w:rsid w:val="40B9799B"/>
    <w:rsid w:val="40CA394E"/>
    <w:rsid w:val="40EB1D66"/>
    <w:rsid w:val="4108722C"/>
    <w:rsid w:val="41126768"/>
    <w:rsid w:val="41272213"/>
    <w:rsid w:val="41395AA3"/>
    <w:rsid w:val="413D1A37"/>
    <w:rsid w:val="4181210C"/>
    <w:rsid w:val="41E06866"/>
    <w:rsid w:val="4207597A"/>
    <w:rsid w:val="420C31B7"/>
    <w:rsid w:val="425F401B"/>
    <w:rsid w:val="42664FBD"/>
    <w:rsid w:val="42764AD5"/>
    <w:rsid w:val="428B4A24"/>
    <w:rsid w:val="42A772EB"/>
    <w:rsid w:val="42C30744"/>
    <w:rsid w:val="42CA554C"/>
    <w:rsid w:val="431762B8"/>
    <w:rsid w:val="43192030"/>
    <w:rsid w:val="432C2862"/>
    <w:rsid w:val="433A0BD7"/>
    <w:rsid w:val="438356FB"/>
    <w:rsid w:val="438B0671"/>
    <w:rsid w:val="43943464"/>
    <w:rsid w:val="439952CA"/>
    <w:rsid w:val="44052591"/>
    <w:rsid w:val="44240E0B"/>
    <w:rsid w:val="443133A9"/>
    <w:rsid w:val="4431500F"/>
    <w:rsid w:val="443416F4"/>
    <w:rsid w:val="443A04B0"/>
    <w:rsid w:val="444640E7"/>
    <w:rsid w:val="44476729"/>
    <w:rsid w:val="446C5795"/>
    <w:rsid w:val="448636F5"/>
    <w:rsid w:val="44BA7116"/>
    <w:rsid w:val="44DE52DF"/>
    <w:rsid w:val="44FC588B"/>
    <w:rsid w:val="452B429C"/>
    <w:rsid w:val="45375CA5"/>
    <w:rsid w:val="454F07B8"/>
    <w:rsid w:val="455D4590"/>
    <w:rsid w:val="456815F5"/>
    <w:rsid w:val="459001E0"/>
    <w:rsid w:val="45D60E05"/>
    <w:rsid w:val="45DB537A"/>
    <w:rsid w:val="46154166"/>
    <w:rsid w:val="462417D4"/>
    <w:rsid w:val="46242FBD"/>
    <w:rsid w:val="462431C5"/>
    <w:rsid w:val="469C7200"/>
    <w:rsid w:val="46A55988"/>
    <w:rsid w:val="46A63BDA"/>
    <w:rsid w:val="46A70306"/>
    <w:rsid w:val="46E22739"/>
    <w:rsid w:val="471D091C"/>
    <w:rsid w:val="47251A46"/>
    <w:rsid w:val="47AA383E"/>
    <w:rsid w:val="47B57E4D"/>
    <w:rsid w:val="47B9793D"/>
    <w:rsid w:val="48013092"/>
    <w:rsid w:val="4851401A"/>
    <w:rsid w:val="485D3380"/>
    <w:rsid w:val="486C5191"/>
    <w:rsid w:val="487E46E3"/>
    <w:rsid w:val="488F68F0"/>
    <w:rsid w:val="489B15FB"/>
    <w:rsid w:val="48B85E47"/>
    <w:rsid w:val="48F52BF7"/>
    <w:rsid w:val="492928A1"/>
    <w:rsid w:val="492D638D"/>
    <w:rsid w:val="49301E81"/>
    <w:rsid w:val="49423962"/>
    <w:rsid w:val="49553696"/>
    <w:rsid w:val="49634005"/>
    <w:rsid w:val="49C33FF5"/>
    <w:rsid w:val="49C64593"/>
    <w:rsid w:val="49CD76D0"/>
    <w:rsid w:val="49D96075"/>
    <w:rsid w:val="49EC224C"/>
    <w:rsid w:val="4A0B3920"/>
    <w:rsid w:val="4A6F5CAB"/>
    <w:rsid w:val="4A793FA1"/>
    <w:rsid w:val="4AB24207"/>
    <w:rsid w:val="4ABA6E77"/>
    <w:rsid w:val="4AE73BD3"/>
    <w:rsid w:val="4AEC627C"/>
    <w:rsid w:val="4B4A363C"/>
    <w:rsid w:val="4BB5666E"/>
    <w:rsid w:val="4BD42F98"/>
    <w:rsid w:val="4BDE5BC4"/>
    <w:rsid w:val="4C1710D6"/>
    <w:rsid w:val="4C334E7A"/>
    <w:rsid w:val="4C4C5224"/>
    <w:rsid w:val="4C8D1398"/>
    <w:rsid w:val="4CA87F80"/>
    <w:rsid w:val="4CCD32E2"/>
    <w:rsid w:val="4CD221DC"/>
    <w:rsid w:val="4D1F6494"/>
    <w:rsid w:val="4D6245D3"/>
    <w:rsid w:val="4D8E6C2B"/>
    <w:rsid w:val="4D977488"/>
    <w:rsid w:val="4DA051A2"/>
    <w:rsid w:val="4DD0778F"/>
    <w:rsid w:val="4DE44FE8"/>
    <w:rsid w:val="4DED20EF"/>
    <w:rsid w:val="4E092789"/>
    <w:rsid w:val="4E0D2C50"/>
    <w:rsid w:val="4EAD3AA1"/>
    <w:rsid w:val="4ECC660A"/>
    <w:rsid w:val="4EF86F9D"/>
    <w:rsid w:val="4F0C6BD3"/>
    <w:rsid w:val="4F367AC5"/>
    <w:rsid w:val="4F4246BC"/>
    <w:rsid w:val="4F42646A"/>
    <w:rsid w:val="4F651131"/>
    <w:rsid w:val="4F8D5DC0"/>
    <w:rsid w:val="4F9A042C"/>
    <w:rsid w:val="4FF963FF"/>
    <w:rsid w:val="500E2419"/>
    <w:rsid w:val="500E459E"/>
    <w:rsid w:val="501E52BF"/>
    <w:rsid w:val="50306FB5"/>
    <w:rsid w:val="50466411"/>
    <w:rsid w:val="505E0265"/>
    <w:rsid w:val="50680152"/>
    <w:rsid w:val="50C335DB"/>
    <w:rsid w:val="50CF7548"/>
    <w:rsid w:val="50D61560"/>
    <w:rsid w:val="50EA5B3B"/>
    <w:rsid w:val="50EF43D0"/>
    <w:rsid w:val="50F52D6D"/>
    <w:rsid w:val="51042B77"/>
    <w:rsid w:val="510F4A72"/>
    <w:rsid w:val="51312C3A"/>
    <w:rsid w:val="51501312"/>
    <w:rsid w:val="515D42A4"/>
    <w:rsid w:val="517174DB"/>
    <w:rsid w:val="51B41F65"/>
    <w:rsid w:val="51E23F34"/>
    <w:rsid w:val="51EB2DE9"/>
    <w:rsid w:val="51ED4DB3"/>
    <w:rsid w:val="51FD2B1C"/>
    <w:rsid w:val="521C2FA3"/>
    <w:rsid w:val="523227C6"/>
    <w:rsid w:val="52387288"/>
    <w:rsid w:val="52636E23"/>
    <w:rsid w:val="52C5188C"/>
    <w:rsid w:val="52F656AA"/>
    <w:rsid w:val="53121757"/>
    <w:rsid w:val="534E6BE3"/>
    <w:rsid w:val="535844AE"/>
    <w:rsid w:val="538F0952"/>
    <w:rsid w:val="53BA0CC5"/>
    <w:rsid w:val="53BC2C8F"/>
    <w:rsid w:val="543A7700"/>
    <w:rsid w:val="54723C7D"/>
    <w:rsid w:val="54751090"/>
    <w:rsid w:val="54996B2C"/>
    <w:rsid w:val="549C486F"/>
    <w:rsid w:val="550C37A2"/>
    <w:rsid w:val="551C775D"/>
    <w:rsid w:val="553875A9"/>
    <w:rsid w:val="55F46B20"/>
    <w:rsid w:val="564C5E20"/>
    <w:rsid w:val="56856D59"/>
    <w:rsid w:val="56B302FF"/>
    <w:rsid w:val="56E44D2C"/>
    <w:rsid w:val="57057D75"/>
    <w:rsid w:val="573967DC"/>
    <w:rsid w:val="57555BD4"/>
    <w:rsid w:val="57664CA5"/>
    <w:rsid w:val="576F0018"/>
    <w:rsid w:val="57715B3F"/>
    <w:rsid w:val="579D2DD8"/>
    <w:rsid w:val="57C00874"/>
    <w:rsid w:val="57DB745C"/>
    <w:rsid w:val="58011F64"/>
    <w:rsid w:val="581F1A3E"/>
    <w:rsid w:val="582A3F3F"/>
    <w:rsid w:val="582B3D3E"/>
    <w:rsid w:val="585149AD"/>
    <w:rsid w:val="5866083B"/>
    <w:rsid w:val="58AE4B70"/>
    <w:rsid w:val="58BA3515"/>
    <w:rsid w:val="58CB60C1"/>
    <w:rsid w:val="59045457"/>
    <w:rsid w:val="591921F7"/>
    <w:rsid w:val="592A2449"/>
    <w:rsid w:val="593432C8"/>
    <w:rsid w:val="593E5EF4"/>
    <w:rsid w:val="598D0C2A"/>
    <w:rsid w:val="59C96098"/>
    <w:rsid w:val="59F17F4A"/>
    <w:rsid w:val="59F367F2"/>
    <w:rsid w:val="5A1F7AD4"/>
    <w:rsid w:val="5A3612C1"/>
    <w:rsid w:val="5AAE6A20"/>
    <w:rsid w:val="5AB81CD6"/>
    <w:rsid w:val="5ACB1A0A"/>
    <w:rsid w:val="5ADC3C17"/>
    <w:rsid w:val="5B0B62AA"/>
    <w:rsid w:val="5B152C85"/>
    <w:rsid w:val="5B527A35"/>
    <w:rsid w:val="5B962018"/>
    <w:rsid w:val="5BA1276A"/>
    <w:rsid w:val="5BB054F9"/>
    <w:rsid w:val="5BBE50CA"/>
    <w:rsid w:val="5BE2525D"/>
    <w:rsid w:val="5C1E3202"/>
    <w:rsid w:val="5C2D3FFE"/>
    <w:rsid w:val="5C4850FD"/>
    <w:rsid w:val="5C785C8A"/>
    <w:rsid w:val="5C79404F"/>
    <w:rsid w:val="5CA933F2"/>
    <w:rsid w:val="5CBB0F9F"/>
    <w:rsid w:val="5CBD5382"/>
    <w:rsid w:val="5CCC13DE"/>
    <w:rsid w:val="5CE7781B"/>
    <w:rsid w:val="5CF702E9"/>
    <w:rsid w:val="5D105DFA"/>
    <w:rsid w:val="5D2D69AC"/>
    <w:rsid w:val="5D3A49E0"/>
    <w:rsid w:val="5D5061F6"/>
    <w:rsid w:val="5D635F29"/>
    <w:rsid w:val="5D742D04"/>
    <w:rsid w:val="5D982259"/>
    <w:rsid w:val="5D9F2CDA"/>
    <w:rsid w:val="5E056FE1"/>
    <w:rsid w:val="5E1E4546"/>
    <w:rsid w:val="5E4A533B"/>
    <w:rsid w:val="5E4B658E"/>
    <w:rsid w:val="5E954808"/>
    <w:rsid w:val="5F016236"/>
    <w:rsid w:val="5F04373C"/>
    <w:rsid w:val="5F5226F9"/>
    <w:rsid w:val="5F841E36"/>
    <w:rsid w:val="5F8A1E93"/>
    <w:rsid w:val="5F9E0160"/>
    <w:rsid w:val="5FA16C3A"/>
    <w:rsid w:val="5FD8371D"/>
    <w:rsid w:val="5FDC1FC3"/>
    <w:rsid w:val="5FDD176C"/>
    <w:rsid w:val="601E6FA6"/>
    <w:rsid w:val="60522285"/>
    <w:rsid w:val="60597AB8"/>
    <w:rsid w:val="60C32ECA"/>
    <w:rsid w:val="60F021CA"/>
    <w:rsid w:val="60F15600"/>
    <w:rsid w:val="60FD0443"/>
    <w:rsid w:val="61321F75"/>
    <w:rsid w:val="613D0F27"/>
    <w:rsid w:val="616D381B"/>
    <w:rsid w:val="618D5C6B"/>
    <w:rsid w:val="61970898"/>
    <w:rsid w:val="61A07306"/>
    <w:rsid w:val="61BC02FE"/>
    <w:rsid w:val="61E67129"/>
    <w:rsid w:val="62127F1E"/>
    <w:rsid w:val="62214858"/>
    <w:rsid w:val="624E5362"/>
    <w:rsid w:val="625978FB"/>
    <w:rsid w:val="6289392C"/>
    <w:rsid w:val="62981606"/>
    <w:rsid w:val="629D3C8C"/>
    <w:rsid w:val="62A31A64"/>
    <w:rsid w:val="62D578C9"/>
    <w:rsid w:val="62FE04A2"/>
    <w:rsid w:val="63277162"/>
    <w:rsid w:val="63511692"/>
    <w:rsid w:val="637A0055"/>
    <w:rsid w:val="63860958"/>
    <w:rsid w:val="638E13E1"/>
    <w:rsid w:val="63A728E8"/>
    <w:rsid w:val="6432467C"/>
    <w:rsid w:val="644B46DD"/>
    <w:rsid w:val="64754C21"/>
    <w:rsid w:val="647F41B9"/>
    <w:rsid w:val="65006754"/>
    <w:rsid w:val="651D10B4"/>
    <w:rsid w:val="65414F7C"/>
    <w:rsid w:val="655E275C"/>
    <w:rsid w:val="657C4DD9"/>
    <w:rsid w:val="65946FFE"/>
    <w:rsid w:val="65B71508"/>
    <w:rsid w:val="65CD6565"/>
    <w:rsid w:val="65D2410F"/>
    <w:rsid w:val="65E06E0D"/>
    <w:rsid w:val="65FE7137"/>
    <w:rsid w:val="661029C7"/>
    <w:rsid w:val="66195D1F"/>
    <w:rsid w:val="66417024"/>
    <w:rsid w:val="66434C5E"/>
    <w:rsid w:val="66526116"/>
    <w:rsid w:val="66703465"/>
    <w:rsid w:val="66A157C7"/>
    <w:rsid w:val="66AE2D36"/>
    <w:rsid w:val="66B43C9A"/>
    <w:rsid w:val="66BC5441"/>
    <w:rsid w:val="670B3991"/>
    <w:rsid w:val="671367FA"/>
    <w:rsid w:val="675D1C3B"/>
    <w:rsid w:val="67A55390"/>
    <w:rsid w:val="67C43A69"/>
    <w:rsid w:val="67D143D7"/>
    <w:rsid w:val="67EE073B"/>
    <w:rsid w:val="67F83FD4"/>
    <w:rsid w:val="683530B2"/>
    <w:rsid w:val="6857391B"/>
    <w:rsid w:val="688F051A"/>
    <w:rsid w:val="68BE2BAE"/>
    <w:rsid w:val="68C913BD"/>
    <w:rsid w:val="68D128C9"/>
    <w:rsid w:val="68EA5751"/>
    <w:rsid w:val="68EB0ED6"/>
    <w:rsid w:val="69230C63"/>
    <w:rsid w:val="69492A51"/>
    <w:rsid w:val="69AF0748"/>
    <w:rsid w:val="69DA3A17"/>
    <w:rsid w:val="6A2F418C"/>
    <w:rsid w:val="6A4C7BDB"/>
    <w:rsid w:val="6A885221"/>
    <w:rsid w:val="6A892D47"/>
    <w:rsid w:val="6A9811DC"/>
    <w:rsid w:val="6AC65D4A"/>
    <w:rsid w:val="6AD541DF"/>
    <w:rsid w:val="6B037509"/>
    <w:rsid w:val="6B0A2445"/>
    <w:rsid w:val="6B160F51"/>
    <w:rsid w:val="6BA02A3F"/>
    <w:rsid w:val="6BEB2484"/>
    <w:rsid w:val="6BF07522"/>
    <w:rsid w:val="6C5630FD"/>
    <w:rsid w:val="6C5C0714"/>
    <w:rsid w:val="6C7810DD"/>
    <w:rsid w:val="6C7C2B64"/>
    <w:rsid w:val="6C904861"/>
    <w:rsid w:val="6C986466"/>
    <w:rsid w:val="6CAC4088"/>
    <w:rsid w:val="6CB322FE"/>
    <w:rsid w:val="6CCD33BF"/>
    <w:rsid w:val="6CD52274"/>
    <w:rsid w:val="6D486EEA"/>
    <w:rsid w:val="6D4A4A10"/>
    <w:rsid w:val="6D4C3527"/>
    <w:rsid w:val="6D5E495F"/>
    <w:rsid w:val="6D6D4BA2"/>
    <w:rsid w:val="6D7D3037"/>
    <w:rsid w:val="6D821E63"/>
    <w:rsid w:val="6DBB590E"/>
    <w:rsid w:val="6E07016B"/>
    <w:rsid w:val="6E1119D2"/>
    <w:rsid w:val="6E1F4ECA"/>
    <w:rsid w:val="6E2A65EF"/>
    <w:rsid w:val="6E361438"/>
    <w:rsid w:val="6E3631E6"/>
    <w:rsid w:val="6E4A51F2"/>
    <w:rsid w:val="6E932C1C"/>
    <w:rsid w:val="6EC16F54"/>
    <w:rsid w:val="6EC32CCC"/>
    <w:rsid w:val="6EC9405A"/>
    <w:rsid w:val="6EEE3586"/>
    <w:rsid w:val="6F644604"/>
    <w:rsid w:val="6F6C3363"/>
    <w:rsid w:val="6F86358D"/>
    <w:rsid w:val="6FE74798"/>
    <w:rsid w:val="70003AAC"/>
    <w:rsid w:val="70017A54"/>
    <w:rsid w:val="70455963"/>
    <w:rsid w:val="705F4C76"/>
    <w:rsid w:val="70643898"/>
    <w:rsid w:val="70AC7C7E"/>
    <w:rsid w:val="70CD5DAB"/>
    <w:rsid w:val="70DA7947"/>
    <w:rsid w:val="70EB475C"/>
    <w:rsid w:val="70F322CE"/>
    <w:rsid w:val="712437CA"/>
    <w:rsid w:val="719941B8"/>
    <w:rsid w:val="721B4BCD"/>
    <w:rsid w:val="722D26A6"/>
    <w:rsid w:val="72744FEC"/>
    <w:rsid w:val="72AF5315"/>
    <w:rsid w:val="73104006"/>
    <w:rsid w:val="73133AF6"/>
    <w:rsid w:val="731358A4"/>
    <w:rsid w:val="731C0BFD"/>
    <w:rsid w:val="732D4DBE"/>
    <w:rsid w:val="733A5527"/>
    <w:rsid w:val="733E6DC5"/>
    <w:rsid w:val="735D2FC3"/>
    <w:rsid w:val="73634A7D"/>
    <w:rsid w:val="737E2EB0"/>
    <w:rsid w:val="73A155A6"/>
    <w:rsid w:val="73B057E9"/>
    <w:rsid w:val="73BC3038"/>
    <w:rsid w:val="73D94D40"/>
    <w:rsid w:val="73EA2AA9"/>
    <w:rsid w:val="73F25E01"/>
    <w:rsid w:val="740750D9"/>
    <w:rsid w:val="7419338E"/>
    <w:rsid w:val="7420471D"/>
    <w:rsid w:val="7440091B"/>
    <w:rsid w:val="74460FD9"/>
    <w:rsid w:val="748C3B60"/>
    <w:rsid w:val="748D1686"/>
    <w:rsid w:val="751D2A0A"/>
    <w:rsid w:val="755A5A0C"/>
    <w:rsid w:val="75656A7A"/>
    <w:rsid w:val="75BC66C7"/>
    <w:rsid w:val="75C335B1"/>
    <w:rsid w:val="75C4732A"/>
    <w:rsid w:val="762D3121"/>
    <w:rsid w:val="76766705"/>
    <w:rsid w:val="7684397E"/>
    <w:rsid w:val="7691545E"/>
    <w:rsid w:val="76C03F95"/>
    <w:rsid w:val="772B58B2"/>
    <w:rsid w:val="77370D3A"/>
    <w:rsid w:val="774249AA"/>
    <w:rsid w:val="77512E3F"/>
    <w:rsid w:val="77550B81"/>
    <w:rsid w:val="779667DF"/>
    <w:rsid w:val="77E231F3"/>
    <w:rsid w:val="78276D39"/>
    <w:rsid w:val="78567D96"/>
    <w:rsid w:val="78874D6A"/>
    <w:rsid w:val="788D7EA7"/>
    <w:rsid w:val="78931961"/>
    <w:rsid w:val="789E20B4"/>
    <w:rsid w:val="78C87131"/>
    <w:rsid w:val="7907369D"/>
    <w:rsid w:val="79575803"/>
    <w:rsid w:val="796F2EDC"/>
    <w:rsid w:val="79725A1A"/>
    <w:rsid w:val="798E3ED6"/>
    <w:rsid w:val="799C6753"/>
    <w:rsid w:val="79AE4579"/>
    <w:rsid w:val="79FE105C"/>
    <w:rsid w:val="7A3B22B0"/>
    <w:rsid w:val="7A48677B"/>
    <w:rsid w:val="7A5404F2"/>
    <w:rsid w:val="7ABD312E"/>
    <w:rsid w:val="7AD7365B"/>
    <w:rsid w:val="7AFB37ED"/>
    <w:rsid w:val="7B1A0118"/>
    <w:rsid w:val="7B252A78"/>
    <w:rsid w:val="7B2C2BB5"/>
    <w:rsid w:val="7B3F7B7E"/>
    <w:rsid w:val="7B5D6256"/>
    <w:rsid w:val="7B9A3006"/>
    <w:rsid w:val="7BF60CD0"/>
    <w:rsid w:val="7C134B67"/>
    <w:rsid w:val="7C1A66F4"/>
    <w:rsid w:val="7C354ADD"/>
    <w:rsid w:val="7C967055"/>
    <w:rsid w:val="7C984DB2"/>
    <w:rsid w:val="7CC12815"/>
    <w:rsid w:val="7CDC4FC8"/>
    <w:rsid w:val="7CEA4884"/>
    <w:rsid w:val="7CF95B0B"/>
    <w:rsid w:val="7D294A49"/>
    <w:rsid w:val="7D317DEE"/>
    <w:rsid w:val="7D425704"/>
    <w:rsid w:val="7D451493"/>
    <w:rsid w:val="7D493485"/>
    <w:rsid w:val="7D5316BF"/>
    <w:rsid w:val="7D6C2E8F"/>
    <w:rsid w:val="7D842635"/>
    <w:rsid w:val="7DA63EE4"/>
    <w:rsid w:val="7DEE3196"/>
    <w:rsid w:val="7E002EC9"/>
    <w:rsid w:val="7E0714B7"/>
    <w:rsid w:val="7E096221"/>
    <w:rsid w:val="7E1075B0"/>
    <w:rsid w:val="7E5F6222"/>
    <w:rsid w:val="7EBB39C0"/>
    <w:rsid w:val="7EC00FD6"/>
    <w:rsid w:val="7EC51355"/>
    <w:rsid w:val="7EE43CD7"/>
    <w:rsid w:val="7EED78F1"/>
    <w:rsid w:val="7F3823EB"/>
    <w:rsid w:val="7F674754"/>
    <w:rsid w:val="7F6842A4"/>
    <w:rsid w:val="7F92418F"/>
    <w:rsid w:val="7F991773"/>
    <w:rsid w:val="7FBC7F69"/>
    <w:rsid w:val="7FE66564"/>
    <w:rsid w:val="BFFD1B79"/>
    <w:rsid w:val="FAE6D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nhideWhenUsed="0" w:uiPriority="1"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0"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nhideWhenUsed="0"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qFormat="1"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1"/>
      <w:lang w:val="en-US" w:eastAsia="zh-CN" w:bidi="ar-SA"/>
    </w:rPr>
  </w:style>
  <w:style w:type="paragraph" w:styleId="3">
    <w:name w:val="heading 1"/>
    <w:basedOn w:val="1"/>
    <w:next w:val="1"/>
    <w:qFormat/>
    <w:uiPriority w:val="0"/>
    <w:pPr>
      <w:keepNext/>
      <w:keepLines/>
      <w:spacing w:before="340" w:after="330" w:line="576" w:lineRule="auto"/>
      <w:outlineLvl w:val="0"/>
    </w:pPr>
    <w:rPr>
      <w:rFonts w:hint="eastAsia" w:ascii="宋体" w:hAnsi="宋体"/>
      <w:b/>
      <w:color w:val="000000"/>
      <w:sz w:val="36"/>
      <w:szCs w:val="20"/>
    </w:rPr>
  </w:style>
  <w:style w:type="paragraph" w:styleId="4">
    <w:name w:val="heading 2"/>
    <w:basedOn w:val="1"/>
    <w:next w:val="1"/>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5">
    <w:name w:val="heading 3"/>
    <w:basedOn w:val="1"/>
    <w:next w:val="1"/>
    <w:link w:val="211"/>
    <w:qFormat/>
    <w:uiPriority w:val="99"/>
    <w:pPr>
      <w:keepNext/>
      <w:keepLines/>
      <w:spacing w:before="260" w:after="260" w:line="416" w:lineRule="auto"/>
      <w:outlineLvl w:val="2"/>
    </w:pPr>
    <w:rPr>
      <w:b/>
      <w:bCs/>
      <w:sz w:val="32"/>
      <w:szCs w:val="32"/>
    </w:rPr>
  </w:style>
  <w:style w:type="paragraph" w:styleId="6">
    <w:name w:val="heading 4"/>
    <w:basedOn w:val="7"/>
    <w:next w:val="7"/>
    <w:link w:val="64"/>
    <w:unhideWhenUsed/>
    <w:qFormat/>
    <w:uiPriority w:val="9"/>
    <w:pPr>
      <w:keepNext/>
      <w:keepLines/>
      <w:spacing w:before="320" w:after="200"/>
      <w:outlineLvl w:val="3"/>
    </w:pPr>
    <w:rPr>
      <w:rFonts w:ascii="Arial" w:hAnsi="Arial" w:eastAsia="Arial" w:cs="Arial"/>
      <w:b/>
      <w:bCs/>
      <w:sz w:val="26"/>
      <w:szCs w:val="26"/>
    </w:rPr>
  </w:style>
  <w:style w:type="paragraph" w:styleId="8">
    <w:name w:val="heading 5"/>
    <w:basedOn w:val="7"/>
    <w:next w:val="7"/>
    <w:link w:val="65"/>
    <w:unhideWhenUsed/>
    <w:qFormat/>
    <w:uiPriority w:val="9"/>
    <w:pPr>
      <w:keepNext/>
      <w:keepLines/>
      <w:spacing w:before="320" w:after="200"/>
      <w:outlineLvl w:val="4"/>
    </w:pPr>
    <w:rPr>
      <w:rFonts w:ascii="Arial" w:hAnsi="Arial" w:eastAsia="Arial" w:cs="Arial"/>
      <w:b/>
      <w:bCs/>
      <w:sz w:val="24"/>
      <w:szCs w:val="24"/>
    </w:rPr>
  </w:style>
  <w:style w:type="paragraph" w:styleId="9">
    <w:name w:val="heading 6"/>
    <w:basedOn w:val="7"/>
    <w:next w:val="7"/>
    <w:link w:val="66"/>
    <w:unhideWhenUsed/>
    <w:qFormat/>
    <w:uiPriority w:val="9"/>
    <w:pPr>
      <w:keepNext/>
      <w:keepLines/>
      <w:spacing w:before="320" w:after="200"/>
      <w:outlineLvl w:val="5"/>
    </w:pPr>
    <w:rPr>
      <w:rFonts w:ascii="Arial" w:hAnsi="Arial" w:eastAsia="Arial" w:cs="Arial"/>
      <w:b/>
      <w:bCs/>
      <w:sz w:val="22"/>
      <w:szCs w:val="22"/>
    </w:rPr>
  </w:style>
  <w:style w:type="paragraph" w:styleId="10">
    <w:name w:val="heading 7"/>
    <w:basedOn w:val="7"/>
    <w:next w:val="7"/>
    <w:link w:val="67"/>
    <w:unhideWhenUsed/>
    <w:qFormat/>
    <w:uiPriority w:val="9"/>
    <w:pPr>
      <w:keepNext/>
      <w:keepLines/>
      <w:spacing w:before="320" w:after="200"/>
      <w:outlineLvl w:val="6"/>
    </w:pPr>
    <w:rPr>
      <w:rFonts w:ascii="Arial" w:hAnsi="Arial" w:eastAsia="Arial" w:cs="Arial"/>
      <w:b/>
      <w:bCs/>
      <w:i/>
      <w:iCs/>
      <w:sz w:val="22"/>
      <w:szCs w:val="22"/>
    </w:rPr>
  </w:style>
  <w:style w:type="paragraph" w:styleId="11">
    <w:name w:val="heading 8"/>
    <w:basedOn w:val="7"/>
    <w:next w:val="7"/>
    <w:link w:val="68"/>
    <w:unhideWhenUsed/>
    <w:qFormat/>
    <w:uiPriority w:val="9"/>
    <w:pPr>
      <w:keepNext/>
      <w:keepLines/>
      <w:spacing w:before="320" w:after="200"/>
      <w:outlineLvl w:val="7"/>
    </w:pPr>
    <w:rPr>
      <w:rFonts w:ascii="Arial" w:hAnsi="Arial" w:eastAsia="Arial" w:cs="Arial"/>
      <w:i/>
      <w:iCs/>
      <w:sz w:val="22"/>
      <w:szCs w:val="22"/>
    </w:rPr>
  </w:style>
  <w:style w:type="paragraph" w:styleId="12">
    <w:name w:val="heading 9"/>
    <w:basedOn w:val="1"/>
    <w:next w:val="1"/>
    <w:qFormat/>
    <w:uiPriority w:val="1"/>
    <w:pPr>
      <w:spacing w:before="26"/>
      <w:ind w:left="128"/>
      <w:outlineLvl w:val="8"/>
    </w:pPr>
    <w:rPr>
      <w:rFonts w:ascii="宋体" w:hAnsi="宋体"/>
      <w:sz w:val="24"/>
      <w:szCs w:val="24"/>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color w:val="000000"/>
      <w:sz w:val="32"/>
      <w:szCs w:val="32"/>
    </w:rPr>
  </w:style>
  <w:style w:type="paragraph" w:customStyle="1" w:styleId="7">
    <w:name w:val="正文1"/>
    <w:qFormat/>
    <w:uiPriority w:val="0"/>
    <w:pPr>
      <w:widowControl w:val="0"/>
      <w:jc w:val="both"/>
    </w:pPr>
    <w:rPr>
      <w:rFonts w:hint="eastAsia" w:ascii="Times New Roman" w:hAnsi="Times New Roman" w:eastAsia="宋体" w:cs="Times New Roman"/>
      <w:sz w:val="21"/>
      <w:lang w:val="en-US" w:eastAsia="zh-CN" w:bidi="ar-SA"/>
    </w:rPr>
  </w:style>
  <w:style w:type="paragraph" w:styleId="13">
    <w:name w:val="toc 7"/>
    <w:basedOn w:val="7"/>
    <w:next w:val="7"/>
    <w:unhideWhenUsed/>
    <w:qFormat/>
    <w:uiPriority w:val="39"/>
    <w:pPr>
      <w:spacing w:after="57"/>
      <w:ind w:left="1701"/>
    </w:pPr>
  </w:style>
  <w:style w:type="paragraph" w:styleId="14">
    <w:name w:val="List Number"/>
    <w:basedOn w:val="1"/>
    <w:qFormat/>
    <w:uiPriority w:val="99"/>
    <w:pPr>
      <w:numPr>
        <w:ilvl w:val="0"/>
        <w:numId w:val="1"/>
      </w:numPr>
    </w:pPr>
  </w:style>
  <w:style w:type="paragraph" w:styleId="15">
    <w:name w:val="Normal Indent"/>
    <w:basedOn w:val="1"/>
    <w:qFormat/>
    <w:uiPriority w:val="99"/>
    <w:pPr>
      <w:ind w:firstLine="420"/>
    </w:pPr>
  </w:style>
  <w:style w:type="paragraph" w:styleId="16">
    <w:name w:val="caption"/>
    <w:basedOn w:val="7"/>
    <w:next w:val="7"/>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7">
    <w:name w:val="annotation text"/>
    <w:basedOn w:val="1"/>
    <w:link w:val="212"/>
    <w:semiHidden/>
    <w:qFormat/>
    <w:uiPriority w:val="99"/>
    <w:pPr>
      <w:jc w:val="left"/>
    </w:pPr>
  </w:style>
  <w:style w:type="paragraph" w:styleId="18">
    <w:name w:val="Body Text"/>
    <w:basedOn w:val="1"/>
    <w:next w:val="1"/>
    <w:link w:val="214"/>
    <w:qFormat/>
    <w:uiPriority w:val="99"/>
    <w:pPr>
      <w:spacing w:line="360" w:lineRule="exact"/>
    </w:pPr>
    <w:rPr>
      <w:sz w:val="24"/>
      <w:szCs w:val="24"/>
    </w:rPr>
  </w:style>
  <w:style w:type="paragraph" w:styleId="19">
    <w:name w:val="Body Text Indent"/>
    <w:basedOn w:val="1"/>
    <w:next w:val="1"/>
    <w:link w:val="215"/>
    <w:qFormat/>
    <w:uiPriority w:val="99"/>
    <w:pPr>
      <w:spacing w:after="120"/>
      <w:ind w:left="420"/>
    </w:pPr>
  </w:style>
  <w:style w:type="paragraph" w:styleId="20">
    <w:name w:val="List 2"/>
    <w:basedOn w:val="1"/>
    <w:qFormat/>
    <w:uiPriority w:val="0"/>
    <w:pPr>
      <w:spacing w:line="360" w:lineRule="auto"/>
      <w:ind w:left="100" w:leftChars="200" w:hanging="200" w:hangingChars="200"/>
    </w:pPr>
    <w:rPr>
      <w:rFonts w:eastAsia="微软雅黑"/>
    </w:rPr>
  </w:style>
  <w:style w:type="paragraph" w:styleId="21">
    <w:name w:val="toc 5"/>
    <w:basedOn w:val="7"/>
    <w:next w:val="7"/>
    <w:unhideWhenUsed/>
    <w:qFormat/>
    <w:uiPriority w:val="39"/>
    <w:pPr>
      <w:spacing w:after="57"/>
      <w:ind w:left="1134"/>
    </w:pPr>
  </w:style>
  <w:style w:type="paragraph" w:styleId="22">
    <w:name w:val="toc 3"/>
    <w:basedOn w:val="1"/>
    <w:next w:val="1"/>
    <w:unhideWhenUsed/>
    <w:qFormat/>
    <w:uiPriority w:val="39"/>
    <w:pPr>
      <w:spacing w:after="57"/>
      <w:ind w:left="567"/>
    </w:pPr>
  </w:style>
  <w:style w:type="paragraph" w:styleId="23">
    <w:name w:val="Plain Text"/>
    <w:basedOn w:val="1"/>
    <w:link w:val="216"/>
    <w:qFormat/>
    <w:uiPriority w:val="99"/>
    <w:rPr>
      <w:rFonts w:ascii="宋体" w:hAnsi="Courier New" w:cs="宋体"/>
    </w:rPr>
  </w:style>
  <w:style w:type="paragraph" w:styleId="24">
    <w:name w:val="toc 8"/>
    <w:basedOn w:val="7"/>
    <w:next w:val="7"/>
    <w:unhideWhenUsed/>
    <w:qFormat/>
    <w:uiPriority w:val="39"/>
    <w:pPr>
      <w:spacing w:after="57"/>
      <w:ind w:left="1984"/>
    </w:pPr>
  </w:style>
  <w:style w:type="paragraph" w:styleId="25">
    <w:name w:val="Date"/>
    <w:basedOn w:val="1"/>
    <w:next w:val="1"/>
    <w:link w:val="217"/>
    <w:qFormat/>
    <w:uiPriority w:val="99"/>
    <w:pPr>
      <w:ind w:left="2500"/>
    </w:pPr>
    <w:rPr>
      <w:rFonts w:ascii="Calibri" w:hAnsi="Calibri" w:eastAsia="楷体_GB2312" w:cs="Calibri"/>
      <w:sz w:val="32"/>
      <w:szCs w:val="32"/>
    </w:rPr>
  </w:style>
  <w:style w:type="paragraph" w:styleId="26">
    <w:name w:val="Body Text Indent 2"/>
    <w:basedOn w:val="1"/>
    <w:qFormat/>
    <w:uiPriority w:val="0"/>
    <w:pPr>
      <w:snapToGrid w:val="0"/>
      <w:spacing w:line="400" w:lineRule="exact"/>
      <w:ind w:firstLine="480"/>
    </w:pPr>
    <w:rPr>
      <w:rFonts w:eastAsia="仿宋_GB2312"/>
      <w:sz w:val="24"/>
    </w:rPr>
  </w:style>
  <w:style w:type="paragraph" w:styleId="27">
    <w:name w:val="endnote text"/>
    <w:basedOn w:val="7"/>
    <w:link w:val="206"/>
    <w:semiHidden/>
    <w:unhideWhenUsed/>
    <w:qFormat/>
    <w:uiPriority w:val="99"/>
    <w:rPr>
      <w:sz w:val="20"/>
    </w:rPr>
  </w:style>
  <w:style w:type="paragraph" w:styleId="28">
    <w:name w:val="Balloon Text"/>
    <w:basedOn w:val="1"/>
    <w:link w:val="218"/>
    <w:semiHidden/>
    <w:qFormat/>
    <w:uiPriority w:val="99"/>
    <w:rPr>
      <w:sz w:val="18"/>
      <w:szCs w:val="18"/>
    </w:rPr>
  </w:style>
  <w:style w:type="paragraph" w:styleId="29">
    <w:name w:val="footer"/>
    <w:basedOn w:val="1"/>
    <w:link w:val="219"/>
    <w:qFormat/>
    <w:uiPriority w:val="99"/>
    <w:pPr>
      <w:tabs>
        <w:tab w:val="center" w:pos="4153"/>
        <w:tab w:val="right" w:pos="8306"/>
      </w:tabs>
      <w:jc w:val="left"/>
    </w:pPr>
    <w:rPr>
      <w:sz w:val="18"/>
      <w:szCs w:val="18"/>
    </w:rPr>
  </w:style>
  <w:style w:type="paragraph" w:styleId="30">
    <w:name w:val="header"/>
    <w:basedOn w:val="1"/>
    <w:link w:val="220"/>
    <w:qFormat/>
    <w:uiPriority w:val="99"/>
    <w:pPr>
      <w:pBdr>
        <w:top w:val="none" w:color="auto" w:sz="0" w:space="1"/>
        <w:left w:val="none" w:color="auto" w:sz="0" w:space="4"/>
        <w:bottom w:val="none" w:color="auto" w:sz="0" w:space="1"/>
        <w:right w:val="none" w:color="auto" w:sz="0" w:space="4"/>
      </w:pBdr>
      <w:tabs>
        <w:tab w:val="center" w:pos="4153"/>
        <w:tab w:val="right" w:pos="8306"/>
      </w:tabs>
    </w:pPr>
    <w:rPr>
      <w:sz w:val="18"/>
      <w:szCs w:val="18"/>
    </w:rPr>
  </w:style>
  <w:style w:type="paragraph" w:styleId="31">
    <w:name w:val="toc 1"/>
    <w:basedOn w:val="1"/>
    <w:next w:val="1"/>
    <w:qFormat/>
    <w:uiPriority w:val="0"/>
  </w:style>
  <w:style w:type="paragraph" w:styleId="32">
    <w:name w:val="toc 4"/>
    <w:basedOn w:val="7"/>
    <w:next w:val="7"/>
    <w:unhideWhenUsed/>
    <w:qFormat/>
    <w:uiPriority w:val="39"/>
    <w:pPr>
      <w:spacing w:after="57"/>
      <w:ind w:left="850"/>
    </w:pPr>
  </w:style>
  <w:style w:type="paragraph" w:styleId="33">
    <w:name w:val="Subtitle"/>
    <w:basedOn w:val="1"/>
    <w:next w:val="1"/>
    <w:link w:val="72"/>
    <w:qFormat/>
    <w:uiPriority w:val="11"/>
    <w:pPr>
      <w:spacing w:before="200" w:after="200"/>
    </w:pPr>
    <w:rPr>
      <w:sz w:val="24"/>
      <w:szCs w:val="24"/>
    </w:rPr>
  </w:style>
  <w:style w:type="paragraph" w:styleId="34">
    <w:name w:val="footnote text"/>
    <w:basedOn w:val="7"/>
    <w:link w:val="205"/>
    <w:semiHidden/>
    <w:unhideWhenUsed/>
    <w:qFormat/>
    <w:uiPriority w:val="99"/>
    <w:pPr>
      <w:spacing w:after="40"/>
    </w:pPr>
    <w:rPr>
      <w:sz w:val="18"/>
    </w:rPr>
  </w:style>
  <w:style w:type="paragraph" w:styleId="35">
    <w:name w:val="toc 6"/>
    <w:basedOn w:val="1"/>
    <w:next w:val="1"/>
    <w:qFormat/>
    <w:uiPriority w:val="0"/>
    <w:pPr>
      <w:ind w:left="840"/>
      <w:jc w:val="left"/>
    </w:pPr>
    <w:rPr>
      <w:rFonts w:ascii="Calibri" w:hAnsi="Calibri"/>
    </w:rPr>
  </w:style>
  <w:style w:type="paragraph" w:styleId="36">
    <w:name w:val="table of figures"/>
    <w:basedOn w:val="7"/>
    <w:next w:val="7"/>
    <w:unhideWhenUsed/>
    <w:qFormat/>
    <w:uiPriority w:val="99"/>
  </w:style>
  <w:style w:type="paragraph" w:styleId="37">
    <w:name w:val="toc 2"/>
    <w:basedOn w:val="7"/>
    <w:next w:val="7"/>
    <w:unhideWhenUsed/>
    <w:qFormat/>
    <w:uiPriority w:val="39"/>
    <w:pPr>
      <w:spacing w:after="57"/>
      <w:ind w:left="283"/>
    </w:pPr>
  </w:style>
  <w:style w:type="paragraph" w:styleId="38">
    <w:name w:val="toc 9"/>
    <w:basedOn w:val="7"/>
    <w:next w:val="7"/>
    <w:unhideWhenUsed/>
    <w:qFormat/>
    <w:uiPriority w:val="39"/>
    <w:pPr>
      <w:spacing w:after="57"/>
      <w:ind w:left="2268"/>
    </w:pPr>
  </w:style>
  <w:style w:type="paragraph" w:styleId="3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jc w:val="left"/>
    </w:pPr>
    <w:rPr>
      <w:rFonts w:ascii="黑体" w:hAnsi="Courier New" w:eastAsia="黑体"/>
      <w:sz w:val="20"/>
      <w:szCs w:val="20"/>
    </w:rPr>
  </w:style>
  <w:style w:type="paragraph" w:styleId="40">
    <w:name w:val="Normal (Web)"/>
    <w:basedOn w:val="1"/>
    <w:qFormat/>
    <w:uiPriority w:val="99"/>
    <w:pPr>
      <w:widowControl/>
      <w:spacing w:before="100" w:beforeAutospacing="1" w:after="100" w:afterAutospacing="1"/>
      <w:jc w:val="left"/>
    </w:pPr>
    <w:rPr>
      <w:rFonts w:ascii="宋体" w:hAnsi="宋体" w:cs="宋体"/>
      <w:sz w:val="24"/>
      <w:szCs w:val="24"/>
    </w:rPr>
  </w:style>
  <w:style w:type="paragraph" w:styleId="41">
    <w:name w:val="annotation subject"/>
    <w:basedOn w:val="17"/>
    <w:next w:val="17"/>
    <w:link w:val="213"/>
    <w:semiHidden/>
    <w:qFormat/>
    <w:uiPriority w:val="99"/>
    <w:rPr>
      <w:b/>
      <w:bCs/>
    </w:rPr>
  </w:style>
  <w:style w:type="paragraph" w:styleId="42">
    <w:name w:val="Body Text First Indent"/>
    <w:basedOn w:val="18"/>
    <w:next w:val="35"/>
    <w:qFormat/>
    <w:uiPriority w:val="0"/>
    <w:pPr>
      <w:spacing w:line="360" w:lineRule="auto"/>
      <w:ind w:firstLine="420"/>
    </w:pPr>
  </w:style>
  <w:style w:type="paragraph" w:styleId="43">
    <w:name w:val="Body Text First Indent 2"/>
    <w:basedOn w:val="19"/>
    <w:qFormat/>
    <w:uiPriority w:val="0"/>
    <w:pPr>
      <w:ind w:firstLine="420"/>
      <w:jc w:val="left"/>
    </w:pPr>
  </w:style>
  <w:style w:type="table" w:styleId="45">
    <w:name w:val="Table Grid"/>
    <w:basedOn w:val="44"/>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7">
    <w:name w:val="Strong"/>
    <w:basedOn w:val="46"/>
    <w:qFormat/>
    <w:uiPriority w:val="22"/>
  </w:style>
  <w:style w:type="character" w:styleId="48">
    <w:name w:val="endnote reference"/>
    <w:basedOn w:val="46"/>
    <w:semiHidden/>
    <w:unhideWhenUsed/>
    <w:qFormat/>
    <w:uiPriority w:val="99"/>
    <w:rPr>
      <w:vertAlign w:val="superscript"/>
    </w:rPr>
  </w:style>
  <w:style w:type="character" w:styleId="49">
    <w:name w:val="page number"/>
    <w:basedOn w:val="46"/>
    <w:qFormat/>
    <w:uiPriority w:val="0"/>
  </w:style>
  <w:style w:type="character" w:styleId="50">
    <w:name w:val="Emphasis"/>
    <w:basedOn w:val="46"/>
    <w:qFormat/>
    <w:uiPriority w:val="0"/>
  </w:style>
  <w:style w:type="character" w:styleId="51">
    <w:name w:val="HTML Definition"/>
    <w:basedOn w:val="46"/>
    <w:semiHidden/>
    <w:unhideWhenUsed/>
    <w:qFormat/>
    <w:uiPriority w:val="99"/>
  </w:style>
  <w:style w:type="character" w:styleId="52">
    <w:name w:val="HTML Variable"/>
    <w:basedOn w:val="46"/>
    <w:semiHidden/>
    <w:unhideWhenUsed/>
    <w:qFormat/>
    <w:uiPriority w:val="99"/>
  </w:style>
  <w:style w:type="character" w:styleId="53">
    <w:name w:val="Hyperlink"/>
    <w:basedOn w:val="46"/>
    <w:qFormat/>
    <w:uiPriority w:val="0"/>
    <w:rPr>
      <w:color w:val="0000FF"/>
      <w:u w:val="single"/>
    </w:rPr>
  </w:style>
  <w:style w:type="character" w:styleId="54">
    <w:name w:val="HTML Code"/>
    <w:basedOn w:val="46"/>
    <w:semiHidden/>
    <w:unhideWhenUsed/>
    <w:qFormat/>
    <w:uiPriority w:val="99"/>
    <w:rPr>
      <w:rFonts w:ascii="Courier New" w:hAnsi="Courier New"/>
      <w:sz w:val="20"/>
    </w:rPr>
  </w:style>
  <w:style w:type="character" w:styleId="55">
    <w:name w:val="annotation reference"/>
    <w:basedOn w:val="46"/>
    <w:semiHidden/>
    <w:qFormat/>
    <w:uiPriority w:val="99"/>
    <w:rPr>
      <w:rFonts w:cs="Times New Roman"/>
      <w:sz w:val="21"/>
      <w:szCs w:val="21"/>
    </w:rPr>
  </w:style>
  <w:style w:type="character" w:styleId="56">
    <w:name w:val="HTML Cite"/>
    <w:basedOn w:val="46"/>
    <w:semiHidden/>
    <w:unhideWhenUsed/>
    <w:qFormat/>
    <w:uiPriority w:val="99"/>
  </w:style>
  <w:style w:type="character" w:styleId="57">
    <w:name w:val="footnote reference"/>
    <w:basedOn w:val="46"/>
    <w:unhideWhenUsed/>
    <w:qFormat/>
    <w:uiPriority w:val="99"/>
    <w:rPr>
      <w:vertAlign w:val="superscript"/>
    </w:rPr>
  </w:style>
  <w:style w:type="paragraph" w:customStyle="1" w:styleId="58">
    <w:name w:val="Char"/>
    <w:basedOn w:val="1"/>
    <w:qFormat/>
    <w:uiPriority w:val="0"/>
    <w:rPr>
      <w:rFonts w:ascii="仿宋_GB2312" w:eastAsia="仿宋_GB2312" w:cs="仿宋_GB2312"/>
      <w:b/>
      <w:bCs/>
      <w:sz w:val="32"/>
      <w:szCs w:val="32"/>
    </w:rPr>
  </w:style>
  <w:style w:type="paragraph" w:customStyle="1" w:styleId="59">
    <w:name w:val="_Style 1"/>
    <w:qFormat/>
    <w:uiPriority w:val="99"/>
    <w:pPr>
      <w:widowControl w:val="0"/>
      <w:jc w:val="both"/>
    </w:pPr>
    <w:rPr>
      <w:rFonts w:ascii="Times New Roman" w:hAnsi="Times New Roman" w:eastAsia="宋体" w:cs="Calibri"/>
      <w:kern w:val="2"/>
      <w:sz w:val="21"/>
      <w:szCs w:val="22"/>
      <w:lang w:val="en-US" w:eastAsia="zh-CN" w:bidi="ar-SA"/>
    </w:rPr>
  </w:style>
  <w:style w:type="paragraph" w:customStyle="1" w:styleId="60">
    <w:name w:val="正文首行缩进1"/>
    <w:basedOn w:val="18"/>
    <w:autoRedefine/>
    <w:qFormat/>
    <w:uiPriority w:val="0"/>
    <w:pPr>
      <w:spacing w:after="120"/>
      <w:ind w:firstLine="420" w:firstLineChars="100"/>
    </w:pPr>
    <w:rPr>
      <w:rFonts w:ascii="Calibri" w:hAnsi="Calibri"/>
      <w:sz w:val="21"/>
    </w:rPr>
  </w:style>
  <w:style w:type="character" w:customStyle="1" w:styleId="61">
    <w:name w:val="Heading 1 Char"/>
    <w:basedOn w:val="46"/>
    <w:qFormat/>
    <w:uiPriority w:val="9"/>
    <w:rPr>
      <w:rFonts w:ascii="Arial" w:hAnsi="Arial" w:eastAsia="Arial" w:cs="Arial"/>
      <w:sz w:val="40"/>
      <w:szCs w:val="40"/>
    </w:rPr>
  </w:style>
  <w:style w:type="character" w:customStyle="1" w:styleId="62">
    <w:name w:val="Heading 2 Char"/>
    <w:basedOn w:val="46"/>
    <w:qFormat/>
    <w:uiPriority w:val="9"/>
    <w:rPr>
      <w:rFonts w:ascii="Arial" w:hAnsi="Arial" w:eastAsia="Arial" w:cs="Arial"/>
      <w:sz w:val="34"/>
    </w:rPr>
  </w:style>
  <w:style w:type="character" w:customStyle="1" w:styleId="63">
    <w:name w:val="Heading 3 Char"/>
    <w:basedOn w:val="46"/>
    <w:qFormat/>
    <w:uiPriority w:val="9"/>
    <w:rPr>
      <w:rFonts w:ascii="Arial" w:hAnsi="Arial" w:eastAsia="Arial" w:cs="Arial"/>
      <w:sz w:val="30"/>
      <w:szCs w:val="30"/>
    </w:rPr>
  </w:style>
  <w:style w:type="character" w:customStyle="1" w:styleId="64">
    <w:name w:val="标题 4 字符"/>
    <w:basedOn w:val="46"/>
    <w:link w:val="6"/>
    <w:qFormat/>
    <w:uiPriority w:val="9"/>
    <w:rPr>
      <w:rFonts w:ascii="Arial" w:hAnsi="Arial" w:eastAsia="Arial" w:cs="Arial"/>
      <w:sz w:val="26"/>
      <w:szCs w:val="26"/>
    </w:rPr>
  </w:style>
  <w:style w:type="character" w:customStyle="1" w:styleId="65">
    <w:name w:val="标题 5 字符"/>
    <w:basedOn w:val="46"/>
    <w:link w:val="8"/>
    <w:qFormat/>
    <w:uiPriority w:val="9"/>
    <w:rPr>
      <w:rFonts w:ascii="Arial" w:hAnsi="Arial" w:eastAsia="Arial" w:cs="Arial"/>
      <w:sz w:val="24"/>
      <w:szCs w:val="24"/>
    </w:rPr>
  </w:style>
  <w:style w:type="character" w:customStyle="1" w:styleId="66">
    <w:name w:val="标题 6 字符"/>
    <w:basedOn w:val="46"/>
    <w:link w:val="9"/>
    <w:qFormat/>
    <w:uiPriority w:val="9"/>
    <w:rPr>
      <w:rFonts w:ascii="Arial" w:hAnsi="Arial" w:eastAsia="Arial" w:cs="Arial"/>
      <w:sz w:val="22"/>
      <w:szCs w:val="22"/>
    </w:rPr>
  </w:style>
  <w:style w:type="character" w:customStyle="1" w:styleId="67">
    <w:name w:val="标题 7 字符"/>
    <w:basedOn w:val="46"/>
    <w:link w:val="10"/>
    <w:qFormat/>
    <w:uiPriority w:val="9"/>
    <w:rPr>
      <w:rFonts w:ascii="Arial" w:hAnsi="Arial" w:eastAsia="Arial" w:cs="Arial"/>
      <w:i/>
      <w:iCs/>
      <w:sz w:val="22"/>
      <w:szCs w:val="22"/>
    </w:rPr>
  </w:style>
  <w:style w:type="character" w:customStyle="1" w:styleId="68">
    <w:name w:val="标题 8 字符"/>
    <w:basedOn w:val="46"/>
    <w:link w:val="11"/>
    <w:qFormat/>
    <w:uiPriority w:val="9"/>
    <w:rPr>
      <w:rFonts w:ascii="Arial" w:hAnsi="Arial" w:eastAsia="Arial" w:cs="Arial"/>
      <w:i/>
      <w:iCs/>
      <w:sz w:val="22"/>
      <w:szCs w:val="22"/>
    </w:rPr>
  </w:style>
  <w:style w:type="character" w:customStyle="1" w:styleId="69">
    <w:name w:val="Heading 9 Char"/>
    <w:basedOn w:val="46"/>
    <w:qFormat/>
    <w:uiPriority w:val="9"/>
    <w:rPr>
      <w:rFonts w:ascii="Arial" w:hAnsi="Arial" w:eastAsia="Arial" w:cs="Arial"/>
      <w:i/>
      <w:iCs/>
      <w:sz w:val="21"/>
      <w:szCs w:val="21"/>
    </w:rPr>
  </w:style>
  <w:style w:type="paragraph" w:styleId="70">
    <w:name w:val="No Spacing"/>
    <w:qFormat/>
    <w:uiPriority w:val="1"/>
    <w:rPr>
      <w:rFonts w:ascii="Times New Roman" w:hAnsi="Times New Roman" w:eastAsia="宋体" w:cs="Times New Roman"/>
      <w:lang w:val="en-US" w:eastAsia="zh-CN" w:bidi="ar-SA"/>
    </w:rPr>
  </w:style>
  <w:style w:type="character" w:customStyle="1" w:styleId="71">
    <w:name w:val="Title Char"/>
    <w:basedOn w:val="46"/>
    <w:qFormat/>
    <w:uiPriority w:val="10"/>
    <w:rPr>
      <w:sz w:val="48"/>
      <w:szCs w:val="48"/>
    </w:rPr>
  </w:style>
  <w:style w:type="character" w:customStyle="1" w:styleId="72">
    <w:name w:val="副标题 字符"/>
    <w:basedOn w:val="46"/>
    <w:link w:val="33"/>
    <w:qFormat/>
    <w:uiPriority w:val="11"/>
    <w:rPr>
      <w:sz w:val="24"/>
      <w:szCs w:val="24"/>
    </w:rPr>
  </w:style>
  <w:style w:type="paragraph" w:styleId="73">
    <w:name w:val="Quote"/>
    <w:basedOn w:val="7"/>
    <w:next w:val="7"/>
    <w:link w:val="74"/>
    <w:qFormat/>
    <w:uiPriority w:val="29"/>
    <w:pPr>
      <w:ind w:left="720" w:right="720"/>
    </w:pPr>
    <w:rPr>
      <w:i/>
    </w:rPr>
  </w:style>
  <w:style w:type="character" w:customStyle="1" w:styleId="74">
    <w:name w:val="引用 字符"/>
    <w:link w:val="73"/>
    <w:qFormat/>
    <w:uiPriority w:val="29"/>
    <w:rPr>
      <w:i/>
    </w:rPr>
  </w:style>
  <w:style w:type="paragraph" w:styleId="75">
    <w:name w:val="Intense Quote"/>
    <w:basedOn w:val="7"/>
    <w:next w:val="7"/>
    <w:link w:val="76"/>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76">
    <w:name w:val="明显引用 字符"/>
    <w:link w:val="75"/>
    <w:qFormat/>
    <w:uiPriority w:val="30"/>
    <w:rPr>
      <w:i/>
    </w:rPr>
  </w:style>
  <w:style w:type="character" w:customStyle="1" w:styleId="77">
    <w:name w:val="Header Char"/>
    <w:basedOn w:val="46"/>
    <w:qFormat/>
    <w:uiPriority w:val="99"/>
  </w:style>
  <w:style w:type="character" w:customStyle="1" w:styleId="78">
    <w:name w:val="Footer Char"/>
    <w:basedOn w:val="46"/>
    <w:qFormat/>
    <w:uiPriority w:val="99"/>
  </w:style>
  <w:style w:type="character" w:customStyle="1" w:styleId="79">
    <w:name w:val="Caption Char"/>
    <w:qFormat/>
    <w:uiPriority w:val="99"/>
  </w:style>
  <w:style w:type="table" w:customStyle="1" w:styleId="80">
    <w:name w:val="Table Grid Light"/>
    <w:basedOn w:val="44"/>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81">
    <w:name w:val="无格式表格 11"/>
    <w:basedOn w:val="44"/>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82">
    <w:name w:val="无格式表格 21"/>
    <w:basedOn w:val="44"/>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83">
    <w:name w:val="无格式表格 31"/>
    <w:basedOn w:val="44"/>
    <w:qFormat/>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4">
    <w:name w:val="无格式表格 41"/>
    <w:basedOn w:val="44"/>
    <w:qFormat/>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5">
    <w:name w:val="无格式表格 51"/>
    <w:basedOn w:val="44"/>
    <w:qFormat/>
    <w:uiPriority w:val="99"/>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6">
    <w:name w:val="网格表 1 浅色1"/>
    <w:basedOn w:val="44"/>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87">
    <w:name w:val="Grid Table 1 Light - Accent 1"/>
    <w:basedOn w:val="44"/>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88">
    <w:name w:val="Grid Table 1 Light - Accent 2"/>
    <w:basedOn w:val="44"/>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89">
    <w:name w:val="Grid Table 1 Light - Accent 3"/>
    <w:basedOn w:val="44"/>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90">
    <w:name w:val="Grid Table 1 Light - Accent 4"/>
    <w:basedOn w:val="4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91">
    <w:name w:val="Grid Table 1 Light - Accent 5"/>
    <w:basedOn w:val="44"/>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92">
    <w:name w:val="Grid Table 1 Light - Accent 6"/>
    <w:basedOn w:val="44"/>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93">
    <w:name w:val="网格表 21"/>
    <w:basedOn w:val="44"/>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4">
    <w:name w:val="Grid Table 2 - Accent 1"/>
    <w:basedOn w:val="44"/>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95">
    <w:name w:val="Grid Table 2 - Accent 2"/>
    <w:basedOn w:val="44"/>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6">
    <w:name w:val="Grid Table 2 - Accent 3"/>
    <w:basedOn w:val="44"/>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7">
    <w:name w:val="Grid Table 2 - Accent 4"/>
    <w:basedOn w:val="4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8">
    <w:name w:val="Grid Table 2 - Accent 5"/>
    <w:basedOn w:val="44"/>
    <w:qFormat/>
    <w:uiPriority w:val="99"/>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9">
    <w:name w:val="Grid Table 2 - Accent 6"/>
    <w:basedOn w:val="44"/>
    <w:qFormat/>
    <w:uiPriority w:val="99"/>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00">
    <w:name w:val="网格表 31"/>
    <w:basedOn w:val="44"/>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1">
    <w:name w:val="Grid Table 3 - Accent 1"/>
    <w:basedOn w:val="44"/>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102">
    <w:name w:val="Grid Table 3 - Accent 2"/>
    <w:basedOn w:val="44"/>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03">
    <w:name w:val="Grid Table 3 - Accent 3"/>
    <w:basedOn w:val="44"/>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04">
    <w:name w:val="Grid Table 3 - Accent 4"/>
    <w:basedOn w:val="4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05">
    <w:name w:val="Grid Table 3 - Accent 5"/>
    <w:basedOn w:val="44"/>
    <w:qFormat/>
    <w:uiPriority w:val="99"/>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06">
    <w:name w:val="Grid Table 3 - Accent 6"/>
    <w:basedOn w:val="44"/>
    <w:qFormat/>
    <w:uiPriority w:val="99"/>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07">
    <w:name w:val="网格表 41"/>
    <w:basedOn w:val="44"/>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8">
    <w:name w:val="Grid Table 4 - Accent 1"/>
    <w:basedOn w:val="44"/>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109">
    <w:name w:val="Grid Table 4 - Accent 2"/>
    <w:basedOn w:val="44"/>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10">
    <w:name w:val="Grid Table 4 - Accent 3"/>
    <w:basedOn w:val="44"/>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11">
    <w:name w:val="Grid Table 4 - Accent 4"/>
    <w:basedOn w:val="44"/>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12">
    <w:name w:val="Grid Table 4 - Accent 5"/>
    <w:basedOn w:val="44"/>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13">
    <w:name w:val="Grid Table 4 - Accent 6"/>
    <w:basedOn w:val="44"/>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14">
    <w:name w:val="网格表 5 深色1"/>
    <w:basedOn w:val="4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15">
    <w:name w:val="Grid Table 5 Dark- Accent 1"/>
    <w:basedOn w:val="4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16">
    <w:name w:val="Grid Table 5 Dark - Accent 2"/>
    <w:basedOn w:val="4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17">
    <w:name w:val="Grid Table 5 Dark - Accent 3"/>
    <w:basedOn w:val="4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18">
    <w:name w:val="Grid Table 5 Dark- Accent 4"/>
    <w:basedOn w:val="4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19">
    <w:name w:val="Grid Table 5 Dark - Accent 5"/>
    <w:basedOn w:val="4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20">
    <w:name w:val="Grid Table 5 Dark - Accent 6"/>
    <w:basedOn w:val="4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21">
    <w:name w:val="网格表 6 彩色1"/>
    <w:basedOn w:val="44"/>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22">
    <w:name w:val="Grid Table 6 Colorful - Accent 1"/>
    <w:basedOn w:val="44"/>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23">
    <w:name w:val="Grid Table 6 Colorful - Accent 2"/>
    <w:basedOn w:val="44"/>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24">
    <w:name w:val="Grid Table 6 Colorful - Accent 3"/>
    <w:basedOn w:val="44"/>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14:textFill>
          <w14:solidFill>
            <w14:schemeClr w14:val="accent3"/>
          </w14:solidFill>
        </w14:textFill>
      </w:rPr>
      <w:tcPr>
        <w:tcBorders>
          <w:bottom w:val="single" w:color="9BBB59" w:themeColor="accent3" w:themeTint="FE" w:sz="12" w:space="0"/>
        </w:tcBorders>
      </w:tcPr>
    </w:tblStylePr>
    <w:tblStylePr w:type="lastRow">
      <w:rPr>
        <w:b/>
        <w:color w:val="9BBB59" w:themeColor="accent3"/>
        <w14:textFill>
          <w14:solidFill>
            <w14:schemeClr w14:val="accent3"/>
          </w14:solidFill>
        </w14:textFill>
      </w:rPr>
    </w:tblStylePr>
    <w:tblStylePr w:type="firstCol">
      <w:rPr>
        <w:b/>
        <w:color w:val="9BBB59" w:themeColor="accent3"/>
        <w14:textFill>
          <w14:solidFill>
            <w14:schemeClr w14:val="accent3"/>
          </w14:solidFill>
        </w14:textFill>
      </w:rPr>
    </w:tblStylePr>
    <w:tblStylePr w:type="lastCol">
      <w:rPr>
        <w:b/>
        <w:color w:val="9BBB59" w:themeColor="accent3"/>
        <w14:textFill>
          <w14:solidFill>
            <w14:schemeClr w14:val="accent3"/>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25">
    <w:name w:val="Grid Table 6 Colorful - Accent 4"/>
    <w:basedOn w:val="4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26">
    <w:name w:val="Grid Table 6 Colorful - Accent 5"/>
    <w:basedOn w:val="44"/>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27">
    <w:name w:val="Grid Table 6 Colorful - Accent 6"/>
    <w:basedOn w:val="44"/>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28">
    <w:name w:val="网格表 7 彩色1"/>
    <w:basedOn w:val="44"/>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29">
    <w:name w:val="Grid Table 7 Colorful - Accent 1"/>
    <w:basedOn w:val="44"/>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30">
    <w:name w:val="Grid Table 7 Colorful - Accent 2"/>
    <w:basedOn w:val="44"/>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31">
    <w:name w:val="Grid Table 7 Colorful - Accent 3"/>
    <w:basedOn w:val="44"/>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sz w:val="22"/>
        <w14:textFill>
          <w14:solidFill>
            <w14:schemeClr w14:val="accent3"/>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sz w:val="22"/>
        <w14:textFill>
          <w14:solidFill>
            <w14:schemeClr w14:val="accent3"/>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14:textFill>
          <w14:solidFill>
            <w14:schemeClr w14:val="accent3"/>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sz w:val="22"/>
        <w14:textFill>
          <w14:solidFill>
            <w14:schemeClr w14:val="accent3"/>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32">
    <w:name w:val="Grid Table 7 Colorful - Accent 4"/>
    <w:basedOn w:val="44"/>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33">
    <w:name w:val="Grid Table 7 Colorful - Accent 5"/>
    <w:basedOn w:val="44"/>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34">
    <w:name w:val="Grid Table 7 Colorful - Accent 6"/>
    <w:basedOn w:val="44"/>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35">
    <w:name w:val="清单表 1 浅色1"/>
    <w:basedOn w:val="44"/>
    <w:qFormat/>
    <w:uiPriority w:val="99"/>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36">
    <w:name w:val="List Table 1 Light - Accent 1"/>
    <w:basedOn w:val="44"/>
    <w:qFormat/>
    <w:uiPriority w:val="99"/>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37">
    <w:name w:val="List Table 1 Light - Accent 2"/>
    <w:basedOn w:val="44"/>
    <w:qFormat/>
    <w:uiPriority w:val="99"/>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38">
    <w:name w:val="List Table 1 Light - Accent 3"/>
    <w:basedOn w:val="44"/>
    <w:qFormat/>
    <w:uiPriority w:val="99"/>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39">
    <w:name w:val="List Table 1 Light - Accent 4"/>
    <w:basedOn w:val="44"/>
    <w:qFormat/>
    <w:uiPriority w:val="99"/>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40">
    <w:name w:val="List Table 1 Light - Accent 5"/>
    <w:basedOn w:val="44"/>
    <w:qFormat/>
    <w:uiPriority w:val="99"/>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41">
    <w:name w:val="List Table 1 Light - Accent 6"/>
    <w:basedOn w:val="44"/>
    <w:qFormat/>
    <w:uiPriority w:val="99"/>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42">
    <w:name w:val="清单表 21"/>
    <w:basedOn w:val="44"/>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43">
    <w:name w:val="List Table 2 - Accent 1"/>
    <w:basedOn w:val="44"/>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44">
    <w:name w:val="List Table 2 - Accent 2"/>
    <w:basedOn w:val="44"/>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45">
    <w:name w:val="List Table 2 - Accent 3"/>
    <w:basedOn w:val="44"/>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6">
    <w:name w:val="List Table 2 - Accent 4"/>
    <w:basedOn w:val="44"/>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7">
    <w:name w:val="List Table 2 - Accent 5"/>
    <w:basedOn w:val="44"/>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8">
    <w:name w:val="List Table 2 - Accent 6"/>
    <w:basedOn w:val="44"/>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9">
    <w:name w:val="清单表 31"/>
    <w:basedOn w:val="44"/>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50">
    <w:name w:val="List Table 3 - Accent 1"/>
    <w:basedOn w:val="44"/>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51">
    <w:name w:val="List Table 3 - Accent 2"/>
    <w:basedOn w:val="44"/>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52">
    <w:name w:val="List Table 3 - Accent 3"/>
    <w:basedOn w:val="44"/>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53">
    <w:name w:val="List Table 3 - Accent 4"/>
    <w:basedOn w:val="4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54">
    <w:name w:val="List Table 3 - Accent 5"/>
    <w:basedOn w:val="44"/>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55">
    <w:name w:val="List Table 3 - Accent 6"/>
    <w:basedOn w:val="44"/>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56">
    <w:name w:val="清单表 41"/>
    <w:basedOn w:val="44"/>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57">
    <w:name w:val="List Table 4 - Accent 1"/>
    <w:basedOn w:val="44"/>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58">
    <w:name w:val="List Table 4 - Accent 2"/>
    <w:basedOn w:val="44"/>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59">
    <w:name w:val="List Table 4 - Accent 3"/>
    <w:basedOn w:val="44"/>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60">
    <w:name w:val="List Table 4 - Accent 4"/>
    <w:basedOn w:val="44"/>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61">
    <w:name w:val="List Table 4 - Accent 5"/>
    <w:basedOn w:val="44"/>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62">
    <w:name w:val="List Table 4 - Accent 6"/>
    <w:basedOn w:val="44"/>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63">
    <w:name w:val="清单表 5 深色1"/>
    <w:basedOn w:val="44"/>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64">
    <w:name w:val="List Table 5 Dark - Accent 1"/>
    <w:basedOn w:val="44"/>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65">
    <w:name w:val="List Table 5 Dark - Accent 2"/>
    <w:basedOn w:val="44"/>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66">
    <w:name w:val="List Table 5 Dark - Accent 3"/>
    <w:basedOn w:val="44"/>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67">
    <w:name w:val="List Table 5 Dark - Accent 4"/>
    <w:basedOn w:val="44"/>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68">
    <w:name w:val="List Table 5 Dark - Accent 5"/>
    <w:basedOn w:val="44"/>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69">
    <w:name w:val="List Table 5 Dark - Accent 6"/>
    <w:basedOn w:val="44"/>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70">
    <w:name w:val="清单表 6 彩色1"/>
    <w:basedOn w:val="44"/>
    <w:qFormat/>
    <w:uiPriority w:val="99"/>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71">
    <w:name w:val="List Table 6 Colorful - Accent 1"/>
    <w:basedOn w:val="44"/>
    <w:qFormat/>
    <w:uiPriority w:val="99"/>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72">
    <w:name w:val="List Table 6 Colorful - Accent 2"/>
    <w:basedOn w:val="44"/>
    <w:qFormat/>
    <w:uiPriority w:val="99"/>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73">
    <w:name w:val="List Table 6 Colorful - Accent 3"/>
    <w:basedOn w:val="44"/>
    <w:qFormat/>
    <w:uiPriority w:val="99"/>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74">
    <w:name w:val="List Table 6 Colorful - Accent 4"/>
    <w:basedOn w:val="44"/>
    <w:qFormat/>
    <w:uiPriority w:val="99"/>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75">
    <w:name w:val="List Table 6 Colorful - Accent 5"/>
    <w:basedOn w:val="44"/>
    <w:qFormat/>
    <w:uiPriority w:val="99"/>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76">
    <w:name w:val="List Table 6 Colorful - Accent 6"/>
    <w:basedOn w:val="44"/>
    <w:qFormat/>
    <w:uiPriority w:val="99"/>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77">
    <w:name w:val="清单表 7 彩色1"/>
    <w:basedOn w:val="44"/>
    <w:qFormat/>
    <w:uiPriority w:val="99"/>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78">
    <w:name w:val="List Table 7 Colorful - Accent 1"/>
    <w:basedOn w:val="44"/>
    <w:qFormat/>
    <w:uiPriority w:val="99"/>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79">
    <w:name w:val="List Table 7 Colorful - Accent 2"/>
    <w:basedOn w:val="44"/>
    <w:qFormat/>
    <w:uiPriority w:val="99"/>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80">
    <w:name w:val="List Table 7 Colorful - Accent 3"/>
    <w:basedOn w:val="44"/>
    <w:qFormat/>
    <w:uiPriority w:val="99"/>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81">
    <w:name w:val="List Table 7 Colorful - Accent 4"/>
    <w:basedOn w:val="44"/>
    <w:qFormat/>
    <w:uiPriority w:val="99"/>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82">
    <w:name w:val="List Table 7 Colorful - Accent 5"/>
    <w:basedOn w:val="44"/>
    <w:qFormat/>
    <w:uiPriority w:val="99"/>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83">
    <w:name w:val="List Table 7 Colorful - Accent 6"/>
    <w:basedOn w:val="44"/>
    <w:qFormat/>
    <w:uiPriority w:val="99"/>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84">
    <w:name w:val="Lined - Accent"/>
    <w:basedOn w:val="44"/>
    <w:qFormat/>
    <w:uiPriority w:val="99"/>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5">
    <w:name w:val="Lined - Accent 1"/>
    <w:basedOn w:val="44"/>
    <w:qFormat/>
    <w:uiPriority w:val="99"/>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86">
    <w:name w:val="Lined - Accent 2"/>
    <w:basedOn w:val="44"/>
    <w:qFormat/>
    <w:uiPriority w:val="99"/>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87">
    <w:name w:val="Lined - Accent 3"/>
    <w:basedOn w:val="44"/>
    <w:qFormat/>
    <w:uiPriority w:val="99"/>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88">
    <w:name w:val="Lined - Accent 4"/>
    <w:basedOn w:val="44"/>
    <w:qFormat/>
    <w:uiPriority w:val="99"/>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89">
    <w:name w:val="Lined - Accent 5"/>
    <w:basedOn w:val="44"/>
    <w:qFormat/>
    <w:uiPriority w:val="99"/>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90">
    <w:name w:val="Lined - Accent 6"/>
    <w:basedOn w:val="44"/>
    <w:qFormat/>
    <w:uiPriority w:val="99"/>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91">
    <w:name w:val="Bordered &amp; Lined - Accent"/>
    <w:basedOn w:val="44"/>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92">
    <w:name w:val="Bordered &amp; Lined - Accent 1"/>
    <w:basedOn w:val="44"/>
    <w:qFormat/>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93">
    <w:name w:val="Bordered &amp; Lined - Accent 2"/>
    <w:basedOn w:val="44"/>
    <w:qFormat/>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94">
    <w:name w:val="Bordered &amp; Lined - Accent 3"/>
    <w:basedOn w:val="44"/>
    <w:qFormat/>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95">
    <w:name w:val="Bordered &amp; Lined - Accent 4"/>
    <w:basedOn w:val="44"/>
    <w:qFormat/>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96">
    <w:name w:val="Bordered &amp; Lined - Accent 5"/>
    <w:basedOn w:val="44"/>
    <w:qFormat/>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97">
    <w:name w:val="Bordered &amp; Lined - Accent 6"/>
    <w:basedOn w:val="44"/>
    <w:qFormat/>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98">
    <w:name w:val="Bordered"/>
    <w:basedOn w:val="44"/>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99">
    <w:name w:val="Bordered - Accent 1"/>
    <w:basedOn w:val="44"/>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200">
    <w:name w:val="Bordered - Accent 2"/>
    <w:basedOn w:val="44"/>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201">
    <w:name w:val="Bordered - Accent 3"/>
    <w:basedOn w:val="44"/>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202">
    <w:name w:val="Bordered - Accent 4"/>
    <w:basedOn w:val="4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203">
    <w:name w:val="Bordered - Accent 5"/>
    <w:basedOn w:val="44"/>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204">
    <w:name w:val="Bordered - Accent 6"/>
    <w:basedOn w:val="44"/>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205">
    <w:name w:val="脚注文本 字符"/>
    <w:link w:val="34"/>
    <w:qFormat/>
    <w:uiPriority w:val="99"/>
    <w:rPr>
      <w:sz w:val="18"/>
    </w:rPr>
  </w:style>
  <w:style w:type="character" w:customStyle="1" w:styleId="206">
    <w:name w:val="尾注文本 字符"/>
    <w:link w:val="27"/>
    <w:qFormat/>
    <w:uiPriority w:val="99"/>
    <w:rPr>
      <w:sz w:val="20"/>
    </w:rPr>
  </w:style>
  <w:style w:type="paragraph" w:customStyle="1" w:styleId="207">
    <w:name w:val="TOC 标题1"/>
    <w:unhideWhenUsed/>
    <w:qFormat/>
    <w:uiPriority w:val="39"/>
    <w:rPr>
      <w:rFonts w:ascii="Times New Roman" w:hAnsi="Times New Roman" w:eastAsia="宋体" w:cs="Times New Roman"/>
      <w:lang w:val="en-US" w:eastAsia="zh-CN" w:bidi="ar-SA"/>
    </w:rPr>
  </w:style>
  <w:style w:type="paragraph" w:customStyle="1" w:styleId="208">
    <w:name w:val="Default"/>
    <w:next w:val="1"/>
    <w:qFormat/>
    <w:uiPriority w:val="0"/>
    <w:pPr>
      <w:widowControl w:val="0"/>
    </w:pPr>
    <w:rPr>
      <w:rFonts w:ascii="Arial" w:hAnsi="Arial" w:eastAsia="宋体" w:cs="Times New Roman"/>
      <w:color w:val="000000"/>
      <w:sz w:val="24"/>
      <w:lang w:val="en-US" w:eastAsia="zh-CN" w:bidi="ar-SA"/>
    </w:rPr>
  </w:style>
  <w:style w:type="paragraph" w:customStyle="1" w:styleId="209">
    <w:name w:val="[Normal]"/>
    <w:qFormat/>
    <w:uiPriority w:val="0"/>
    <w:rPr>
      <w:rFonts w:ascii="宋体" w:hAnsi="宋体" w:eastAsia="宋体" w:cs="Times New Roman"/>
      <w:sz w:val="24"/>
      <w:szCs w:val="22"/>
      <w:lang w:val="zh-CN" w:eastAsia="zh-CN" w:bidi="ar-SA"/>
    </w:rPr>
  </w:style>
  <w:style w:type="paragraph" w:customStyle="1" w:styleId="210">
    <w:name w:val="表格文字"/>
    <w:basedOn w:val="19"/>
    <w:next w:val="18"/>
    <w:qFormat/>
    <w:uiPriority w:val="99"/>
    <w:pPr>
      <w:spacing w:line="420" w:lineRule="atLeast"/>
    </w:pPr>
    <w:rPr>
      <w:rFonts w:ascii="Calibri" w:hAnsi="Calibri"/>
    </w:rPr>
  </w:style>
  <w:style w:type="character" w:customStyle="1" w:styleId="211">
    <w:name w:val="标题 3 字符"/>
    <w:basedOn w:val="46"/>
    <w:link w:val="5"/>
    <w:semiHidden/>
    <w:qFormat/>
    <w:uiPriority w:val="99"/>
    <w:rPr>
      <w:rFonts w:cs="Times New Roman"/>
      <w:sz w:val="32"/>
      <w:szCs w:val="32"/>
    </w:rPr>
  </w:style>
  <w:style w:type="character" w:customStyle="1" w:styleId="212">
    <w:name w:val="批注文字 字符"/>
    <w:basedOn w:val="46"/>
    <w:link w:val="17"/>
    <w:qFormat/>
    <w:uiPriority w:val="99"/>
    <w:rPr>
      <w:rFonts w:ascii="Times New Roman" w:hAnsi="Times New Roman" w:eastAsia="宋体" w:cs="Times New Roman"/>
      <w:sz w:val="24"/>
      <w:szCs w:val="24"/>
    </w:rPr>
  </w:style>
  <w:style w:type="character" w:customStyle="1" w:styleId="213">
    <w:name w:val="批注主题 字符"/>
    <w:basedOn w:val="212"/>
    <w:link w:val="41"/>
    <w:qFormat/>
    <w:uiPriority w:val="99"/>
    <w:rPr>
      <w:rFonts w:ascii="Times New Roman" w:hAnsi="Times New Roman" w:eastAsia="宋体" w:cs="Times New Roman"/>
      <w:sz w:val="24"/>
      <w:szCs w:val="24"/>
    </w:rPr>
  </w:style>
  <w:style w:type="character" w:customStyle="1" w:styleId="214">
    <w:name w:val="正文文本 字符"/>
    <w:basedOn w:val="46"/>
    <w:link w:val="18"/>
    <w:semiHidden/>
    <w:qFormat/>
    <w:uiPriority w:val="99"/>
    <w:rPr>
      <w:rFonts w:cs="Times New Roman"/>
      <w:sz w:val="21"/>
      <w:szCs w:val="21"/>
    </w:rPr>
  </w:style>
  <w:style w:type="character" w:customStyle="1" w:styleId="215">
    <w:name w:val="正文文本缩进 字符"/>
    <w:basedOn w:val="46"/>
    <w:link w:val="19"/>
    <w:qFormat/>
    <w:uiPriority w:val="99"/>
    <w:rPr>
      <w:rFonts w:cs="Times New Roman"/>
      <w:sz w:val="24"/>
      <w:szCs w:val="24"/>
    </w:rPr>
  </w:style>
  <w:style w:type="character" w:customStyle="1" w:styleId="216">
    <w:name w:val="纯文本 字符"/>
    <w:basedOn w:val="46"/>
    <w:link w:val="23"/>
    <w:semiHidden/>
    <w:qFormat/>
    <w:uiPriority w:val="99"/>
    <w:rPr>
      <w:rFonts w:ascii="宋体" w:hAnsi="Courier New" w:cs="Courier New"/>
      <w:sz w:val="21"/>
      <w:szCs w:val="21"/>
    </w:rPr>
  </w:style>
  <w:style w:type="character" w:customStyle="1" w:styleId="217">
    <w:name w:val="日期 字符"/>
    <w:basedOn w:val="46"/>
    <w:link w:val="25"/>
    <w:semiHidden/>
    <w:qFormat/>
    <w:uiPriority w:val="99"/>
    <w:rPr>
      <w:rFonts w:cs="Times New Roman"/>
      <w:sz w:val="21"/>
      <w:szCs w:val="21"/>
    </w:rPr>
  </w:style>
  <w:style w:type="character" w:customStyle="1" w:styleId="218">
    <w:name w:val="批注框文本 字符"/>
    <w:basedOn w:val="46"/>
    <w:link w:val="28"/>
    <w:qFormat/>
    <w:uiPriority w:val="99"/>
    <w:rPr>
      <w:rFonts w:ascii="Times New Roman" w:hAnsi="Times New Roman" w:eastAsia="宋体" w:cs="Times New Roman"/>
      <w:sz w:val="18"/>
      <w:szCs w:val="18"/>
    </w:rPr>
  </w:style>
  <w:style w:type="character" w:customStyle="1" w:styleId="219">
    <w:name w:val="页脚 字符"/>
    <w:basedOn w:val="46"/>
    <w:link w:val="29"/>
    <w:semiHidden/>
    <w:qFormat/>
    <w:uiPriority w:val="99"/>
    <w:rPr>
      <w:rFonts w:cs="Times New Roman"/>
      <w:sz w:val="18"/>
      <w:szCs w:val="18"/>
    </w:rPr>
  </w:style>
  <w:style w:type="character" w:customStyle="1" w:styleId="220">
    <w:name w:val="页眉 字符"/>
    <w:basedOn w:val="46"/>
    <w:link w:val="30"/>
    <w:semiHidden/>
    <w:qFormat/>
    <w:uiPriority w:val="99"/>
    <w:rPr>
      <w:rFonts w:cs="Times New Roman"/>
      <w:sz w:val="18"/>
      <w:szCs w:val="18"/>
    </w:rPr>
  </w:style>
  <w:style w:type="paragraph" w:customStyle="1" w:styleId="221">
    <w:name w:val="zw"/>
    <w:basedOn w:val="1"/>
    <w:qFormat/>
    <w:uiPriority w:val="99"/>
    <w:pPr>
      <w:widowControl/>
      <w:spacing w:before="30"/>
      <w:ind w:left="100" w:right="100"/>
    </w:pPr>
    <w:rPr>
      <w:rFonts w:ascii="方正书宋简体" w:hAnsi="宋体" w:eastAsia="方正书宋简体" w:cs="方正书宋简体"/>
      <w:color w:val="000000"/>
    </w:rPr>
  </w:style>
  <w:style w:type="paragraph" w:styleId="222">
    <w:name w:val="List Paragraph"/>
    <w:basedOn w:val="1"/>
    <w:qFormat/>
    <w:uiPriority w:val="99"/>
    <w:pPr>
      <w:ind w:firstLine="420"/>
    </w:pPr>
    <w:rPr>
      <w:rFonts w:ascii="Calibri" w:hAnsi="Calibri" w:cs="Calibri"/>
    </w:rPr>
  </w:style>
  <w:style w:type="paragraph" w:customStyle="1" w:styleId="223">
    <w:name w:val="无间隔1"/>
    <w:qFormat/>
    <w:uiPriority w:val="99"/>
    <w:rPr>
      <w:rFonts w:ascii="Tahoma" w:hAnsi="Tahoma" w:eastAsia="微软雅黑" w:cs="Tahoma"/>
      <w:sz w:val="22"/>
      <w:szCs w:val="22"/>
      <w:lang w:val="en-US" w:eastAsia="zh-CN" w:bidi="ar-SA"/>
    </w:rPr>
  </w:style>
  <w:style w:type="paragraph" w:customStyle="1" w:styleId="224">
    <w:name w:val="列出段落1"/>
    <w:basedOn w:val="1"/>
    <w:qFormat/>
    <w:uiPriority w:val="99"/>
    <w:pPr>
      <w:ind w:firstLine="420"/>
    </w:pPr>
    <w:rPr>
      <w:rFonts w:ascii="Calibri" w:hAnsi="Calibri" w:cs="Calibri"/>
    </w:rPr>
  </w:style>
  <w:style w:type="paragraph" w:customStyle="1" w:styleId="225">
    <w:name w:val="无间隔11"/>
    <w:qFormat/>
    <w:uiPriority w:val="99"/>
    <w:rPr>
      <w:rFonts w:ascii="Tahoma" w:hAnsi="Tahoma" w:eastAsia="微软雅黑" w:cs="Tahoma"/>
      <w:sz w:val="22"/>
      <w:szCs w:val="22"/>
      <w:lang w:val="en-US" w:eastAsia="zh-CN" w:bidi="ar-SA"/>
    </w:rPr>
  </w:style>
  <w:style w:type="paragraph" w:customStyle="1" w:styleId="226">
    <w:name w:val="reader-word-layer"/>
    <w:basedOn w:val="1"/>
    <w:qFormat/>
    <w:uiPriority w:val="99"/>
    <w:pPr>
      <w:widowControl/>
      <w:spacing w:before="100" w:beforeAutospacing="1" w:after="100" w:afterAutospacing="1"/>
      <w:jc w:val="left"/>
    </w:pPr>
    <w:rPr>
      <w:rFonts w:ascii="宋体" w:hAnsi="宋体" w:cs="宋体"/>
      <w:sz w:val="24"/>
      <w:szCs w:val="24"/>
    </w:rPr>
  </w:style>
  <w:style w:type="paragraph" w:customStyle="1" w:styleId="227">
    <w:name w:val="正文_3_0"/>
    <w:qFormat/>
    <w:uiPriority w:val="99"/>
    <w:pPr>
      <w:widowControl w:val="0"/>
      <w:jc w:val="both"/>
    </w:pPr>
    <w:rPr>
      <w:rFonts w:ascii="Times New Roman" w:hAnsi="Times New Roman" w:eastAsia="宋体" w:cs="Times New Roman"/>
      <w:sz w:val="21"/>
      <w:szCs w:val="21"/>
      <w:lang w:val="en-US" w:eastAsia="zh-CN" w:bidi="ar-SA"/>
    </w:rPr>
  </w:style>
  <w:style w:type="paragraph" w:customStyle="1" w:styleId="228">
    <w:name w:val="正文_14"/>
    <w:qFormat/>
    <w:uiPriority w:val="99"/>
    <w:rPr>
      <w:rFonts w:ascii="Times New Roman" w:hAnsi="Times New Roman" w:eastAsia="宋体" w:cs="Times New Roman"/>
      <w:sz w:val="21"/>
      <w:szCs w:val="21"/>
      <w:lang w:val="en-US" w:eastAsia="zh-CN" w:bidi="ar-SA"/>
    </w:rPr>
  </w:style>
  <w:style w:type="paragraph" w:customStyle="1" w:styleId="229">
    <w:name w:val="正文_4"/>
    <w:qFormat/>
    <w:uiPriority w:val="99"/>
    <w:pPr>
      <w:widowControl w:val="0"/>
      <w:jc w:val="both"/>
    </w:pPr>
    <w:rPr>
      <w:rFonts w:ascii="Times New Roman" w:hAnsi="Times New Roman" w:eastAsia="宋体" w:cs="Times New Roman"/>
      <w:sz w:val="21"/>
      <w:szCs w:val="21"/>
      <w:lang w:val="en-US" w:eastAsia="zh-CN" w:bidi="ar-SA"/>
    </w:rPr>
  </w:style>
  <w:style w:type="paragraph" w:customStyle="1" w:styleId="230">
    <w:name w:val="正文_5"/>
    <w:qFormat/>
    <w:uiPriority w:val="99"/>
    <w:pPr>
      <w:widowControl w:val="0"/>
      <w:jc w:val="both"/>
    </w:pPr>
    <w:rPr>
      <w:rFonts w:ascii="Times New Roman" w:hAnsi="Times New Roman" w:eastAsia="宋体" w:cs="Times New Roman"/>
      <w:sz w:val="21"/>
      <w:szCs w:val="21"/>
      <w:lang w:val="en-US" w:eastAsia="zh-CN" w:bidi="ar-SA"/>
    </w:rPr>
  </w:style>
  <w:style w:type="paragraph" w:customStyle="1" w:styleId="231">
    <w:name w:val="正文_10"/>
    <w:qFormat/>
    <w:uiPriority w:val="99"/>
    <w:pPr>
      <w:widowControl w:val="0"/>
      <w:jc w:val="both"/>
    </w:pPr>
    <w:rPr>
      <w:rFonts w:ascii="Times New Roman" w:hAnsi="Times New Roman" w:eastAsia="宋体" w:cs="Times New Roman"/>
      <w:sz w:val="21"/>
      <w:szCs w:val="21"/>
      <w:lang w:val="en-US" w:eastAsia="zh-CN" w:bidi="ar-SA"/>
    </w:rPr>
  </w:style>
  <w:style w:type="paragraph" w:customStyle="1" w:styleId="232">
    <w:name w:val="纯文本_3"/>
    <w:basedOn w:val="231"/>
    <w:qFormat/>
    <w:uiPriority w:val="99"/>
    <w:pPr>
      <w:widowControl/>
      <w:jc w:val="left"/>
    </w:pPr>
    <w:rPr>
      <w:rFonts w:ascii="宋体" w:hAnsi="Courier New" w:cs="宋体"/>
    </w:rPr>
  </w:style>
  <w:style w:type="paragraph" w:customStyle="1" w:styleId="233">
    <w:name w:val="纯文本_0_1"/>
    <w:basedOn w:val="1"/>
    <w:qFormat/>
    <w:uiPriority w:val="99"/>
    <w:pPr>
      <w:widowControl/>
      <w:jc w:val="left"/>
    </w:pPr>
    <w:rPr>
      <w:rFonts w:ascii="宋体" w:hAnsi="Courier New" w:cs="宋体"/>
    </w:rPr>
  </w:style>
  <w:style w:type="paragraph" w:customStyle="1" w:styleId="234">
    <w:name w:val="正文_17"/>
    <w:qFormat/>
    <w:uiPriority w:val="99"/>
    <w:pPr>
      <w:widowControl w:val="0"/>
      <w:jc w:val="both"/>
    </w:pPr>
    <w:rPr>
      <w:rFonts w:ascii="Times New Roman" w:hAnsi="Times New Roman" w:eastAsia="宋体" w:cs="Times New Roman"/>
      <w:sz w:val="21"/>
      <w:szCs w:val="21"/>
      <w:lang w:val="en-US" w:eastAsia="zh-CN" w:bidi="ar-SA"/>
    </w:rPr>
  </w:style>
  <w:style w:type="paragraph" w:customStyle="1" w:styleId="235">
    <w:name w:val="正文_2_0"/>
    <w:qFormat/>
    <w:uiPriority w:val="99"/>
    <w:pPr>
      <w:widowControl w:val="0"/>
      <w:jc w:val="both"/>
    </w:pPr>
    <w:rPr>
      <w:rFonts w:ascii="Times New Roman" w:hAnsi="Times New Roman" w:eastAsia="宋体" w:cs="Times New Roman"/>
      <w:sz w:val="21"/>
      <w:szCs w:val="21"/>
      <w:lang w:val="en-US" w:eastAsia="zh-CN" w:bidi="ar-SA"/>
    </w:rPr>
  </w:style>
  <w:style w:type="paragraph" w:customStyle="1" w:styleId="236">
    <w:name w:val="正文_6"/>
    <w:qFormat/>
    <w:uiPriority w:val="99"/>
    <w:pPr>
      <w:widowControl w:val="0"/>
      <w:jc w:val="both"/>
    </w:pPr>
    <w:rPr>
      <w:rFonts w:ascii="Times New Roman" w:hAnsi="Times New Roman" w:eastAsia="宋体" w:cs="Times New Roman"/>
      <w:sz w:val="21"/>
      <w:szCs w:val="21"/>
      <w:lang w:val="en-US" w:eastAsia="zh-CN" w:bidi="ar-SA"/>
    </w:rPr>
  </w:style>
  <w:style w:type="paragraph" w:customStyle="1" w:styleId="237">
    <w:name w:val="Normal_15"/>
    <w:qFormat/>
    <w:uiPriority w:val="99"/>
    <w:pPr>
      <w:widowControl w:val="0"/>
      <w:jc w:val="both"/>
    </w:pPr>
    <w:rPr>
      <w:rFonts w:ascii="Calibri" w:hAnsi="Calibri" w:eastAsia="宋体" w:cs="Calibri"/>
      <w:sz w:val="21"/>
      <w:szCs w:val="21"/>
      <w:lang w:val="en-US" w:eastAsia="zh-CN" w:bidi="ar-SA"/>
    </w:rPr>
  </w:style>
  <w:style w:type="paragraph" w:customStyle="1" w:styleId="238">
    <w:name w:val="纯文本1"/>
    <w:basedOn w:val="7"/>
    <w:qFormat/>
    <w:uiPriority w:val="0"/>
    <w:pPr>
      <w:widowControl/>
      <w:jc w:val="left"/>
    </w:pPr>
    <w:rPr>
      <w:rFonts w:ascii="宋体" w:hAnsi="Courier New"/>
    </w:rPr>
  </w:style>
  <w:style w:type="paragraph" w:customStyle="1" w:styleId="239">
    <w:name w:val="表格标题"/>
    <w:basedOn w:val="1"/>
    <w:qFormat/>
    <w:uiPriority w:val="0"/>
    <w:pPr>
      <w:jc w:val="center"/>
    </w:pPr>
    <w:rPr>
      <w:b/>
    </w:rPr>
  </w:style>
  <w:style w:type="paragraph" w:customStyle="1" w:styleId="240">
    <w:name w:val="正文_8"/>
    <w:qFormat/>
    <w:uiPriority w:val="0"/>
    <w:pPr>
      <w:widowControl w:val="0"/>
      <w:jc w:val="both"/>
    </w:pPr>
    <w:rPr>
      <w:rFonts w:ascii="Calibri" w:hAnsi="Calibri" w:eastAsia="宋体" w:cs="Times New Roman"/>
      <w:sz w:val="21"/>
      <w:szCs w:val="22"/>
      <w:lang w:val="en-US" w:eastAsia="zh-CN" w:bidi="ar-SA"/>
    </w:rPr>
  </w:style>
  <w:style w:type="paragraph" w:customStyle="1" w:styleId="241">
    <w:name w:val="附件文字"/>
    <w:basedOn w:val="23"/>
    <w:qFormat/>
    <w:uiPriority w:val="0"/>
    <w:rPr>
      <w:rFonts w:ascii="Arial" w:hAnsi="Times New Roman"/>
      <w:color w:val="000000"/>
      <w:sz w:val="24"/>
    </w:rPr>
  </w:style>
  <w:style w:type="character" w:customStyle="1" w:styleId="242">
    <w:name w:val="font41"/>
    <w:basedOn w:val="46"/>
    <w:qFormat/>
    <w:uiPriority w:val="0"/>
    <w:rPr>
      <w:rFonts w:hint="eastAsia" w:ascii="宋体" w:hAnsi="宋体" w:eastAsia="宋体" w:cs="宋体"/>
      <w:color w:val="000000"/>
      <w:sz w:val="24"/>
      <w:szCs w:val="24"/>
      <w:u w:val="none"/>
    </w:rPr>
  </w:style>
  <w:style w:type="character" w:customStyle="1" w:styleId="243">
    <w:name w:val="font01"/>
    <w:basedOn w:val="46"/>
    <w:qFormat/>
    <w:uiPriority w:val="0"/>
    <w:rPr>
      <w:rFonts w:hint="eastAsia" w:ascii="宋体" w:hAnsi="宋体" w:eastAsia="宋体" w:cs="宋体"/>
      <w:color w:val="000000"/>
      <w:sz w:val="18"/>
      <w:szCs w:val="18"/>
      <w:u w:val="none"/>
    </w:rPr>
  </w:style>
  <w:style w:type="character" w:customStyle="1" w:styleId="244">
    <w:name w:val="NormalCharacter"/>
    <w:qFormat/>
    <w:uiPriority w:val="0"/>
  </w:style>
  <w:style w:type="paragraph" w:customStyle="1" w:styleId="245">
    <w:name w:val="样式 宋体 行距: 固定值 20 磅 首行缩进:  2 字符"/>
    <w:basedOn w:val="1"/>
    <w:qFormat/>
    <w:uiPriority w:val="0"/>
    <w:pPr>
      <w:spacing w:line="400" w:lineRule="exact"/>
      <w:ind w:firstLine="435"/>
    </w:pPr>
    <w:rPr>
      <w:rFonts w:ascii="宋体" w:hAnsi="宋体" w:cs="宋体"/>
      <w:szCs w:val="20"/>
    </w:rPr>
  </w:style>
  <w:style w:type="paragraph" w:customStyle="1" w:styleId="246">
    <w:name w:val="WPSOffice手动目录 1"/>
    <w:qFormat/>
    <w:uiPriority w:val="0"/>
    <w:rPr>
      <w:rFonts w:ascii="Times New Roman" w:hAnsi="Times New Roman" w:eastAsia="宋体" w:cs="Times New Roman"/>
      <w:lang w:val="en-US" w:eastAsia="zh-CN" w:bidi="ar-SA"/>
    </w:rPr>
  </w:style>
  <w:style w:type="paragraph" w:customStyle="1" w:styleId="247">
    <w:name w:val="Table Paragraph"/>
    <w:basedOn w:val="1"/>
    <w:qFormat/>
    <w:uiPriority w:val="1"/>
    <w:rPr>
      <w:rFonts w:ascii="宋体" w:hAnsi="宋体" w:cs="宋体"/>
      <w:lang w:val="zh-CN" w:bidi="zh-CN"/>
    </w:rPr>
  </w:style>
  <w:style w:type="character" w:customStyle="1" w:styleId="248">
    <w:name w:val="font11"/>
    <w:basedOn w:val="46"/>
    <w:qFormat/>
    <w:uiPriority w:val="0"/>
    <w:rPr>
      <w:rFonts w:hint="default" w:ascii="Times New Roman" w:hAnsi="Times New Roman" w:cs="Times New Roman"/>
      <w:color w:val="000000"/>
      <w:sz w:val="24"/>
      <w:szCs w:val="24"/>
      <w:u w:val="none"/>
    </w:rPr>
  </w:style>
  <w:style w:type="character" w:customStyle="1" w:styleId="249">
    <w:name w:val="font31"/>
    <w:basedOn w:val="46"/>
    <w:qFormat/>
    <w:uiPriority w:val="0"/>
    <w:rPr>
      <w:rFonts w:hint="eastAsia" w:ascii="宋体" w:hAnsi="宋体" w:eastAsia="宋体" w:cs="宋体"/>
      <w:color w:val="000000"/>
      <w:sz w:val="21"/>
      <w:szCs w:val="21"/>
      <w:u w:val="none"/>
    </w:rPr>
  </w:style>
  <w:style w:type="character" w:customStyle="1" w:styleId="250">
    <w:name w:val="font21"/>
    <w:basedOn w:val="46"/>
    <w:qFormat/>
    <w:uiPriority w:val="0"/>
    <w:rPr>
      <w:rFonts w:hint="eastAsia" w:ascii="宋体" w:hAnsi="宋体" w:eastAsia="宋体" w:cs="宋体"/>
      <w:color w:val="FF0000"/>
      <w:sz w:val="21"/>
      <w:szCs w:val="21"/>
      <w:u w:val="none"/>
    </w:rPr>
  </w:style>
  <w:style w:type="paragraph" w:customStyle="1" w:styleId="251">
    <w:name w:val="hea"/>
    <w:basedOn w:val="1"/>
    <w:next w:val="1"/>
    <w:qFormat/>
    <w:uiPriority w:val="0"/>
    <w:pPr>
      <w:keepNext/>
      <w:keepLines/>
      <w:numPr>
        <w:ilvl w:val="0"/>
        <w:numId w:val="2"/>
      </w:numPr>
      <w:spacing w:before="340" w:after="330" w:line="578" w:lineRule="auto"/>
      <w:outlineLvl w:val="0"/>
    </w:pPr>
    <w:rPr>
      <w:b/>
      <w:bCs/>
      <w:sz w:val="44"/>
      <w:szCs w:val="44"/>
    </w:rPr>
  </w:style>
  <w:style w:type="paragraph" w:customStyle="1" w:styleId="252">
    <w:name w:val="+正文 Char Char Char"/>
    <w:basedOn w:val="1"/>
    <w:qFormat/>
    <w:uiPriority w:val="0"/>
    <w:pPr>
      <w:ind w:firstLine="200"/>
    </w:pPr>
    <w:rPr>
      <w:sz w:val="24"/>
      <w:szCs w:val="24"/>
    </w:rPr>
  </w:style>
  <w:style w:type="character" w:customStyle="1" w:styleId="253">
    <w:name w:val="layui-this"/>
    <w:basedOn w:val="46"/>
    <w:qFormat/>
    <w:uiPriority w:val="0"/>
    <w:rPr>
      <w:shd w:val="clear" w:color="auto" w:fill="FFFFFF"/>
    </w:rPr>
  </w:style>
  <w:style w:type="character" w:customStyle="1" w:styleId="254">
    <w:name w:val="first-child"/>
    <w:basedOn w:val="46"/>
    <w:qFormat/>
    <w:uiPriority w:val="0"/>
  </w:style>
  <w:style w:type="paragraph" w:customStyle="1" w:styleId="255">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256">
    <w:name w:val="文件正文"/>
    <w:basedOn w:val="1"/>
    <w:qFormat/>
    <w:uiPriority w:val="0"/>
    <w:pPr>
      <w:spacing w:line="288" w:lineRule="auto"/>
      <w:ind w:firstLine="200"/>
    </w:pPr>
    <w:rPr>
      <w:rFonts w:ascii="宋体" w:hAnsi="宋体"/>
      <w:color w:val="000000"/>
      <w:szCs w:val="24"/>
    </w:rPr>
  </w:style>
  <w:style w:type="table" w:customStyle="1" w:styleId="257">
    <w:name w:val="Table Normal"/>
    <w:semiHidden/>
    <w:unhideWhenUsed/>
    <w:qFormat/>
    <w:uiPriority w:val="2"/>
    <w:tblPr>
      <w:tblCellMar>
        <w:top w:w="0" w:type="dxa"/>
        <w:left w:w="0" w:type="dxa"/>
        <w:bottom w:w="0" w:type="dxa"/>
        <w:right w:w="0" w:type="dxa"/>
      </w:tblCellMar>
    </w:tblPr>
  </w:style>
  <w:style w:type="paragraph" w:customStyle="1" w:styleId="258">
    <w:name w:val="正文文本1"/>
    <w:basedOn w:val="1"/>
    <w:qFormat/>
    <w:uiPriority w:val="0"/>
    <w:pPr>
      <w:spacing w:line="432" w:lineRule="auto"/>
      <w:ind w:firstLine="400"/>
    </w:pPr>
    <w:rPr>
      <w:rFonts w:ascii="宋体" w:hAnsi="宋体" w:cs="宋体"/>
      <w:sz w:val="20"/>
      <w:szCs w:val="20"/>
    </w:rPr>
  </w:style>
  <w:style w:type="paragraph" w:customStyle="1" w:styleId="259">
    <w:name w:val="其他"/>
    <w:basedOn w:val="1"/>
    <w:qFormat/>
    <w:uiPriority w:val="0"/>
    <w:pPr>
      <w:spacing w:line="432" w:lineRule="auto"/>
      <w:ind w:firstLine="400"/>
    </w:pPr>
    <w:rPr>
      <w:rFonts w:ascii="宋体" w:hAnsi="宋体" w:cs="宋体"/>
      <w:sz w:val="20"/>
      <w:szCs w:val="20"/>
    </w:rPr>
  </w:style>
  <w:style w:type="paragraph" w:customStyle="1" w:styleId="260">
    <w:name w:val="正文文本 (7)"/>
    <w:basedOn w:val="1"/>
    <w:qFormat/>
    <w:uiPriority w:val="0"/>
    <w:pPr>
      <w:spacing w:after="100"/>
      <w:jc w:val="center"/>
    </w:pPr>
    <w:rPr>
      <w:rFonts w:eastAsia="Times New Roman"/>
      <w:b/>
      <w:bCs/>
      <w:sz w:val="18"/>
      <w:szCs w:val="18"/>
    </w:rPr>
  </w:style>
  <w:style w:type="paragraph" w:customStyle="1" w:styleId="261">
    <w:name w:val="页眉或页脚 (2)"/>
    <w:basedOn w:val="1"/>
    <w:qFormat/>
    <w:uiPriority w:val="0"/>
    <w:rPr>
      <w:rFonts w:eastAsia="Times New Roman"/>
      <w:sz w:val="20"/>
      <w:szCs w:val="20"/>
    </w:rPr>
  </w:style>
  <w:style w:type="paragraph" w:customStyle="1" w:styleId="262">
    <w:name w:val="自动更正"/>
    <w:qFormat/>
    <w:uiPriority w:val="0"/>
    <w:pPr>
      <w:widowControl w:val="0"/>
      <w:jc w:val="both"/>
    </w:pPr>
    <w:rPr>
      <w:rFonts w:ascii="Calibri" w:hAnsi="Calibri" w:eastAsia="宋体" w:cs="Times New Roman"/>
      <w:sz w:val="21"/>
      <w:szCs w:val="24"/>
      <w:lang w:val="en-US" w:eastAsia="zh-CN" w:bidi="ar-SA"/>
    </w:rPr>
  </w:style>
  <w:style w:type="paragraph" w:customStyle="1" w:styleId="263">
    <w:name w:val="列表段落1"/>
    <w:basedOn w:val="1"/>
    <w:qFormat/>
    <w:uiPriority w:val="0"/>
    <w:pPr>
      <w:ind w:firstLine="420"/>
    </w:pPr>
    <w:rPr>
      <w:rFonts w:ascii="宋体" w:hAnsi="宋体"/>
      <w:szCs w:val="22"/>
    </w:rPr>
  </w:style>
  <w:style w:type="paragraph" w:customStyle="1" w:styleId="264">
    <w:name w:val="文档正文"/>
    <w:basedOn w:val="1"/>
    <w:qFormat/>
    <w:uiPriority w:val="0"/>
    <w:pPr>
      <w:spacing w:line="480" w:lineRule="atLeast"/>
      <w:ind w:firstLine="567"/>
    </w:pPr>
    <w:rPr>
      <w:rFonts w:ascii="长城仿宋"/>
      <w:sz w:val="24"/>
      <w:szCs w:val="20"/>
    </w:rPr>
  </w:style>
  <w:style w:type="paragraph" w:customStyle="1" w:styleId="265">
    <w:name w:val="Body text|1"/>
    <w:basedOn w:val="1"/>
    <w:qFormat/>
    <w:uiPriority w:val="0"/>
    <w:pPr>
      <w:spacing w:line="415" w:lineRule="auto"/>
      <w:ind w:firstLine="400"/>
      <w:jc w:val="left"/>
    </w:pPr>
    <w:rPr>
      <w:rFonts w:ascii="宋体" w:hAnsi="宋体" w:cs="宋体"/>
      <w:color w:val="000000"/>
      <w:sz w:val="24"/>
      <w:lang w:val="zh-TW" w:eastAsia="zh-TW" w:bidi="zh-TW"/>
    </w:rPr>
  </w:style>
  <w:style w:type="character" w:customStyle="1" w:styleId="266">
    <w:name w:val="标题 1 Char Char"/>
    <w:qFormat/>
    <w:uiPriority w:val="0"/>
    <w:rPr>
      <w:rFonts w:ascii="Arial" w:hAnsi="Arial" w:eastAsia="黑体"/>
      <w:sz w:val="24"/>
      <w:lang w:val="en-US" w:eastAsia="zh-CN"/>
    </w:rPr>
  </w:style>
  <w:style w:type="character" w:customStyle="1" w:styleId="267">
    <w:name w:val="15"/>
    <w:basedOn w:val="46"/>
    <w:qFormat/>
    <w:uiPriority w:val="0"/>
    <w:rPr>
      <w:rFonts w:hint="default" w:ascii="Times New Roman" w:hAnsi="Times New Roman" w:cs="Times New Roman"/>
    </w:rPr>
  </w:style>
  <w:style w:type="character" w:customStyle="1" w:styleId="268">
    <w:name w:val="10"/>
    <w:basedOn w:val="46"/>
    <w:qFormat/>
    <w:uiPriority w:val="0"/>
    <w:rPr>
      <w:rFonts w:hint="default" w:ascii="Times New Roman" w:hAnsi="Times New Roman" w:cs="Times New Roman"/>
    </w:rPr>
  </w:style>
  <w:style w:type="paragraph" w:customStyle="1" w:styleId="269">
    <w:name w:val="First Paragraph"/>
    <w:basedOn w:val="18"/>
    <w:next w:val="18"/>
    <w:qFormat/>
    <w:uiPriority w:val="0"/>
  </w:style>
  <w:style w:type="paragraph" w:customStyle="1" w:styleId="270">
    <w:name w:val="正文11"/>
    <w:basedOn w:val="22"/>
    <w:qFormat/>
    <w:uiPriority w:val="0"/>
    <w:pPr>
      <w:tabs>
        <w:tab w:val="right" w:leader="dot" w:pos="9060"/>
      </w:tabs>
    </w:pPr>
    <w:rPr>
      <w:rFonts w:hint="eastAsia"/>
      <w:kern w:val="2"/>
    </w:rPr>
  </w:style>
  <w:style w:type="paragraph" w:customStyle="1" w:styleId="271">
    <w:name w:val="首行缩进"/>
    <w:basedOn w:val="1"/>
    <w:qFormat/>
    <w:uiPriority w:val="0"/>
    <w:pPr>
      <w:spacing w:line="360" w:lineRule="auto"/>
      <w:ind w:firstLine="480" w:firstLineChars="200"/>
    </w:pPr>
    <w:rPr>
      <w:sz w:val="24"/>
      <w:lang w:val="zh-CN"/>
    </w:rPr>
  </w:style>
  <w:style w:type="paragraph" w:customStyle="1" w:styleId="272">
    <w:name w:val="Table Text"/>
    <w:basedOn w:val="1"/>
    <w:semiHidden/>
    <w:qFormat/>
    <w:uiPriority w:val="0"/>
    <w:rPr>
      <w:rFonts w:ascii="宋体" w:hAnsi="宋体" w:cs="宋体"/>
      <w:sz w:val="20"/>
      <w:szCs w:val="20"/>
      <w:lang w:eastAsia="en-US"/>
    </w:rPr>
  </w:style>
  <w:style w:type="character" w:customStyle="1" w:styleId="273">
    <w:name w:val="font51"/>
    <w:basedOn w:val="46"/>
    <w:qFormat/>
    <w:uiPriority w:val="0"/>
    <w:rPr>
      <w:rFonts w:hint="default" w:ascii="Arial" w:hAnsi="Arial" w:cs="Arial"/>
      <w:color w:val="FF0000"/>
      <w:sz w:val="21"/>
      <w:szCs w:val="21"/>
      <w:u w:val="none"/>
    </w:rPr>
  </w:style>
  <w:style w:type="character" w:customStyle="1" w:styleId="274">
    <w:name w:val="font71"/>
    <w:basedOn w:val="46"/>
    <w:qFormat/>
    <w:uiPriority w:val="0"/>
    <w:rPr>
      <w:rFonts w:hint="eastAsia" w:ascii="微软雅黑" w:hAnsi="微软雅黑" w:eastAsia="微软雅黑" w:cs="微软雅黑"/>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68</Pages>
  <Words>33058</Words>
  <Characters>35032</Characters>
  <Lines>267</Lines>
  <Paragraphs>75</Paragraphs>
  <TotalTime>5</TotalTime>
  <ScaleCrop>false</ScaleCrop>
  <LinksUpToDate>false</LinksUpToDate>
  <CharactersWithSpaces>36189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2025-03-13T09:11:00Z</dcterms:created>
  <dc:creator>S-mile</dc:creator>
  <cp:lastModifiedBy>汾汾是第二声</cp:lastModifiedBy>
  <cp:lastPrinted>2025-03-26T02:41:00Z</cp:lastPrinted>
  <dcterms:modified xsi:type="dcterms:W3CDTF">2025-03-27T01:40:06Z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5362C1DA9E324992846545D1E1568F8F_13</vt:lpwstr>
  </property>
  <property fmtid="{D5CDD505-2E9C-101B-9397-08002B2CF9AE}" pid="4" name="KSOTemplateDocerSaveRecord">
    <vt:lpwstr>eyJoZGlkIjoiMTVjMjVmMWVhZjIxNDk3MTAzMDhkODQxMjYyMmY5ZjciLCJ1c2VySWQiOiI1MzA3MTEyNzQifQ==</vt:lpwstr>
  </property>
</Properties>
</file>