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ackground w:color="FFFFFF"/>
  <w:body>
    <w:tbl>
      <w:tblPr>
        <w:tblStyle w:val="35"/>
        <w:tblW w:w="925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258"/>
      </w:tblGrid>
      <w:tr w14:paraId="356B86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890" w:hRule="atLeast"/>
          <w:jc w:val="center"/>
        </w:trPr>
        <w:tc>
          <w:tcPr>
            <w:tcW w:w="9258" w:type="dxa"/>
          </w:tcPr>
          <w:p w14:paraId="12A7FDA6">
            <w:pPr>
              <w:autoSpaceDE w:val="0"/>
              <w:autoSpaceDN w:val="0"/>
              <w:adjustRightInd w:val="0"/>
              <w:snapToGrid w:val="0"/>
              <w:spacing w:line="500" w:lineRule="atLeast"/>
              <w:ind w:left="956"/>
              <w:rPr>
                <w:rFonts w:ascii="Cambria Math" w:hAnsi="Cambria Math" w:eastAsia="Cambria Math"/>
                <w:b w:val="0"/>
                <w:bCs w:val="0"/>
                <w:color w:val="auto"/>
                <w:sz w:val="32"/>
                <w:szCs w:val="32"/>
                <w:highlight w:val="none"/>
                <w:lang w:val="zh-CN"/>
              </w:rPr>
            </w:pPr>
          </w:p>
          <w:p w14:paraId="477E0773">
            <w:pPr>
              <w:autoSpaceDE w:val="0"/>
              <w:autoSpaceDN w:val="0"/>
              <w:adjustRightInd w:val="0"/>
              <w:snapToGrid w:val="0"/>
              <w:spacing w:line="500" w:lineRule="atLeast"/>
              <w:jc w:val="center"/>
              <w:rPr>
                <w:rFonts w:ascii="Cambria Math" w:hAnsi="Cambria Math" w:eastAsia="Cambria Math"/>
                <w:color w:val="auto"/>
                <w:sz w:val="32"/>
                <w:szCs w:val="32"/>
                <w:highlight w:val="none"/>
                <w:lang w:val="zh-CN"/>
              </w:rPr>
            </w:pPr>
          </w:p>
          <w:p w14:paraId="33F32910">
            <w:pPr>
              <w:jc w:val="center"/>
              <w:rPr>
                <w:rFonts w:ascii="Cambria Math" w:hAnsi="Cambria Math" w:eastAsia="Cambria Math"/>
                <w:b w:val="0"/>
                <w:color w:val="auto"/>
                <w:sz w:val="72"/>
                <w:highlight w:val="none"/>
              </w:rPr>
            </w:pPr>
            <w:r>
              <w:rPr>
                <w:rFonts w:hint="eastAsia" w:ascii="宋体" w:hAnsi="宋体"/>
                <w:b w:val="0"/>
                <w:color w:val="auto"/>
                <w:sz w:val="72"/>
                <w:highlight w:val="none"/>
              </w:rPr>
              <w:t xml:space="preserve">龙 港 </w:t>
            </w:r>
            <w:r>
              <w:rPr>
                <w:rFonts w:hint="eastAsia" w:ascii="Cambria Math" w:hAnsi="Cambria Math" w:eastAsia="Cambria Math"/>
                <w:b w:val="0"/>
                <w:color w:val="auto"/>
                <w:sz w:val="72"/>
                <w:highlight w:val="none"/>
              </w:rPr>
              <w:t>市 国 企 采 购</w:t>
            </w:r>
          </w:p>
          <w:p w14:paraId="6D773597">
            <w:pPr>
              <w:jc w:val="center"/>
              <w:rPr>
                <w:rFonts w:hint="eastAsia" w:ascii="宋体" w:hAnsi="宋体" w:cs="宋体"/>
                <w:b w:val="0"/>
                <w:color w:val="auto"/>
                <w:sz w:val="72"/>
                <w:highlight w:val="none"/>
              </w:rPr>
            </w:pPr>
            <w:r>
              <w:rPr>
                <w:rFonts w:hint="eastAsia" w:ascii="宋体" w:hAnsi="宋体" w:cs="宋体"/>
                <w:b w:val="0"/>
                <w:color w:val="auto"/>
                <w:sz w:val="72"/>
                <w:highlight w:val="none"/>
              </w:rPr>
              <w:t>招 标 文 件</w:t>
            </w:r>
          </w:p>
          <w:p w14:paraId="557F0190">
            <w:pPr>
              <w:ind w:firstLine="1200" w:firstLineChars="400"/>
              <w:rPr>
                <w:rFonts w:ascii="Cambria Math" w:hAnsi="Cambria Math"/>
                <w:b w:val="0"/>
                <w:color w:val="auto"/>
                <w:sz w:val="30"/>
                <w:szCs w:val="30"/>
                <w:highlight w:val="none"/>
              </w:rPr>
            </w:pPr>
          </w:p>
          <w:p w14:paraId="64A789A6">
            <w:pPr>
              <w:ind w:firstLine="1200" w:firstLineChars="400"/>
              <w:rPr>
                <w:rFonts w:ascii="Cambria Math" w:hAnsi="Cambria Math"/>
                <w:b w:val="0"/>
                <w:color w:val="auto"/>
                <w:sz w:val="30"/>
                <w:szCs w:val="30"/>
                <w:highlight w:val="none"/>
              </w:rPr>
            </w:pPr>
          </w:p>
          <w:p w14:paraId="55ABEDBE">
            <w:pPr>
              <w:spacing w:line="360" w:lineRule="auto"/>
              <w:ind w:left="2527" w:leftChars="569" w:hanging="1332" w:hangingChars="444"/>
              <w:rPr>
                <w:rFonts w:hint="eastAsia" w:ascii="Cambria Math" w:hAnsi="Cambria Math" w:eastAsia="宋体"/>
                <w:b w:val="0"/>
                <w:color w:val="auto"/>
                <w:sz w:val="30"/>
                <w:szCs w:val="30"/>
                <w:highlight w:val="none"/>
                <w:lang w:eastAsia="zh-CN"/>
              </w:rPr>
            </w:pPr>
            <w:r>
              <w:rPr>
                <w:rFonts w:hint="eastAsia" w:ascii="Cambria Math" w:hAnsi="Cambria Math" w:eastAsia="Cambria Math"/>
                <w:b w:val="0"/>
                <w:color w:val="auto"/>
                <w:sz w:val="30"/>
                <w:szCs w:val="30"/>
                <w:highlight w:val="none"/>
              </w:rPr>
              <w:t>项目名称：</w:t>
            </w:r>
            <w:r>
              <w:rPr>
                <w:rFonts w:hint="eastAsia" w:ascii="宋体" w:hAnsi="宋体" w:cs="宋体"/>
                <w:b w:val="0"/>
                <w:color w:val="auto"/>
                <w:sz w:val="30"/>
                <w:szCs w:val="30"/>
                <w:highlight w:val="none"/>
                <w:lang w:eastAsia="zh-CN"/>
              </w:rPr>
              <w:t>龙港水务用水客户户内漏水保险服务项目（重招）</w:t>
            </w:r>
          </w:p>
          <w:p w14:paraId="35EFBB95">
            <w:pPr>
              <w:spacing w:line="360" w:lineRule="auto"/>
              <w:ind w:firstLine="1200" w:firstLineChars="400"/>
              <w:rPr>
                <w:rFonts w:ascii="Cambria Math" w:hAnsi="Cambria Math" w:eastAsia="Cambria Math"/>
                <w:b w:val="0"/>
                <w:color w:val="auto"/>
                <w:sz w:val="30"/>
                <w:szCs w:val="30"/>
                <w:highlight w:val="none"/>
              </w:rPr>
            </w:pPr>
            <w:r>
              <w:rPr>
                <w:rFonts w:hint="eastAsia" w:ascii="Cambria Math" w:hAnsi="Cambria Math" w:eastAsia="Cambria Math"/>
                <w:b w:val="0"/>
                <w:color w:val="auto"/>
                <w:sz w:val="30"/>
                <w:szCs w:val="30"/>
                <w:highlight w:val="none"/>
              </w:rPr>
              <w:t>采购方式：公开招标</w:t>
            </w:r>
          </w:p>
          <w:p w14:paraId="2D1FDE18">
            <w:pPr>
              <w:ind w:firstLine="1200" w:firstLineChars="400"/>
              <w:rPr>
                <w:rFonts w:ascii="Cambria Math" w:hAnsi="Cambria Math" w:eastAsiaTheme="minorEastAsia"/>
                <w:b w:val="0"/>
                <w:color w:val="auto"/>
                <w:sz w:val="30"/>
                <w:szCs w:val="30"/>
                <w:highlight w:val="none"/>
              </w:rPr>
            </w:pPr>
          </w:p>
          <w:p w14:paraId="7D670DD8">
            <w:pPr>
              <w:ind w:firstLine="1200" w:firstLineChars="400"/>
              <w:rPr>
                <w:rFonts w:ascii="Cambria Math" w:hAnsi="Cambria Math" w:eastAsia="Cambria Math"/>
                <w:b w:val="0"/>
                <w:color w:val="auto"/>
                <w:sz w:val="30"/>
                <w:szCs w:val="30"/>
                <w:highlight w:val="none"/>
              </w:rPr>
            </w:pPr>
          </w:p>
          <w:p w14:paraId="2ACE85D4">
            <w:pPr>
              <w:ind w:firstLine="1200" w:firstLineChars="400"/>
              <w:rPr>
                <w:rFonts w:ascii="Cambria Math" w:hAnsi="Cambria Math"/>
                <w:b w:val="0"/>
                <w:color w:val="auto"/>
                <w:sz w:val="30"/>
                <w:szCs w:val="30"/>
                <w:highlight w:val="none"/>
              </w:rPr>
            </w:pPr>
            <w:r>
              <w:rPr>
                <w:rFonts w:hint="eastAsia" w:ascii="Cambria Math" w:hAnsi="Cambria Math" w:eastAsia="Cambria Math"/>
                <w:b w:val="0"/>
                <w:color w:val="auto"/>
                <w:sz w:val="30"/>
                <w:szCs w:val="30"/>
                <w:highlight w:val="none"/>
              </w:rPr>
              <w:t>采 购 人：</w:t>
            </w:r>
            <w:r>
              <w:rPr>
                <w:rFonts w:hint="eastAsia" w:ascii="宋体" w:hAnsi="宋体" w:cs="宋体"/>
                <w:b w:val="0"/>
                <w:color w:val="auto"/>
                <w:sz w:val="30"/>
                <w:szCs w:val="30"/>
                <w:highlight w:val="none"/>
              </w:rPr>
              <w:t>温州公用事业发展集团龙港水务有限公司</w:t>
            </w:r>
          </w:p>
          <w:p w14:paraId="530BD839">
            <w:pPr>
              <w:ind w:firstLine="1200" w:firstLineChars="400"/>
              <w:rPr>
                <w:rFonts w:ascii="Cambria Math" w:hAnsi="Cambria Math" w:eastAsia="Cambria Math"/>
                <w:b w:val="0"/>
                <w:color w:val="auto"/>
                <w:sz w:val="30"/>
                <w:szCs w:val="30"/>
                <w:highlight w:val="none"/>
              </w:rPr>
            </w:pPr>
          </w:p>
          <w:p w14:paraId="243BD936">
            <w:pPr>
              <w:rPr>
                <w:rFonts w:ascii="Cambria Math" w:hAnsi="Cambria Math" w:eastAsia="Cambria Math"/>
                <w:b w:val="0"/>
                <w:color w:val="auto"/>
                <w:sz w:val="30"/>
                <w:szCs w:val="30"/>
                <w:highlight w:val="none"/>
              </w:rPr>
            </w:pPr>
          </w:p>
          <w:p w14:paraId="41E1475D">
            <w:pPr>
              <w:ind w:firstLine="1200" w:firstLineChars="400"/>
              <w:rPr>
                <w:rFonts w:ascii="Cambria Math" w:hAnsi="Cambria Math" w:eastAsia="Cambria Math"/>
                <w:b w:val="0"/>
                <w:color w:val="auto"/>
                <w:sz w:val="30"/>
                <w:szCs w:val="30"/>
                <w:highlight w:val="none"/>
              </w:rPr>
            </w:pPr>
          </w:p>
          <w:p w14:paraId="437868C2">
            <w:pPr>
              <w:spacing w:line="360" w:lineRule="auto"/>
              <w:ind w:firstLine="1200" w:firstLineChars="400"/>
              <w:rPr>
                <w:rFonts w:ascii="Cambria Math" w:hAnsi="Cambria Math"/>
                <w:b w:val="0"/>
                <w:color w:val="auto"/>
                <w:sz w:val="30"/>
                <w:szCs w:val="30"/>
                <w:highlight w:val="none"/>
              </w:rPr>
            </w:pPr>
            <w:r>
              <w:rPr>
                <w:rFonts w:hint="eastAsia" w:ascii="Cambria Math" w:hAnsi="Cambria Math" w:eastAsia="Cambria Math"/>
                <w:b w:val="0"/>
                <w:color w:val="auto"/>
                <w:sz w:val="30"/>
                <w:szCs w:val="30"/>
                <w:highlight w:val="none"/>
              </w:rPr>
              <w:t>代理机构：</w:t>
            </w:r>
            <w:r>
              <w:rPr>
                <w:rFonts w:hint="eastAsia" w:ascii="Cambria Math" w:hAnsi="Cambria Math"/>
                <w:b w:val="0"/>
                <w:color w:val="auto"/>
                <w:sz w:val="30"/>
                <w:szCs w:val="30"/>
                <w:highlight w:val="none"/>
              </w:rPr>
              <w:t>温州超然招标代理有限公司</w:t>
            </w:r>
          </w:p>
          <w:p w14:paraId="67FE61B6">
            <w:pPr>
              <w:spacing w:line="360" w:lineRule="auto"/>
              <w:ind w:firstLine="1200" w:firstLineChars="400"/>
              <w:rPr>
                <w:rFonts w:ascii="Cambria Math" w:hAnsi="Cambria Math"/>
                <w:b w:val="0"/>
                <w:color w:val="auto"/>
                <w:sz w:val="30"/>
                <w:szCs w:val="30"/>
                <w:highlight w:val="none"/>
              </w:rPr>
            </w:pPr>
            <w:r>
              <w:rPr>
                <w:rFonts w:hint="eastAsia" w:ascii="Cambria Math" w:hAnsi="Cambria Math" w:eastAsia="Cambria Math"/>
                <w:b w:val="0"/>
                <w:color w:val="auto"/>
                <w:sz w:val="30"/>
                <w:szCs w:val="30"/>
                <w:highlight w:val="none"/>
              </w:rPr>
              <w:t>联 系 人：</w:t>
            </w:r>
            <w:r>
              <w:rPr>
                <w:rFonts w:hint="eastAsia" w:ascii="Cambria Math" w:hAnsi="Cambria Math"/>
                <w:b w:val="0"/>
                <w:color w:val="auto"/>
                <w:sz w:val="30"/>
                <w:szCs w:val="30"/>
                <w:highlight w:val="none"/>
              </w:rPr>
              <w:t>洪世铭</w:t>
            </w:r>
          </w:p>
          <w:p w14:paraId="19C0A02C">
            <w:pPr>
              <w:spacing w:line="360" w:lineRule="auto"/>
              <w:ind w:firstLine="1200" w:firstLineChars="400"/>
              <w:rPr>
                <w:rFonts w:hint="eastAsia" w:ascii="宋体" w:hAnsi="宋体"/>
                <w:b w:val="0"/>
                <w:color w:val="auto"/>
                <w:sz w:val="30"/>
                <w:szCs w:val="30"/>
                <w:highlight w:val="none"/>
              </w:rPr>
            </w:pPr>
            <w:r>
              <w:rPr>
                <w:rFonts w:hint="eastAsia" w:ascii="Cambria Math" w:hAnsi="Cambria Math" w:eastAsia="Cambria Math"/>
                <w:b w:val="0"/>
                <w:color w:val="auto"/>
                <w:sz w:val="30"/>
                <w:szCs w:val="30"/>
                <w:highlight w:val="none"/>
              </w:rPr>
              <w:t>联系电话：</w:t>
            </w:r>
            <w:r>
              <w:rPr>
                <w:rFonts w:hint="eastAsia" w:ascii="宋体" w:hAnsi="宋体"/>
                <w:b w:val="0"/>
                <w:color w:val="auto"/>
                <w:sz w:val="30"/>
                <w:szCs w:val="30"/>
                <w:highlight w:val="none"/>
              </w:rPr>
              <w:t>0577-68803069</w:t>
            </w:r>
          </w:p>
          <w:p w14:paraId="30197CE1">
            <w:pPr>
              <w:autoSpaceDE w:val="0"/>
              <w:autoSpaceDN w:val="0"/>
              <w:adjustRightInd w:val="0"/>
              <w:snapToGrid w:val="0"/>
              <w:spacing w:line="500" w:lineRule="atLeast"/>
              <w:jc w:val="center"/>
              <w:rPr>
                <w:rFonts w:ascii="Cambria Math" w:hAnsi="Cambria Math" w:eastAsia="Cambria Math"/>
                <w:b w:val="0"/>
                <w:color w:val="auto"/>
                <w:sz w:val="30"/>
                <w:szCs w:val="30"/>
                <w:highlight w:val="none"/>
              </w:rPr>
            </w:pPr>
          </w:p>
          <w:p w14:paraId="627A6957">
            <w:pPr>
              <w:autoSpaceDE w:val="0"/>
              <w:autoSpaceDN w:val="0"/>
              <w:adjustRightInd w:val="0"/>
              <w:snapToGrid w:val="0"/>
              <w:spacing w:line="500" w:lineRule="atLeast"/>
              <w:jc w:val="center"/>
              <w:rPr>
                <w:rFonts w:ascii="Cambria Math" w:hAnsi="Cambria Math" w:eastAsia="Cambria Math"/>
                <w:b w:val="0"/>
                <w:color w:val="auto"/>
                <w:sz w:val="30"/>
                <w:szCs w:val="30"/>
                <w:highlight w:val="none"/>
              </w:rPr>
            </w:pPr>
          </w:p>
          <w:p w14:paraId="747C062F">
            <w:pPr>
              <w:autoSpaceDE w:val="0"/>
              <w:autoSpaceDN w:val="0"/>
              <w:adjustRightInd w:val="0"/>
              <w:snapToGrid w:val="0"/>
              <w:spacing w:line="500" w:lineRule="atLeast"/>
              <w:jc w:val="center"/>
              <w:rPr>
                <w:rFonts w:ascii="Cambria Math" w:hAnsi="Cambria Math" w:eastAsia="Cambria Math"/>
                <w:b w:val="0"/>
                <w:color w:val="auto"/>
                <w:sz w:val="32"/>
                <w:szCs w:val="32"/>
                <w:highlight w:val="none"/>
                <w:lang w:val="zh-CN"/>
              </w:rPr>
            </w:pPr>
            <w:r>
              <w:rPr>
                <w:rFonts w:hint="eastAsia" w:ascii="宋体" w:hAnsi="宋体" w:cs="宋体"/>
                <w:b w:val="0"/>
                <w:color w:val="auto"/>
                <w:sz w:val="30"/>
                <w:szCs w:val="30"/>
                <w:highlight w:val="none"/>
              </w:rPr>
              <w:t>2025年</w:t>
            </w:r>
            <w:r>
              <w:rPr>
                <w:rFonts w:hint="eastAsia" w:ascii="宋体" w:hAnsi="宋体" w:cs="宋体"/>
                <w:b w:val="0"/>
                <w:color w:val="auto"/>
                <w:sz w:val="30"/>
                <w:szCs w:val="30"/>
                <w:highlight w:val="none"/>
                <w:lang w:val="en-US" w:eastAsia="zh-CN"/>
              </w:rPr>
              <w:t>3</w:t>
            </w:r>
            <w:r>
              <w:rPr>
                <w:rFonts w:hint="eastAsia" w:ascii="宋体" w:hAnsi="宋体" w:cs="宋体"/>
                <w:b w:val="0"/>
                <w:color w:val="auto"/>
                <w:sz w:val="30"/>
                <w:szCs w:val="30"/>
                <w:highlight w:val="none"/>
              </w:rPr>
              <w:t>月</w:t>
            </w:r>
          </w:p>
        </w:tc>
      </w:tr>
    </w:tbl>
    <w:p w14:paraId="5332C783">
      <w:pPr>
        <w:pStyle w:val="4"/>
        <w:tabs>
          <w:tab w:val="left" w:pos="2725"/>
        </w:tabs>
        <w:spacing w:before="0" w:after="120" w:line="700" w:lineRule="exact"/>
        <w:ind w:left="0" w:firstLine="0"/>
        <w:jc w:val="center"/>
        <w:rPr>
          <w:rFonts w:hint="eastAsia" w:ascii="宋体" w:hAnsi="宋体" w:eastAsia="宋体" w:cs="宋体"/>
          <w:b/>
          <w:bCs/>
          <w:color w:val="auto"/>
          <w:spacing w:val="0"/>
          <w:szCs w:val="30"/>
          <w:highlight w:val="none"/>
        </w:rPr>
        <w:sectPr>
          <w:footerReference r:id="rId3" w:type="default"/>
          <w:pgSz w:w="11906" w:h="16839"/>
          <w:pgMar w:top="1431" w:right="1785" w:bottom="1171" w:left="1785" w:header="0" w:footer="992" w:gutter="0"/>
          <w:cols w:space="720" w:num="1"/>
        </w:sectPr>
      </w:pPr>
    </w:p>
    <w:p w14:paraId="6E174F97">
      <w:pPr>
        <w:pStyle w:val="4"/>
        <w:tabs>
          <w:tab w:val="left" w:pos="2725"/>
        </w:tabs>
        <w:spacing w:before="0" w:after="120" w:line="700" w:lineRule="exact"/>
        <w:ind w:left="0" w:firstLine="0"/>
        <w:jc w:val="center"/>
        <w:rPr>
          <w:rFonts w:ascii="Cambria Math" w:hAnsi="Cambria Math" w:eastAsia="Cambria Math"/>
          <w:b/>
          <w:color w:val="auto"/>
          <w:spacing w:val="0"/>
          <w:szCs w:val="30"/>
          <w:highlight w:val="none"/>
        </w:rPr>
      </w:pPr>
      <w:r>
        <w:rPr>
          <w:rFonts w:hint="eastAsia" w:ascii="宋体" w:hAnsi="宋体" w:eastAsia="宋体" w:cs="宋体"/>
          <w:b/>
          <w:bCs/>
          <w:color w:val="auto"/>
          <w:spacing w:val="0"/>
          <w:szCs w:val="30"/>
          <w:highlight w:val="none"/>
        </w:rPr>
        <w:t>温州市公用集团所属温州公用事业发展集团龙港水务有限公司关于</w:t>
      </w:r>
      <w:r>
        <w:rPr>
          <w:rFonts w:hint="eastAsia" w:ascii="宋体" w:hAnsi="宋体" w:eastAsia="宋体" w:cs="宋体"/>
          <w:b/>
          <w:bCs/>
          <w:color w:val="auto"/>
          <w:spacing w:val="0"/>
          <w:szCs w:val="30"/>
          <w:highlight w:val="none"/>
          <w:lang w:eastAsia="zh-CN"/>
        </w:rPr>
        <w:t>龙港水务用水客户户内漏水保险服务项目（重招）</w:t>
      </w:r>
      <w:r>
        <w:rPr>
          <w:rFonts w:hint="eastAsia" w:ascii="Cambria Math" w:hAnsi="Cambria Math" w:eastAsia="Cambria Math"/>
          <w:b/>
          <w:color w:val="auto"/>
          <w:spacing w:val="0"/>
          <w:szCs w:val="30"/>
          <w:highlight w:val="none"/>
        </w:rPr>
        <w:t>公开招标公告</w:t>
      </w:r>
    </w:p>
    <w:p w14:paraId="7943ABD3">
      <w:pPr>
        <w:spacing w:line="360" w:lineRule="auto"/>
        <w:rPr>
          <w:rFonts w:hint="eastAsia" w:ascii="宋体" w:hAnsi="宋体"/>
          <w:b w:val="0"/>
          <w:color w:val="auto"/>
          <w:sz w:val="22"/>
          <w:szCs w:val="22"/>
          <w:highlight w:val="none"/>
        </w:rPr>
      </w:pPr>
      <w:bookmarkStart w:id="0" w:name="OLE_LINK2"/>
      <w:bookmarkStart w:id="1" w:name="OLE_LINK1"/>
      <w:r>
        <w:rPr>
          <w:rFonts w:ascii="宋体" w:hAnsi="宋体"/>
          <w:b w:val="0"/>
          <w:color w:val="auto"/>
          <w:sz w:val="22"/>
          <w:szCs w:val="22"/>
          <w:highlight w:val="none"/>
        </w:rPr>
        <w:t>项目概况</w:t>
      </w:r>
    </w:p>
    <w:p w14:paraId="75184810">
      <w:pPr>
        <w:spacing w:line="360" w:lineRule="auto"/>
        <w:rPr>
          <w:rFonts w:hint="eastAsia" w:ascii="宋体" w:hAnsi="宋体"/>
          <w:b w:val="0"/>
          <w:color w:val="auto"/>
          <w:sz w:val="22"/>
          <w:szCs w:val="22"/>
          <w:highlight w:val="none"/>
        </w:rPr>
      </w:pPr>
      <w:r>
        <w:rPr>
          <w:rFonts w:ascii="宋体" w:hAnsi="宋体"/>
          <w:b w:val="0"/>
          <w:color w:val="auto"/>
          <w:sz w:val="22"/>
          <w:szCs w:val="22"/>
          <w:highlight w:val="none"/>
        </w:rPr>
        <w:t>   </w:t>
      </w:r>
      <w:r>
        <w:rPr>
          <w:rFonts w:hint="eastAsia" w:ascii="宋体" w:hAnsi="宋体" w:cs="宋体"/>
          <w:b w:val="0"/>
          <w:color w:val="auto"/>
          <w:sz w:val="22"/>
          <w:szCs w:val="22"/>
          <w:highlight w:val="none"/>
          <w:lang w:eastAsia="zh-CN"/>
        </w:rPr>
        <w:t>龙港水务用水客户户内漏水保险服务项目（重招）</w:t>
      </w:r>
      <w:r>
        <w:rPr>
          <w:rFonts w:hint="eastAsia" w:ascii="宋体" w:hAnsi="宋体"/>
          <w:b w:val="0"/>
          <w:color w:val="auto"/>
          <w:sz w:val="22"/>
          <w:szCs w:val="22"/>
          <w:highlight w:val="none"/>
        </w:rPr>
        <w:t>的潜在</w:t>
      </w:r>
      <w:r>
        <w:rPr>
          <w:rFonts w:ascii="宋体" w:hAnsi="宋体"/>
          <w:b w:val="0"/>
          <w:color w:val="auto"/>
          <w:sz w:val="22"/>
          <w:szCs w:val="22"/>
          <w:highlight w:val="none"/>
        </w:rPr>
        <w:t>投标人</w:t>
      </w:r>
      <w:r>
        <w:rPr>
          <w:rFonts w:hint="eastAsia" w:ascii="宋体" w:hAnsi="宋体"/>
          <w:b w:val="0"/>
          <w:color w:val="auto"/>
          <w:sz w:val="22"/>
          <w:szCs w:val="22"/>
          <w:highlight w:val="none"/>
        </w:rPr>
        <w:t>应在</w:t>
      </w:r>
      <w:r>
        <w:rPr>
          <w:rFonts w:hint="eastAsia" w:ascii="宋体" w:hAnsi="宋体" w:cs="@楷体_GB2312"/>
          <w:b w:val="0"/>
          <w:bCs w:val="0"/>
          <w:color w:val="auto"/>
          <w:sz w:val="22"/>
          <w:szCs w:val="22"/>
          <w:highlight w:val="none"/>
        </w:rPr>
        <w:t>乐采云平台（www.lecaiyun.com）</w:t>
      </w:r>
      <w:r>
        <w:rPr>
          <w:rFonts w:hint="eastAsia" w:ascii="宋体" w:hAnsi="宋体"/>
          <w:b w:val="0"/>
          <w:color w:val="auto"/>
          <w:sz w:val="22"/>
          <w:szCs w:val="22"/>
          <w:highlight w:val="none"/>
        </w:rPr>
        <w:t>获取（下载）招标文件</w:t>
      </w:r>
      <w:r>
        <w:rPr>
          <w:rFonts w:ascii="宋体" w:hAnsi="宋体"/>
          <w:b w:val="0"/>
          <w:color w:val="auto"/>
          <w:sz w:val="22"/>
          <w:szCs w:val="22"/>
          <w:highlight w:val="none"/>
        </w:rPr>
        <w:t>，并于</w:t>
      </w:r>
      <w:r>
        <w:rPr>
          <w:rFonts w:hint="eastAsia" w:ascii="宋体" w:hAnsi="宋体"/>
          <w:b w:val="0"/>
          <w:color w:val="auto"/>
          <w:sz w:val="22"/>
          <w:szCs w:val="22"/>
          <w:highlight w:val="none"/>
        </w:rPr>
        <w:t>2025</w:t>
      </w:r>
      <w:r>
        <w:rPr>
          <w:rFonts w:ascii="宋体" w:hAnsi="宋体"/>
          <w:b w:val="0"/>
          <w:color w:val="auto"/>
          <w:sz w:val="22"/>
          <w:szCs w:val="22"/>
          <w:highlight w:val="none"/>
        </w:rPr>
        <w:t>年</w:t>
      </w:r>
      <w:r>
        <w:rPr>
          <w:rFonts w:hint="eastAsia" w:ascii="宋体" w:hAnsi="宋体"/>
          <w:b w:val="0"/>
          <w:color w:val="auto"/>
          <w:sz w:val="22"/>
          <w:szCs w:val="22"/>
          <w:highlight w:val="none"/>
        </w:rPr>
        <w:t>0</w:t>
      </w:r>
      <w:r>
        <w:rPr>
          <w:rFonts w:hint="eastAsia" w:ascii="宋体" w:hAnsi="宋体"/>
          <w:b w:val="0"/>
          <w:color w:val="auto"/>
          <w:sz w:val="22"/>
          <w:szCs w:val="22"/>
          <w:highlight w:val="none"/>
          <w:lang w:val="en-US" w:eastAsia="zh-CN"/>
        </w:rPr>
        <w:t>4</w:t>
      </w:r>
      <w:r>
        <w:rPr>
          <w:rFonts w:ascii="宋体" w:hAnsi="宋体"/>
          <w:b w:val="0"/>
          <w:color w:val="auto"/>
          <w:sz w:val="22"/>
          <w:szCs w:val="22"/>
          <w:highlight w:val="none"/>
        </w:rPr>
        <w:t>月</w:t>
      </w:r>
      <w:r>
        <w:rPr>
          <w:rFonts w:hint="eastAsia" w:ascii="宋体" w:hAnsi="宋体"/>
          <w:b w:val="0"/>
          <w:color w:val="auto"/>
          <w:sz w:val="22"/>
          <w:szCs w:val="22"/>
          <w:highlight w:val="none"/>
          <w:lang w:val="en-US" w:eastAsia="zh-CN"/>
        </w:rPr>
        <w:t>18</w:t>
      </w:r>
      <w:r>
        <w:rPr>
          <w:rFonts w:ascii="宋体" w:hAnsi="宋体"/>
          <w:b w:val="0"/>
          <w:color w:val="auto"/>
          <w:sz w:val="22"/>
          <w:szCs w:val="22"/>
          <w:highlight w:val="none"/>
        </w:rPr>
        <w:t>日 14</w:t>
      </w:r>
      <w:r>
        <w:rPr>
          <w:rFonts w:hint="eastAsia" w:ascii="宋体" w:hAnsi="宋体"/>
          <w:b w:val="0"/>
          <w:color w:val="auto"/>
          <w:sz w:val="22"/>
          <w:szCs w:val="22"/>
          <w:highlight w:val="none"/>
        </w:rPr>
        <w:t>:30</w:t>
      </w:r>
      <w:r>
        <w:rPr>
          <w:rFonts w:ascii="宋体" w:hAnsi="宋体"/>
          <w:b w:val="0"/>
          <w:color w:val="auto"/>
          <w:sz w:val="22"/>
          <w:szCs w:val="22"/>
          <w:highlight w:val="none"/>
        </w:rPr>
        <w:t>（北京时间）前递交（上传）投标文件。</w:t>
      </w:r>
    </w:p>
    <w:p w14:paraId="1289F725">
      <w:pPr>
        <w:spacing w:line="360" w:lineRule="auto"/>
        <w:rPr>
          <w:rFonts w:ascii="Cambria Math" w:hAnsi="Cambria Math"/>
          <w:b w:val="0"/>
          <w:bCs w:val="0"/>
          <w:color w:val="auto"/>
          <w:sz w:val="22"/>
          <w:szCs w:val="22"/>
          <w:highlight w:val="none"/>
        </w:rPr>
      </w:pPr>
      <w:r>
        <w:rPr>
          <w:rFonts w:hint="eastAsia" w:ascii="Cambria Math" w:hAnsi="Cambria Math"/>
          <w:b w:val="0"/>
          <w:bCs w:val="0"/>
          <w:color w:val="auto"/>
          <w:sz w:val="22"/>
          <w:szCs w:val="22"/>
          <w:highlight w:val="none"/>
        </w:rPr>
        <w:t>一、项目基本情况</w:t>
      </w:r>
    </w:p>
    <w:p w14:paraId="2FAB6919">
      <w:pPr>
        <w:spacing w:line="360" w:lineRule="auto"/>
        <w:ind w:firstLine="440" w:firstLineChars="200"/>
        <w:rPr>
          <w:rFonts w:hint="eastAsia" w:ascii="宋体" w:hAnsi="宋体" w:eastAsia="宋体" w:cs="宋体"/>
          <w:b w:val="0"/>
          <w:color w:val="auto"/>
          <w:sz w:val="22"/>
          <w:szCs w:val="22"/>
          <w:highlight w:val="none"/>
          <w:lang w:eastAsia="zh-CN"/>
        </w:rPr>
      </w:pPr>
      <w:r>
        <w:rPr>
          <w:rFonts w:hint="eastAsia" w:ascii="宋体" w:hAnsi="宋体" w:cs="宋体"/>
          <w:b w:val="0"/>
          <w:color w:val="auto"/>
          <w:sz w:val="22"/>
          <w:szCs w:val="22"/>
          <w:highlight w:val="none"/>
        </w:rPr>
        <w:t>项目编号：</w:t>
      </w:r>
      <w:r>
        <w:rPr>
          <w:rFonts w:hint="eastAsia" w:ascii="宋体" w:hAnsi="宋体" w:cs="宋体"/>
          <w:b w:val="0"/>
          <w:color w:val="auto"/>
          <w:sz w:val="22"/>
          <w:szCs w:val="22"/>
          <w:highlight w:val="none"/>
          <w:lang w:eastAsia="zh-CN"/>
        </w:rPr>
        <w:t>WGSS-GYJT-Z-2025147-1</w:t>
      </w:r>
    </w:p>
    <w:p w14:paraId="40739B85">
      <w:pPr>
        <w:spacing w:line="360" w:lineRule="auto"/>
        <w:ind w:firstLine="440" w:firstLineChars="200"/>
        <w:rPr>
          <w:rFonts w:hint="eastAsia" w:ascii="宋体" w:hAnsi="宋体" w:eastAsia="宋体" w:cs="宋体"/>
          <w:b w:val="0"/>
          <w:color w:val="auto"/>
          <w:sz w:val="22"/>
          <w:szCs w:val="22"/>
          <w:highlight w:val="none"/>
          <w:lang w:eastAsia="zh-CN"/>
        </w:rPr>
      </w:pPr>
      <w:r>
        <w:rPr>
          <w:rFonts w:hint="eastAsia" w:ascii="宋体" w:hAnsi="宋体" w:cs="宋体"/>
          <w:b w:val="0"/>
          <w:color w:val="auto"/>
          <w:sz w:val="22"/>
          <w:szCs w:val="22"/>
          <w:highlight w:val="none"/>
        </w:rPr>
        <w:t>项目名称：</w:t>
      </w:r>
      <w:r>
        <w:rPr>
          <w:rFonts w:hint="eastAsia" w:ascii="宋体" w:hAnsi="宋体" w:cs="宋体"/>
          <w:b w:val="0"/>
          <w:color w:val="auto"/>
          <w:sz w:val="22"/>
          <w:szCs w:val="22"/>
          <w:highlight w:val="none"/>
          <w:lang w:eastAsia="zh-CN"/>
        </w:rPr>
        <w:t>龙港水务用水客户户内漏水保险服务项目（重招）</w:t>
      </w:r>
    </w:p>
    <w:p w14:paraId="1A5C6328">
      <w:pPr>
        <w:spacing w:line="360" w:lineRule="auto"/>
        <w:ind w:firstLine="440" w:firstLineChars="200"/>
        <w:rPr>
          <w:rFonts w:hint="eastAsia" w:ascii="宋体" w:hAnsi="宋体" w:cs="宋体"/>
          <w:b w:val="0"/>
          <w:color w:val="auto"/>
          <w:sz w:val="22"/>
          <w:szCs w:val="22"/>
          <w:highlight w:val="none"/>
        </w:rPr>
      </w:pPr>
      <w:r>
        <w:rPr>
          <w:rFonts w:hint="eastAsia" w:ascii="宋体" w:hAnsi="宋体" w:cs="宋体"/>
          <w:b w:val="0"/>
          <w:color w:val="auto"/>
          <w:sz w:val="22"/>
          <w:szCs w:val="22"/>
          <w:highlight w:val="none"/>
        </w:rPr>
        <w:t>预算金额（元）：600000</w:t>
      </w:r>
    </w:p>
    <w:p w14:paraId="27731005">
      <w:pPr>
        <w:spacing w:line="360" w:lineRule="auto"/>
        <w:ind w:firstLine="440" w:firstLineChars="200"/>
        <w:rPr>
          <w:rFonts w:hint="eastAsia" w:ascii="宋体" w:hAnsi="宋体" w:cs="宋体"/>
          <w:b w:val="0"/>
          <w:color w:val="auto"/>
          <w:sz w:val="22"/>
          <w:szCs w:val="22"/>
          <w:highlight w:val="none"/>
        </w:rPr>
      </w:pPr>
      <w:r>
        <w:rPr>
          <w:rFonts w:hint="eastAsia" w:ascii="宋体" w:hAnsi="宋体" w:cs="宋体"/>
          <w:b w:val="0"/>
          <w:color w:val="auto"/>
          <w:sz w:val="22"/>
          <w:szCs w:val="22"/>
          <w:highlight w:val="none"/>
        </w:rPr>
        <w:t>最高限价（元）：600000</w:t>
      </w:r>
    </w:p>
    <w:p w14:paraId="12EE797D">
      <w:pPr>
        <w:spacing w:line="360" w:lineRule="auto"/>
        <w:ind w:firstLine="440" w:firstLineChars="200"/>
        <w:rPr>
          <w:rFonts w:hint="eastAsia" w:ascii="宋体" w:hAnsi="宋体" w:cs="宋体"/>
          <w:b w:val="0"/>
          <w:color w:val="auto"/>
          <w:sz w:val="22"/>
          <w:szCs w:val="22"/>
          <w:highlight w:val="none"/>
        </w:rPr>
      </w:pPr>
      <w:r>
        <w:rPr>
          <w:rFonts w:hint="eastAsia" w:ascii="宋体" w:hAnsi="宋体" w:cs="宋体"/>
          <w:b w:val="0"/>
          <w:color w:val="auto"/>
          <w:sz w:val="22"/>
          <w:szCs w:val="22"/>
          <w:highlight w:val="none"/>
        </w:rPr>
        <w:t>采购需求：</w:t>
      </w:r>
    </w:p>
    <w:p w14:paraId="54BB13C3">
      <w:pPr>
        <w:spacing w:line="360" w:lineRule="auto"/>
        <w:ind w:firstLine="440" w:firstLineChars="200"/>
        <w:rPr>
          <w:rFonts w:hint="eastAsia" w:ascii="宋体" w:hAnsi="宋体" w:eastAsia="宋体" w:cs="宋体"/>
          <w:b w:val="0"/>
          <w:color w:val="auto"/>
          <w:sz w:val="22"/>
          <w:szCs w:val="22"/>
          <w:highlight w:val="none"/>
          <w:lang w:eastAsia="zh-CN"/>
        </w:rPr>
      </w:pPr>
      <w:r>
        <w:rPr>
          <w:rFonts w:hint="eastAsia" w:ascii="宋体" w:hAnsi="宋体" w:cs="宋体"/>
          <w:b w:val="0"/>
          <w:color w:val="auto"/>
          <w:sz w:val="22"/>
          <w:szCs w:val="22"/>
          <w:highlight w:val="none"/>
        </w:rPr>
        <w:t>标项名称：</w:t>
      </w:r>
      <w:r>
        <w:rPr>
          <w:rFonts w:hint="eastAsia" w:ascii="宋体" w:hAnsi="宋体" w:cs="宋体"/>
          <w:b w:val="0"/>
          <w:color w:val="auto"/>
          <w:sz w:val="22"/>
          <w:szCs w:val="22"/>
          <w:highlight w:val="none"/>
          <w:lang w:eastAsia="zh-CN"/>
        </w:rPr>
        <w:t>龙港水务用水客户户内漏水保险服务项目（重招）</w:t>
      </w:r>
    </w:p>
    <w:p w14:paraId="5977F2E9">
      <w:pPr>
        <w:spacing w:line="360" w:lineRule="auto"/>
        <w:ind w:firstLine="440" w:firstLineChars="200"/>
        <w:rPr>
          <w:rFonts w:hint="eastAsia" w:ascii="宋体" w:hAnsi="宋体" w:cs="宋体"/>
          <w:b w:val="0"/>
          <w:color w:val="auto"/>
          <w:sz w:val="22"/>
          <w:szCs w:val="22"/>
          <w:highlight w:val="none"/>
        </w:rPr>
      </w:pPr>
      <w:r>
        <w:rPr>
          <w:rFonts w:hint="eastAsia" w:ascii="宋体" w:hAnsi="宋体" w:cs="宋体"/>
          <w:b w:val="0"/>
          <w:color w:val="auto"/>
          <w:sz w:val="22"/>
          <w:szCs w:val="22"/>
          <w:highlight w:val="none"/>
        </w:rPr>
        <w:t>数量：1</w:t>
      </w:r>
    </w:p>
    <w:p w14:paraId="07E9E18E">
      <w:pPr>
        <w:spacing w:line="360" w:lineRule="auto"/>
        <w:ind w:firstLine="440" w:firstLineChars="200"/>
        <w:rPr>
          <w:rFonts w:hint="eastAsia" w:ascii="宋体" w:hAnsi="宋体" w:cs="宋体"/>
          <w:b w:val="0"/>
          <w:color w:val="auto"/>
          <w:sz w:val="22"/>
          <w:szCs w:val="22"/>
          <w:highlight w:val="none"/>
        </w:rPr>
      </w:pPr>
      <w:r>
        <w:rPr>
          <w:rFonts w:hint="eastAsia" w:ascii="宋体" w:hAnsi="宋体" w:cs="宋体"/>
          <w:b w:val="0"/>
          <w:color w:val="auto"/>
          <w:sz w:val="22"/>
          <w:szCs w:val="22"/>
          <w:highlight w:val="none"/>
        </w:rPr>
        <w:t>预算金额（元）：600000</w:t>
      </w:r>
    </w:p>
    <w:p w14:paraId="4B5DDD3F">
      <w:pPr>
        <w:spacing w:line="360" w:lineRule="auto"/>
        <w:ind w:firstLine="440" w:firstLineChars="200"/>
        <w:rPr>
          <w:rFonts w:hint="eastAsia" w:ascii="宋体" w:hAnsi="宋体" w:cs="宋体"/>
          <w:b w:val="0"/>
          <w:color w:val="auto"/>
          <w:sz w:val="22"/>
          <w:szCs w:val="22"/>
          <w:highlight w:val="none"/>
        </w:rPr>
      </w:pPr>
      <w:r>
        <w:rPr>
          <w:rFonts w:hint="eastAsia" w:ascii="宋体" w:hAnsi="宋体" w:cs="宋体"/>
          <w:b w:val="0"/>
          <w:color w:val="auto"/>
          <w:sz w:val="22"/>
          <w:szCs w:val="22"/>
          <w:highlight w:val="none"/>
        </w:rPr>
        <w:t>简要规格描述或项目基本概况介绍、用途：详见采购需求。</w:t>
      </w:r>
    </w:p>
    <w:p w14:paraId="3030BBAA">
      <w:pPr>
        <w:spacing w:line="360" w:lineRule="auto"/>
        <w:ind w:firstLine="440" w:firstLineChars="200"/>
        <w:rPr>
          <w:rFonts w:hint="eastAsia" w:ascii="宋体" w:hAnsi="宋体" w:cs="宋体"/>
          <w:b w:val="0"/>
          <w:color w:val="auto"/>
          <w:sz w:val="22"/>
          <w:szCs w:val="22"/>
          <w:highlight w:val="none"/>
        </w:rPr>
      </w:pPr>
      <w:r>
        <w:rPr>
          <w:rFonts w:hint="eastAsia" w:ascii="宋体" w:hAnsi="宋体" w:cs="宋体"/>
          <w:b w:val="0"/>
          <w:color w:val="auto"/>
          <w:sz w:val="22"/>
          <w:szCs w:val="22"/>
          <w:highlight w:val="none"/>
        </w:rPr>
        <w:t>备注：/</w:t>
      </w:r>
    </w:p>
    <w:p w14:paraId="11C88456">
      <w:pPr>
        <w:spacing w:line="360" w:lineRule="auto"/>
        <w:ind w:firstLine="440" w:firstLineChars="200"/>
        <w:rPr>
          <w:rFonts w:hint="eastAsia" w:ascii="宋体" w:hAnsi="宋体" w:cs="宋体"/>
          <w:b w:val="0"/>
          <w:color w:val="auto"/>
          <w:sz w:val="22"/>
          <w:szCs w:val="22"/>
          <w:highlight w:val="none"/>
        </w:rPr>
      </w:pPr>
      <w:r>
        <w:rPr>
          <w:rFonts w:hint="eastAsia" w:ascii="宋体" w:hAnsi="宋体" w:cs="宋体"/>
          <w:b w:val="0"/>
          <w:color w:val="auto"/>
          <w:sz w:val="22"/>
          <w:szCs w:val="22"/>
          <w:highlight w:val="none"/>
        </w:rPr>
        <w:t>合同履行期限：详见招标文件</w:t>
      </w:r>
    </w:p>
    <w:p w14:paraId="665CCADE">
      <w:pPr>
        <w:spacing w:line="360" w:lineRule="auto"/>
        <w:ind w:firstLine="440" w:firstLineChars="200"/>
        <w:rPr>
          <w:rFonts w:hint="eastAsia" w:ascii="宋体" w:hAnsi="宋体" w:cs="宋体"/>
          <w:b w:val="0"/>
          <w:color w:val="auto"/>
          <w:sz w:val="22"/>
          <w:szCs w:val="22"/>
          <w:highlight w:val="none"/>
        </w:rPr>
      </w:pPr>
      <w:r>
        <w:rPr>
          <w:rFonts w:hint="eastAsia" w:ascii="宋体" w:hAnsi="宋体" w:cs="宋体"/>
          <w:b w:val="0"/>
          <w:color w:val="auto"/>
          <w:sz w:val="22"/>
          <w:szCs w:val="22"/>
          <w:highlight w:val="none"/>
        </w:rPr>
        <w:t>本项目（否）接受联合体投标。</w:t>
      </w:r>
    </w:p>
    <w:p w14:paraId="7AB5692B">
      <w:pPr>
        <w:spacing w:line="360" w:lineRule="auto"/>
        <w:rPr>
          <w:rFonts w:ascii="Cambria Math" w:hAnsi="Cambria Math"/>
          <w:b w:val="0"/>
          <w:bCs w:val="0"/>
          <w:color w:val="auto"/>
          <w:sz w:val="22"/>
          <w:szCs w:val="22"/>
          <w:highlight w:val="none"/>
        </w:rPr>
      </w:pPr>
      <w:r>
        <w:rPr>
          <w:rFonts w:ascii="Cambria Math" w:hAnsi="Cambria Math"/>
          <w:b w:val="0"/>
          <w:bCs w:val="0"/>
          <w:color w:val="auto"/>
          <w:sz w:val="22"/>
          <w:szCs w:val="22"/>
          <w:highlight w:val="none"/>
        </w:rPr>
        <w:t>二、申请人的资格要求</w:t>
      </w:r>
    </w:p>
    <w:p w14:paraId="50935964">
      <w:pPr>
        <w:spacing w:line="360" w:lineRule="auto"/>
        <w:ind w:firstLine="440" w:firstLineChars="200"/>
        <w:rPr>
          <w:rFonts w:hint="eastAsia" w:ascii="宋体" w:hAnsi="宋体" w:cs="宋体"/>
          <w:b w:val="0"/>
          <w:color w:val="auto"/>
          <w:sz w:val="22"/>
          <w:szCs w:val="22"/>
          <w:highlight w:val="none"/>
        </w:rPr>
      </w:pPr>
      <w:r>
        <w:rPr>
          <w:rFonts w:hint="eastAsia" w:ascii="宋体" w:hAnsi="宋体" w:cs="宋体"/>
          <w:b w:val="0"/>
          <w:color w:val="auto"/>
          <w:sz w:val="22"/>
          <w:szCs w:val="22"/>
          <w:highlight w:val="none"/>
        </w:rPr>
        <w:t>1.符合《温州市市属国有企业采购管理办法》温国资委〔2024〕51号第十八条对供应商参加温州市国有企业采购活动应当具备的条件的要求；</w:t>
      </w:r>
    </w:p>
    <w:p w14:paraId="68E647F2">
      <w:pPr>
        <w:spacing w:line="360" w:lineRule="auto"/>
        <w:ind w:firstLine="440" w:firstLineChars="200"/>
        <w:rPr>
          <w:rFonts w:hint="eastAsia" w:ascii="宋体" w:hAnsi="宋体" w:cs="宋体"/>
          <w:b w:val="0"/>
          <w:color w:val="auto"/>
          <w:sz w:val="22"/>
          <w:szCs w:val="22"/>
          <w:highlight w:val="none"/>
        </w:rPr>
      </w:pPr>
      <w:r>
        <w:rPr>
          <w:rFonts w:hint="eastAsia" w:ascii="宋体" w:hAnsi="宋体" w:cs="宋体"/>
          <w:b w:val="0"/>
          <w:color w:val="auto"/>
          <w:sz w:val="22"/>
          <w:szCs w:val="22"/>
          <w:highlight w:val="none"/>
        </w:rPr>
        <w:t>2、未被“信用中国”（www.creditchina.gov.cn）、中国政府采购网（www.ccgp.gov.cn）列入失信被执行人、重大税收违法案件当事人名单、政府采购严重违法失信行为记录名单。</w:t>
      </w:r>
    </w:p>
    <w:p w14:paraId="1AA1E825">
      <w:pPr>
        <w:spacing w:line="360" w:lineRule="auto"/>
        <w:ind w:firstLine="440" w:firstLineChars="200"/>
        <w:rPr>
          <w:rFonts w:hint="eastAsia" w:ascii="宋体" w:hAnsi="宋体" w:cs="宋体"/>
          <w:b w:val="0"/>
          <w:color w:val="auto"/>
          <w:sz w:val="22"/>
          <w:szCs w:val="22"/>
          <w:highlight w:val="none"/>
        </w:rPr>
      </w:pPr>
      <w:r>
        <w:rPr>
          <w:rFonts w:hint="eastAsia" w:ascii="宋体" w:hAnsi="宋体" w:cs="宋体"/>
          <w:b w:val="0"/>
          <w:color w:val="auto"/>
          <w:sz w:val="22"/>
          <w:szCs w:val="22"/>
          <w:highlight w:val="none"/>
        </w:rPr>
        <w:t>3、本项目的特定资格要求：</w:t>
      </w:r>
    </w:p>
    <w:p w14:paraId="360CEBAD">
      <w:pPr>
        <w:spacing w:line="360" w:lineRule="auto"/>
        <w:ind w:firstLine="440" w:firstLineChars="200"/>
        <w:rPr>
          <w:rFonts w:hint="eastAsia" w:ascii="宋体" w:hAnsi="宋体" w:cs="宋体"/>
          <w:b w:val="0"/>
          <w:color w:val="auto"/>
          <w:sz w:val="22"/>
          <w:szCs w:val="22"/>
          <w:highlight w:val="none"/>
        </w:rPr>
      </w:pPr>
      <w:r>
        <w:rPr>
          <w:rFonts w:hint="eastAsia" w:ascii="宋体" w:hAnsi="宋体" w:cs="宋体"/>
          <w:b w:val="0"/>
          <w:color w:val="auto"/>
          <w:sz w:val="22"/>
          <w:szCs w:val="22"/>
          <w:highlight w:val="none"/>
        </w:rPr>
        <w:t>（1）单位负责人为同一人或者存在直接控股、管理关系的不同供应商，不得参加同一合同项下的国企采购活动；</w:t>
      </w:r>
    </w:p>
    <w:p w14:paraId="70980716">
      <w:pPr>
        <w:spacing w:line="360" w:lineRule="auto"/>
        <w:ind w:firstLine="440" w:firstLineChars="200"/>
        <w:rPr>
          <w:rFonts w:hint="eastAsia" w:ascii="宋体" w:hAnsi="宋体" w:cs="宋体"/>
          <w:b w:val="0"/>
          <w:color w:val="auto"/>
          <w:sz w:val="22"/>
          <w:szCs w:val="22"/>
          <w:highlight w:val="none"/>
        </w:rPr>
      </w:pPr>
      <w:r>
        <w:rPr>
          <w:rFonts w:hint="eastAsia" w:ascii="宋体" w:hAnsi="宋体" w:cs="宋体"/>
          <w:b w:val="0"/>
          <w:color w:val="auto"/>
          <w:sz w:val="22"/>
          <w:szCs w:val="22"/>
          <w:highlight w:val="none"/>
        </w:rPr>
        <w:t>（2）投标人须是在中华人民共和国境内注册，经国家保险监督管理机构批准设立且持有《中华人民共和国经营保险业务许可证》，享有资产财产保险资格的全国性保险公司或其分支机构。注：依据浙江省财政厅《关于规范政府采购供应商资格设定及资格审查的通知》（浙财采监[2013]24号）的相关规定，允许满足上述条款的供应商所设立的分支机构独立参加本次项目的投标，但该分支机构必须同时满足以下条件：（1）投标截止时间前已依法办理工商、税务及社保登记；（2）取得总公司（或总机构）出具的授权，或能够提供房产权证（或其他有效财产证明材料）证明其具备实际承担责任的能力和法定的缔结合同能力。</w:t>
      </w:r>
    </w:p>
    <w:p w14:paraId="7A2A8BD9">
      <w:pPr>
        <w:spacing w:line="360" w:lineRule="auto"/>
        <w:rPr>
          <w:rFonts w:hint="eastAsia" w:ascii="宋体" w:hAnsi="宋体" w:eastAsia="宋体" w:cs="@楷体_GB2312"/>
          <w:b w:val="0"/>
          <w:color w:val="auto"/>
          <w:sz w:val="22"/>
          <w:szCs w:val="22"/>
          <w:highlight w:val="none"/>
          <w:lang w:eastAsia="zh-CN"/>
        </w:rPr>
      </w:pPr>
      <w:r>
        <w:rPr>
          <w:rFonts w:hint="eastAsia" w:ascii="宋体" w:hAnsi="宋体" w:cs="宋体"/>
          <w:b w:val="0"/>
          <w:color w:val="auto"/>
          <w:sz w:val="22"/>
          <w:szCs w:val="22"/>
          <w:highlight w:val="none"/>
        </w:rPr>
        <w:t>三、</w:t>
      </w:r>
      <w:r>
        <w:rPr>
          <w:rFonts w:hint="eastAsia" w:ascii="宋体" w:hAnsi="宋体" w:cs="@楷体_GB2312"/>
          <w:b w:val="0"/>
          <w:color w:val="auto"/>
          <w:sz w:val="22"/>
          <w:szCs w:val="22"/>
          <w:highlight w:val="none"/>
        </w:rPr>
        <w:t>获取招标文件</w:t>
      </w:r>
      <w:r>
        <w:rPr>
          <w:rFonts w:hint="eastAsia" w:ascii="宋体" w:hAnsi="宋体" w:cs="@楷体_GB2312"/>
          <w:b w:val="0"/>
          <w:color w:val="auto"/>
          <w:sz w:val="22"/>
          <w:szCs w:val="22"/>
          <w:highlight w:val="none"/>
          <w:lang w:eastAsia="zh-CN"/>
        </w:rPr>
        <w:t>：</w:t>
      </w:r>
    </w:p>
    <w:p w14:paraId="0DF242EA">
      <w:pPr>
        <w:spacing w:line="360" w:lineRule="auto"/>
        <w:ind w:firstLine="440" w:firstLineChars="200"/>
        <w:rPr>
          <w:rFonts w:ascii="宋体"/>
          <w:b w:val="0"/>
          <w:bCs w:val="0"/>
          <w:color w:val="auto"/>
          <w:sz w:val="22"/>
          <w:szCs w:val="22"/>
          <w:highlight w:val="none"/>
        </w:rPr>
      </w:pPr>
      <w:r>
        <w:rPr>
          <w:rFonts w:hint="eastAsia" w:ascii="宋体"/>
          <w:b w:val="0"/>
          <w:bCs w:val="0"/>
          <w:color w:val="auto"/>
          <w:sz w:val="22"/>
          <w:szCs w:val="22"/>
          <w:highlight w:val="none"/>
        </w:rPr>
        <w:t>时间：/至2025年0</w:t>
      </w:r>
      <w:r>
        <w:rPr>
          <w:rFonts w:hint="eastAsia" w:ascii="宋体"/>
          <w:b w:val="0"/>
          <w:bCs w:val="0"/>
          <w:color w:val="auto"/>
          <w:sz w:val="22"/>
          <w:szCs w:val="22"/>
          <w:highlight w:val="none"/>
          <w:lang w:val="en-US" w:eastAsia="zh-CN"/>
        </w:rPr>
        <w:t>4</w:t>
      </w:r>
      <w:r>
        <w:rPr>
          <w:rFonts w:hint="eastAsia" w:ascii="宋体"/>
          <w:b w:val="0"/>
          <w:bCs w:val="0"/>
          <w:color w:val="auto"/>
          <w:sz w:val="22"/>
          <w:szCs w:val="22"/>
          <w:highlight w:val="none"/>
        </w:rPr>
        <w:t>月</w:t>
      </w:r>
      <w:r>
        <w:rPr>
          <w:rFonts w:hint="eastAsia" w:ascii="宋体"/>
          <w:b w:val="0"/>
          <w:bCs w:val="0"/>
          <w:color w:val="auto"/>
          <w:sz w:val="22"/>
          <w:szCs w:val="22"/>
          <w:highlight w:val="none"/>
          <w:lang w:val="en-US" w:eastAsia="zh-CN"/>
        </w:rPr>
        <w:t>18</w:t>
      </w:r>
      <w:r>
        <w:rPr>
          <w:rFonts w:hint="eastAsia" w:ascii="宋体"/>
          <w:b w:val="0"/>
          <w:bCs w:val="0"/>
          <w:color w:val="auto"/>
          <w:sz w:val="22"/>
          <w:szCs w:val="22"/>
          <w:highlight w:val="none"/>
        </w:rPr>
        <w:t xml:space="preserve">日 </w:t>
      </w:r>
      <w:r>
        <w:rPr>
          <w:rFonts w:ascii="宋体" w:hAnsi="宋体" w:cs="@楷体_GB2312"/>
          <w:b w:val="0"/>
          <w:bCs w:val="0"/>
          <w:color w:val="auto"/>
          <w:sz w:val="22"/>
          <w:szCs w:val="22"/>
          <w:highlight w:val="none"/>
        </w:rPr>
        <w:t>14</w:t>
      </w:r>
      <w:r>
        <w:rPr>
          <w:rFonts w:hint="eastAsia" w:ascii="宋体" w:hAnsi="宋体" w:cs="@楷体_GB2312"/>
          <w:b w:val="0"/>
          <w:bCs w:val="0"/>
          <w:color w:val="auto"/>
          <w:sz w:val="22"/>
          <w:szCs w:val="22"/>
          <w:highlight w:val="none"/>
        </w:rPr>
        <w:t>:30:00</w:t>
      </w:r>
      <w:r>
        <w:rPr>
          <w:rFonts w:hint="eastAsia" w:ascii="宋体"/>
          <w:b w:val="0"/>
          <w:bCs w:val="0"/>
          <w:color w:val="auto"/>
          <w:sz w:val="22"/>
          <w:szCs w:val="22"/>
          <w:highlight w:val="none"/>
        </w:rPr>
        <w:t>前</w:t>
      </w:r>
    </w:p>
    <w:p w14:paraId="68B58923">
      <w:pPr>
        <w:spacing w:line="360" w:lineRule="auto"/>
        <w:rPr>
          <w:rFonts w:ascii="宋体"/>
          <w:b w:val="0"/>
          <w:bCs w:val="0"/>
          <w:color w:val="auto"/>
          <w:sz w:val="22"/>
          <w:szCs w:val="22"/>
          <w:highlight w:val="none"/>
        </w:rPr>
      </w:pPr>
      <w:r>
        <w:rPr>
          <w:rFonts w:hint="eastAsia" w:ascii="宋体"/>
          <w:b w:val="0"/>
          <w:bCs w:val="0"/>
          <w:color w:val="auto"/>
          <w:sz w:val="22"/>
          <w:szCs w:val="22"/>
          <w:highlight w:val="none"/>
        </w:rPr>
        <w:t xml:space="preserve">    地点（网址）：乐采云平台（http://www.lecaiyun.com）</w:t>
      </w:r>
    </w:p>
    <w:p w14:paraId="3D93AD0A">
      <w:pPr>
        <w:spacing w:line="360" w:lineRule="auto"/>
        <w:ind w:firstLine="432"/>
        <w:rPr>
          <w:rFonts w:ascii="宋体"/>
          <w:b w:val="0"/>
          <w:bCs w:val="0"/>
          <w:color w:val="auto"/>
          <w:sz w:val="22"/>
          <w:szCs w:val="22"/>
          <w:highlight w:val="none"/>
        </w:rPr>
      </w:pPr>
      <w:r>
        <w:rPr>
          <w:rFonts w:hint="eastAsia" w:ascii="宋体"/>
          <w:b w:val="0"/>
          <w:bCs w:val="0"/>
          <w:color w:val="auto"/>
          <w:sz w:val="22"/>
          <w:szCs w:val="22"/>
          <w:highlight w:val="none"/>
        </w:rPr>
        <w:t>方式：线上获取；</w:t>
      </w:r>
    </w:p>
    <w:p w14:paraId="5A8AAB65">
      <w:pPr>
        <w:spacing w:line="360" w:lineRule="auto"/>
        <w:rPr>
          <w:rFonts w:ascii="宋体"/>
          <w:b w:val="0"/>
          <w:bCs w:val="0"/>
          <w:sz w:val="22"/>
          <w:szCs w:val="22"/>
          <w:highlight w:val="none"/>
        </w:rPr>
      </w:pPr>
      <w:r>
        <w:rPr>
          <w:rFonts w:hint="eastAsia" w:ascii="宋体"/>
          <w:b w:val="0"/>
          <w:bCs w:val="0"/>
          <w:color w:val="auto"/>
          <w:sz w:val="22"/>
          <w:szCs w:val="22"/>
          <w:highlight w:val="none"/>
        </w:rPr>
        <w:t xml:space="preserve">    售价（元）：0 </w:t>
      </w:r>
      <w:r>
        <w:rPr>
          <w:rFonts w:hint="eastAsia" w:ascii="宋体"/>
          <w:b w:val="0"/>
          <w:bCs w:val="0"/>
          <w:sz w:val="22"/>
          <w:szCs w:val="22"/>
          <w:highlight w:val="none"/>
        </w:rPr>
        <w:t> </w:t>
      </w:r>
    </w:p>
    <w:p w14:paraId="6697ABA4">
      <w:pPr>
        <w:spacing w:line="360" w:lineRule="auto"/>
        <w:rPr>
          <w:rFonts w:hint="eastAsia" w:ascii="宋体" w:hAnsi="宋体" w:cs="@楷体_GB2312"/>
          <w:b w:val="0"/>
          <w:color w:val="auto"/>
          <w:sz w:val="22"/>
          <w:szCs w:val="22"/>
          <w:highlight w:val="none"/>
        </w:rPr>
      </w:pPr>
      <w:r>
        <w:rPr>
          <w:rFonts w:ascii="宋体" w:hAnsi="宋体" w:cs="@楷体_GB2312"/>
          <w:b w:val="0"/>
          <w:color w:val="auto"/>
          <w:sz w:val="22"/>
          <w:szCs w:val="22"/>
          <w:highlight w:val="none"/>
        </w:rPr>
        <w:t>四、提交投标文件截止时间、开标时间和地点</w:t>
      </w:r>
    </w:p>
    <w:p w14:paraId="20F12DF8">
      <w:pPr>
        <w:spacing w:line="360" w:lineRule="auto"/>
        <w:ind w:firstLine="440" w:firstLineChars="200"/>
        <w:rPr>
          <w:rFonts w:hint="eastAsia" w:ascii="宋体" w:hAnsi="宋体" w:cs="@楷体_GB2312"/>
          <w:b w:val="0"/>
          <w:bCs w:val="0"/>
          <w:color w:val="auto"/>
          <w:sz w:val="22"/>
          <w:szCs w:val="22"/>
          <w:highlight w:val="none"/>
        </w:rPr>
      </w:pPr>
      <w:r>
        <w:rPr>
          <w:rFonts w:ascii="宋体" w:hAnsi="宋体" w:cs="@楷体_GB2312"/>
          <w:b w:val="0"/>
          <w:bCs w:val="0"/>
          <w:color w:val="auto"/>
          <w:sz w:val="22"/>
          <w:szCs w:val="22"/>
          <w:highlight w:val="none"/>
        </w:rPr>
        <w:t xml:space="preserve">提交投标文件截止时间： </w:t>
      </w:r>
      <w:r>
        <w:rPr>
          <w:rFonts w:hint="eastAsia" w:ascii="宋体" w:hAnsi="宋体" w:cs="@楷体_GB2312"/>
          <w:b w:val="0"/>
          <w:bCs w:val="0"/>
          <w:color w:val="auto"/>
          <w:sz w:val="22"/>
          <w:szCs w:val="22"/>
          <w:highlight w:val="none"/>
        </w:rPr>
        <w:t>2025</w:t>
      </w:r>
      <w:r>
        <w:rPr>
          <w:rFonts w:ascii="宋体" w:hAnsi="宋体" w:cs="@楷体_GB2312"/>
          <w:b w:val="0"/>
          <w:bCs w:val="0"/>
          <w:color w:val="auto"/>
          <w:sz w:val="22"/>
          <w:szCs w:val="22"/>
          <w:highlight w:val="none"/>
        </w:rPr>
        <w:t>年</w:t>
      </w:r>
      <w:r>
        <w:rPr>
          <w:rFonts w:hint="eastAsia" w:ascii="宋体" w:hAnsi="宋体" w:cs="@楷体_GB2312"/>
          <w:b w:val="0"/>
          <w:bCs w:val="0"/>
          <w:color w:val="auto"/>
          <w:sz w:val="22"/>
          <w:szCs w:val="22"/>
          <w:highlight w:val="none"/>
        </w:rPr>
        <w:t>0</w:t>
      </w:r>
      <w:r>
        <w:rPr>
          <w:rFonts w:hint="eastAsia" w:ascii="宋体" w:hAnsi="宋体" w:cs="@楷体_GB2312"/>
          <w:b w:val="0"/>
          <w:bCs w:val="0"/>
          <w:color w:val="auto"/>
          <w:sz w:val="22"/>
          <w:szCs w:val="22"/>
          <w:highlight w:val="none"/>
          <w:lang w:val="en-US" w:eastAsia="zh-CN"/>
        </w:rPr>
        <w:t>4</w:t>
      </w:r>
      <w:r>
        <w:rPr>
          <w:rFonts w:ascii="宋体" w:hAnsi="宋体" w:cs="@楷体_GB2312"/>
          <w:b w:val="0"/>
          <w:bCs w:val="0"/>
          <w:color w:val="auto"/>
          <w:sz w:val="22"/>
          <w:szCs w:val="22"/>
          <w:highlight w:val="none"/>
        </w:rPr>
        <w:t>月</w:t>
      </w:r>
      <w:r>
        <w:rPr>
          <w:rFonts w:hint="eastAsia" w:ascii="宋体" w:hAnsi="宋体" w:cs="@楷体_GB2312"/>
          <w:b w:val="0"/>
          <w:bCs w:val="0"/>
          <w:color w:val="auto"/>
          <w:sz w:val="22"/>
          <w:szCs w:val="22"/>
          <w:highlight w:val="none"/>
          <w:lang w:val="en-US" w:eastAsia="zh-CN"/>
        </w:rPr>
        <w:t>18</w:t>
      </w:r>
      <w:r>
        <w:rPr>
          <w:rFonts w:ascii="宋体" w:hAnsi="宋体" w:cs="@楷体_GB2312"/>
          <w:b w:val="0"/>
          <w:bCs w:val="0"/>
          <w:color w:val="auto"/>
          <w:sz w:val="22"/>
          <w:szCs w:val="22"/>
          <w:highlight w:val="none"/>
        </w:rPr>
        <w:t>日 14</w:t>
      </w:r>
      <w:r>
        <w:rPr>
          <w:rFonts w:hint="eastAsia" w:ascii="宋体" w:hAnsi="宋体" w:cs="@楷体_GB2312"/>
          <w:b w:val="0"/>
          <w:bCs w:val="0"/>
          <w:color w:val="auto"/>
          <w:sz w:val="22"/>
          <w:szCs w:val="22"/>
          <w:highlight w:val="none"/>
        </w:rPr>
        <w:t>:30:00</w:t>
      </w:r>
      <w:r>
        <w:rPr>
          <w:rFonts w:ascii="宋体" w:hAnsi="宋体" w:cs="@楷体_GB2312"/>
          <w:b w:val="0"/>
          <w:bCs w:val="0"/>
          <w:color w:val="auto"/>
          <w:sz w:val="22"/>
          <w:szCs w:val="22"/>
          <w:highlight w:val="none"/>
        </w:rPr>
        <w:t>（北京时间）</w:t>
      </w:r>
    </w:p>
    <w:p w14:paraId="5F9404C8">
      <w:pPr>
        <w:spacing w:line="360" w:lineRule="auto"/>
        <w:ind w:firstLine="440" w:firstLineChars="200"/>
        <w:rPr>
          <w:rFonts w:hint="eastAsia" w:ascii="宋体" w:hAnsi="宋体" w:cs="@楷体_GB2312"/>
          <w:b w:val="0"/>
          <w:bCs w:val="0"/>
          <w:color w:val="auto"/>
          <w:sz w:val="22"/>
          <w:szCs w:val="22"/>
          <w:highlight w:val="none"/>
        </w:rPr>
      </w:pPr>
      <w:r>
        <w:rPr>
          <w:rFonts w:ascii="宋体" w:hAnsi="宋体" w:cs="@楷体_GB2312"/>
          <w:b w:val="0"/>
          <w:bCs w:val="0"/>
          <w:color w:val="auto"/>
          <w:sz w:val="22"/>
          <w:szCs w:val="22"/>
          <w:highlight w:val="none"/>
        </w:rPr>
        <w:t>投标地点：</w:t>
      </w:r>
      <w:r>
        <w:rPr>
          <w:rFonts w:hint="eastAsia" w:ascii="宋体" w:hAnsi="宋体" w:cs="@楷体_GB2312"/>
          <w:b w:val="0"/>
          <w:bCs w:val="0"/>
          <w:color w:val="auto"/>
          <w:sz w:val="22"/>
          <w:szCs w:val="22"/>
          <w:highlight w:val="none"/>
        </w:rPr>
        <w:t>“乐采云平台（www.lecaiyun.com）”实行在线投标响应</w:t>
      </w:r>
    </w:p>
    <w:p w14:paraId="28D8BB09">
      <w:pPr>
        <w:spacing w:line="360" w:lineRule="auto"/>
        <w:ind w:firstLine="440" w:firstLineChars="200"/>
        <w:rPr>
          <w:rFonts w:hint="eastAsia" w:ascii="宋体" w:hAnsi="宋体" w:cs="@楷体_GB2312"/>
          <w:b w:val="0"/>
          <w:bCs w:val="0"/>
          <w:color w:val="auto"/>
          <w:sz w:val="22"/>
          <w:szCs w:val="22"/>
          <w:highlight w:val="none"/>
        </w:rPr>
      </w:pPr>
      <w:r>
        <w:rPr>
          <w:rFonts w:ascii="宋体" w:hAnsi="宋体" w:cs="@楷体_GB2312"/>
          <w:b w:val="0"/>
          <w:bCs w:val="0"/>
          <w:color w:val="auto"/>
          <w:sz w:val="22"/>
          <w:szCs w:val="22"/>
          <w:highlight w:val="none"/>
        </w:rPr>
        <w:t xml:space="preserve">开标时间： </w:t>
      </w:r>
      <w:r>
        <w:rPr>
          <w:rFonts w:hint="eastAsia" w:ascii="宋体" w:hAnsi="宋体" w:cs="@楷体_GB2312"/>
          <w:b w:val="0"/>
          <w:bCs w:val="0"/>
          <w:color w:val="auto"/>
          <w:sz w:val="22"/>
          <w:szCs w:val="22"/>
          <w:highlight w:val="none"/>
        </w:rPr>
        <w:t>2025</w:t>
      </w:r>
      <w:r>
        <w:rPr>
          <w:rFonts w:ascii="宋体" w:hAnsi="宋体" w:cs="@楷体_GB2312"/>
          <w:b w:val="0"/>
          <w:bCs w:val="0"/>
          <w:color w:val="auto"/>
          <w:sz w:val="22"/>
          <w:szCs w:val="22"/>
          <w:highlight w:val="none"/>
        </w:rPr>
        <w:t>年</w:t>
      </w:r>
      <w:r>
        <w:rPr>
          <w:rFonts w:hint="eastAsia" w:ascii="宋体" w:hAnsi="宋体" w:cs="@楷体_GB2312"/>
          <w:b w:val="0"/>
          <w:bCs w:val="0"/>
          <w:color w:val="auto"/>
          <w:sz w:val="22"/>
          <w:szCs w:val="22"/>
          <w:highlight w:val="none"/>
        </w:rPr>
        <w:t>0</w:t>
      </w:r>
      <w:r>
        <w:rPr>
          <w:rFonts w:hint="eastAsia" w:ascii="宋体" w:hAnsi="宋体" w:cs="@楷体_GB2312"/>
          <w:b w:val="0"/>
          <w:bCs w:val="0"/>
          <w:color w:val="auto"/>
          <w:sz w:val="22"/>
          <w:szCs w:val="22"/>
          <w:highlight w:val="none"/>
          <w:lang w:val="en-US" w:eastAsia="zh-CN"/>
        </w:rPr>
        <w:t>4</w:t>
      </w:r>
      <w:r>
        <w:rPr>
          <w:rFonts w:ascii="宋体" w:hAnsi="宋体" w:cs="@楷体_GB2312"/>
          <w:b w:val="0"/>
          <w:bCs w:val="0"/>
          <w:color w:val="auto"/>
          <w:sz w:val="22"/>
          <w:szCs w:val="22"/>
          <w:highlight w:val="none"/>
        </w:rPr>
        <w:t>月</w:t>
      </w:r>
      <w:r>
        <w:rPr>
          <w:rFonts w:hint="eastAsia" w:ascii="宋体" w:hAnsi="宋体" w:cs="@楷体_GB2312"/>
          <w:b w:val="0"/>
          <w:bCs w:val="0"/>
          <w:color w:val="auto"/>
          <w:sz w:val="22"/>
          <w:szCs w:val="22"/>
          <w:highlight w:val="none"/>
          <w:lang w:val="en-US" w:eastAsia="zh-CN"/>
        </w:rPr>
        <w:t>18</w:t>
      </w:r>
      <w:r>
        <w:rPr>
          <w:rFonts w:ascii="宋体" w:hAnsi="宋体" w:cs="@楷体_GB2312"/>
          <w:b w:val="0"/>
          <w:bCs w:val="0"/>
          <w:color w:val="auto"/>
          <w:sz w:val="22"/>
          <w:szCs w:val="22"/>
          <w:highlight w:val="none"/>
        </w:rPr>
        <w:t>日 14</w:t>
      </w:r>
      <w:r>
        <w:rPr>
          <w:rFonts w:hint="eastAsia" w:ascii="宋体" w:hAnsi="宋体" w:cs="@楷体_GB2312"/>
          <w:b w:val="0"/>
          <w:bCs w:val="0"/>
          <w:color w:val="auto"/>
          <w:sz w:val="22"/>
          <w:szCs w:val="22"/>
          <w:highlight w:val="none"/>
        </w:rPr>
        <w:t>:30:00</w:t>
      </w:r>
    </w:p>
    <w:p w14:paraId="32CF7263">
      <w:pPr>
        <w:spacing w:line="360" w:lineRule="auto"/>
        <w:ind w:firstLine="440" w:firstLineChars="200"/>
        <w:rPr>
          <w:rFonts w:hint="eastAsia" w:ascii="宋体" w:hAnsi="宋体" w:cs="@楷体_GB2312"/>
          <w:b w:val="0"/>
          <w:bCs w:val="0"/>
          <w:color w:val="auto"/>
          <w:sz w:val="22"/>
          <w:szCs w:val="22"/>
          <w:highlight w:val="none"/>
        </w:rPr>
      </w:pPr>
      <w:r>
        <w:rPr>
          <w:rFonts w:ascii="宋体" w:hAnsi="宋体" w:cs="@楷体_GB2312"/>
          <w:b w:val="0"/>
          <w:bCs w:val="0"/>
          <w:color w:val="auto"/>
          <w:sz w:val="22"/>
          <w:szCs w:val="22"/>
          <w:highlight w:val="none"/>
        </w:rPr>
        <w:t>开标地点：</w:t>
      </w:r>
      <w:r>
        <w:rPr>
          <w:rFonts w:hint="eastAsia" w:ascii="宋体" w:hAnsi="宋体" w:cs="@楷体_GB2312"/>
          <w:b w:val="0"/>
          <w:bCs w:val="0"/>
          <w:color w:val="auto"/>
          <w:sz w:val="22"/>
          <w:szCs w:val="22"/>
          <w:highlight w:val="none"/>
        </w:rPr>
        <w:t>“乐采云平台（www.lecaiyun.com）”实行在线开标评审</w:t>
      </w:r>
    </w:p>
    <w:p w14:paraId="1867A49C">
      <w:pPr>
        <w:spacing w:line="360" w:lineRule="auto"/>
        <w:ind w:firstLine="440" w:firstLineChars="200"/>
        <w:rPr>
          <w:rFonts w:hint="eastAsia" w:ascii="宋体" w:hAnsi="宋体" w:cs="@楷体_GB2312"/>
          <w:b w:val="0"/>
          <w:bCs w:val="0"/>
          <w:color w:val="auto"/>
          <w:sz w:val="22"/>
          <w:szCs w:val="22"/>
          <w:highlight w:val="none"/>
        </w:rPr>
      </w:pPr>
      <w:r>
        <w:rPr>
          <w:rFonts w:hint="eastAsia" w:ascii="宋体" w:hAnsi="宋体" w:cs="@楷体_GB2312"/>
          <w:b w:val="0"/>
          <w:bCs w:val="0"/>
          <w:color w:val="auto"/>
          <w:sz w:val="22"/>
          <w:szCs w:val="22"/>
          <w:highlight w:val="none"/>
        </w:rPr>
        <w:t>五、</w:t>
      </w:r>
      <w:r>
        <w:rPr>
          <w:rFonts w:ascii="宋体" w:hAnsi="宋体" w:cs="@楷体_GB2312"/>
          <w:b w:val="0"/>
          <w:bCs w:val="0"/>
          <w:color w:val="auto"/>
          <w:sz w:val="22"/>
          <w:szCs w:val="22"/>
          <w:highlight w:val="none"/>
        </w:rPr>
        <w:t>投标保证金：</w:t>
      </w:r>
      <w:r>
        <w:rPr>
          <w:rFonts w:hint="eastAsia" w:ascii="宋体" w:hAnsi="宋体" w:cs="@楷体_GB2312"/>
          <w:b w:val="0"/>
          <w:bCs w:val="0"/>
          <w:color w:val="auto"/>
          <w:sz w:val="22"/>
          <w:szCs w:val="22"/>
          <w:highlight w:val="none"/>
        </w:rPr>
        <w:t>按照《浙江省财政厅关于明确政府采购保证金管理工作的通知》浙财采监〔2020〕5号文件规定，投标人无需缴纳</w:t>
      </w:r>
      <w:r>
        <w:rPr>
          <w:rFonts w:ascii="宋体" w:hAnsi="宋体" w:cs="@楷体_GB2312"/>
          <w:b w:val="0"/>
          <w:bCs w:val="0"/>
          <w:color w:val="auto"/>
          <w:sz w:val="22"/>
          <w:szCs w:val="22"/>
          <w:highlight w:val="none"/>
        </w:rPr>
        <w:t>投标保证金</w:t>
      </w:r>
      <w:r>
        <w:rPr>
          <w:rFonts w:hint="eastAsia" w:ascii="宋体" w:hAnsi="宋体" w:cs="@楷体_GB2312"/>
          <w:b w:val="0"/>
          <w:bCs w:val="0"/>
          <w:color w:val="auto"/>
          <w:sz w:val="22"/>
          <w:szCs w:val="22"/>
          <w:highlight w:val="none"/>
        </w:rPr>
        <w:t>。</w:t>
      </w:r>
    </w:p>
    <w:p w14:paraId="2C3487ED">
      <w:pPr>
        <w:spacing w:line="360" w:lineRule="auto"/>
        <w:rPr>
          <w:rFonts w:hint="eastAsia" w:ascii="宋体" w:hAnsi="宋体" w:cs="@楷体_GB2312"/>
          <w:b w:val="0"/>
          <w:bCs w:val="0"/>
          <w:color w:val="auto"/>
          <w:sz w:val="22"/>
          <w:szCs w:val="22"/>
          <w:highlight w:val="none"/>
        </w:rPr>
      </w:pPr>
      <w:r>
        <w:rPr>
          <w:rFonts w:hint="eastAsia" w:ascii="宋体" w:hAnsi="宋体" w:cs="@楷体_GB2312"/>
          <w:b w:val="0"/>
          <w:bCs w:val="0"/>
          <w:color w:val="auto"/>
          <w:sz w:val="22"/>
          <w:szCs w:val="22"/>
          <w:highlight w:val="none"/>
        </w:rPr>
        <w:t>六</w:t>
      </w:r>
      <w:r>
        <w:rPr>
          <w:rFonts w:ascii="宋体" w:hAnsi="宋体" w:cs="@楷体_GB2312"/>
          <w:b w:val="0"/>
          <w:bCs w:val="0"/>
          <w:color w:val="auto"/>
          <w:sz w:val="22"/>
          <w:szCs w:val="22"/>
          <w:highlight w:val="none"/>
        </w:rPr>
        <w:t>、公告期限</w:t>
      </w:r>
    </w:p>
    <w:p w14:paraId="18C5E3BB">
      <w:pPr>
        <w:spacing w:line="360" w:lineRule="auto"/>
        <w:ind w:firstLine="440" w:firstLineChars="200"/>
        <w:rPr>
          <w:rFonts w:hint="eastAsia" w:ascii="宋体" w:hAnsi="宋体" w:cs="@楷体_GB2312"/>
          <w:b w:val="0"/>
          <w:bCs w:val="0"/>
          <w:color w:val="auto"/>
          <w:sz w:val="22"/>
          <w:szCs w:val="22"/>
          <w:highlight w:val="none"/>
        </w:rPr>
      </w:pPr>
      <w:r>
        <w:rPr>
          <w:rFonts w:ascii="宋体" w:hAnsi="宋体" w:cs="@楷体_GB2312"/>
          <w:b w:val="0"/>
          <w:bCs w:val="0"/>
          <w:color w:val="auto"/>
          <w:sz w:val="22"/>
          <w:szCs w:val="22"/>
          <w:highlight w:val="none"/>
        </w:rPr>
        <w:t>自本公告发布之日起5个工作日。</w:t>
      </w:r>
    </w:p>
    <w:p w14:paraId="72443D26">
      <w:pPr>
        <w:spacing w:line="360" w:lineRule="auto"/>
        <w:rPr>
          <w:rFonts w:hint="eastAsia" w:ascii="宋体" w:hAnsi="宋体" w:cs="@楷体_GB2312"/>
          <w:b w:val="0"/>
          <w:bCs w:val="0"/>
          <w:color w:val="auto"/>
          <w:sz w:val="22"/>
          <w:szCs w:val="22"/>
          <w:highlight w:val="none"/>
        </w:rPr>
      </w:pPr>
      <w:r>
        <w:rPr>
          <w:rFonts w:hint="eastAsia" w:ascii="宋体" w:hAnsi="宋体" w:cs="@楷体_GB2312"/>
          <w:b w:val="0"/>
          <w:bCs w:val="0"/>
          <w:color w:val="auto"/>
          <w:sz w:val="22"/>
          <w:szCs w:val="22"/>
          <w:highlight w:val="none"/>
        </w:rPr>
        <w:t>七、其他补充事宜</w:t>
      </w:r>
    </w:p>
    <w:p w14:paraId="20A3C9FE">
      <w:pPr>
        <w:spacing w:line="360" w:lineRule="auto"/>
        <w:ind w:firstLine="440" w:firstLineChars="200"/>
        <w:rPr>
          <w:rFonts w:hint="eastAsia" w:ascii="宋体" w:hAnsi="宋体" w:cs="@楷体_GB2312"/>
          <w:b w:val="0"/>
          <w:bCs w:val="0"/>
          <w:color w:val="auto"/>
          <w:sz w:val="22"/>
          <w:szCs w:val="22"/>
          <w:highlight w:val="none"/>
        </w:rPr>
      </w:pPr>
      <w:r>
        <w:rPr>
          <w:rFonts w:ascii="宋体" w:hAnsi="宋体" w:cs="@楷体_GB2312"/>
          <w:b w:val="0"/>
          <w:bCs w:val="0"/>
          <w:color w:val="auto"/>
          <w:sz w:val="22"/>
          <w:szCs w:val="22"/>
          <w:highlight w:val="none"/>
        </w:rPr>
        <w:t>1</w:t>
      </w:r>
      <w:r>
        <w:rPr>
          <w:rFonts w:hint="eastAsia" w:ascii="宋体" w:hAnsi="宋体" w:cs="@楷体_GB2312"/>
          <w:b w:val="0"/>
          <w:bCs w:val="0"/>
          <w:color w:val="auto"/>
          <w:sz w:val="22"/>
          <w:szCs w:val="22"/>
          <w:highlight w:val="none"/>
        </w:rPr>
        <w:t>、质疑投诉：供应商认为采购文件使自己的权益受到损害的，可以自获取采购文件之日或者采购文件公告期限届满之日（公告期限届满后获取采购文件的，以公告期限届满之日为准）起7个工作日内，对采购文件需求的以书面形式向采购人提出质疑，对其他内容的以书面形式向采购人和采购代理机构提出质疑。质疑供应商对采购人、采购代理机构的答复不满意或者采购人、采购代理机构未在规定的时间内作出答复的，可以在答复期满后十五个工作日内向监督管理部门投诉。</w:t>
      </w:r>
      <w:r>
        <w:rPr>
          <w:rFonts w:hint="eastAsia" w:ascii="宋体" w:hAnsi="宋体" w:cs="@楷体_GB2312"/>
          <w:b w:val="0"/>
          <w:bCs w:val="0"/>
          <w:color w:val="auto"/>
          <w:sz w:val="22"/>
          <w:szCs w:val="22"/>
          <w:highlight w:val="none"/>
        </w:rPr>
        <w:br w:type="textWrapping"/>
      </w:r>
      <w:r>
        <w:rPr>
          <w:rFonts w:hint="eastAsia" w:ascii="宋体" w:hAnsi="宋体" w:cs="@楷体_GB2312"/>
          <w:b w:val="0"/>
          <w:bCs w:val="0"/>
          <w:color w:val="auto"/>
          <w:sz w:val="22"/>
          <w:szCs w:val="22"/>
          <w:highlight w:val="none"/>
        </w:rPr>
        <w:t xml:space="preserve">    </w:t>
      </w:r>
      <w:r>
        <w:rPr>
          <w:rFonts w:ascii="宋体" w:hAnsi="宋体" w:cs="@楷体_GB2312"/>
          <w:b w:val="0"/>
          <w:bCs w:val="0"/>
          <w:color w:val="auto"/>
          <w:sz w:val="22"/>
          <w:szCs w:val="22"/>
          <w:highlight w:val="none"/>
        </w:rPr>
        <w:t>2</w:t>
      </w:r>
      <w:r>
        <w:rPr>
          <w:rFonts w:hint="eastAsia" w:ascii="宋体" w:hAnsi="宋体" w:cs="@楷体_GB2312"/>
          <w:b w:val="0"/>
          <w:bCs w:val="0"/>
          <w:color w:val="auto"/>
          <w:sz w:val="22"/>
          <w:szCs w:val="22"/>
          <w:highlight w:val="none"/>
        </w:rPr>
        <w:t>、提交方式：质疑投诉提交书面资料。</w:t>
      </w:r>
    </w:p>
    <w:p w14:paraId="3BBD1CA7">
      <w:pPr>
        <w:spacing w:line="360" w:lineRule="auto"/>
        <w:ind w:firstLine="440" w:firstLineChars="200"/>
        <w:rPr>
          <w:rFonts w:hint="eastAsia" w:ascii="宋体" w:hAnsi="宋体" w:cs="@楷体_GB2312"/>
          <w:b w:val="0"/>
          <w:bCs w:val="0"/>
          <w:color w:val="auto"/>
          <w:sz w:val="22"/>
          <w:szCs w:val="22"/>
          <w:highlight w:val="none"/>
        </w:rPr>
      </w:pPr>
      <w:r>
        <w:rPr>
          <w:rFonts w:ascii="宋体" w:hAnsi="宋体" w:cs="@楷体_GB2312"/>
          <w:b w:val="0"/>
          <w:bCs w:val="0"/>
          <w:color w:val="auto"/>
          <w:sz w:val="22"/>
          <w:szCs w:val="22"/>
          <w:highlight w:val="none"/>
        </w:rPr>
        <w:t>3</w:t>
      </w:r>
      <w:r>
        <w:rPr>
          <w:rFonts w:hint="eastAsia" w:ascii="宋体" w:hAnsi="宋体" w:cs="@楷体_GB2312"/>
          <w:b w:val="0"/>
          <w:bCs w:val="0"/>
          <w:color w:val="auto"/>
          <w:sz w:val="22"/>
          <w:szCs w:val="22"/>
          <w:highlight w:val="none"/>
        </w:rPr>
        <w:t>、</w:t>
      </w:r>
      <w:r>
        <w:rPr>
          <w:rFonts w:ascii="宋体" w:hAnsi="宋体" w:cs="@楷体_GB2312"/>
          <w:b w:val="0"/>
          <w:bCs w:val="0"/>
          <w:color w:val="auto"/>
          <w:sz w:val="22"/>
          <w:szCs w:val="22"/>
          <w:highlight w:val="none"/>
        </w:rPr>
        <w:t>其他事项：</w:t>
      </w:r>
      <w:r>
        <w:rPr>
          <w:rFonts w:hint="eastAsia" w:ascii="宋体" w:hAnsi="宋体" w:cs="@楷体_GB2312"/>
          <w:b w:val="0"/>
          <w:bCs w:val="0"/>
          <w:color w:val="auto"/>
          <w:sz w:val="22"/>
          <w:szCs w:val="22"/>
          <w:highlight w:val="none"/>
        </w:rPr>
        <w:t>本项目为龙港市国企采购，如与相关规定不一致以本采购文件为准。</w:t>
      </w:r>
    </w:p>
    <w:p w14:paraId="0D19D652">
      <w:pPr>
        <w:pStyle w:val="17"/>
        <w:rPr>
          <w:rFonts w:hint="eastAsia" w:ascii="宋体" w:hAnsi="宋体" w:eastAsia="宋体" w:cs="Times New Roman"/>
          <w:color w:val="000000"/>
          <w:kern w:val="0"/>
          <w:szCs w:val="22"/>
          <w:highlight w:val="none"/>
        </w:rPr>
      </w:pPr>
      <w:r>
        <w:rPr>
          <w:rFonts w:hint="eastAsia" w:asciiTheme="minorEastAsia" w:hAnsiTheme="minorEastAsia" w:eastAsiaTheme="minorEastAsia"/>
          <w:sz w:val="22"/>
          <w:szCs w:val="22"/>
          <w:highlight w:val="none"/>
        </w:rPr>
        <w:t>八</w:t>
      </w:r>
      <w:r>
        <w:rPr>
          <w:rFonts w:hint="eastAsia" w:ascii="宋体" w:hAnsi="宋体" w:eastAsia="宋体" w:cs="宋体"/>
          <w:sz w:val="22"/>
          <w:szCs w:val="22"/>
          <w:highlight w:val="none"/>
        </w:rPr>
        <w:t>、对本次招标提出询问，请按以下方式联系</w:t>
      </w:r>
    </w:p>
    <w:bookmarkEnd w:id="0"/>
    <w:bookmarkEnd w:id="1"/>
    <w:p w14:paraId="13513D79">
      <w:pPr>
        <w:spacing w:line="360" w:lineRule="auto"/>
        <w:ind w:left="425"/>
        <w:rPr>
          <w:rFonts w:hint="eastAsia" w:ascii="宋体" w:hAnsi="宋体" w:cs="新宋体"/>
          <w:b w:val="0"/>
          <w:bCs w:val="0"/>
          <w:szCs w:val="22"/>
          <w:highlight w:val="none"/>
        </w:rPr>
      </w:pPr>
      <w:r>
        <w:rPr>
          <w:rFonts w:hint="eastAsia" w:ascii="宋体" w:hAnsi="宋体" w:cs="新宋体"/>
          <w:b w:val="0"/>
          <w:bCs w:val="0"/>
          <w:szCs w:val="22"/>
          <w:highlight w:val="none"/>
        </w:rPr>
        <w:t>1</w:t>
      </w:r>
      <w:r>
        <w:rPr>
          <w:rFonts w:ascii="宋体" w:hAnsi="宋体" w:cs="新宋体"/>
          <w:b w:val="0"/>
          <w:bCs w:val="0"/>
          <w:szCs w:val="22"/>
          <w:highlight w:val="none"/>
        </w:rPr>
        <w:t>.采购人</w:t>
      </w:r>
      <w:r>
        <w:rPr>
          <w:rFonts w:hint="eastAsia" w:ascii="宋体" w:hAnsi="宋体" w:cs="新宋体"/>
          <w:b w:val="0"/>
          <w:bCs w:val="0"/>
          <w:szCs w:val="22"/>
          <w:highlight w:val="none"/>
        </w:rPr>
        <w:t>信息</w:t>
      </w:r>
    </w:p>
    <w:p w14:paraId="01717205">
      <w:pPr>
        <w:spacing w:line="360" w:lineRule="auto"/>
        <w:ind w:left="425"/>
        <w:rPr>
          <w:rFonts w:hint="eastAsia" w:ascii="宋体" w:hAnsi="宋体" w:cs="新宋体"/>
          <w:b w:val="0"/>
          <w:bCs w:val="0"/>
          <w:szCs w:val="22"/>
          <w:highlight w:val="none"/>
        </w:rPr>
      </w:pPr>
      <w:r>
        <w:rPr>
          <w:rFonts w:ascii="宋体" w:hAnsi="宋体" w:cs="新宋体"/>
          <w:b w:val="0"/>
          <w:bCs w:val="0"/>
          <w:szCs w:val="22"/>
          <w:highlight w:val="none"/>
        </w:rPr>
        <w:t>名称：</w:t>
      </w:r>
      <w:r>
        <w:rPr>
          <w:rFonts w:hint="eastAsia" w:ascii="宋体" w:hAnsi="宋体" w:cs="新宋体"/>
          <w:b w:val="0"/>
          <w:bCs w:val="0"/>
          <w:szCs w:val="22"/>
          <w:highlight w:val="none"/>
        </w:rPr>
        <w:t>温州公用事业发展集团龙港水务有限公司</w:t>
      </w:r>
    </w:p>
    <w:p w14:paraId="634156C8">
      <w:pPr>
        <w:spacing w:line="360" w:lineRule="auto"/>
        <w:ind w:firstLine="405" w:firstLineChars="193"/>
        <w:rPr>
          <w:rFonts w:hint="eastAsia" w:ascii="宋体" w:hAnsi="宋体" w:cs="新宋体"/>
          <w:b w:val="0"/>
          <w:bCs w:val="0"/>
          <w:szCs w:val="22"/>
          <w:highlight w:val="none"/>
        </w:rPr>
      </w:pPr>
      <w:r>
        <w:rPr>
          <w:rFonts w:hint="eastAsia" w:ascii="宋体" w:hAnsi="宋体" w:cs="新宋体"/>
          <w:b w:val="0"/>
          <w:bCs w:val="0"/>
          <w:szCs w:val="22"/>
          <w:highlight w:val="none"/>
        </w:rPr>
        <w:t>地址：龙港市通港路</w:t>
      </w:r>
      <w:r>
        <w:rPr>
          <w:rFonts w:hint="eastAsia" w:ascii="宋体" w:hAnsi="宋体" w:cs="新宋体"/>
          <w:b w:val="0"/>
          <w:szCs w:val="22"/>
          <w:highlight w:val="none"/>
        </w:rPr>
        <w:t>1255-1399号</w:t>
      </w:r>
    </w:p>
    <w:p w14:paraId="4BC6DFCD">
      <w:pPr>
        <w:spacing w:line="360" w:lineRule="auto"/>
        <w:ind w:firstLine="405" w:firstLineChars="193"/>
        <w:rPr>
          <w:rFonts w:hint="eastAsia" w:ascii="宋体" w:hAnsi="宋体" w:cs="新宋体"/>
          <w:b w:val="0"/>
          <w:bCs w:val="0"/>
          <w:szCs w:val="22"/>
          <w:highlight w:val="none"/>
        </w:rPr>
      </w:pPr>
      <w:r>
        <w:rPr>
          <w:rFonts w:ascii="宋体" w:hAnsi="宋体" w:cs="新宋体"/>
          <w:b w:val="0"/>
          <w:bCs w:val="0"/>
          <w:szCs w:val="22"/>
          <w:highlight w:val="none"/>
        </w:rPr>
        <w:t>传真：</w:t>
      </w:r>
      <w:r>
        <w:rPr>
          <w:rFonts w:hint="eastAsia" w:ascii="宋体" w:hAnsi="宋体" w:cs="新宋体"/>
          <w:b w:val="0"/>
          <w:bCs w:val="0"/>
          <w:szCs w:val="22"/>
          <w:highlight w:val="none"/>
        </w:rPr>
        <w:t>/</w:t>
      </w:r>
    </w:p>
    <w:p w14:paraId="08EAEB25">
      <w:pPr>
        <w:spacing w:line="360" w:lineRule="auto"/>
        <w:ind w:firstLine="405" w:firstLineChars="193"/>
        <w:rPr>
          <w:rFonts w:hint="eastAsia" w:ascii="宋体" w:hAnsi="宋体" w:cs="新宋体"/>
          <w:b w:val="0"/>
          <w:bCs w:val="0"/>
          <w:szCs w:val="22"/>
          <w:highlight w:val="none"/>
        </w:rPr>
      </w:pPr>
      <w:r>
        <w:rPr>
          <w:rFonts w:hint="eastAsia" w:ascii="宋体" w:hAnsi="宋体" w:cs="新宋体"/>
          <w:b w:val="0"/>
          <w:bCs w:val="0"/>
          <w:szCs w:val="22"/>
          <w:highlight w:val="none"/>
        </w:rPr>
        <w:t>项目</w:t>
      </w:r>
      <w:r>
        <w:rPr>
          <w:rFonts w:ascii="宋体" w:hAnsi="宋体" w:cs="新宋体"/>
          <w:b w:val="0"/>
          <w:bCs w:val="0"/>
          <w:szCs w:val="22"/>
          <w:highlight w:val="none"/>
        </w:rPr>
        <w:t>联系人</w:t>
      </w:r>
      <w:r>
        <w:rPr>
          <w:rFonts w:hint="eastAsia" w:ascii="宋体" w:hAnsi="宋体" w:cs="新宋体"/>
          <w:b w:val="0"/>
          <w:bCs w:val="0"/>
          <w:szCs w:val="22"/>
          <w:highlight w:val="none"/>
        </w:rPr>
        <w:t>（询问）</w:t>
      </w:r>
      <w:r>
        <w:rPr>
          <w:rFonts w:ascii="宋体" w:hAnsi="宋体" w:cs="新宋体"/>
          <w:b w:val="0"/>
          <w:bCs w:val="0"/>
          <w:szCs w:val="22"/>
          <w:highlight w:val="none"/>
        </w:rPr>
        <w:t xml:space="preserve">： </w:t>
      </w:r>
      <w:r>
        <w:rPr>
          <w:rFonts w:hint="eastAsia" w:ascii="宋体" w:hAnsi="宋体" w:cs="新宋体"/>
          <w:b w:val="0"/>
          <w:bCs w:val="0"/>
          <w:szCs w:val="22"/>
          <w:highlight w:val="none"/>
        </w:rPr>
        <w:t>黄先生</w:t>
      </w:r>
    </w:p>
    <w:p w14:paraId="60ADF96B">
      <w:pPr>
        <w:spacing w:line="360" w:lineRule="auto"/>
        <w:ind w:firstLine="405" w:firstLineChars="193"/>
        <w:rPr>
          <w:rFonts w:hint="eastAsia" w:ascii="宋体" w:hAnsi="宋体" w:cs="新宋体"/>
          <w:b w:val="0"/>
          <w:bCs w:val="0"/>
          <w:szCs w:val="22"/>
          <w:highlight w:val="none"/>
        </w:rPr>
      </w:pPr>
      <w:r>
        <w:rPr>
          <w:rFonts w:hint="eastAsia" w:ascii="宋体" w:hAnsi="宋体" w:cs="新宋体"/>
          <w:b w:val="0"/>
          <w:bCs w:val="0"/>
          <w:szCs w:val="22"/>
          <w:highlight w:val="none"/>
        </w:rPr>
        <w:t>项目</w:t>
      </w:r>
      <w:r>
        <w:rPr>
          <w:rFonts w:ascii="宋体" w:hAnsi="宋体" w:cs="新宋体"/>
          <w:b w:val="0"/>
          <w:bCs w:val="0"/>
          <w:szCs w:val="22"/>
          <w:highlight w:val="none"/>
        </w:rPr>
        <w:t>联系</w:t>
      </w:r>
      <w:r>
        <w:rPr>
          <w:rFonts w:hint="eastAsia" w:ascii="宋体" w:hAnsi="宋体" w:cs="新宋体"/>
          <w:b w:val="0"/>
          <w:bCs w:val="0"/>
          <w:szCs w:val="22"/>
          <w:highlight w:val="none"/>
        </w:rPr>
        <w:t>方式（询问）</w:t>
      </w:r>
      <w:r>
        <w:rPr>
          <w:rFonts w:ascii="宋体" w:hAnsi="宋体" w:cs="新宋体"/>
          <w:b w:val="0"/>
          <w:bCs w:val="0"/>
          <w:szCs w:val="22"/>
          <w:highlight w:val="none"/>
        </w:rPr>
        <w:t>：</w:t>
      </w:r>
      <w:r>
        <w:rPr>
          <w:rFonts w:hint="eastAsia" w:ascii="宋体" w:hAnsi="宋体" w:cs="新宋体"/>
          <w:b w:val="0"/>
          <w:bCs w:val="0"/>
          <w:szCs w:val="22"/>
          <w:highlight w:val="none"/>
        </w:rPr>
        <w:t>0577-59902855</w:t>
      </w:r>
    </w:p>
    <w:p w14:paraId="192ACBD7">
      <w:pPr>
        <w:spacing w:line="360" w:lineRule="auto"/>
        <w:ind w:firstLine="405" w:firstLineChars="193"/>
        <w:rPr>
          <w:rFonts w:hint="eastAsia" w:ascii="宋体" w:hAnsi="宋体" w:cs="新宋体"/>
          <w:b w:val="0"/>
          <w:bCs w:val="0"/>
          <w:szCs w:val="22"/>
          <w:highlight w:val="none"/>
        </w:rPr>
      </w:pPr>
      <w:r>
        <w:rPr>
          <w:rFonts w:hint="eastAsia" w:ascii="宋体" w:hAnsi="宋体" w:cs="新宋体"/>
          <w:b w:val="0"/>
          <w:bCs w:val="0"/>
          <w:szCs w:val="22"/>
          <w:highlight w:val="none"/>
        </w:rPr>
        <w:t>2．</w:t>
      </w:r>
      <w:r>
        <w:rPr>
          <w:rFonts w:ascii="宋体" w:hAnsi="宋体" w:cs="新宋体"/>
          <w:b w:val="0"/>
          <w:bCs w:val="0"/>
          <w:szCs w:val="22"/>
          <w:highlight w:val="none"/>
        </w:rPr>
        <w:t>采购代理机构信息</w:t>
      </w:r>
    </w:p>
    <w:p w14:paraId="3DB50DD4">
      <w:pPr>
        <w:spacing w:line="360" w:lineRule="auto"/>
        <w:ind w:firstLine="405" w:firstLineChars="193"/>
        <w:rPr>
          <w:rFonts w:hint="eastAsia" w:ascii="宋体" w:hAnsi="宋体" w:cs="新宋体"/>
          <w:b w:val="0"/>
          <w:bCs w:val="0"/>
          <w:szCs w:val="22"/>
          <w:highlight w:val="none"/>
        </w:rPr>
      </w:pPr>
      <w:r>
        <w:rPr>
          <w:rFonts w:ascii="宋体" w:hAnsi="宋体" w:cs="新宋体"/>
          <w:b w:val="0"/>
          <w:bCs w:val="0"/>
          <w:szCs w:val="22"/>
          <w:highlight w:val="none"/>
        </w:rPr>
        <w:t>名称：</w:t>
      </w:r>
      <w:r>
        <w:rPr>
          <w:rFonts w:hint="eastAsia" w:ascii="宋体" w:hAnsi="宋体" w:cs="新宋体"/>
          <w:b w:val="0"/>
          <w:bCs w:val="0"/>
          <w:szCs w:val="22"/>
          <w:highlight w:val="none"/>
        </w:rPr>
        <w:t>温州超然招标代理有限公司</w:t>
      </w:r>
    </w:p>
    <w:p w14:paraId="5D393F82">
      <w:pPr>
        <w:spacing w:line="360" w:lineRule="auto"/>
        <w:ind w:firstLine="405" w:firstLineChars="193"/>
        <w:rPr>
          <w:rFonts w:hint="eastAsia" w:ascii="宋体" w:hAnsi="宋体" w:cs="新宋体"/>
          <w:b w:val="0"/>
          <w:bCs w:val="0"/>
          <w:szCs w:val="22"/>
          <w:highlight w:val="none"/>
        </w:rPr>
      </w:pPr>
      <w:r>
        <w:rPr>
          <w:rFonts w:ascii="宋体" w:hAnsi="宋体" w:cs="新宋体"/>
          <w:b w:val="0"/>
          <w:bCs w:val="0"/>
          <w:szCs w:val="22"/>
          <w:highlight w:val="none"/>
        </w:rPr>
        <w:t>地址：</w:t>
      </w:r>
      <w:r>
        <w:rPr>
          <w:rFonts w:hint="eastAsia" w:ascii="宋体" w:hAnsi="宋体" w:cs="新宋体"/>
          <w:b w:val="0"/>
          <w:bCs w:val="0"/>
          <w:szCs w:val="22"/>
          <w:highlight w:val="none"/>
        </w:rPr>
        <w:t>龙港市海港路1283号后幢一单元202室</w:t>
      </w:r>
    </w:p>
    <w:p w14:paraId="20404E73">
      <w:pPr>
        <w:spacing w:line="360" w:lineRule="auto"/>
        <w:ind w:firstLine="405" w:firstLineChars="193"/>
        <w:rPr>
          <w:rFonts w:hint="eastAsia" w:ascii="宋体" w:hAnsi="宋体" w:cs="新宋体"/>
          <w:b w:val="0"/>
          <w:bCs w:val="0"/>
          <w:szCs w:val="22"/>
          <w:highlight w:val="none"/>
        </w:rPr>
      </w:pPr>
      <w:r>
        <w:rPr>
          <w:rFonts w:ascii="宋体" w:hAnsi="宋体" w:cs="新宋体"/>
          <w:b w:val="0"/>
          <w:bCs w:val="0"/>
          <w:szCs w:val="22"/>
          <w:highlight w:val="none"/>
        </w:rPr>
        <w:t>传真：</w:t>
      </w:r>
      <w:r>
        <w:rPr>
          <w:rFonts w:hint="eastAsia" w:ascii="宋体" w:hAnsi="宋体" w:cs="新宋体"/>
          <w:b w:val="0"/>
          <w:bCs w:val="0"/>
          <w:szCs w:val="22"/>
          <w:highlight w:val="none"/>
        </w:rPr>
        <w:t>0577-68803069</w:t>
      </w:r>
    </w:p>
    <w:p w14:paraId="24277269">
      <w:pPr>
        <w:spacing w:line="360" w:lineRule="auto"/>
        <w:ind w:firstLine="405" w:firstLineChars="193"/>
        <w:rPr>
          <w:rFonts w:hint="eastAsia" w:ascii="宋体" w:hAnsi="宋体" w:cs="新宋体"/>
          <w:b w:val="0"/>
          <w:bCs w:val="0"/>
          <w:szCs w:val="22"/>
          <w:highlight w:val="none"/>
        </w:rPr>
      </w:pPr>
      <w:r>
        <w:rPr>
          <w:rFonts w:hint="eastAsia" w:ascii="宋体" w:hAnsi="宋体" w:cs="新宋体"/>
          <w:b w:val="0"/>
          <w:bCs w:val="0"/>
          <w:szCs w:val="22"/>
          <w:highlight w:val="none"/>
        </w:rPr>
        <w:t>项目</w:t>
      </w:r>
      <w:r>
        <w:rPr>
          <w:rFonts w:ascii="宋体" w:hAnsi="宋体" w:cs="新宋体"/>
          <w:b w:val="0"/>
          <w:bCs w:val="0"/>
          <w:szCs w:val="22"/>
          <w:highlight w:val="none"/>
        </w:rPr>
        <w:t>联系人</w:t>
      </w:r>
      <w:r>
        <w:rPr>
          <w:rFonts w:hint="eastAsia" w:ascii="宋体" w:hAnsi="宋体" w:cs="新宋体"/>
          <w:b w:val="0"/>
          <w:bCs w:val="0"/>
          <w:szCs w:val="22"/>
          <w:highlight w:val="none"/>
        </w:rPr>
        <w:t>（询问）</w:t>
      </w:r>
      <w:r>
        <w:rPr>
          <w:rFonts w:ascii="宋体" w:hAnsi="宋体" w:cs="新宋体"/>
          <w:b w:val="0"/>
          <w:bCs w:val="0"/>
          <w:szCs w:val="22"/>
          <w:highlight w:val="none"/>
        </w:rPr>
        <w:t>：</w:t>
      </w:r>
      <w:r>
        <w:rPr>
          <w:rFonts w:hint="eastAsia" w:ascii="宋体" w:hAnsi="宋体" w:cs="新宋体"/>
          <w:b w:val="0"/>
          <w:bCs w:val="0"/>
          <w:szCs w:val="22"/>
          <w:highlight w:val="none"/>
        </w:rPr>
        <w:t>洪世铭</w:t>
      </w:r>
    </w:p>
    <w:p w14:paraId="0C529E61">
      <w:pPr>
        <w:spacing w:line="360" w:lineRule="auto"/>
        <w:ind w:firstLine="405" w:firstLineChars="193"/>
        <w:rPr>
          <w:rFonts w:hint="eastAsia" w:ascii="宋体" w:hAnsi="宋体" w:cs="新宋体"/>
          <w:b w:val="0"/>
          <w:bCs w:val="0"/>
          <w:szCs w:val="22"/>
          <w:highlight w:val="none"/>
        </w:rPr>
      </w:pPr>
      <w:r>
        <w:rPr>
          <w:rFonts w:hint="eastAsia" w:ascii="宋体" w:hAnsi="宋体" w:cs="新宋体"/>
          <w:b w:val="0"/>
          <w:bCs w:val="0"/>
          <w:szCs w:val="22"/>
          <w:highlight w:val="none"/>
        </w:rPr>
        <w:t>项目</w:t>
      </w:r>
      <w:r>
        <w:rPr>
          <w:rFonts w:ascii="宋体" w:hAnsi="宋体" w:cs="新宋体"/>
          <w:b w:val="0"/>
          <w:bCs w:val="0"/>
          <w:szCs w:val="22"/>
          <w:highlight w:val="none"/>
        </w:rPr>
        <w:t>联系</w:t>
      </w:r>
      <w:r>
        <w:rPr>
          <w:rFonts w:hint="eastAsia" w:ascii="宋体" w:hAnsi="宋体" w:cs="新宋体"/>
          <w:b w:val="0"/>
          <w:bCs w:val="0"/>
          <w:szCs w:val="22"/>
          <w:highlight w:val="none"/>
        </w:rPr>
        <w:t>方式（询问）</w:t>
      </w:r>
      <w:r>
        <w:rPr>
          <w:rFonts w:ascii="宋体" w:hAnsi="宋体" w:cs="新宋体"/>
          <w:b w:val="0"/>
          <w:bCs w:val="0"/>
          <w:szCs w:val="22"/>
          <w:highlight w:val="none"/>
        </w:rPr>
        <w:t>：</w:t>
      </w:r>
      <w:r>
        <w:rPr>
          <w:rFonts w:hint="eastAsia" w:ascii="宋体" w:hAnsi="宋体" w:cs="新宋体"/>
          <w:b w:val="0"/>
          <w:bCs w:val="0"/>
          <w:szCs w:val="22"/>
          <w:highlight w:val="none"/>
        </w:rPr>
        <w:t>18267789396</w:t>
      </w:r>
    </w:p>
    <w:p w14:paraId="7190B7EB">
      <w:pPr>
        <w:spacing w:line="360" w:lineRule="auto"/>
        <w:ind w:firstLine="405" w:firstLineChars="193"/>
        <w:rPr>
          <w:rFonts w:hint="eastAsia" w:ascii="宋体" w:hAnsi="宋体" w:cs="新宋体"/>
          <w:b w:val="0"/>
          <w:bCs w:val="0"/>
          <w:szCs w:val="22"/>
          <w:highlight w:val="none"/>
        </w:rPr>
      </w:pPr>
      <w:r>
        <w:rPr>
          <w:rFonts w:hint="eastAsia" w:ascii="宋体" w:hAnsi="宋体" w:cs="新宋体"/>
          <w:b w:val="0"/>
          <w:bCs w:val="0"/>
          <w:szCs w:val="22"/>
          <w:highlight w:val="none"/>
        </w:rPr>
        <w:t>3．同级采购监督管理部门</w:t>
      </w:r>
    </w:p>
    <w:p w14:paraId="63483D8C">
      <w:pPr>
        <w:spacing w:line="360" w:lineRule="auto"/>
        <w:ind w:firstLine="405" w:firstLineChars="193"/>
        <w:rPr>
          <w:rFonts w:hint="eastAsia" w:ascii="宋体" w:hAnsi="宋体" w:cs="新宋体"/>
          <w:b w:val="0"/>
          <w:bCs w:val="0"/>
          <w:szCs w:val="22"/>
          <w:highlight w:val="none"/>
          <w:lang w:val="en-US" w:eastAsia="zh-CN"/>
        </w:rPr>
      </w:pPr>
      <w:r>
        <w:rPr>
          <w:rFonts w:hint="eastAsia" w:ascii="宋体" w:hAnsi="宋体" w:cs="新宋体"/>
          <w:b w:val="0"/>
          <w:bCs w:val="0"/>
          <w:szCs w:val="22"/>
          <w:highlight w:val="none"/>
        </w:rPr>
        <w:t>名称：温州公用事业发展集团龙港水务有限公司</w:t>
      </w:r>
      <w:r>
        <w:rPr>
          <w:rFonts w:hint="eastAsia" w:ascii="宋体" w:hAnsi="宋体" w:cs="新宋体"/>
          <w:b w:val="0"/>
          <w:bCs w:val="0"/>
          <w:szCs w:val="22"/>
          <w:highlight w:val="none"/>
          <w:lang w:val="en-US" w:eastAsia="zh-CN"/>
        </w:rPr>
        <w:t>纪委</w:t>
      </w:r>
    </w:p>
    <w:p w14:paraId="01CC48FD">
      <w:pPr>
        <w:spacing w:line="360" w:lineRule="auto"/>
        <w:ind w:firstLine="405" w:firstLineChars="193"/>
        <w:rPr>
          <w:rFonts w:hint="eastAsia" w:ascii="宋体" w:hAnsi="宋体" w:cs="新宋体"/>
          <w:b w:val="0"/>
          <w:bCs w:val="0"/>
          <w:szCs w:val="22"/>
          <w:highlight w:val="none"/>
          <w:lang w:val="en-US" w:eastAsia="zh-CN"/>
        </w:rPr>
      </w:pPr>
      <w:r>
        <w:rPr>
          <w:rFonts w:hint="eastAsia" w:ascii="宋体" w:hAnsi="宋体" w:cs="新宋体"/>
          <w:b w:val="0"/>
          <w:bCs w:val="0"/>
          <w:szCs w:val="22"/>
          <w:highlight w:val="none"/>
        </w:rPr>
        <w:t>地址：浙江省温州市龙港市通港路1255-1399号</w:t>
      </w:r>
      <w:r>
        <w:rPr>
          <w:rFonts w:hint="eastAsia" w:ascii="宋体" w:hAnsi="宋体" w:cs="新宋体"/>
          <w:b w:val="0"/>
          <w:bCs w:val="0"/>
          <w:szCs w:val="22"/>
          <w:highlight w:val="none"/>
          <w:lang w:val="en-US" w:eastAsia="zh-CN"/>
        </w:rPr>
        <w:t xml:space="preserve"> </w:t>
      </w:r>
    </w:p>
    <w:p w14:paraId="74A94B45">
      <w:pPr>
        <w:spacing w:line="360" w:lineRule="auto"/>
        <w:ind w:firstLine="405" w:firstLineChars="193"/>
        <w:rPr>
          <w:rFonts w:hint="eastAsia" w:ascii="宋体" w:hAnsi="宋体" w:cs="新宋体"/>
          <w:b w:val="0"/>
          <w:bCs w:val="0"/>
          <w:szCs w:val="22"/>
          <w:highlight w:val="none"/>
        </w:rPr>
      </w:pPr>
      <w:r>
        <w:rPr>
          <w:rFonts w:hint="eastAsia" w:ascii="宋体" w:hAnsi="宋体" w:cs="新宋体"/>
          <w:b w:val="0"/>
          <w:bCs w:val="0"/>
          <w:szCs w:val="22"/>
          <w:highlight w:val="none"/>
        </w:rPr>
        <w:t>联系人：</w:t>
      </w:r>
      <w:r>
        <w:rPr>
          <w:rFonts w:hint="eastAsia" w:ascii="宋体" w:hAnsi="宋体" w:cs="新宋体"/>
          <w:b w:val="0"/>
          <w:bCs w:val="0"/>
          <w:szCs w:val="22"/>
          <w:highlight w:val="none"/>
          <w:lang w:val="en-US" w:eastAsia="zh-CN"/>
        </w:rPr>
        <w:t>苏</w:t>
      </w:r>
      <w:r>
        <w:rPr>
          <w:rFonts w:hint="eastAsia" w:ascii="宋体" w:hAnsi="宋体" w:cs="新宋体"/>
          <w:b w:val="0"/>
          <w:bCs w:val="0"/>
          <w:szCs w:val="22"/>
          <w:highlight w:val="none"/>
        </w:rPr>
        <w:t>女士</w:t>
      </w:r>
    </w:p>
    <w:p w14:paraId="190EA894">
      <w:pPr>
        <w:spacing w:line="360" w:lineRule="auto"/>
        <w:ind w:firstLine="405" w:firstLineChars="193"/>
        <w:rPr>
          <w:rFonts w:hint="eastAsia" w:ascii="宋体" w:hAnsi="宋体" w:cs="新宋体"/>
          <w:b w:val="0"/>
          <w:bCs w:val="0"/>
          <w:szCs w:val="22"/>
          <w:highlight w:val="none"/>
        </w:rPr>
      </w:pPr>
      <w:r>
        <w:rPr>
          <w:rFonts w:hint="eastAsia" w:ascii="宋体" w:hAnsi="宋体" w:cs="新宋体"/>
          <w:b w:val="0"/>
          <w:bCs w:val="0"/>
          <w:szCs w:val="22"/>
          <w:highlight w:val="none"/>
        </w:rPr>
        <w:t>监督投诉电话： 0577-59902886</w:t>
      </w:r>
    </w:p>
    <w:p w14:paraId="6F6D3EDC">
      <w:pPr>
        <w:pStyle w:val="23"/>
        <w:rPr>
          <w:rFonts w:hint="eastAsia" w:ascii="宋体" w:hAnsi="宋体" w:cs="新宋体"/>
          <w:b w:val="0"/>
          <w:bCs w:val="0"/>
          <w:szCs w:val="22"/>
          <w:highlight w:val="none"/>
        </w:rPr>
      </w:pPr>
    </w:p>
    <w:p w14:paraId="30BDB3B8">
      <w:pPr>
        <w:pStyle w:val="23"/>
        <w:rPr>
          <w:rFonts w:hint="eastAsia" w:ascii="宋体" w:hAnsi="宋体" w:cs="新宋体"/>
          <w:b w:val="0"/>
          <w:bCs w:val="0"/>
          <w:szCs w:val="22"/>
          <w:highlight w:val="none"/>
        </w:rPr>
      </w:pPr>
    </w:p>
    <w:p w14:paraId="03764D1A">
      <w:pPr>
        <w:pStyle w:val="23"/>
        <w:jc w:val="right"/>
        <w:rPr>
          <w:rFonts w:hint="eastAsia" w:ascii="宋体" w:hAnsi="宋体" w:cs="新宋体"/>
          <w:b w:val="0"/>
          <w:bCs w:val="0"/>
          <w:szCs w:val="22"/>
          <w:highlight w:val="none"/>
        </w:rPr>
      </w:pPr>
      <w:r>
        <w:rPr>
          <w:rFonts w:hint="eastAsia" w:ascii="宋体" w:hAnsi="宋体" w:cs="新宋体"/>
          <w:b w:val="0"/>
          <w:bCs w:val="0"/>
          <w:szCs w:val="22"/>
          <w:highlight w:val="none"/>
        </w:rPr>
        <w:t>温州公用事业发展集团龙港水务有限公司</w:t>
      </w:r>
    </w:p>
    <w:p w14:paraId="72C14E67">
      <w:pPr>
        <w:pStyle w:val="23"/>
        <w:jc w:val="right"/>
        <w:rPr>
          <w:rFonts w:hint="eastAsia" w:ascii="宋体" w:hAnsi="宋体" w:cs="新宋体"/>
          <w:b w:val="0"/>
          <w:bCs w:val="0"/>
          <w:szCs w:val="22"/>
          <w:highlight w:val="none"/>
        </w:rPr>
      </w:pPr>
      <w:r>
        <w:rPr>
          <w:rFonts w:hint="eastAsia" w:ascii="宋体" w:hAnsi="宋体" w:cs="新宋体"/>
          <w:b w:val="0"/>
          <w:bCs w:val="0"/>
          <w:szCs w:val="22"/>
          <w:highlight w:val="none"/>
        </w:rPr>
        <w:t>温州超然招标代理有限公司</w:t>
      </w:r>
    </w:p>
    <w:p w14:paraId="04735075">
      <w:pPr>
        <w:pStyle w:val="23"/>
        <w:jc w:val="right"/>
        <w:rPr>
          <w:rFonts w:hint="eastAsia" w:ascii="宋体" w:hAnsi="宋体" w:cs="新宋体"/>
          <w:b w:val="0"/>
          <w:bCs w:val="0"/>
          <w:szCs w:val="22"/>
          <w:highlight w:val="none"/>
        </w:rPr>
      </w:pPr>
      <w:r>
        <w:rPr>
          <w:rFonts w:hint="eastAsia" w:ascii="宋体" w:hAnsi="宋体" w:cs="新宋体"/>
          <w:b w:val="0"/>
          <w:bCs w:val="0"/>
          <w:szCs w:val="22"/>
          <w:highlight w:val="none"/>
        </w:rPr>
        <w:t>2025年0</w:t>
      </w:r>
      <w:r>
        <w:rPr>
          <w:rFonts w:hint="eastAsia" w:ascii="宋体" w:hAnsi="宋体" w:cs="新宋体"/>
          <w:b w:val="0"/>
          <w:bCs w:val="0"/>
          <w:szCs w:val="22"/>
          <w:highlight w:val="none"/>
          <w:lang w:val="en-US" w:eastAsia="zh-CN"/>
        </w:rPr>
        <w:t>3</w:t>
      </w:r>
      <w:r>
        <w:rPr>
          <w:rFonts w:hint="eastAsia" w:ascii="宋体" w:hAnsi="宋体" w:cs="新宋体"/>
          <w:b w:val="0"/>
          <w:bCs w:val="0"/>
          <w:szCs w:val="22"/>
          <w:highlight w:val="none"/>
        </w:rPr>
        <w:t>月</w:t>
      </w:r>
      <w:r>
        <w:rPr>
          <w:rFonts w:hint="eastAsia" w:ascii="宋体" w:hAnsi="宋体" w:cs="新宋体"/>
          <w:b w:val="0"/>
          <w:bCs w:val="0"/>
          <w:szCs w:val="22"/>
          <w:highlight w:val="none"/>
          <w:lang w:val="en-US" w:eastAsia="zh-CN"/>
        </w:rPr>
        <w:t>28</w:t>
      </w:r>
      <w:r>
        <w:rPr>
          <w:rFonts w:hint="eastAsia" w:ascii="宋体" w:hAnsi="宋体" w:cs="新宋体"/>
          <w:b w:val="0"/>
          <w:bCs w:val="0"/>
          <w:szCs w:val="22"/>
          <w:highlight w:val="none"/>
        </w:rPr>
        <w:t>日</w:t>
      </w:r>
    </w:p>
    <w:p w14:paraId="206B097A">
      <w:pPr>
        <w:jc w:val="center"/>
        <w:rPr>
          <w:rFonts w:ascii="Cambria Math" w:hAnsi="Cambria Math" w:eastAsiaTheme="minorEastAsia"/>
          <w:b w:val="0"/>
          <w:bCs w:val="0"/>
          <w:color w:val="auto"/>
          <w:sz w:val="28"/>
          <w:szCs w:val="28"/>
          <w:highlight w:val="none"/>
        </w:rPr>
      </w:pPr>
    </w:p>
    <w:p w14:paraId="5F7BC29B">
      <w:pPr>
        <w:pStyle w:val="23"/>
        <w:rPr>
          <w:highlight w:val="none"/>
        </w:rPr>
      </w:pPr>
    </w:p>
    <w:p w14:paraId="2E71C5F1">
      <w:pPr>
        <w:pStyle w:val="23"/>
        <w:rPr>
          <w:highlight w:val="none"/>
        </w:rPr>
      </w:pPr>
    </w:p>
    <w:p w14:paraId="6E5640D5">
      <w:pPr>
        <w:pStyle w:val="23"/>
        <w:rPr>
          <w:highlight w:val="none"/>
        </w:rPr>
      </w:pPr>
    </w:p>
    <w:p w14:paraId="30648341">
      <w:pPr>
        <w:pStyle w:val="23"/>
        <w:rPr>
          <w:highlight w:val="none"/>
        </w:rPr>
      </w:pPr>
    </w:p>
    <w:p w14:paraId="30805CA3">
      <w:pPr>
        <w:pStyle w:val="23"/>
        <w:rPr>
          <w:highlight w:val="none"/>
        </w:rPr>
      </w:pPr>
    </w:p>
    <w:p w14:paraId="42F9238F">
      <w:pPr>
        <w:pStyle w:val="23"/>
        <w:rPr>
          <w:highlight w:val="none"/>
        </w:rPr>
      </w:pPr>
    </w:p>
    <w:p w14:paraId="41180CE7">
      <w:pPr>
        <w:pStyle w:val="23"/>
        <w:rPr>
          <w:highlight w:val="none"/>
        </w:rPr>
      </w:pPr>
    </w:p>
    <w:p w14:paraId="42C768E3">
      <w:pPr>
        <w:pStyle w:val="23"/>
        <w:rPr>
          <w:highlight w:val="none"/>
        </w:rPr>
      </w:pPr>
    </w:p>
    <w:p w14:paraId="1B291C47">
      <w:pPr>
        <w:pStyle w:val="23"/>
        <w:ind w:firstLine="0"/>
        <w:rPr>
          <w:highlight w:val="none"/>
        </w:rPr>
      </w:pPr>
    </w:p>
    <w:p w14:paraId="0E1BE0B2">
      <w:pPr>
        <w:pStyle w:val="4"/>
        <w:spacing w:before="0" w:after="120" w:line="700" w:lineRule="exact"/>
        <w:ind w:left="0" w:firstLine="0"/>
        <w:jc w:val="center"/>
        <w:rPr>
          <w:rFonts w:ascii="Cambria Math" w:hAnsi="Cambria Math" w:eastAsia="Cambria Math"/>
          <w:b/>
          <w:color w:val="auto"/>
          <w:sz w:val="32"/>
          <w:highlight w:val="none"/>
        </w:rPr>
      </w:pPr>
      <w:r>
        <w:rPr>
          <w:rFonts w:hint="eastAsia" w:ascii="Cambria Math" w:hAnsi="Cambria Math" w:eastAsia="Cambria Math"/>
          <w:b/>
          <w:color w:val="auto"/>
          <w:sz w:val="32"/>
          <w:highlight w:val="none"/>
        </w:rPr>
        <w:t>投标通知(邀请)书</w:t>
      </w:r>
    </w:p>
    <w:p w14:paraId="28959C4A">
      <w:pPr>
        <w:spacing w:line="440" w:lineRule="exact"/>
        <w:ind w:firstLine="440" w:firstLineChars="200"/>
        <w:rPr>
          <w:rFonts w:hint="eastAsia" w:ascii="宋体" w:hAnsi="宋体"/>
          <w:b w:val="0"/>
          <w:color w:val="auto"/>
          <w:sz w:val="22"/>
          <w:szCs w:val="22"/>
          <w:highlight w:val="none"/>
        </w:rPr>
      </w:pPr>
      <w:r>
        <w:rPr>
          <w:rFonts w:hint="eastAsia" w:ascii="宋体" w:hAnsi="宋体"/>
          <w:b w:val="0"/>
          <w:color w:val="auto"/>
          <w:sz w:val="22"/>
          <w:szCs w:val="22"/>
          <w:highlight w:val="none"/>
        </w:rPr>
        <w:t>温州超然招标代理有限公司</w:t>
      </w:r>
      <w:r>
        <w:rPr>
          <w:rFonts w:hint="eastAsia" w:ascii="宋体" w:hAnsi="宋体"/>
          <w:b w:val="0"/>
          <w:bCs w:val="0"/>
          <w:color w:val="auto"/>
          <w:sz w:val="22"/>
          <w:szCs w:val="22"/>
          <w:highlight w:val="none"/>
        </w:rPr>
        <w:t>受</w:t>
      </w:r>
      <w:r>
        <w:rPr>
          <w:rFonts w:hint="eastAsia" w:ascii="宋体" w:hAnsi="宋体" w:cs="宋体"/>
          <w:b w:val="0"/>
          <w:color w:val="auto"/>
          <w:sz w:val="22"/>
          <w:szCs w:val="22"/>
          <w:highlight w:val="none"/>
        </w:rPr>
        <w:t>温州公用事业发展集团龙港水务有限公司</w:t>
      </w:r>
      <w:r>
        <w:rPr>
          <w:rFonts w:hint="eastAsia" w:ascii="宋体" w:hAnsi="宋体"/>
          <w:b w:val="0"/>
          <w:bCs w:val="0"/>
          <w:color w:val="auto"/>
          <w:sz w:val="22"/>
          <w:szCs w:val="22"/>
          <w:highlight w:val="none"/>
        </w:rPr>
        <w:t>委托，就</w:t>
      </w:r>
      <w:r>
        <w:rPr>
          <w:rFonts w:hint="eastAsia" w:ascii="宋体" w:hAnsi="宋体" w:cs="宋体"/>
          <w:b w:val="0"/>
          <w:color w:val="auto"/>
          <w:sz w:val="22"/>
          <w:szCs w:val="22"/>
          <w:highlight w:val="none"/>
          <w:lang w:eastAsia="zh-CN"/>
        </w:rPr>
        <w:t>龙港水务用水客户户内漏水保险服务项目（重招）</w:t>
      </w:r>
      <w:r>
        <w:rPr>
          <w:rFonts w:hint="eastAsia" w:ascii="宋体" w:hAnsi="宋体"/>
          <w:b w:val="0"/>
          <w:bCs w:val="0"/>
          <w:color w:val="auto"/>
          <w:sz w:val="22"/>
          <w:szCs w:val="22"/>
          <w:highlight w:val="none"/>
        </w:rPr>
        <w:t>进行公开招标</w:t>
      </w:r>
      <w:r>
        <w:rPr>
          <w:rFonts w:hint="eastAsia" w:ascii="宋体" w:hAnsi="宋体"/>
          <w:b w:val="0"/>
          <w:color w:val="auto"/>
          <w:sz w:val="22"/>
          <w:szCs w:val="22"/>
          <w:highlight w:val="none"/>
        </w:rPr>
        <w:t>，我们现通知贵公司（企业）参加投标，并请按招标文件的要求认真准备好投标文件，按时前来投标。</w:t>
      </w:r>
    </w:p>
    <w:tbl>
      <w:tblPr>
        <w:tblStyle w:val="35"/>
        <w:tblW w:w="966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269"/>
        <w:gridCol w:w="7398"/>
      </w:tblGrid>
      <w:tr w14:paraId="023893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6" w:hRule="atLeast"/>
          <w:jc w:val="center"/>
        </w:trPr>
        <w:tc>
          <w:tcPr>
            <w:tcW w:w="2269" w:type="dxa"/>
            <w:tcBorders>
              <w:top w:val="double" w:color="auto" w:sz="4" w:space="0"/>
              <w:left w:val="double" w:color="auto" w:sz="4" w:space="0"/>
            </w:tcBorders>
            <w:vAlign w:val="center"/>
          </w:tcPr>
          <w:p w14:paraId="0F393483">
            <w:pPr>
              <w:pStyle w:val="15"/>
              <w:snapToGrid w:val="0"/>
              <w:spacing w:before="0" w:line="400" w:lineRule="atLeast"/>
              <w:jc w:val="center"/>
              <w:rPr>
                <w:rFonts w:hint="eastAsia" w:ascii="宋体" w:hAnsi="宋体" w:cs="Times New Roman"/>
                <w:b w:val="0"/>
                <w:color w:val="auto"/>
                <w:sz w:val="22"/>
                <w:szCs w:val="22"/>
                <w:highlight w:val="none"/>
              </w:rPr>
            </w:pPr>
            <w:r>
              <w:rPr>
                <w:rFonts w:hint="eastAsia" w:ascii="宋体" w:hAnsi="宋体" w:cs="Times New Roman"/>
                <w:b w:val="0"/>
                <w:color w:val="auto"/>
                <w:sz w:val="22"/>
                <w:szCs w:val="22"/>
                <w:highlight w:val="none"/>
              </w:rPr>
              <w:t>招标编号</w:t>
            </w:r>
          </w:p>
        </w:tc>
        <w:tc>
          <w:tcPr>
            <w:tcW w:w="7398" w:type="dxa"/>
            <w:tcBorders>
              <w:top w:val="double" w:color="auto" w:sz="4" w:space="0"/>
              <w:right w:val="double" w:color="auto" w:sz="4" w:space="0"/>
            </w:tcBorders>
            <w:vAlign w:val="center"/>
          </w:tcPr>
          <w:p w14:paraId="54E64432">
            <w:pPr>
              <w:pStyle w:val="15"/>
              <w:snapToGrid w:val="0"/>
              <w:spacing w:before="0" w:line="400" w:lineRule="atLeast"/>
              <w:rPr>
                <w:rFonts w:hint="eastAsia" w:ascii="宋体" w:hAnsi="宋体" w:eastAsia="宋体" w:cs="Times New Roman"/>
                <w:b w:val="0"/>
                <w:color w:val="auto"/>
                <w:sz w:val="22"/>
                <w:szCs w:val="22"/>
                <w:highlight w:val="none"/>
                <w:lang w:eastAsia="zh-CN"/>
              </w:rPr>
            </w:pPr>
            <w:r>
              <w:rPr>
                <w:rFonts w:hint="eastAsia" w:ascii="宋体" w:hAnsi="宋体" w:cs="Times New Roman"/>
                <w:b w:val="0"/>
                <w:color w:val="auto"/>
                <w:sz w:val="22"/>
                <w:szCs w:val="22"/>
                <w:highlight w:val="none"/>
                <w:lang w:eastAsia="zh-CN"/>
              </w:rPr>
              <w:t>WGSS-GYJT-Z-2025147-1</w:t>
            </w:r>
          </w:p>
        </w:tc>
      </w:tr>
      <w:tr w14:paraId="7672C4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6" w:hRule="atLeast"/>
          <w:jc w:val="center"/>
        </w:trPr>
        <w:tc>
          <w:tcPr>
            <w:tcW w:w="2269" w:type="dxa"/>
            <w:tcBorders>
              <w:left w:val="double" w:color="auto" w:sz="4" w:space="0"/>
            </w:tcBorders>
            <w:vAlign w:val="center"/>
          </w:tcPr>
          <w:p w14:paraId="7BD2B70C">
            <w:pPr>
              <w:pStyle w:val="15"/>
              <w:snapToGrid w:val="0"/>
              <w:spacing w:before="0" w:line="400" w:lineRule="atLeast"/>
              <w:jc w:val="center"/>
              <w:rPr>
                <w:rFonts w:hint="eastAsia" w:ascii="宋体" w:hAnsi="宋体" w:cs="Times New Roman"/>
                <w:b w:val="0"/>
                <w:color w:val="auto"/>
                <w:sz w:val="22"/>
                <w:szCs w:val="22"/>
                <w:highlight w:val="none"/>
              </w:rPr>
            </w:pPr>
            <w:r>
              <w:rPr>
                <w:rFonts w:hint="eastAsia" w:ascii="宋体" w:hAnsi="宋体" w:cs="Times New Roman"/>
                <w:b w:val="0"/>
                <w:color w:val="auto"/>
                <w:sz w:val="22"/>
                <w:szCs w:val="22"/>
                <w:highlight w:val="none"/>
              </w:rPr>
              <w:t>招标内容</w:t>
            </w:r>
          </w:p>
        </w:tc>
        <w:tc>
          <w:tcPr>
            <w:tcW w:w="7398" w:type="dxa"/>
            <w:tcBorders>
              <w:right w:val="double" w:color="auto" w:sz="4" w:space="0"/>
            </w:tcBorders>
            <w:vAlign w:val="center"/>
          </w:tcPr>
          <w:p w14:paraId="5523A4C0">
            <w:pPr>
              <w:pStyle w:val="15"/>
              <w:snapToGrid w:val="0"/>
              <w:spacing w:before="0" w:line="400" w:lineRule="atLeast"/>
              <w:rPr>
                <w:rFonts w:hint="eastAsia" w:ascii="宋体" w:hAnsi="宋体" w:eastAsia="宋体" w:cs="Times New Roman"/>
                <w:b w:val="0"/>
                <w:color w:val="auto"/>
                <w:sz w:val="22"/>
                <w:szCs w:val="22"/>
                <w:highlight w:val="none"/>
                <w:lang w:eastAsia="zh-CN"/>
              </w:rPr>
            </w:pPr>
            <w:r>
              <w:rPr>
                <w:rFonts w:hint="eastAsia" w:ascii="宋体" w:hAnsi="宋体" w:cs="宋体"/>
                <w:b w:val="0"/>
                <w:color w:val="auto"/>
                <w:sz w:val="22"/>
                <w:szCs w:val="22"/>
                <w:highlight w:val="none"/>
                <w:lang w:eastAsia="zh-CN"/>
              </w:rPr>
              <w:t>龙港水务用水客户户内漏水保险服务项目（重招）</w:t>
            </w:r>
          </w:p>
        </w:tc>
      </w:tr>
      <w:tr w14:paraId="2304ED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6" w:hRule="atLeast"/>
          <w:jc w:val="center"/>
        </w:trPr>
        <w:tc>
          <w:tcPr>
            <w:tcW w:w="2269" w:type="dxa"/>
            <w:tcBorders>
              <w:left w:val="double" w:color="auto" w:sz="4" w:space="0"/>
            </w:tcBorders>
            <w:vAlign w:val="center"/>
          </w:tcPr>
          <w:p w14:paraId="549C97F1">
            <w:pPr>
              <w:pStyle w:val="15"/>
              <w:snapToGrid w:val="0"/>
              <w:spacing w:before="0" w:line="400" w:lineRule="atLeast"/>
              <w:jc w:val="center"/>
              <w:rPr>
                <w:rFonts w:hint="eastAsia" w:ascii="宋体" w:hAnsi="宋体" w:cs="Times New Roman"/>
                <w:b w:val="0"/>
                <w:color w:val="auto"/>
                <w:sz w:val="22"/>
                <w:szCs w:val="22"/>
                <w:highlight w:val="none"/>
              </w:rPr>
            </w:pPr>
            <w:r>
              <w:rPr>
                <w:rFonts w:hint="eastAsia" w:ascii="宋体" w:hAnsi="宋体" w:cs="Times New Roman"/>
                <w:b w:val="0"/>
                <w:color w:val="auto"/>
                <w:sz w:val="22"/>
                <w:szCs w:val="22"/>
                <w:highlight w:val="none"/>
              </w:rPr>
              <w:t>资金来源</w:t>
            </w:r>
          </w:p>
        </w:tc>
        <w:tc>
          <w:tcPr>
            <w:tcW w:w="7398" w:type="dxa"/>
            <w:tcBorders>
              <w:right w:val="double" w:color="auto" w:sz="4" w:space="0"/>
            </w:tcBorders>
            <w:vAlign w:val="center"/>
          </w:tcPr>
          <w:p w14:paraId="39AB644F">
            <w:pPr>
              <w:pStyle w:val="15"/>
              <w:snapToGrid w:val="0"/>
              <w:spacing w:before="0" w:line="400" w:lineRule="atLeast"/>
              <w:rPr>
                <w:rFonts w:hint="eastAsia" w:ascii="宋体" w:hAnsi="宋体" w:cs="Times New Roman"/>
                <w:b w:val="0"/>
                <w:color w:val="auto"/>
                <w:sz w:val="22"/>
                <w:szCs w:val="22"/>
                <w:highlight w:val="none"/>
              </w:rPr>
            </w:pPr>
            <w:r>
              <w:rPr>
                <w:rFonts w:hint="eastAsia" w:ascii="宋体" w:hAnsi="宋体" w:cs="Times New Roman"/>
                <w:b w:val="0"/>
                <w:color w:val="auto"/>
                <w:sz w:val="22"/>
                <w:szCs w:val="22"/>
                <w:highlight w:val="none"/>
              </w:rPr>
              <w:t>自筹</w:t>
            </w:r>
          </w:p>
        </w:tc>
      </w:tr>
      <w:tr w14:paraId="7E1EFA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6" w:hRule="atLeast"/>
          <w:jc w:val="center"/>
        </w:trPr>
        <w:tc>
          <w:tcPr>
            <w:tcW w:w="2269" w:type="dxa"/>
            <w:tcBorders>
              <w:left w:val="double" w:color="auto" w:sz="4" w:space="0"/>
            </w:tcBorders>
            <w:vAlign w:val="center"/>
          </w:tcPr>
          <w:p w14:paraId="0AD754D0">
            <w:pPr>
              <w:adjustRightInd w:val="0"/>
              <w:snapToGrid w:val="0"/>
              <w:spacing w:line="400" w:lineRule="atLeast"/>
              <w:jc w:val="center"/>
              <w:rPr>
                <w:rFonts w:hint="eastAsia" w:ascii="宋体" w:hAnsi="宋体"/>
                <w:b w:val="0"/>
                <w:color w:val="auto"/>
                <w:sz w:val="22"/>
                <w:szCs w:val="22"/>
                <w:highlight w:val="none"/>
              </w:rPr>
            </w:pPr>
            <w:r>
              <w:rPr>
                <w:rFonts w:hint="eastAsia" w:ascii="宋体" w:hAnsi="宋体"/>
                <w:b w:val="0"/>
                <w:color w:val="auto"/>
                <w:sz w:val="22"/>
                <w:szCs w:val="22"/>
                <w:highlight w:val="none"/>
              </w:rPr>
              <w:t>预算金额</w:t>
            </w:r>
          </w:p>
        </w:tc>
        <w:tc>
          <w:tcPr>
            <w:tcW w:w="7398" w:type="dxa"/>
            <w:tcBorders>
              <w:right w:val="double" w:color="auto" w:sz="4" w:space="0"/>
            </w:tcBorders>
            <w:vAlign w:val="center"/>
          </w:tcPr>
          <w:p w14:paraId="3D763051">
            <w:pPr>
              <w:adjustRightInd w:val="0"/>
              <w:snapToGrid w:val="0"/>
              <w:spacing w:line="400" w:lineRule="atLeast"/>
              <w:rPr>
                <w:rFonts w:hint="eastAsia" w:ascii="宋体" w:hAnsi="宋体"/>
                <w:b w:val="0"/>
                <w:color w:val="auto"/>
                <w:sz w:val="22"/>
                <w:szCs w:val="22"/>
                <w:highlight w:val="none"/>
              </w:rPr>
            </w:pPr>
            <w:r>
              <w:rPr>
                <w:rFonts w:hint="eastAsia" w:ascii="宋体" w:hAnsi="宋体"/>
                <w:b w:val="0"/>
                <w:color w:val="auto"/>
                <w:sz w:val="22"/>
                <w:szCs w:val="22"/>
                <w:highlight w:val="none"/>
              </w:rPr>
              <w:t>人民币600000</w:t>
            </w:r>
            <w:r>
              <w:rPr>
                <w:rFonts w:ascii="宋体" w:hAnsi="宋体"/>
                <w:b w:val="0"/>
                <w:color w:val="auto"/>
                <w:sz w:val="22"/>
                <w:szCs w:val="22"/>
                <w:highlight w:val="none"/>
              </w:rPr>
              <w:t>元</w:t>
            </w:r>
          </w:p>
        </w:tc>
      </w:tr>
      <w:tr w14:paraId="5AD462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7" w:hRule="atLeast"/>
          <w:jc w:val="center"/>
        </w:trPr>
        <w:tc>
          <w:tcPr>
            <w:tcW w:w="2269" w:type="dxa"/>
            <w:tcBorders>
              <w:left w:val="double" w:color="auto" w:sz="4" w:space="0"/>
            </w:tcBorders>
            <w:vAlign w:val="center"/>
          </w:tcPr>
          <w:p w14:paraId="73C32EE2">
            <w:pPr>
              <w:pStyle w:val="15"/>
              <w:snapToGrid w:val="0"/>
              <w:spacing w:before="0" w:line="400" w:lineRule="atLeast"/>
              <w:jc w:val="center"/>
              <w:rPr>
                <w:rFonts w:ascii="Cambria Math" w:hAnsi="Cambria Math" w:eastAsia="Cambria Math" w:cs="Times New Roman"/>
                <w:b w:val="0"/>
                <w:color w:val="auto"/>
                <w:sz w:val="22"/>
                <w:szCs w:val="22"/>
                <w:highlight w:val="none"/>
              </w:rPr>
            </w:pPr>
            <w:r>
              <w:rPr>
                <w:rFonts w:hint="eastAsia" w:ascii="Cambria Math" w:hAnsi="Cambria Math" w:eastAsia="Cambria Math" w:cs="Times New Roman"/>
                <w:b w:val="0"/>
                <w:color w:val="auto"/>
                <w:sz w:val="22"/>
                <w:szCs w:val="22"/>
                <w:highlight w:val="none"/>
              </w:rPr>
              <w:t>采购方式</w:t>
            </w:r>
          </w:p>
        </w:tc>
        <w:tc>
          <w:tcPr>
            <w:tcW w:w="7398" w:type="dxa"/>
            <w:tcBorders>
              <w:right w:val="double" w:color="auto" w:sz="4" w:space="0"/>
            </w:tcBorders>
            <w:vAlign w:val="center"/>
          </w:tcPr>
          <w:p w14:paraId="0484D70D">
            <w:pPr>
              <w:pStyle w:val="15"/>
              <w:snapToGrid w:val="0"/>
              <w:spacing w:before="0" w:line="400" w:lineRule="atLeast"/>
              <w:rPr>
                <w:rFonts w:ascii="Cambria Math" w:hAnsi="Cambria Math" w:eastAsia="Cambria Math" w:cs="Times New Roman"/>
                <w:b w:val="0"/>
                <w:color w:val="auto"/>
                <w:sz w:val="22"/>
                <w:szCs w:val="22"/>
                <w:highlight w:val="none"/>
              </w:rPr>
            </w:pPr>
            <w:r>
              <w:rPr>
                <w:rFonts w:hint="eastAsia" w:ascii="Cambria Math" w:hAnsi="Cambria Math" w:eastAsia="Cambria Math" w:cs="Times New Roman"/>
                <w:b w:val="0"/>
                <w:color w:val="auto"/>
                <w:sz w:val="22"/>
                <w:szCs w:val="22"/>
                <w:highlight w:val="none"/>
              </w:rPr>
              <w:t>公开招标</w:t>
            </w:r>
          </w:p>
        </w:tc>
      </w:tr>
      <w:tr w14:paraId="0146A4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6" w:hRule="atLeast"/>
          <w:jc w:val="center"/>
        </w:trPr>
        <w:tc>
          <w:tcPr>
            <w:tcW w:w="2269" w:type="dxa"/>
            <w:tcBorders>
              <w:left w:val="double" w:color="auto" w:sz="4" w:space="0"/>
            </w:tcBorders>
            <w:vAlign w:val="center"/>
          </w:tcPr>
          <w:p w14:paraId="3C182C53">
            <w:pPr>
              <w:pStyle w:val="15"/>
              <w:snapToGrid w:val="0"/>
              <w:spacing w:before="0" w:line="400" w:lineRule="atLeast"/>
              <w:jc w:val="center"/>
              <w:rPr>
                <w:rFonts w:ascii="Cambria Math" w:hAnsi="Cambria Math" w:eastAsia="Cambria Math" w:cs="Times New Roman"/>
                <w:b w:val="0"/>
                <w:color w:val="auto"/>
                <w:sz w:val="22"/>
                <w:szCs w:val="22"/>
                <w:highlight w:val="none"/>
              </w:rPr>
            </w:pPr>
            <w:r>
              <w:rPr>
                <w:rFonts w:hint="eastAsia" w:ascii="Cambria Math" w:hAnsi="Cambria Math" w:eastAsia="Cambria Math" w:cs="Times New Roman"/>
                <w:b w:val="0"/>
                <w:color w:val="auto"/>
                <w:sz w:val="22"/>
                <w:szCs w:val="22"/>
                <w:highlight w:val="none"/>
              </w:rPr>
              <w:t>评标办法</w:t>
            </w:r>
          </w:p>
        </w:tc>
        <w:tc>
          <w:tcPr>
            <w:tcW w:w="7398" w:type="dxa"/>
            <w:tcBorders>
              <w:right w:val="double" w:color="auto" w:sz="4" w:space="0"/>
            </w:tcBorders>
            <w:vAlign w:val="center"/>
          </w:tcPr>
          <w:p w14:paraId="4F23DABE">
            <w:pPr>
              <w:pStyle w:val="15"/>
              <w:snapToGrid w:val="0"/>
              <w:spacing w:before="0" w:line="400" w:lineRule="atLeast"/>
              <w:rPr>
                <w:rFonts w:ascii="Cambria Math" w:hAnsi="Cambria Math" w:eastAsia="Cambria Math" w:cs="Times New Roman"/>
                <w:b w:val="0"/>
                <w:color w:val="auto"/>
                <w:sz w:val="22"/>
                <w:szCs w:val="22"/>
                <w:highlight w:val="none"/>
              </w:rPr>
            </w:pPr>
            <w:r>
              <w:rPr>
                <w:rFonts w:hint="eastAsia" w:ascii="Cambria Math" w:hAnsi="Cambria Math" w:eastAsia="Cambria Math" w:cs="Times New Roman"/>
                <w:b w:val="0"/>
                <w:color w:val="auto"/>
                <w:sz w:val="22"/>
                <w:szCs w:val="22"/>
                <w:highlight w:val="none"/>
              </w:rPr>
              <w:t>综合评分法</w:t>
            </w:r>
          </w:p>
        </w:tc>
      </w:tr>
      <w:tr w14:paraId="6C8F56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6" w:hRule="atLeast"/>
          <w:jc w:val="center"/>
        </w:trPr>
        <w:tc>
          <w:tcPr>
            <w:tcW w:w="2269" w:type="dxa"/>
            <w:tcBorders>
              <w:left w:val="double" w:color="auto" w:sz="4" w:space="0"/>
            </w:tcBorders>
            <w:vAlign w:val="center"/>
          </w:tcPr>
          <w:p w14:paraId="09BC4B04">
            <w:pPr>
              <w:pStyle w:val="15"/>
              <w:snapToGrid w:val="0"/>
              <w:spacing w:before="0" w:line="400" w:lineRule="atLeast"/>
              <w:jc w:val="center"/>
              <w:rPr>
                <w:rFonts w:ascii="Cambria Math" w:hAnsi="Cambria Math" w:eastAsia="Cambria Math" w:cs="Times New Roman"/>
                <w:b w:val="0"/>
                <w:color w:val="auto"/>
                <w:sz w:val="22"/>
                <w:szCs w:val="22"/>
                <w:highlight w:val="none"/>
              </w:rPr>
            </w:pPr>
            <w:r>
              <w:rPr>
                <w:rFonts w:hint="eastAsia" w:ascii="Cambria Math" w:hAnsi="Cambria Math" w:eastAsia="Cambria Math" w:cs="Times New Roman"/>
                <w:b w:val="0"/>
                <w:color w:val="auto"/>
                <w:sz w:val="22"/>
                <w:szCs w:val="22"/>
                <w:highlight w:val="none"/>
              </w:rPr>
              <w:t>投标有效期</w:t>
            </w:r>
          </w:p>
        </w:tc>
        <w:tc>
          <w:tcPr>
            <w:tcW w:w="7398" w:type="dxa"/>
            <w:tcBorders>
              <w:right w:val="double" w:color="auto" w:sz="4" w:space="0"/>
            </w:tcBorders>
            <w:vAlign w:val="center"/>
          </w:tcPr>
          <w:p w14:paraId="3BD5626F">
            <w:pPr>
              <w:pStyle w:val="15"/>
              <w:snapToGrid w:val="0"/>
              <w:spacing w:before="0" w:line="400" w:lineRule="atLeast"/>
              <w:rPr>
                <w:rFonts w:ascii="Cambria Math" w:hAnsi="Cambria Math" w:eastAsia="Cambria Math" w:cs="Times New Roman"/>
                <w:b w:val="0"/>
                <w:color w:val="auto"/>
                <w:sz w:val="22"/>
                <w:szCs w:val="22"/>
                <w:highlight w:val="none"/>
              </w:rPr>
            </w:pPr>
            <w:r>
              <w:rPr>
                <w:rFonts w:hint="eastAsia" w:ascii="Cambria Math" w:hAnsi="Cambria Math" w:cs="Times New Roman"/>
                <w:b w:val="0"/>
                <w:color w:val="auto"/>
                <w:sz w:val="22"/>
                <w:szCs w:val="22"/>
                <w:highlight w:val="none"/>
                <w:lang w:val="en-US" w:eastAsia="zh-CN"/>
              </w:rPr>
              <w:t>90</w:t>
            </w:r>
            <w:r>
              <w:rPr>
                <w:rFonts w:hint="eastAsia" w:ascii="Cambria Math" w:hAnsi="Cambria Math" w:eastAsia="Cambria Math" w:cs="Times New Roman"/>
                <w:b w:val="0"/>
                <w:color w:val="auto"/>
                <w:sz w:val="22"/>
                <w:szCs w:val="22"/>
                <w:highlight w:val="none"/>
              </w:rPr>
              <w:t>日历天（自投标截止日起计算）</w:t>
            </w:r>
          </w:p>
        </w:tc>
      </w:tr>
      <w:tr w14:paraId="7341D5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8" w:hRule="atLeast"/>
          <w:jc w:val="center"/>
        </w:trPr>
        <w:tc>
          <w:tcPr>
            <w:tcW w:w="2269" w:type="dxa"/>
            <w:tcBorders>
              <w:left w:val="double" w:color="auto" w:sz="4" w:space="0"/>
            </w:tcBorders>
            <w:vAlign w:val="center"/>
          </w:tcPr>
          <w:p w14:paraId="1B08F229">
            <w:pPr>
              <w:pStyle w:val="15"/>
              <w:snapToGrid w:val="0"/>
              <w:spacing w:before="0" w:line="400" w:lineRule="atLeast"/>
              <w:jc w:val="center"/>
              <w:rPr>
                <w:rFonts w:ascii="Cambria Math" w:hAnsi="Cambria Math" w:eastAsia="Cambria Math" w:cs="Times New Roman"/>
                <w:b w:val="0"/>
                <w:color w:val="auto"/>
                <w:sz w:val="22"/>
                <w:szCs w:val="22"/>
                <w:highlight w:val="none"/>
              </w:rPr>
            </w:pPr>
            <w:r>
              <w:rPr>
                <w:rFonts w:hint="eastAsia" w:ascii="Cambria Math" w:hAnsi="Cambria Math" w:eastAsia="Cambria Math" w:cs="Times New Roman"/>
                <w:b w:val="0"/>
                <w:color w:val="auto"/>
                <w:sz w:val="22"/>
                <w:szCs w:val="22"/>
                <w:highlight w:val="none"/>
              </w:rPr>
              <w:t>投标文件递交至</w:t>
            </w:r>
          </w:p>
        </w:tc>
        <w:tc>
          <w:tcPr>
            <w:tcW w:w="7398" w:type="dxa"/>
            <w:tcBorders>
              <w:right w:val="double" w:color="auto" w:sz="4" w:space="0"/>
            </w:tcBorders>
            <w:vAlign w:val="center"/>
          </w:tcPr>
          <w:p w14:paraId="49DBDBE3">
            <w:pPr>
              <w:pStyle w:val="15"/>
              <w:snapToGrid w:val="0"/>
              <w:spacing w:before="0" w:line="400" w:lineRule="atLeast"/>
              <w:rPr>
                <w:rFonts w:ascii="Cambria Math" w:hAnsi="Cambria Math" w:eastAsia="Cambria Math" w:cs="Times New Roman"/>
                <w:b w:val="0"/>
                <w:color w:val="auto"/>
                <w:sz w:val="22"/>
                <w:szCs w:val="22"/>
                <w:highlight w:val="none"/>
              </w:rPr>
            </w:pPr>
            <w:r>
              <w:rPr>
                <w:rFonts w:hint="eastAsia" w:ascii="宋体" w:hAnsi="宋体" w:cs="宋体"/>
                <w:b w:val="0"/>
                <w:color w:val="auto"/>
                <w:sz w:val="22"/>
                <w:szCs w:val="22"/>
                <w:highlight w:val="none"/>
              </w:rPr>
              <w:t>“乐采云平台（www.lecaiyun.com）”实行在线投标响应</w:t>
            </w:r>
          </w:p>
        </w:tc>
      </w:tr>
      <w:tr w14:paraId="577756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8" w:hRule="atLeast"/>
          <w:jc w:val="center"/>
        </w:trPr>
        <w:tc>
          <w:tcPr>
            <w:tcW w:w="2269" w:type="dxa"/>
            <w:tcBorders>
              <w:left w:val="double" w:color="auto" w:sz="4" w:space="0"/>
            </w:tcBorders>
            <w:vAlign w:val="center"/>
          </w:tcPr>
          <w:p w14:paraId="3828821C">
            <w:pPr>
              <w:pStyle w:val="15"/>
              <w:snapToGrid w:val="0"/>
              <w:spacing w:before="0" w:line="400" w:lineRule="atLeast"/>
              <w:jc w:val="center"/>
              <w:rPr>
                <w:rFonts w:ascii="Cambria Math" w:hAnsi="Cambria Math" w:eastAsia="Cambria Math" w:cs="Times New Roman"/>
                <w:b w:val="0"/>
                <w:color w:val="auto"/>
                <w:sz w:val="22"/>
                <w:szCs w:val="22"/>
                <w:highlight w:val="none"/>
              </w:rPr>
            </w:pPr>
            <w:r>
              <w:rPr>
                <w:rFonts w:hint="eastAsia" w:ascii="Cambria Math" w:hAnsi="Cambria Math" w:eastAsia="Cambria Math" w:cs="Times New Roman"/>
                <w:b w:val="0"/>
                <w:color w:val="auto"/>
                <w:sz w:val="22"/>
                <w:szCs w:val="22"/>
                <w:highlight w:val="none"/>
              </w:rPr>
              <w:t>投标截止与开标时间</w:t>
            </w:r>
          </w:p>
        </w:tc>
        <w:tc>
          <w:tcPr>
            <w:tcW w:w="7398" w:type="dxa"/>
            <w:tcBorders>
              <w:right w:val="double" w:color="auto" w:sz="4" w:space="0"/>
            </w:tcBorders>
            <w:vAlign w:val="center"/>
          </w:tcPr>
          <w:p w14:paraId="4AC57448">
            <w:pPr>
              <w:pStyle w:val="15"/>
              <w:snapToGrid w:val="0"/>
              <w:spacing w:before="0" w:line="400" w:lineRule="atLeast"/>
              <w:rPr>
                <w:rFonts w:ascii="Cambria Math" w:hAnsi="Cambria Math" w:cs="Times New Roman"/>
                <w:color w:val="auto"/>
                <w:sz w:val="22"/>
                <w:szCs w:val="22"/>
                <w:highlight w:val="none"/>
              </w:rPr>
            </w:pPr>
            <w:r>
              <w:rPr>
                <w:rFonts w:hint="eastAsia" w:ascii="Cambria Math" w:hAnsi="Cambria Math" w:cs="Times New Roman"/>
                <w:b w:val="0"/>
                <w:color w:val="auto"/>
                <w:sz w:val="22"/>
                <w:szCs w:val="22"/>
                <w:highlight w:val="none"/>
              </w:rPr>
              <w:t>2025</w:t>
            </w:r>
            <w:r>
              <w:rPr>
                <w:rFonts w:hint="eastAsia" w:ascii="宋体" w:hAnsi="宋体" w:cs="宋体"/>
                <w:b w:val="0"/>
                <w:color w:val="auto"/>
                <w:sz w:val="22"/>
                <w:szCs w:val="22"/>
                <w:highlight w:val="none"/>
              </w:rPr>
              <w:t>年</w:t>
            </w:r>
            <w:r>
              <w:rPr>
                <w:rFonts w:hint="eastAsia" w:ascii="Cambria Math" w:hAnsi="Cambria Math" w:cs="Times New Roman"/>
                <w:b w:val="0"/>
                <w:color w:val="auto"/>
                <w:sz w:val="22"/>
                <w:szCs w:val="22"/>
                <w:highlight w:val="none"/>
              </w:rPr>
              <w:t>0</w:t>
            </w:r>
            <w:r>
              <w:rPr>
                <w:rFonts w:hint="eastAsia" w:ascii="Cambria Math" w:hAnsi="Cambria Math" w:cs="Times New Roman"/>
                <w:b w:val="0"/>
                <w:color w:val="auto"/>
                <w:sz w:val="22"/>
                <w:szCs w:val="22"/>
                <w:highlight w:val="none"/>
                <w:lang w:val="en-US" w:eastAsia="zh-CN"/>
              </w:rPr>
              <w:t>4</w:t>
            </w:r>
            <w:r>
              <w:rPr>
                <w:rFonts w:hint="eastAsia" w:ascii="宋体" w:hAnsi="宋体" w:cs="宋体"/>
                <w:b w:val="0"/>
                <w:color w:val="auto"/>
                <w:sz w:val="22"/>
                <w:szCs w:val="22"/>
                <w:highlight w:val="none"/>
              </w:rPr>
              <w:t>月</w:t>
            </w:r>
            <w:r>
              <w:rPr>
                <w:rFonts w:hint="eastAsia" w:ascii="Cambria Math" w:hAnsi="Cambria Math" w:cs="Times New Roman"/>
                <w:b w:val="0"/>
                <w:color w:val="auto"/>
                <w:sz w:val="22"/>
                <w:szCs w:val="22"/>
                <w:highlight w:val="none"/>
                <w:lang w:val="en-US" w:eastAsia="zh-CN"/>
              </w:rPr>
              <w:t>18</w:t>
            </w:r>
            <w:r>
              <w:rPr>
                <w:rFonts w:hint="eastAsia" w:ascii="宋体" w:hAnsi="宋体" w:cs="宋体"/>
                <w:b w:val="0"/>
                <w:color w:val="auto"/>
                <w:sz w:val="22"/>
                <w:szCs w:val="22"/>
                <w:highlight w:val="none"/>
              </w:rPr>
              <w:t>日</w:t>
            </w:r>
            <w:r>
              <w:rPr>
                <w:rFonts w:ascii="Cambria Math" w:hAnsi="Cambria Math" w:cs="Times New Roman"/>
                <w:b w:val="0"/>
                <w:bCs w:val="0"/>
                <w:color w:val="auto"/>
                <w:sz w:val="22"/>
                <w:szCs w:val="22"/>
                <w:highlight w:val="none"/>
              </w:rPr>
              <w:t>14</w:t>
            </w:r>
            <w:r>
              <w:rPr>
                <w:rFonts w:hint="eastAsia" w:ascii="Cambria Math" w:hAnsi="Cambria Math" w:cs="Times New Roman"/>
                <w:b w:val="0"/>
                <w:bCs w:val="0"/>
                <w:color w:val="auto"/>
                <w:sz w:val="22"/>
                <w:szCs w:val="22"/>
                <w:highlight w:val="none"/>
              </w:rPr>
              <w:t>:30:00</w:t>
            </w:r>
          </w:p>
        </w:tc>
      </w:tr>
      <w:tr w14:paraId="34C6B2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8" w:hRule="atLeast"/>
          <w:jc w:val="center"/>
        </w:trPr>
        <w:tc>
          <w:tcPr>
            <w:tcW w:w="2269" w:type="dxa"/>
            <w:tcBorders>
              <w:left w:val="double" w:color="auto" w:sz="4" w:space="0"/>
            </w:tcBorders>
            <w:vAlign w:val="center"/>
          </w:tcPr>
          <w:p w14:paraId="35A6DDB8">
            <w:pPr>
              <w:pStyle w:val="15"/>
              <w:snapToGrid w:val="0"/>
              <w:spacing w:before="0" w:line="400" w:lineRule="atLeast"/>
              <w:jc w:val="center"/>
              <w:rPr>
                <w:rFonts w:ascii="Cambria Math" w:hAnsi="Cambria Math" w:eastAsia="Cambria Math" w:cs="Times New Roman"/>
                <w:b w:val="0"/>
                <w:color w:val="auto"/>
                <w:sz w:val="22"/>
                <w:szCs w:val="22"/>
                <w:highlight w:val="none"/>
              </w:rPr>
            </w:pPr>
            <w:r>
              <w:rPr>
                <w:rFonts w:hint="eastAsia" w:ascii="Cambria Math" w:hAnsi="Cambria Math" w:eastAsia="Cambria Math" w:cs="Times New Roman"/>
                <w:b w:val="0"/>
                <w:color w:val="auto"/>
                <w:sz w:val="22"/>
                <w:szCs w:val="22"/>
                <w:highlight w:val="none"/>
              </w:rPr>
              <w:t>投标开标地点</w:t>
            </w:r>
          </w:p>
        </w:tc>
        <w:tc>
          <w:tcPr>
            <w:tcW w:w="7398" w:type="dxa"/>
            <w:tcBorders>
              <w:right w:val="double" w:color="auto" w:sz="4" w:space="0"/>
            </w:tcBorders>
            <w:vAlign w:val="center"/>
          </w:tcPr>
          <w:p w14:paraId="74B4F6F6">
            <w:pPr>
              <w:pStyle w:val="15"/>
              <w:snapToGrid w:val="0"/>
              <w:spacing w:before="0" w:line="400" w:lineRule="atLeast"/>
              <w:rPr>
                <w:rFonts w:ascii="Cambria Math" w:hAnsi="Cambria Math" w:eastAsia="Cambria Math" w:cs="Times New Roman"/>
                <w:b w:val="0"/>
                <w:color w:val="auto"/>
                <w:sz w:val="22"/>
                <w:szCs w:val="22"/>
                <w:highlight w:val="none"/>
              </w:rPr>
            </w:pPr>
            <w:r>
              <w:rPr>
                <w:rFonts w:hint="eastAsia" w:ascii="宋体" w:hAnsi="宋体" w:cs="@楷体_GB2312"/>
                <w:b w:val="0"/>
                <w:bCs w:val="0"/>
                <w:color w:val="auto"/>
                <w:sz w:val="22"/>
                <w:szCs w:val="22"/>
                <w:highlight w:val="none"/>
              </w:rPr>
              <w:t>“乐采云平台（www.lecaiyun.com）”实行在线开标评审</w:t>
            </w:r>
          </w:p>
        </w:tc>
      </w:tr>
      <w:tr w14:paraId="66C232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4" w:hRule="atLeast"/>
          <w:jc w:val="center"/>
        </w:trPr>
        <w:tc>
          <w:tcPr>
            <w:tcW w:w="2269" w:type="dxa"/>
            <w:tcBorders>
              <w:left w:val="double" w:color="auto" w:sz="4" w:space="0"/>
              <w:bottom w:val="single" w:color="auto" w:sz="4" w:space="0"/>
            </w:tcBorders>
            <w:vAlign w:val="center"/>
          </w:tcPr>
          <w:p w14:paraId="075210FB">
            <w:pPr>
              <w:pStyle w:val="15"/>
              <w:snapToGrid w:val="0"/>
              <w:spacing w:before="0" w:line="400" w:lineRule="atLeast"/>
              <w:jc w:val="center"/>
              <w:rPr>
                <w:rFonts w:ascii="Cambria Math" w:hAnsi="Cambria Math" w:eastAsia="Cambria Math" w:cs="Times New Roman"/>
                <w:b w:val="0"/>
                <w:color w:val="auto"/>
                <w:sz w:val="22"/>
                <w:szCs w:val="22"/>
                <w:highlight w:val="none"/>
              </w:rPr>
            </w:pPr>
            <w:r>
              <w:rPr>
                <w:rFonts w:hint="eastAsia" w:ascii="Cambria Math" w:hAnsi="Cambria Math" w:eastAsia="Cambria Math" w:cs="Times New Roman"/>
                <w:b w:val="0"/>
                <w:color w:val="auto"/>
                <w:sz w:val="22"/>
                <w:szCs w:val="22"/>
                <w:highlight w:val="none"/>
              </w:rPr>
              <w:t>重要提醒</w:t>
            </w:r>
          </w:p>
        </w:tc>
        <w:tc>
          <w:tcPr>
            <w:tcW w:w="7398" w:type="dxa"/>
            <w:tcBorders>
              <w:bottom w:val="single" w:color="auto" w:sz="4" w:space="0"/>
              <w:right w:val="double" w:color="auto" w:sz="4" w:space="0"/>
            </w:tcBorders>
            <w:vAlign w:val="center"/>
          </w:tcPr>
          <w:p w14:paraId="3580D6B9">
            <w:pPr>
              <w:pStyle w:val="15"/>
              <w:snapToGrid w:val="0"/>
              <w:spacing w:before="0" w:line="400" w:lineRule="atLeast"/>
              <w:rPr>
                <w:rFonts w:ascii="Cambria Math" w:hAnsi="Cambria Math" w:eastAsia="Cambria Math" w:cs="Times New Roman"/>
                <w:color w:val="auto"/>
                <w:sz w:val="22"/>
                <w:szCs w:val="22"/>
                <w:highlight w:val="none"/>
              </w:rPr>
            </w:pPr>
            <w:r>
              <w:rPr>
                <w:rFonts w:hint="eastAsia" w:ascii="Cambria Math" w:hAnsi="Cambria Math" w:eastAsia="Cambria Math" w:cs="Times New Roman"/>
                <w:color w:val="auto"/>
                <w:sz w:val="22"/>
                <w:szCs w:val="22"/>
                <w:highlight w:val="none"/>
              </w:rPr>
              <w:t>招标文件中标注“▲”的技术或商务条款均为实质性要求条款，不满足实质性要求条款的投标无效。</w:t>
            </w:r>
          </w:p>
        </w:tc>
      </w:tr>
      <w:tr w14:paraId="754781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0" w:hRule="atLeast"/>
          <w:jc w:val="center"/>
        </w:trPr>
        <w:tc>
          <w:tcPr>
            <w:tcW w:w="2269" w:type="dxa"/>
            <w:tcBorders>
              <w:left w:val="double" w:color="auto" w:sz="4" w:space="0"/>
              <w:bottom w:val="single" w:color="auto" w:sz="4" w:space="0"/>
            </w:tcBorders>
            <w:vAlign w:val="center"/>
          </w:tcPr>
          <w:p w14:paraId="18963A9D">
            <w:pPr>
              <w:pStyle w:val="15"/>
              <w:snapToGrid w:val="0"/>
              <w:spacing w:before="0" w:line="400" w:lineRule="atLeast"/>
              <w:jc w:val="center"/>
              <w:rPr>
                <w:rFonts w:ascii="Cambria Math" w:hAnsi="Cambria Math" w:eastAsia="Cambria Math" w:cs="Times New Roman"/>
                <w:b w:val="0"/>
                <w:color w:val="auto"/>
                <w:sz w:val="22"/>
                <w:szCs w:val="22"/>
                <w:highlight w:val="none"/>
              </w:rPr>
            </w:pPr>
            <w:r>
              <w:rPr>
                <w:rFonts w:ascii="Cambria Math" w:hAnsi="Cambria Math" w:eastAsia="Cambria Math" w:cs="Times New Roman"/>
                <w:b w:val="0"/>
                <w:color w:val="auto"/>
                <w:sz w:val="22"/>
                <w:szCs w:val="22"/>
                <w:highlight w:val="none"/>
                <w:lang w:bidi="zh-CN"/>
              </w:rPr>
              <w:t>▲信用记录查询与使用</w:t>
            </w:r>
          </w:p>
        </w:tc>
        <w:tc>
          <w:tcPr>
            <w:tcW w:w="7398" w:type="dxa"/>
            <w:tcBorders>
              <w:bottom w:val="single" w:color="auto" w:sz="4" w:space="0"/>
              <w:right w:val="double" w:color="auto" w:sz="4" w:space="0"/>
            </w:tcBorders>
            <w:vAlign w:val="center"/>
          </w:tcPr>
          <w:p w14:paraId="44A792C0">
            <w:pPr>
              <w:pStyle w:val="15"/>
              <w:snapToGrid w:val="0"/>
              <w:spacing w:before="0" w:line="400" w:lineRule="atLeast"/>
              <w:rPr>
                <w:rFonts w:ascii="Cambria Math" w:hAnsi="Cambria Math" w:eastAsia="Cambria Math" w:cs="Times New Roman"/>
                <w:b w:val="0"/>
                <w:color w:val="auto"/>
                <w:sz w:val="22"/>
                <w:szCs w:val="22"/>
                <w:highlight w:val="none"/>
              </w:rPr>
            </w:pPr>
            <w:r>
              <w:rPr>
                <w:rFonts w:ascii="Cambria Math" w:hAnsi="Cambria Math" w:eastAsia="Cambria Math" w:cs="Times New Roman"/>
                <w:b w:val="0"/>
                <w:color w:val="auto"/>
                <w:sz w:val="22"/>
                <w:szCs w:val="22"/>
                <w:highlight w:val="none"/>
              </w:rPr>
              <w:t>根据《财政部关于在政府采购活动中查询及使用信用记录的通知》（财库〔2016〕125号）相关规定，</w:t>
            </w:r>
            <w:r>
              <w:rPr>
                <w:rFonts w:hint="eastAsia" w:ascii="Cambria Math" w:hAnsi="Cambria Math" w:eastAsia="Cambria Math" w:cs="Times New Roman"/>
                <w:b w:val="0"/>
                <w:color w:val="auto"/>
                <w:sz w:val="22"/>
                <w:szCs w:val="22"/>
                <w:highlight w:val="none"/>
              </w:rPr>
              <w:t>评审时</w:t>
            </w:r>
            <w:r>
              <w:rPr>
                <w:rFonts w:ascii="Cambria Math" w:hAnsi="Cambria Math" w:eastAsia="Cambria Math" w:cs="Times New Roman"/>
                <w:b w:val="0"/>
                <w:color w:val="auto"/>
                <w:sz w:val="22"/>
                <w:szCs w:val="22"/>
                <w:highlight w:val="none"/>
              </w:rPr>
              <w:t>采购组织机构将统一通过“信用中国”网站（www.creditchina.gov.cn）、中国政府采购网（www.ccgp.gov.cn）查询供应商信用记录，对供应商信用记录进行甄别。</w:t>
            </w:r>
            <w:r>
              <w:rPr>
                <w:rFonts w:ascii="Cambria Math" w:hAnsi="Cambria Math" w:eastAsia="Cambria Math" w:cs="Times New Roman"/>
                <w:color w:val="auto"/>
                <w:sz w:val="22"/>
                <w:szCs w:val="22"/>
                <w:highlight w:val="none"/>
              </w:rPr>
              <w:t>凡是列入失信被执行人、重大税收违法案件当事人名单、政府采购严重违法失信行为记录名单及其他不符合《中华人民共和国政府采购法》第二十二条规定条件的供应商，</w:t>
            </w:r>
            <w:r>
              <w:rPr>
                <w:rFonts w:hint="eastAsia" w:ascii="Cambria Math" w:hAnsi="Cambria Math" w:eastAsia="Cambria Math" w:cs="Times New Roman"/>
                <w:color w:val="auto"/>
                <w:sz w:val="22"/>
                <w:szCs w:val="22"/>
                <w:highlight w:val="none"/>
              </w:rPr>
              <w:t>将</w:t>
            </w:r>
            <w:r>
              <w:rPr>
                <w:rFonts w:ascii="Cambria Math" w:hAnsi="Cambria Math" w:eastAsia="Cambria Math" w:cs="Times New Roman"/>
                <w:color w:val="auto"/>
                <w:sz w:val="22"/>
                <w:szCs w:val="22"/>
                <w:highlight w:val="none"/>
              </w:rPr>
              <w:t>拒绝其参加本次政府采购活动。</w:t>
            </w:r>
          </w:p>
        </w:tc>
      </w:tr>
      <w:tr w14:paraId="214233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26" w:hRule="atLeast"/>
          <w:jc w:val="center"/>
        </w:trPr>
        <w:tc>
          <w:tcPr>
            <w:tcW w:w="2269" w:type="dxa"/>
            <w:tcBorders>
              <w:left w:val="double" w:color="auto" w:sz="4" w:space="0"/>
              <w:bottom w:val="single" w:color="auto" w:sz="4" w:space="0"/>
            </w:tcBorders>
            <w:vAlign w:val="center"/>
          </w:tcPr>
          <w:p w14:paraId="3C6FD5D6">
            <w:pPr>
              <w:pStyle w:val="15"/>
              <w:spacing w:before="0" w:after="156" w:line="440" w:lineRule="exact"/>
              <w:jc w:val="center"/>
              <w:rPr>
                <w:rFonts w:hint="eastAsia" w:ascii="宋体" w:hAnsi="宋体"/>
                <w:b w:val="0"/>
                <w:bCs w:val="0"/>
                <w:sz w:val="22"/>
                <w:szCs w:val="22"/>
                <w:highlight w:val="none"/>
              </w:rPr>
            </w:pPr>
            <w:r>
              <w:rPr>
                <w:rFonts w:hint="eastAsia" w:ascii="宋体" w:hAnsi="宋体"/>
                <w:b w:val="0"/>
                <w:bCs w:val="0"/>
                <w:sz w:val="22"/>
                <w:szCs w:val="22"/>
                <w:highlight w:val="none"/>
              </w:rPr>
              <w:t>国企采购</w:t>
            </w:r>
          </w:p>
        </w:tc>
        <w:tc>
          <w:tcPr>
            <w:tcW w:w="7398" w:type="dxa"/>
            <w:tcBorders>
              <w:bottom w:val="single" w:color="auto" w:sz="4" w:space="0"/>
              <w:right w:val="double" w:color="auto" w:sz="4" w:space="0"/>
            </w:tcBorders>
            <w:vAlign w:val="center"/>
          </w:tcPr>
          <w:p w14:paraId="0FFA8D51">
            <w:pPr>
              <w:spacing w:line="312" w:lineRule="auto"/>
              <w:rPr>
                <w:rFonts w:hint="eastAsia" w:ascii="宋体" w:hAnsi="宋体"/>
                <w:b w:val="0"/>
                <w:bCs w:val="0"/>
                <w:szCs w:val="22"/>
                <w:highlight w:val="none"/>
              </w:rPr>
            </w:pPr>
            <w:r>
              <w:rPr>
                <w:rFonts w:hint="eastAsia" w:ascii="宋体" w:hAnsi="宋体"/>
                <w:szCs w:val="22"/>
                <w:highlight w:val="none"/>
                <w:u w:val="single"/>
              </w:rPr>
              <w:t>本项目为国企采购，参照政府采购法相关规定执行，如与政府采购法相关规定不一致的，以本文件为准。</w:t>
            </w:r>
          </w:p>
        </w:tc>
      </w:tr>
      <w:tr w14:paraId="77D2B4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2" w:hRule="atLeast"/>
          <w:jc w:val="center"/>
        </w:trPr>
        <w:tc>
          <w:tcPr>
            <w:tcW w:w="2269" w:type="dxa"/>
            <w:tcBorders>
              <w:left w:val="double" w:color="auto" w:sz="4" w:space="0"/>
              <w:bottom w:val="double" w:color="auto" w:sz="4" w:space="0"/>
            </w:tcBorders>
            <w:vAlign w:val="center"/>
          </w:tcPr>
          <w:p w14:paraId="699B038D">
            <w:pPr>
              <w:pStyle w:val="15"/>
              <w:snapToGrid w:val="0"/>
              <w:spacing w:before="0" w:line="400" w:lineRule="atLeast"/>
              <w:jc w:val="center"/>
              <w:rPr>
                <w:rFonts w:ascii="Cambria Math" w:hAnsi="Cambria Math" w:eastAsia="Cambria Math" w:cs="Times New Roman"/>
                <w:b w:val="0"/>
                <w:color w:val="auto"/>
                <w:sz w:val="22"/>
                <w:szCs w:val="22"/>
                <w:highlight w:val="none"/>
              </w:rPr>
            </w:pPr>
            <w:r>
              <w:rPr>
                <w:rFonts w:hint="eastAsia" w:ascii="Cambria Math" w:hAnsi="Cambria Math" w:eastAsia="Cambria Math" w:cs="Times New Roman"/>
                <w:b w:val="0"/>
                <w:color w:val="auto"/>
                <w:sz w:val="22"/>
                <w:szCs w:val="22"/>
                <w:highlight w:val="none"/>
              </w:rPr>
              <w:t>备注</w:t>
            </w:r>
          </w:p>
        </w:tc>
        <w:tc>
          <w:tcPr>
            <w:tcW w:w="7398" w:type="dxa"/>
            <w:tcBorders>
              <w:bottom w:val="double" w:color="auto" w:sz="4" w:space="0"/>
              <w:right w:val="double" w:color="auto" w:sz="4" w:space="0"/>
            </w:tcBorders>
            <w:vAlign w:val="center"/>
          </w:tcPr>
          <w:p w14:paraId="2A04DB0B">
            <w:pPr>
              <w:rPr>
                <w:b w:val="0"/>
                <w:sz w:val="22"/>
                <w:szCs w:val="22"/>
                <w:highlight w:val="none"/>
              </w:rPr>
            </w:pPr>
            <w:r>
              <w:rPr>
                <w:rFonts w:hint="eastAsia"/>
                <w:b w:val="0"/>
                <w:sz w:val="22"/>
                <w:szCs w:val="22"/>
                <w:highlight w:val="none"/>
              </w:rPr>
              <w:t>如发现招标文件及其评标办法中存在含糊不清、相互矛盾、多种含义以及歧视性不公正条款或违法违规等内容时，请在规定的招标质疑截止时间前向代理机构书面反映，逾期不得再对招标文件的条款提出质疑。招标文件解释权归招标代理机构与采购人所有。</w:t>
            </w:r>
          </w:p>
        </w:tc>
      </w:tr>
    </w:tbl>
    <w:p w14:paraId="42D3F191">
      <w:pPr>
        <w:spacing w:line="440" w:lineRule="exact"/>
        <w:ind w:firstLine="880" w:firstLineChars="200"/>
        <w:rPr>
          <w:rFonts w:ascii="Cambria Math" w:hAnsi="Cambria Math" w:eastAsiaTheme="minorEastAsia"/>
          <w:b w:val="0"/>
          <w:color w:val="auto"/>
          <w:sz w:val="44"/>
          <w:szCs w:val="44"/>
          <w:highlight w:val="none"/>
        </w:rPr>
      </w:pPr>
    </w:p>
    <w:p w14:paraId="455C95B3">
      <w:pPr>
        <w:pStyle w:val="4"/>
        <w:spacing w:before="0" w:after="120" w:line="700" w:lineRule="exact"/>
        <w:ind w:left="0" w:firstLine="0"/>
        <w:jc w:val="center"/>
        <w:rPr>
          <w:rFonts w:ascii="Cambria Math" w:hAnsi="Cambria Math" w:eastAsia="Cambria Math"/>
          <w:b/>
          <w:color w:val="auto"/>
          <w:sz w:val="44"/>
          <w:szCs w:val="44"/>
          <w:highlight w:val="none"/>
        </w:rPr>
      </w:pPr>
    </w:p>
    <w:p w14:paraId="37D61DC9">
      <w:pPr>
        <w:pStyle w:val="4"/>
        <w:spacing w:before="0" w:after="120" w:line="700" w:lineRule="exact"/>
        <w:ind w:left="0" w:firstLine="0"/>
        <w:jc w:val="center"/>
        <w:rPr>
          <w:rFonts w:ascii="Cambria Math" w:hAnsi="Cambria Math" w:eastAsia="Cambria Math"/>
          <w:b/>
          <w:color w:val="auto"/>
          <w:sz w:val="44"/>
          <w:szCs w:val="44"/>
          <w:highlight w:val="none"/>
        </w:rPr>
      </w:pPr>
      <w:r>
        <w:rPr>
          <w:rFonts w:hint="eastAsia" w:ascii="Cambria Math" w:hAnsi="Cambria Math" w:eastAsia="Cambria Math"/>
          <w:b/>
          <w:color w:val="auto"/>
          <w:sz w:val="44"/>
          <w:szCs w:val="44"/>
          <w:highlight w:val="none"/>
        </w:rPr>
        <w:t>招标文件目录</w:t>
      </w:r>
    </w:p>
    <w:p w14:paraId="7973F23D">
      <w:pPr>
        <w:autoSpaceDE w:val="0"/>
        <w:autoSpaceDN w:val="0"/>
        <w:adjustRightInd w:val="0"/>
        <w:spacing w:line="440" w:lineRule="atLeast"/>
        <w:rPr>
          <w:rFonts w:ascii="Cambria Math" w:hAnsi="Cambria Math" w:eastAsia="Cambria Math"/>
          <w:b w:val="0"/>
          <w:color w:val="auto"/>
          <w:sz w:val="28"/>
          <w:szCs w:val="28"/>
          <w:highlight w:val="none"/>
          <w:lang w:val="zh-CN"/>
        </w:rPr>
      </w:pPr>
      <w:r>
        <w:rPr>
          <w:rFonts w:hint="eastAsia" w:ascii="Cambria Math" w:hAnsi="Cambria Math" w:eastAsia="Cambria Math"/>
          <w:b w:val="0"/>
          <w:color w:val="auto"/>
          <w:sz w:val="28"/>
          <w:szCs w:val="28"/>
          <w:highlight w:val="none"/>
          <w:lang w:val="zh-CN"/>
        </w:rPr>
        <w:t>第一部分、项目简介</w:t>
      </w:r>
    </w:p>
    <w:p w14:paraId="764B0DC4">
      <w:pPr>
        <w:autoSpaceDE w:val="0"/>
        <w:autoSpaceDN w:val="0"/>
        <w:adjustRightInd w:val="0"/>
        <w:spacing w:line="440" w:lineRule="atLeast"/>
        <w:rPr>
          <w:rFonts w:ascii="Cambria Math" w:hAnsi="Cambria Math" w:eastAsia="Cambria Math"/>
          <w:b w:val="0"/>
          <w:color w:val="auto"/>
          <w:sz w:val="28"/>
          <w:szCs w:val="28"/>
          <w:highlight w:val="none"/>
          <w:lang w:val="zh-CN"/>
        </w:rPr>
      </w:pPr>
    </w:p>
    <w:p w14:paraId="250466CC">
      <w:pPr>
        <w:autoSpaceDE w:val="0"/>
        <w:autoSpaceDN w:val="0"/>
        <w:adjustRightInd w:val="0"/>
        <w:spacing w:line="440" w:lineRule="atLeast"/>
        <w:rPr>
          <w:rFonts w:ascii="Cambria Math" w:hAnsi="Cambria Math" w:eastAsia="Cambria Math"/>
          <w:b w:val="0"/>
          <w:color w:val="auto"/>
          <w:sz w:val="28"/>
          <w:szCs w:val="28"/>
          <w:highlight w:val="none"/>
          <w:lang w:val="zh-CN"/>
        </w:rPr>
      </w:pPr>
      <w:r>
        <w:rPr>
          <w:rFonts w:hint="eastAsia" w:ascii="Cambria Math" w:hAnsi="Cambria Math" w:eastAsia="Cambria Math"/>
          <w:b w:val="0"/>
          <w:color w:val="auto"/>
          <w:sz w:val="28"/>
          <w:szCs w:val="28"/>
          <w:highlight w:val="none"/>
          <w:lang w:val="zh-CN"/>
        </w:rPr>
        <w:t>第二部分、招标内容及技术要求</w:t>
      </w:r>
    </w:p>
    <w:p w14:paraId="63B81D67">
      <w:pPr>
        <w:autoSpaceDE w:val="0"/>
        <w:autoSpaceDN w:val="0"/>
        <w:adjustRightInd w:val="0"/>
        <w:spacing w:line="440" w:lineRule="atLeast"/>
        <w:rPr>
          <w:rFonts w:ascii="Cambria Math" w:hAnsi="Cambria Math" w:eastAsia="Cambria Math"/>
          <w:b w:val="0"/>
          <w:color w:val="auto"/>
          <w:sz w:val="28"/>
          <w:szCs w:val="28"/>
          <w:highlight w:val="none"/>
          <w:lang w:val="zh-CN"/>
        </w:rPr>
      </w:pPr>
    </w:p>
    <w:p w14:paraId="6DCF47AC">
      <w:pPr>
        <w:autoSpaceDE w:val="0"/>
        <w:autoSpaceDN w:val="0"/>
        <w:adjustRightInd w:val="0"/>
        <w:spacing w:line="440" w:lineRule="atLeast"/>
        <w:rPr>
          <w:rFonts w:ascii="Cambria Math" w:hAnsi="Cambria Math" w:eastAsia="Cambria Math"/>
          <w:b w:val="0"/>
          <w:color w:val="auto"/>
          <w:sz w:val="28"/>
          <w:szCs w:val="28"/>
          <w:highlight w:val="none"/>
          <w:lang w:val="zh-CN"/>
        </w:rPr>
      </w:pPr>
      <w:r>
        <w:rPr>
          <w:rFonts w:hint="eastAsia" w:ascii="Cambria Math" w:hAnsi="Cambria Math" w:eastAsia="Cambria Math"/>
          <w:b w:val="0"/>
          <w:color w:val="auto"/>
          <w:sz w:val="28"/>
          <w:szCs w:val="28"/>
          <w:highlight w:val="none"/>
          <w:lang w:val="zh-CN"/>
        </w:rPr>
        <w:t>第三部分、供应商须知</w:t>
      </w:r>
    </w:p>
    <w:p w14:paraId="3076C8BB">
      <w:pPr>
        <w:autoSpaceDE w:val="0"/>
        <w:autoSpaceDN w:val="0"/>
        <w:adjustRightInd w:val="0"/>
        <w:spacing w:line="440" w:lineRule="atLeast"/>
        <w:rPr>
          <w:rFonts w:ascii="Cambria Math" w:hAnsi="Cambria Math" w:eastAsia="Cambria Math"/>
          <w:b w:val="0"/>
          <w:color w:val="auto"/>
          <w:sz w:val="28"/>
          <w:szCs w:val="28"/>
          <w:highlight w:val="none"/>
          <w:lang w:val="zh-CN"/>
        </w:rPr>
      </w:pPr>
      <w:r>
        <w:rPr>
          <w:rFonts w:hint="eastAsia" w:ascii="Cambria Math" w:hAnsi="Cambria Math" w:eastAsia="Cambria Math"/>
          <w:b w:val="0"/>
          <w:color w:val="auto"/>
          <w:sz w:val="28"/>
          <w:szCs w:val="28"/>
          <w:highlight w:val="none"/>
          <w:lang w:val="zh-CN"/>
        </w:rPr>
        <w:t>一、说明</w:t>
      </w:r>
    </w:p>
    <w:p w14:paraId="4A87D9A2">
      <w:pPr>
        <w:autoSpaceDE w:val="0"/>
        <w:autoSpaceDN w:val="0"/>
        <w:adjustRightInd w:val="0"/>
        <w:spacing w:line="440" w:lineRule="atLeast"/>
        <w:rPr>
          <w:rFonts w:ascii="Cambria Math" w:hAnsi="Cambria Math" w:eastAsia="Cambria Math"/>
          <w:b w:val="0"/>
          <w:color w:val="auto"/>
          <w:sz w:val="28"/>
          <w:szCs w:val="28"/>
          <w:highlight w:val="none"/>
          <w:lang w:val="zh-CN"/>
        </w:rPr>
      </w:pPr>
      <w:r>
        <w:rPr>
          <w:rFonts w:hint="eastAsia" w:ascii="Cambria Math" w:hAnsi="Cambria Math" w:eastAsia="Cambria Math"/>
          <w:b w:val="0"/>
          <w:color w:val="auto"/>
          <w:sz w:val="28"/>
          <w:szCs w:val="28"/>
          <w:highlight w:val="none"/>
          <w:lang w:val="zh-CN"/>
        </w:rPr>
        <w:t>二、招标文件</w:t>
      </w:r>
    </w:p>
    <w:p w14:paraId="44DF6F14">
      <w:pPr>
        <w:autoSpaceDE w:val="0"/>
        <w:autoSpaceDN w:val="0"/>
        <w:adjustRightInd w:val="0"/>
        <w:spacing w:line="440" w:lineRule="atLeast"/>
        <w:rPr>
          <w:rFonts w:ascii="Cambria Math" w:hAnsi="Cambria Math" w:eastAsia="Cambria Math"/>
          <w:b w:val="0"/>
          <w:color w:val="auto"/>
          <w:sz w:val="28"/>
          <w:szCs w:val="28"/>
          <w:highlight w:val="none"/>
          <w:lang w:val="zh-CN"/>
        </w:rPr>
      </w:pPr>
      <w:r>
        <w:rPr>
          <w:rFonts w:hint="eastAsia" w:ascii="Cambria Math" w:hAnsi="Cambria Math" w:eastAsia="Cambria Math"/>
          <w:b w:val="0"/>
          <w:color w:val="auto"/>
          <w:sz w:val="28"/>
          <w:szCs w:val="28"/>
          <w:highlight w:val="none"/>
          <w:lang w:val="zh-CN"/>
        </w:rPr>
        <w:t>三、投标文件</w:t>
      </w:r>
    </w:p>
    <w:p w14:paraId="747B22B6">
      <w:pPr>
        <w:autoSpaceDE w:val="0"/>
        <w:autoSpaceDN w:val="0"/>
        <w:adjustRightInd w:val="0"/>
        <w:spacing w:line="440" w:lineRule="atLeast"/>
        <w:rPr>
          <w:rFonts w:ascii="Cambria Math" w:hAnsi="Cambria Math" w:eastAsia="Cambria Math"/>
          <w:b w:val="0"/>
          <w:color w:val="auto"/>
          <w:sz w:val="28"/>
          <w:szCs w:val="28"/>
          <w:highlight w:val="none"/>
          <w:lang w:val="zh-CN"/>
        </w:rPr>
      </w:pPr>
      <w:r>
        <w:rPr>
          <w:rFonts w:hint="eastAsia" w:ascii="Cambria Math" w:hAnsi="Cambria Math" w:eastAsia="Cambria Math"/>
          <w:b w:val="0"/>
          <w:color w:val="auto"/>
          <w:sz w:val="28"/>
          <w:szCs w:val="28"/>
          <w:highlight w:val="none"/>
          <w:lang w:val="zh-CN"/>
        </w:rPr>
        <w:t>四、投标文件的递交</w:t>
      </w:r>
    </w:p>
    <w:p w14:paraId="7C6F76E1">
      <w:pPr>
        <w:autoSpaceDE w:val="0"/>
        <w:autoSpaceDN w:val="0"/>
        <w:adjustRightInd w:val="0"/>
        <w:spacing w:line="440" w:lineRule="atLeast"/>
        <w:rPr>
          <w:rFonts w:ascii="Cambria Math" w:hAnsi="Cambria Math" w:eastAsia="Cambria Math"/>
          <w:b w:val="0"/>
          <w:color w:val="auto"/>
          <w:sz w:val="28"/>
          <w:szCs w:val="28"/>
          <w:highlight w:val="none"/>
          <w:lang w:val="zh-CN"/>
        </w:rPr>
      </w:pPr>
      <w:r>
        <w:rPr>
          <w:rFonts w:hint="eastAsia" w:ascii="Cambria Math" w:hAnsi="Cambria Math" w:eastAsia="Cambria Math"/>
          <w:b w:val="0"/>
          <w:color w:val="auto"/>
          <w:sz w:val="28"/>
          <w:szCs w:val="28"/>
          <w:highlight w:val="none"/>
          <w:lang w:val="zh-CN"/>
        </w:rPr>
        <w:t>五、开标和评标</w:t>
      </w:r>
    </w:p>
    <w:p w14:paraId="0CDD9302">
      <w:pPr>
        <w:autoSpaceDE w:val="0"/>
        <w:autoSpaceDN w:val="0"/>
        <w:adjustRightInd w:val="0"/>
        <w:spacing w:line="440" w:lineRule="atLeast"/>
        <w:rPr>
          <w:rFonts w:ascii="Cambria Math" w:hAnsi="Cambria Math" w:eastAsia="Cambria Math"/>
          <w:b w:val="0"/>
          <w:color w:val="auto"/>
          <w:sz w:val="28"/>
          <w:szCs w:val="28"/>
          <w:highlight w:val="none"/>
          <w:lang w:val="zh-CN"/>
        </w:rPr>
      </w:pPr>
      <w:r>
        <w:rPr>
          <w:rFonts w:hint="eastAsia" w:ascii="Cambria Math" w:hAnsi="Cambria Math" w:eastAsia="Cambria Math"/>
          <w:b w:val="0"/>
          <w:color w:val="auto"/>
          <w:sz w:val="28"/>
          <w:szCs w:val="28"/>
          <w:highlight w:val="none"/>
          <w:lang w:val="zh-CN"/>
        </w:rPr>
        <w:t>六、授予合同</w:t>
      </w:r>
    </w:p>
    <w:p w14:paraId="72AEB12C">
      <w:pPr>
        <w:autoSpaceDE w:val="0"/>
        <w:autoSpaceDN w:val="0"/>
        <w:adjustRightInd w:val="0"/>
        <w:spacing w:line="440" w:lineRule="atLeast"/>
        <w:rPr>
          <w:rFonts w:ascii="Cambria Math" w:hAnsi="Cambria Math" w:eastAsia="Cambria Math"/>
          <w:b w:val="0"/>
          <w:color w:val="auto"/>
          <w:sz w:val="28"/>
          <w:szCs w:val="28"/>
          <w:highlight w:val="none"/>
          <w:lang w:val="zh-CN"/>
        </w:rPr>
      </w:pPr>
    </w:p>
    <w:p w14:paraId="477BF4E9">
      <w:pPr>
        <w:autoSpaceDE w:val="0"/>
        <w:autoSpaceDN w:val="0"/>
        <w:adjustRightInd w:val="0"/>
        <w:spacing w:line="440" w:lineRule="atLeast"/>
        <w:rPr>
          <w:rFonts w:ascii="Cambria Math" w:hAnsi="Cambria Math" w:eastAsia="Cambria Math"/>
          <w:b w:val="0"/>
          <w:color w:val="auto"/>
          <w:sz w:val="28"/>
          <w:szCs w:val="28"/>
          <w:highlight w:val="none"/>
          <w:lang w:val="zh-CN"/>
        </w:rPr>
      </w:pPr>
      <w:r>
        <w:rPr>
          <w:rFonts w:hint="eastAsia" w:ascii="Cambria Math" w:hAnsi="Cambria Math" w:eastAsia="Cambria Math"/>
          <w:b w:val="0"/>
          <w:color w:val="auto"/>
          <w:sz w:val="28"/>
          <w:szCs w:val="28"/>
          <w:highlight w:val="none"/>
          <w:lang w:val="zh-CN"/>
        </w:rPr>
        <w:t>第四部分、合同主要条款</w:t>
      </w:r>
    </w:p>
    <w:p w14:paraId="3FA094D4">
      <w:pPr>
        <w:autoSpaceDE w:val="0"/>
        <w:autoSpaceDN w:val="0"/>
        <w:adjustRightInd w:val="0"/>
        <w:spacing w:line="440" w:lineRule="atLeast"/>
        <w:rPr>
          <w:rFonts w:ascii="Cambria Math" w:hAnsi="Cambria Math" w:eastAsia="Cambria Math"/>
          <w:b w:val="0"/>
          <w:color w:val="auto"/>
          <w:sz w:val="28"/>
          <w:szCs w:val="28"/>
          <w:highlight w:val="none"/>
          <w:lang w:val="zh-CN"/>
        </w:rPr>
      </w:pPr>
    </w:p>
    <w:p w14:paraId="544F8B50">
      <w:pPr>
        <w:tabs>
          <w:tab w:val="left" w:pos="560"/>
        </w:tabs>
        <w:autoSpaceDE w:val="0"/>
        <w:autoSpaceDN w:val="0"/>
        <w:adjustRightInd w:val="0"/>
        <w:spacing w:line="440" w:lineRule="atLeast"/>
        <w:rPr>
          <w:rFonts w:ascii="Cambria Math" w:hAnsi="Cambria Math" w:eastAsia="Cambria Math"/>
          <w:b w:val="0"/>
          <w:color w:val="auto"/>
          <w:sz w:val="28"/>
          <w:szCs w:val="28"/>
          <w:highlight w:val="none"/>
          <w:lang w:val="zh-CN"/>
        </w:rPr>
      </w:pPr>
      <w:r>
        <w:rPr>
          <w:rFonts w:hint="eastAsia" w:ascii="Cambria Math" w:hAnsi="Cambria Math" w:eastAsia="Cambria Math"/>
          <w:b w:val="0"/>
          <w:color w:val="auto"/>
          <w:sz w:val="28"/>
          <w:szCs w:val="28"/>
          <w:highlight w:val="none"/>
          <w:lang w:val="zh-CN"/>
        </w:rPr>
        <w:t>第五部分、投标文件格式</w:t>
      </w:r>
    </w:p>
    <w:p w14:paraId="680E1DB8">
      <w:pPr>
        <w:tabs>
          <w:tab w:val="left" w:pos="560"/>
        </w:tabs>
        <w:autoSpaceDE w:val="0"/>
        <w:autoSpaceDN w:val="0"/>
        <w:adjustRightInd w:val="0"/>
        <w:spacing w:line="440" w:lineRule="atLeast"/>
        <w:rPr>
          <w:rFonts w:ascii="Cambria Math" w:hAnsi="Cambria Math" w:eastAsia="Cambria Math"/>
          <w:b w:val="0"/>
          <w:color w:val="auto"/>
          <w:sz w:val="28"/>
          <w:szCs w:val="28"/>
          <w:highlight w:val="none"/>
          <w:lang w:val="zh-CN"/>
        </w:rPr>
      </w:pPr>
      <w:r>
        <w:rPr>
          <w:rFonts w:hint="eastAsia" w:ascii="Cambria Math" w:hAnsi="Cambria Math" w:eastAsia="Cambria Math"/>
          <w:b w:val="0"/>
          <w:color w:val="auto"/>
          <w:sz w:val="28"/>
          <w:szCs w:val="28"/>
          <w:highlight w:val="none"/>
          <w:lang w:val="zh-CN"/>
        </w:rPr>
        <w:t>商务部分</w:t>
      </w:r>
    </w:p>
    <w:p w14:paraId="23F6E200">
      <w:pPr>
        <w:autoSpaceDE w:val="0"/>
        <w:autoSpaceDN w:val="0"/>
        <w:adjustRightInd w:val="0"/>
        <w:spacing w:line="440" w:lineRule="atLeast"/>
        <w:rPr>
          <w:rFonts w:ascii="Cambria Math" w:hAnsi="Cambria Math" w:eastAsia="Cambria Math"/>
          <w:b w:val="0"/>
          <w:color w:val="auto"/>
          <w:sz w:val="28"/>
          <w:szCs w:val="28"/>
          <w:highlight w:val="none"/>
          <w:lang w:val="zh-CN"/>
        </w:rPr>
      </w:pPr>
      <w:r>
        <w:rPr>
          <w:rFonts w:hint="eastAsia" w:ascii="Cambria Math" w:hAnsi="Cambria Math" w:eastAsia="Cambria Math"/>
          <w:b w:val="0"/>
          <w:color w:val="auto"/>
          <w:sz w:val="28"/>
          <w:szCs w:val="28"/>
          <w:highlight w:val="none"/>
          <w:lang w:val="zh-CN"/>
        </w:rPr>
        <w:t>技术部分</w:t>
      </w:r>
    </w:p>
    <w:p w14:paraId="65EC1A21">
      <w:pPr>
        <w:autoSpaceDE w:val="0"/>
        <w:autoSpaceDN w:val="0"/>
        <w:adjustRightInd w:val="0"/>
        <w:spacing w:line="440" w:lineRule="atLeast"/>
        <w:rPr>
          <w:rFonts w:ascii="Cambria Math" w:hAnsi="Cambria Math" w:eastAsia="Cambria Math"/>
          <w:b w:val="0"/>
          <w:color w:val="auto"/>
          <w:sz w:val="28"/>
          <w:szCs w:val="28"/>
          <w:highlight w:val="none"/>
          <w:lang w:val="zh-CN"/>
        </w:rPr>
      </w:pPr>
    </w:p>
    <w:p w14:paraId="61BCED6D">
      <w:pPr>
        <w:autoSpaceDE w:val="0"/>
        <w:autoSpaceDN w:val="0"/>
        <w:adjustRightInd w:val="0"/>
        <w:spacing w:line="440" w:lineRule="atLeast"/>
        <w:rPr>
          <w:rFonts w:ascii="Cambria Math" w:hAnsi="Cambria Math" w:eastAsia="Cambria Math"/>
          <w:b w:val="0"/>
          <w:color w:val="auto"/>
          <w:sz w:val="28"/>
          <w:szCs w:val="28"/>
          <w:highlight w:val="none"/>
          <w:lang w:val="zh-CN"/>
        </w:rPr>
      </w:pPr>
      <w:r>
        <w:rPr>
          <w:rFonts w:hint="eastAsia" w:ascii="Cambria Math" w:hAnsi="Cambria Math" w:eastAsia="Cambria Math"/>
          <w:b w:val="0"/>
          <w:color w:val="auto"/>
          <w:sz w:val="28"/>
          <w:szCs w:val="28"/>
          <w:highlight w:val="none"/>
          <w:lang w:val="zh-CN"/>
        </w:rPr>
        <w:t>第六部分、评标办法</w:t>
      </w:r>
    </w:p>
    <w:p w14:paraId="6F204C70">
      <w:pPr>
        <w:autoSpaceDE w:val="0"/>
        <w:autoSpaceDN w:val="0"/>
        <w:snapToGrid w:val="0"/>
        <w:spacing w:line="440" w:lineRule="atLeast"/>
        <w:ind w:firstLine="440" w:firstLineChars="200"/>
        <w:textAlignment w:val="bottom"/>
        <w:rPr>
          <w:rFonts w:ascii="Cambria Math" w:hAnsi="Cambria Math" w:eastAsia="Cambria Math"/>
          <w:bCs w:val="0"/>
          <w:color w:val="auto"/>
          <w:sz w:val="22"/>
          <w:szCs w:val="22"/>
          <w:highlight w:val="none"/>
          <w:u w:val="single"/>
        </w:rPr>
      </w:pPr>
      <w:r>
        <w:rPr>
          <w:rFonts w:hint="eastAsia" w:ascii="Cambria Math" w:hAnsi="Cambria Math" w:eastAsia="Cambria Math"/>
          <w:bCs w:val="0"/>
          <w:color w:val="auto"/>
          <w:sz w:val="22"/>
          <w:szCs w:val="22"/>
          <w:highlight w:val="none"/>
        </w:rPr>
        <w:t>注：</w:t>
      </w:r>
      <w:r>
        <w:rPr>
          <w:rFonts w:hint="eastAsia" w:ascii="Cambria Math" w:hAnsi="Cambria Math" w:eastAsia="Cambria Math"/>
          <w:bCs w:val="0"/>
          <w:color w:val="auto"/>
          <w:sz w:val="22"/>
          <w:szCs w:val="22"/>
          <w:highlight w:val="none"/>
          <w:u w:val="single"/>
        </w:rPr>
        <w:t>本次文件中有些文字条款已用加粗、加下划线的形式强调，这些特别强调的条款及内容，有些是重要条款，</w:t>
      </w:r>
      <w:r>
        <w:rPr>
          <w:rFonts w:ascii="Cambria Math" w:hAnsi="Cambria Math" w:eastAsia="Cambria Math"/>
          <w:bCs w:val="0"/>
          <w:color w:val="auto"/>
          <w:sz w:val="22"/>
          <w:szCs w:val="22"/>
          <w:highlight w:val="none"/>
          <w:u w:val="single"/>
        </w:rPr>
        <w:t>有些将在评</w:t>
      </w:r>
      <w:r>
        <w:rPr>
          <w:rFonts w:hint="eastAsia" w:ascii="Cambria Math" w:hAnsi="Cambria Math" w:eastAsia="Cambria Math"/>
          <w:bCs w:val="0"/>
          <w:color w:val="auto"/>
          <w:sz w:val="22"/>
          <w:szCs w:val="22"/>
          <w:highlight w:val="none"/>
          <w:u w:val="single"/>
        </w:rPr>
        <w:t>审</w:t>
      </w:r>
      <w:r>
        <w:rPr>
          <w:rFonts w:ascii="Cambria Math" w:hAnsi="Cambria Math" w:eastAsia="Cambria Math"/>
          <w:bCs w:val="0"/>
          <w:color w:val="auto"/>
          <w:sz w:val="22"/>
          <w:szCs w:val="22"/>
          <w:highlight w:val="none"/>
          <w:u w:val="single"/>
        </w:rPr>
        <w:t>过程中量化</w:t>
      </w:r>
      <w:r>
        <w:rPr>
          <w:rFonts w:hint="eastAsia" w:ascii="Cambria Math" w:hAnsi="Cambria Math" w:eastAsia="Cambria Math"/>
          <w:bCs w:val="0"/>
          <w:color w:val="auto"/>
          <w:sz w:val="22"/>
          <w:szCs w:val="22"/>
          <w:highlight w:val="none"/>
          <w:u w:val="single"/>
        </w:rPr>
        <w:t>，如有违反将导致对供应商不利的评审，直至投标文件被拒绝。</w:t>
      </w:r>
    </w:p>
    <w:p w14:paraId="470B5CAC">
      <w:pPr>
        <w:autoSpaceDE w:val="0"/>
        <w:autoSpaceDN w:val="0"/>
        <w:snapToGrid w:val="0"/>
        <w:spacing w:line="440" w:lineRule="atLeast"/>
        <w:ind w:firstLine="440" w:firstLineChars="200"/>
        <w:textAlignment w:val="bottom"/>
        <w:rPr>
          <w:rFonts w:ascii="Cambria Math" w:hAnsi="Cambria Math" w:eastAsia="Cambria Math"/>
          <w:bCs w:val="0"/>
          <w:color w:val="auto"/>
          <w:sz w:val="22"/>
          <w:szCs w:val="22"/>
          <w:highlight w:val="none"/>
          <w:u w:val="single"/>
        </w:rPr>
      </w:pPr>
    </w:p>
    <w:p w14:paraId="5EDB4030">
      <w:pPr>
        <w:autoSpaceDE w:val="0"/>
        <w:autoSpaceDN w:val="0"/>
        <w:snapToGrid w:val="0"/>
        <w:spacing w:line="440" w:lineRule="atLeast"/>
        <w:ind w:firstLine="440" w:firstLineChars="200"/>
        <w:textAlignment w:val="bottom"/>
        <w:rPr>
          <w:rFonts w:ascii="Cambria Math" w:hAnsi="Cambria Math" w:eastAsia="Cambria Math"/>
          <w:bCs w:val="0"/>
          <w:color w:val="auto"/>
          <w:sz w:val="22"/>
          <w:szCs w:val="22"/>
          <w:highlight w:val="none"/>
          <w:u w:val="single"/>
        </w:rPr>
      </w:pPr>
    </w:p>
    <w:p w14:paraId="5FDE4882">
      <w:pPr>
        <w:autoSpaceDE w:val="0"/>
        <w:autoSpaceDN w:val="0"/>
        <w:snapToGrid w:val="0"/>
        <w:spacing w:line="440" w:lineRule="atLeast"/>
        <w:ind w:firstLine="440" w:firstLineChars="200"/>
        <w:textAlignment w:val="bottom"/>
        <w:rPr>
          <w:rFonts w:ascii="Cambria Math" w:hAnsi="Cambria Math" w:eastAsia="Cambria Math"/>
          <w:bCs w:val="0"/>
          <w:color w:val="auto"/>
          <w:sz w:val="22"/>
          <w:szCs w:val="22"/>
          <w:highlight w:val="none"/>
          <w:u w:val="single"/>
        </w:rPr>
      </w:pPr>
    </w:p>
    <w:p w14:paraId="3BF99220">
      <w:pPr>
        <w:autoSpaceDE w:val="0"/>
        <w:autoSpaceDN w:val="0"/>
        <w:snapToGrid w:val="0"/>
        <w:spacing w:line="440" w:lineRule="atLeast"/>
        <w:ind w:firstLine="440" w:firstLineChars="200"/>
        <w:textAlignment w:val="bottom"/>
        <w:rPr>
          <w:rFonts w:ascii="Cambria Math" w:hAnsi="Cambria Math" w:eastAsia="Cambria Math"/>
          <w:bCs w:val="0"/>
          <w:color w:val="auto"/>
          <w:sz w:val="22"/>
          <w:szCs w:val="22"/>
          <w:highlight w:val="none"/>
          <w:u w:val="single"/>
        </w:rPr>
      </w:pPr>
    </w:p>
    <w:p w14:paraId="7AC0A6B8">
      <w:pPr>
        <w:autoSpaceDE w:val="0"/>
        <w:autoSpaceDN w:val="0"/>
        <w:snapToGrid w:val="0"/>
        <w:spacing w:line="440" w:lineRule="atLeast"/>
        <w:ind w:firstLine="440" w:firstLineChars="200"/>
        <w:textAlignment w:val="bottom"/>
        <w:rPr>
          <w:rFonts w:ascii="Cambria Math" w:hAnsi="Cambria Math" w:eastAsia="Cambria Math"/>
          <w:bCs w:val="0"/>
          <w:color w:val="auto"/>
          <w:sz w:val="22"/>
          <w:szCs w:val="22"/>
          <w:highlight w:val="none"/>
          <w:u w:val="single"/>
        </w:rPr>
      </w:pPr>
    </w:p>
    <w:p w14:paraId="386FE96A">
      <w:pPr>
        <w:pStyle w:val="4"/>
        <w:spacing w:before="0" w:after="120" w:line="700" w:lineRule="exact"/>
        <w:ind w:left="0" w:firstLine="0"/>
        <w:jc w:val="center"/>
        <w:rPr>
          <w:rFonts w:ascii="Cambria Math" w:hAnsi="Cambria Math" w:eastAsia="Cambria Math"/>
          <w:b/>
          <w:color w:val="auto"/>
          <w:sz w:val="32"/>
          <w:highlight w:val="none"/>
        </w:rPr>
      </w:pPr>
      <w:r>
        <w:rPr>
          <w:rFonts w:hint="eastAsia" w:ascii="Cambria Math" w:hAnsi="Cambria Math" w:eastAsia="Cambria Math"/>
          <w:b/>
          <w:color w:val="auto"/>
          <w:sz w:val="32"/>
          <w:highlight w:val="none"/>
        </w:rPr>
        <w:t>第一</w:t>
      </w:r>
      <w:r>
        <w:rPr>
          <w:rFonts w:hint="eastAsia" w:ascii="Cambria Math" w:hAnsi="Cambria Math" w:eastAsia="宋体"/>
          <w:b/>
          <w:color w:val="auto"/>
          <w:sz w:val="32"/>
          <w:highlight w:val="none"/>
        </w:rPr>
        <w:t>部分</w:t>
      </w:r>
      <w:r>
        <w:rPr>
          <w:rFonts w:hint="eastAsia" w:ascii="Cambria Math" w:hAnsi="Cambria Math" w:eastAsia="宋体"/>
          <w:b/>
          <w:color w:val="auto"/>
          <w:sz w:val="32"/>
          <w:highlight w:val="none"/>
          <w:lang w:val="en-US" w:eastAsia="zh-CN"/>
        </w:rPr>
        <w:t xml:space="preserve">  </w:t>
      </w:r>
      <w:r>
        <w:rPr>
          <w:rFonts w:hint="eastAsia" w:ascii="Cambria Math" w:hAnsi="Cambria Math" w:eastAsia="Cambria Math"/>
          <w:b/>
          <w:color w:val="auto"/>
          <w:sz w:val="32"/>
          <w:highlight w:val="none"/>
        </w:rPr>
        <w:t>项目简介</w:t>
      </w:r>
    </w:p>
    <w:p w14:paraId="00066420">
      <w:pPr>
        <w:snapToGrid w:val="0"/>
        <w:spacing w:line="460" w:lineRule="atLeast"/>
        <w:rPr>
          <w:rFonts w:hint="eastAsia" w:ascii="宋体" w:hAnsi="宋体"/>
          <w:b w:val="0"/>
          <w:color w:val="auto"/>
          <w:sz w:val="22"/>
          <w:szCs w:val="22"/>
          <w:highlight w:val="none"/>
        </w:rPr>
      </w:pPr>
      <w:r>
        <w:rPr>
          <w:rFonts w:hint="eastAsia" w:ascii="宋体" w:hAnsi="宋体"/>
          <w:b w:val="0"/>
          <w:color w:val="auto"/>
          <w:sz w:val="22"/>
          <w:szCs w:val="22"/>
          <w:highlight w:val="none"/>
        </w:rPr>
        <w:t>项目简介</w:t>
      </w:r>
    </w:p>
    <w:p w14:paraId="3AB609C3">
      <w:pPr>
        <w:snapToGrid w:val="0"/>
        <w:spacing w:line="460" w:lineRule="atLeast"/>
        <w:ind w:firstLine="440" w:firstLineChars="200"/>
        <w:rPr>
          <w:rFonts w:hint="eastAsia" w:ascii="宋体" w:hAnsi="宋体"/>
          <w:b w:val="0"/>
          <w:color w:val="auto"/>
          <w:sz w:val="22"/>
          <w:szCs w:val="22"/>
          <w:highlight w:val="none"/>
        </w:rPr>
      </w:pPr>
      <w:r>
        <w:rPr>
          <w:rFonts w:hint="eastAsia" w:ascii="宋体" w:hAnsi="宋体"/>
          <w:b w:val="0"/>
          <w:color w:val="auto"/>
          <w:sz w:val="22"/>
          <w:szCs w:val="22"/>
          <w:highlight w:val="none"/>
        </w:rPr>
        <w:t>经批准，温州超然招标代理有限公司对</w:t>
      </w:r>
      <w:r>
        <w:rPr>
          <w:rFonts w:hint="eastAsia" w:ascii="宋体" w:hAnsi="宋体" w:cs="宋体"/>
          <w:b w:val="0"/>
          <w:color w:val="auto"/>
          <w:sz w:val="22"/>
          <w:szCs w:val="22"/>
          <w:highlight w:val="none"/>
          <w:lang w:eastAsia="zh-CN"/>
        </w:rPr>
        <w:t>龙港水务用水客户户内漏水保险服务项目（重招）</w:t>
      </w:r>
      <w:r>
        <w:rPr>
          <w:rFonts w:hint="eastAsia" w:ascii="宋体" w:hAnsi="宋体"/>
          <w:b w:val="0"/>
          <w:color w:val="auto"/>
          <w:sz w:val="22"/>
          <w:szCs w:val="22"/>
          <w:highlight w:val="none"/>
        </w:rPr>
        <w:t>进行公开招标采购。本次招标的资金已经落实，我们热情欢迎有关公司（企业）前来投标。</w:t>
      </w:r>
    </w:p>
    <w:p w14:paraId="7D6F593E">
      <w:pPr>
        <w:pStyle w:val="4"/>
        <w:spacing w:before="0" w:after="120" w:line="700" w:lineRule="exact"/>
        <w:ind w:left="0" w:firstLine="0"/>
        <w:jc w:val="center"/>
        <w:rPr>
          <w:rFonts w:ascii="Cambria Math" w:hAnsi="Cambria Math" w:eastAsia="Cambria Math"/>
          <w:b/>
          <w:color w:val="auto"/>
          <w:sz w:val="32"/>
          <w:highlight w:val="none"/>
        </w:rPr>
      </w:pPr>
      <w:r>
        <w:rPr>
          <w:rFonts w:hint="eastAsia" w:ascii="Cambria Math" w:hAnsi="Cambria Math" w:eastAsia="Cambria Math"/>
          <w:b/>
          <w:color w:val="auto"/>
          <w:sz w:val="32"/>
          <w:highlight w:val="none"/>
        </w:rPr>
        <w:t>第二</w:t>
      </w:r>
      <w:r>
        <w:rPr>
          <w:rFonts w:hint="eastAsia" w:ascii="Cambria Math" w:hAnsi="Cambria Math" w:eastAsia="宋体"/>
          <w:b/>
          <w:color w:val="auto"/>
          <w:sz w:val="32"/>
          <w:highlight w:val="none"/>
        </w:rPr>
        <w:t>部分</w:t>
      </w:r>
      <w:r>
        <w:rPr>
          <w:rFonts w:hint="eastAsia" w:ascii="Cambria Math" w:hAnsi="Cambria Math" w:eastAsia="宋体"/>
          <w:b/>
          <w:color w:val="auto"/>
          <w:sz w:val="32"/>
          <w:highlight w:val="none"/>
          <w:lang w:val="en-US" w:eastAsia="zh-CN"/>
        </w:rPr>
        <w:t xml:space="preserve">  </w:t>
      </w:r>
      <w:r>
        <w:rPr>
          <w:rFonts w:hint="eastAsia" w:ascii="Cambria Math" w:hAnsi="Cambria Math" w:eastAsia="Cambria Math"/>
          <w:b/>
          <w:color w:val="auto"/>
          <w:sz w:val="32"/>
          <w:highlight w:val="none"/>
        </w:rPr>
        <w:t>招标内容及技术要求</w:t>
      </w:r>
    </w:p>
    <w:p w14:paraId="3BCDAC02">
      <w:pPr>
        <w:snapToGrid w:val="0"/>
        <w:spacing w:line="460" w:lineRule="atLeast"/>
        <w:rPr>
          <w:rFonts w:ascii="Cambria Math" w:hAnsi="Cambria Math" w:eastAsia="Cambria Math"/>
          <w:color w:val="auto"/>
          <w:sz w:val="22"/>
          <w:szCs w:val="22"/>
          <w:highlight w:val="none"/>
        </w:rPr>
      </w:pPr>
      <w:bookmarkStart w:id="2" w:name="_Toc157410883"/>
      <w:bookmarkStart w:id="3" w:name="_Toc26874"/>
      <w:bookmarkStart w:id="4" w:name="_Toc7869"/>
      <w:bookmarkStart w:id="5" w:name="_Toc12750"/>
      <w:bookmarkStart w:id="6" w:name="_Toc4253"/>
      <w:bookmarkStart w:id="7" w:name="_Toc32099"/>
      <w:bookmarkStart w:id="8" w:name="_Toc157410886"/>
      <w:r>
        <w:rPr>
          <w:rFonts w:hint="eastAsia" w:ascii="Cambria Math" w:hAnsi="Cambria Math" w:eastAsia="Cambria Math"/>
          <w:color w:val="auto"/>
          <w:sz w:val="22"/>
          <w:szCs w:val="22"/>
          <w:highlight w:val="none"/>
        </w:rPr>
        <w:t>一、采购总说明</w:t>
      </w:r>
    </w:p>
    <w:p w14:paraId="75ACFD07">
      <w:pPr>
        <w:snapToGrid w:val="0"/>
        <w:spacing w:line="460" w:lineRule="atLeast"/>
        <w:ind w:firstLine="440" w:firstLineChars="200"/>
        <w:rPr>
          <w:rFonts w:ascii="宋体" w:hAnsi="宋体"/>
          <w:b w:val="0"/>
          <w:color w:val="auto"/>
          <w:sz w:val="22"/>
          <w:szCs w:val="22"/>
          <w:highlight w:val="none"/>
        </w:rPr>
      </w:pPr>
      <w:r>
        <w:rPr>
          <w:rFonts w:hint="eastAsia" w:ascii="宋体" w:hAnsi="宋体"/>
          <w:b w:val="0"/>
          <w:color w:val="auto"/>
          <w:sz w:val="22"/>
          <w:szCs w:val="22"/>
          <w:highlight w:val="none"/>
        </w:rPr>
        <w:t>1、本技术规范要求提出的是最低限度的基本技术要求，并未对所有技术细节作出规定，供应商应提供符合本技术要求和国家标准、行业标准的优质服务。</w:t>
      </w:r>
    </w:p>
    <w:p w14:paraId="0840A436">
      <w:pPr>
        <w:snapToGrid w:val="0"/>
        <w:spacing w:line="460" w:lineRule="atLeast"/>
        <w:ind w:firstLine="440" w:firstLineChars="200"/>
        <w:rPr>
          <w:rFonts w:ascii="宋体" w:hAnsi="宋体"/>
          <w:b w:val="0"/>
          <w:color w:val="auto"/>
          <w:sz w:val="22"/>
          <w:szCs w:val="22"/>
          <w:highlight w:val="none"/>
        </w:rPr>
      </w:pPr>
      <w:r>
        <w:rPr>
          <w:rFonts w:hint="eastAsia" w:ascii="宋体" w:hAnsi="宋体"/>
          <w:b w:val="0"/>
          <w:color w:val="auto"/>
          <w:sz w:val="22"/>
          <w:szCs w:val="22"/>
          <w:highlight w:val="none"/>
        </w:rPr>
        <w:t>供应商服务与本技术要求不一致时，供应商应在投标文件中予以说明，并由评标委员会鉴定供应商服务能否达到要求。如供应商没有在投标文件中提出异议，则视为供应商提供的服务完全按照本招标文件要求。</w:t>
      </w:r>
    </w:p>
    <w:p w14:paraId="65746C57">
      <w:pPr>
        <w:snapToGrid w:val="0"/>
        <w:spacing w:line="460" w:lineRule="atLeast"/>
        <w:ind w:firstLine="440" w:firstLineChars="200"/>
        <w:rPr>
          <w:rFonts w:ascii="宋体" w:hAnsi="宋体"/>
          <w:b w:val="0"/>
          <w:color w:val="auto"/>
          <w:sz w:val="22"/>
          <w:szCs w:val="22"/>
          <w:highlight w:val="none"/>
        </w:rPr>
      </w:pPr>
      <w:r>
        <w:rPr>
          <w:rFonts w:hint="eastAsia" w:ascii="宋体" w:hAnsi="宋体"/>
          <w:b w:val="0"/>
          <w:color w:val="auto"/>
          <w:sz w:val="22"/>
          <w:szCs w:val="22"/>
          <w:highlight w:val="none"/>
        </w:rPr>
        <w:t>2、技术要求及标准的执行</w:t>
      </w:r>
    </w:p>
    <w:p w14:paraId="5FD43A4E">
      <w:pPr>
        <w:snapToGrid w:val="0"/>
        <w:spacing w:line="460" w:lineRule="atLeast"/>
        <w:ind w:firstLine="440" w:firstLineChars="200"/>
        <w:rPr>
          <w:rFonts w:ascii="宋体" w:hAnsi="宋体"/>
          <w:b w:val="0"/>
          <w:color w:val="auto"/>
          <w:sz w:val="22"/>
          <w:szCs w:val="22"/>
          <w:highlight w:val="none"/>
        </w:rPr>
      </w:pPr>
      <w:r>
        <w:rPr>
          <w:rFonts w:hint="eastAsia" w:ascii="宋体" w:hAnsi="宋体"/>
          <w:b w:val="0"/>
          <w:color w:val="auto"/>
          <w:sz w:val="22"/>
          <w:szCs w:val="22"/>
          <w:highlight w:val="none"/>
        </w:rPr>
        <w:t>供应商提供的服务应标明所执行的质量标准，若同一标准已颁发新标准，则按最新标准执行。若同一产品同时有几个标准（国际标准、国家标准、行业标准、企业标准等），则按最高层次的标准执行。</w:t>
      </w:r>
    </w:p>
    <w:p w14:paraId="6C488848">
      <w:pPr>
        <w:snapToGrid w:val="0"/>
        <w:spacing w:line="460" w:lineRule="atLeast"/>
        <w:ind w:firstLine="440" w:firstLineChars="200"/>
        <w:rPr>
          <w:rFonts w:ascii="宋体" w:hAnsi="宋体"/>
          <w:b w:val="0"/>
          <w:color w:val="auto"/>
          <w:sz w:val="22"/>
          <w:szCs w:val="22"/>
          <w:highlight w:val="none"/>
        </w:rPr>
      </w:pPr>
      <w:r>
        <w:rPr>
          <w:rFonts w:hint="eastAsia" w:ascii="宋体" w:hAnsi="宋体"/>
          <w:b w:val="0"/>
          <w:color w:val="auto"/>
          <w:sz w:val="22"/>
          <w:szCs w:val="22"/>
          <w:highlight w:val="none"/>
        </w:rPr>
        <w:t>3、本招标文件中涉及的金额均以人民币为单位计算。</w:t>
      </w:r>
      <w:bookmarkEnd w:id="2"/>
    </w:p>
    <w:p w14:paraId="38BF9550">
      <w:pPr>
        <w:snapToGrid w:val="0"/>
        <w:spacing w:line="460" w:lineRule="atLeast"/>
        <w:rPr>
          <w:rFonts w:ascii="Cambria Math" w:hAnsi="Cambria Math" w:eastAsia="Cambria Math"/>
          <w:color w:val="auto"/>
          <w:sz w:val="22"/>
          <w:szCs w:val="22"/>
          <w:highlight w:val="none"/>
        </w:rPr>
      </w:pPr>
      <w:r>
        <w:rPr>
          <w:rFonts w:hint="eastAsia" w:ascii="Cambria Math" w:hAnsi="Cambria Math" w:eastAsia="Cambria Math"/>
          <w:color w:val="auto"/>
          <w:sz w:val="22"/>
          <w:szCs w:val="22"/>
          <w:highlight w:val="none"/>
        </w:rPr>
        <w:t>二、采购内容及要求</w:t>
      </w:r>
    </w:p>
    <w:p w14:paraId="0A543895">
      <w:pPr>
        <w:pStyle w:val="29"/>
        <w:adjustRightInd w:val="0"/>
        <w:spacing w:line="430" w:lineRule="atLeast"/>
        <w:ind w:left="422"/>
        <w:rPr>
          <w:rFonts w:hint="eastAsia" w:ascii="宋体" w:hAnsi="宋体"/>
          <w:color w:val="auto"/>
          <w:sz w:val="22"/>
          <w:szCs w:val="22"/>
          <w:highlight w:val="none"/>
          <w:lang w:val="en-US" w:eastAsia="zh-CN"/>
        </w:rPr>
      </w:pPr>
      <w:r>
        <w:rPr>
          <w:rFonts w:hint="eastAsia" w:ascii="宋体" w:hAnsi="宋体"/>
          <w:color w:val="auto"/>
          <w:sz w:val="22"/>
          <w:szCs w:val="22"/>
          <w:highlight w:val="none"/>
          <w:lang w:val="en-US"/>
        </w:rPr>
        <w:t>（一）</w:t>
      </w:r>
      <w:r>
        <w:rPr>
          <w:rFonts w:hint="eastAsia" w:ascii="宋体" w:hAnsi="宋体"/>
          <w:color w:val="auto"/>
          <w:sz w:val="22"/>
          <w:szCs w:val="22"/>
          <w:highlight w:val="none"/>
          <w:lang w:val="en-US" w:eastAsia="zh-CN"/>
        </w:rPr>
        <w:t>现状</w:t>
      </w:r>
    </w:p>
    <w:p w14:paraId="0E621969">
      <w:pPr>
        <w:snapToGrid w:val="0"/>
        <w:spacing w:line="460" w:lineRule="exact"/>
        <w:ind w:firstLine="220" w:firstLineChars="100"/>
        <w:rPr>
          <w:rFonts w:hint="eastAsia" w:ascii="宋体" w:hAnsi="宋体"/>
          <w:b w:val="0"/>
          <w:sz w:val="22"/>
          <w:szCs w:val="22"/>
          <w:highlight w:val="none"/>
          <w:lang w:val="en-US" w:eastAsia="zh-CN"/>
        </w:rPr>
      </w:pPr>
      <w:r>
        <w:rPr>
          <w:rFonts w:hint="eastAsia" w:ascii="宋体" w:hAnsi="宋体"/>
          <w:b w:val="0"/>
          <w:sz w:val="22"/>
          <w:szCs w:val="22"/>
          <w:highlight w:val="none"/>
          <w:lang w:val="en-US" w:eastAsia="zh-CN"/>
        </w:rPr>
        <w:t>由于居民对户内管网和用水设施疏于管理维护，常发生户内漏水等现象，再加上目前执行的居民阶梯水价，漏水水费过高，有些客户因此拒缴并以各种理由反映诉求引起用水纠纷等情况。为切实有效的解决户内漏水收费难问题，以合法合规为前提，采购人决定为阶梯用水客户购买户内漏水保险，赔付客户因户内漏水产生的阶梯差额部分水费，减少用水纠纷，从而提升采购人整体服务形象。</w:t>
      </w:r>
    </w:p>
    <w:p w14:paraId="3B23561A">
      <w:pPr>
        <w:pStyle w:val="29"/>
        <w:adjustRightInd w:val="0"/>
        <w:spacing w:line="430" w:lineRule="atLeast"/>
        <w:ind w:left="422"/>
        <w:rPr>
          <w:rFonts w:ascii="宋体" w:hAnsi="宋体"/>
          <w:color w:val="auto"/>
          <w:sz w:val="22"/>
          <w:szCs w:val="22"/>
          <w:highlight w:val="none"/>
          <w:lang w:val="en-US" w:eastAsia="zh-CN"/>
        </w:rPr>
      </w:pPr>
      <w:r>
        <w:rPr>
          <w:rFonts w:hint="eastAsia" w:ascii="宋体" w:hAnsi="宋体"/>
          <w:color w:val="auto"/>
          <w:sz w:val="22"/>
          <w:szCs w:val="22"/>
          <w:highlight w:val="none"/>
          <w:lang w:val="en-US"/>
        </w:rPr>
        <w:t>（二）</w:t>
      </w:r>
      <w:r>
        <w:rPr>
          <w:rFonts w:hint="eastAsia" w:ascii="宋体" w:hAnsi="宋体"/>
          <w:color w:val="auto"/>
          <w:sz w:val="22"/>
          <w:szCs w:val="22"/>
          <w:highlight w:val="none"/>
          <w:lang w:val="en-US" w:eastAsia="zh-CN"/>
        </w:rPr>
        <w:t>保险需求</w:t>
      </w:r>
    </w:p>
    <w:p w14:paraId="0D0ACC50">
      <w:pPr>
        <w:snapToGrid w:val="0"/>
        <w:spacing w:line="460" w:lineRule="exact"/>
        <w:ind w:firstLine="541" w:firstLineChars="246"/>
        <w:rPr>
          <w:rFonts w:ascii="宋体" w:hAnsi="宋体"/>
          <w:b w:val="0"/>
          <w:sz w:val="22"/>
          <w:szCs w:val="22"/>
          <w:highlight w:val="none"/>
          <w:lang w:val="en-US" w:eastAsia="zh-CN"/>
        </w:rPr>
      </w:pPr>
      <w:r>
        <w:rPr>
          <w:rFonts w:hint="eastAsia" w:ascii="宋体" w:hAnsi="宋体"/>
          <w:b w:val="0"/>
          <w:sz w:val="22"/>
          <w:szCs w:val="22"/>
          <w:highlight w:val="none"/>
          <w:lang w:val="en-US"/>
        </w:rPr>
        <w:t>1、</w:t>
      </w:r>
      <w:r>
        <w:rPr>
          <w:rFonts w:hint="eastAsia" w:ascii="宋体" w:hAnsi="宋体"/>
          <w:b w:val="0"/>
          <w:sz w:val="22"/>
          <w:szCs w:val="22"/>
          <w:highlight w:val="none"/>
          <w:lang w:val="en-US" w:eastAsia="zh-CN"/>
        </w:rPr>
        <w:t>被保险对象：供水范围内截至到投保月上期月末的在册居民阶梯用水客户，以及保期内新增居民阶梯用水客户。供水范围内截至到投保月上期月末的在册企业客户以及保期内新增企业客户。</w:t>
      </w:r>
      <w:r>
        <w:rPr>
          <w:rFonts w:ascii="宋体" w:hAnsi="宋体"/>
          <w:b w:val="0"/>
          <w:sz w:val="22"/>
          <w:szCs w:val="22"/>
          <w:highlight w:val="none"/>
          <w:lang w:val="en-US" w:eastAsia="zh-CN"/>
        </w:rPr>
        <w:t>居民用水：</w:t>
      </w:r>
      <w:r>
        <w:rPr>
          <w:rFonts w:hint="eastAsia" w:ascii="宋体" w:hAnsi="宋体"/>
          <w:b w:val="0"/>
          <w:sz w:val="22"/>
          <w:szCs w:val="22"/>
          <w:highlight w:val="none"/>
          <w:lang w:val="en-US" w:eastAsia="zh-CN"/>
        </w:rPr>
        <w:t>19万</w:t>
      </w:r>
      <w:r>
        <w:rPr>
          <w:rFonts w:ascii="宋体" w:hAnsi="宋体"/>
          <w:b w:val="0"/>
          <w:sz w:val="22"/>
          <w:szCs w:val="22"/>
          <w:highlight w:val="none"/>
          <w:lang w:val="en-US" w:eastAsia="zh-CN"/>
        </w:rPr>
        <w:t>户，非居民用水：</w:t>
      </w:r>
      <w:r>
        <w:rPr>
          <w:rFonts w:hint="eastAsia" w:ascii="宋体" w:hAnsi="宋体"/>
          <w:b w:val="0"/>
          <w:sz w:val="22"/>
          <w:szCs w:val="22"/>
          <w:highlight w:val="none"/>
          <w:lang w:val="en-US" w:eastAsia="zh-CN"/>
        </w:rPr>
        <w:t>4200</w:t>
      </w:r>
      <w:r>
        <w:rPr>
          <w:rFonts w:ascii="宋体" w:hAnsi="宋体"/>
          <w:b w:val="0"/>
          <w:sz w:val="22"/>
          <w:szCs w:val="22"/>
          <w:highlight w:val="none"/>
          <w:lang w:val="en-US" w:eastAsia="zh-CN"/>
        </w:rPr>
        <w:t>户</w:t>
      </w:r>
      <w:r>
        <w:rPr>
          <w:rFonts w:hint="eastAsia" w:ascii="宋体" w:hAnsi="宋体"/>
          <w:b w:val="0"/>
          <w:sz w:val="22"/>
          <w:szCs w:val="22"/>
          <w:highlight w:val="none"/>
          <w:lang w:val="en-US" w:eastAsia="zh-CN"/>
        </w:rPr>
        <w:t>。</w:t>
      </w:r>
    </w:p>
    <w:p w14:paraId="50B42BCA">
      <w:pPr>
        <w:snapToGrid w:val="0"/>
        <w:spacing w:line="460" w:lineRule="exact"/>
        <w:ind w:firstLine="541" w:firstLineChars="246"/>
        <w:rPr>
          <w:rFonts w:ascii="宋体" w:hAnsi="宋体"/>
          <w:b w:val="0"/>
          <w:sz w:val="22"/>
          <w:szCs w:val="22"/>
          <w:highlight w:val="none"/>
          <w:lang w:val="en-US" w:eastAsia="zh-CN"/>
        </w:rPr>
      </w:pPr>
      <w:r>
        <w:rPr>
          <w:rFonts w:hint="eastAsia" w:ascii="宋体" w:hAnsi="宋体"/>
          <w:b w:val="0"/>
          <w:sz w:val="22"/>
          <w:szCs w:val="22"/>
          <w:highlight w:val="none"/>
          <w:lang w:val="en-US"/>
        </w:rPr>
        <w:t>2、</w:t>
      </w:r>
      <w:r>
        <w:rPr>
          <w:rFonts w:hint="eastAsia" w:ascii="宋体" w:hAnsi="宋体"/>
          <w:b w:val="0"/>
          <w:sz w:val="22"/>
          <w:szCs w:val="22"/>
          <w:highlight w:val="none"/>
          <w:lang w:val="en-US" w:eastAsia="zh-CN"/>
        </w:rPr>
        <w:t>保险内容：龙港水务有限公司为被保险对象购买保险，用于居民阶梯用水对象因户内漏水等原因从而需支付超平常量的阶梯差额水费、污水处理费；用于企业客户因厂内漏水等原因从而需要支付超平常量的污水处理费。</w:t>
      </w:r>
    </w:p>
    <w:p w14:paraId="0DE60E12">
      <w:pPr>
        <w:snapToGrid w:val="0"/>
        <w:spacing w:line="460" w:lineRule="exact"/>
        <w:ind w:firstLine="541" w:firstLineChars="246"/>
        <w:rPr>
          <w:rFonts w:ascii="宋体" w:hAnsi="宋体"/>
          <w:b w:val="0"/>
          <w:sz w:val="22"/>
          <w:szCs w:val="22"/>
          <w:highlight w:val="none"/>
          <w:lang w:val="en-US" w:eastAsia="zh-CN"/>
        </w:rPr>
      </w:pPr>
      <w:r>
        <w:rPr>
          <w:rFonts w:hint="eastAsia" w:ascii="宋体" w:hAnsi="宋体"/>
          <w:b w:val="0"/>
          <w:sz w:val="22"/>
          <w:szCs w:val="22"/>
          <w:highlight w:val="none"/>
          <w:lang w:val="en-US"/>
        </w:rPr>
        <w:t>3、</w:t>
      </w:r>
      <w:r>
        <w:rPr>
          <w:rFonts w:hint="eastAsia" w:ascii="宋体" w:hAnsi="宋体"/>
          <w:b w:val="0"/>
          <w:sz w:val="22"/>
          <w:szCs w:val="22"/>
          <w:highlight w:val="none"/>
          <w:lang w:val="en-US" w:eastAsia="zh-CN"/>
        </w:rPr>
        <w:t>赔付方式：承保对象发生户内漏水事项后，按对应水价先向水务公司支付水费，再凭水费发票和水务公司出具的户内漏水确认单向投保保险公司索赔。</w:t>
      </w:r>
    </w:p>
    <w:p w14:paraId="57B3F6A7">
      <w:pPr>
        <w:snapToGrid w:val="0"/>
        <w:spacing w:line="460" w:lineRule="exact"/>
        <w:ind w:firstLine="541" w:firstLineChars="246"/>
        <w:rPr>
          <w:rFonts w:ascii="宋体" w:hAnsi="宋体"/>
          <w:b w:val="0"/>
          <w:sz w:val="22"/>
          <w:szCs w:val="22"/>
          <w:highlight w:val="none"/>
          <w:lang w:val="en-US" w:eastAsia="zh-CN"/>
        </w:rPr>
      </w:pPr>
      <w:r>
        <w:rPr>
          <w:rFonts w:hint="eastAsia" w:ascii="宋体" w:hAnsi="宋体"/>
          <w:b w:val="0"/>
          <w:sz w:val="22"/>
          <w:szCs w:val="22"/>
          <w:highlight w:val="none"/>
          <w:lang w:val="en-US"/>
        </w:rPr>
        <w:t>4、</w:t>
      </w:r>
      <w:r>
        <w:rPr>
          <w:rFonts w:hint="eastAsia" w:ascii="宋体" w:hAnsi="宋体"/>
          <w:b w:val="0"/>
          <w:sz w:val="22"/>
          <w:szCs w:val="22"/>
          <w:highlight w:val="none"/>
          <w:lang w:val="en-US" w:eastAsia="zh-CN"/>
        </w:rPr>
        <w:t>赔付金额：用水客户索赔的赔付标的是因户内漏水计量的水量按居民阶梯水价的计价金额与计量水量按居民非阶梯水价计价金额的差额，每次事故绝对免赔50元人民币。企业客户因厂内漏水产生的全部污水费用免赔为50元。</w:t>
      </w:r>
    </w:p>
    <w:p w14:paraId="7F151E16">
      <w:pPr>
        <w:snapToGrid w:val="0"/>
        <w:spacing w:line="460" w:lineRule="exact"/>
        <w:ind w:firstLine="541" w:firstLineChars="246"/>
        <w:rPr>
          <w:rFonts w:ascii="宋体" w:hAnsi="宋体"/>
          <w:b w:val="0"/>
          <w:sz w:val="22"/>
          <w:szCs w:val="22"/>
          <w:highlight w:val="none"/>
          <w:lang w:val="en-US" w:eastAsia="zh-CN"/>
        </w:rPr>
      </w:pPr>
      <w:r>
        <w:rPr>
          <w:rFonts w:hint="eastAsia" w:ascii="宋体" w:hAnsi="宋体"/>
          <w:b w:val="0"/>
          <w:sz w:val="22"/>
          <w:szCs w:val="22"/>
          <w:highlight w:val="none"/>
          <w:lang w:val="en-US" w:eastAsia="zh-CN"/>
        </w:rPr>
        <w:t>残疾军人、“三属”（指烈士遗属、因公牺牲军人遗属、病故军人遗属）、复员军人（指1954年10月31日之前入伍，后经批准从部队复员的人员）、带病回乡退伍军人、年龄在70周岁以上的老人、符合低保户要求的低保户，以上人群提供证明不受索赔起点限制。</w:t>
      </w:r>
    </w:p>
    <w:p w14:paraId="0422E8AC">
      <w:pPr>
        <w:snapToGrid w:val="0"/>
        <w:spacing w:line="460" w:lineRule="exact"/>
        <w:ind w:firstLine="541" w:firstLineChars="246"/>
        <w:rPr>
          <w:rFonts w:ascii="宋体" w:hAnsi="宋体"/>
          <w:b w:val="0"/>
          <w:sz w:val="22"/>
          <w:szCs w:val="22"/>
          <w:highlight w:val="none"/>
          <w:lang w:val="en-US" w:eastAsia="zh-CN"/>
        </w:rPr>
      </w:pPr>
      <w:r>
        <w:rPr>
          <w:rFonts w:hint="eastAsia" w:ascii="宋体" w:hAnsi="宋体"/>
          <w:b w:val="0"/>
          <w:sz w:val="22"/>
          <w:szCs w:val="22"/>
          <w:highlight w:val="none"/>
          <w:lang w:val="en-US" w:eastAsia="zh-CN"/>
        </w:rPr>
        <w:t>5、赔付期限：投保合同签订之日起壹年，以水费销账日为依据是否在赔付期内。</w:t>
      </w:r>
    </w:p>
    <w:p w14:paraId="746A9709">
      <w:pPr>
        <w:snapToGrid w:val="0"/>
        <w:spacing w:line="460" w:lineRule="exact"/>
        <w:ind w:firstLine="541" w:firstLineChars="246"/>
        <w:rPr>
          <w:rFonts w:hint="eastAsia" w:ascii="宋体" w:hAnsi="宋体"/>
          <w:b w:val="0"/>
          <w:sz w:val="22"/>
          <w:szCs w:val="22"/>
          <w:highlight w:val="none"/>
          <w:lang w:val="en-US"/>
        </w:rPr>
      </w:pPr>
      <w:r>
        <w:rPr>
          <w:rFonts w:hint="eastAsia" w:ascii="宋体" w:hAnsi="宋体"/>
          <w:b w:val="0"/>
          <w:sz w:val="22"/>
          <w:szCs w:val="22"/>
          <w:highlight w:val="none"/>
          <w:lang w:val="en-US" w:eastAsia="zh-CN"/>
        </w:rPr>
        <w:t>6、赔偿限额：保期内赔付限额为合同金额的110%，</w:t>
      </w:r>
      <w:r>
        <w:rPr>
          <w:rFonts w:hint="eastAsia" w:ascii="宋体" w:hAnsi="宋体" w:cs="宋体"/>
          <w:b w:val="0"/>
          <w:sz w:val="22"/>
          <w:szCs w:val="22"/>
          <w:highlight w:val="none"/>
        </w:rPr>
        <w:t>当合同金额的110%低于60万元时赔偿限额为60万元。</w:t>
      </w:r>
    </w:p>
    <w:p w14:paraId="3F8C884D">
      <w:pPr>
        <w:snapToGrid w:val="0"/>
        <w:spacing w:line="460" w:lineRule="exact"/>
        <w:ind w:firstLine="541" w:firstLineChars="246"/>
        <w:rPr>
          <w:rFonts w:hint="eastAsia" w:ascii="宋体" w:hAnsi="宋体"/>
          <w:b w:val="0"/>
          <w:sz w:val="22"/>
          <w:szCs w:val="22"/>
          <w:highlight w:val="none"/>
          <w:lang w:val="en-US" w:eastAsia="zh-CN"/>
        </w:rPr>
      </w:pPr>
      <w:r>
        <w:rPr>
          <w:rFonts w:hint="eastAsia" w:ascii="宋体" w:hAnsi="宋体"/>
          <w:b w:val="0"/>
          <w:sz w:val="22"/>
          <w:szCs w:val="22"/>
          <w:highlight w:val="none"/>
          <w:lang w:val="en-US" w:eastAsia="zh-CN"/>
        </w:rPr>
        <w:t>7、投标供应商不定期组织开展保险相关教育，使相关人员充分了解保险重要性。</w:t>
      </w:r>
    </w:p>
    <w:p w14:paraId="20BB207B">
      <w:pPr>
        <w:snapToGrid w:val="0"/>
        <w:spacing w:line="460" w:lineRule="exact"/>
        <w:ind w:firstLine="541" w:firstLineChars="246"/>
        <w:rPr>
          <w:rFonts w:hint="eastAsia" w:ascii="宋体" w:hAnsi="宋体"/>
          <w:b w:val="0"/>
          <w:sz w:val="22"/>
          <w:szCs w:val="22"/>
          <w:highlight w:val="none"/>
          <w:lang w:val="en-US" w:eastAsia="zh-CN"/>
        </w:rPr>
      </w:pPr>
      <w:r>
        <w:rPr>
          <w:rFonts w:hint="eastAsia" w:ascii="宋体" w:hAnsi="宋体"/>
          <w:b w:val="0"/>
          <w:sz w:val="22"/>
          <w:szCs w:val="22"/>
          <w:highlight w:val="none"/>
          <w:lang w:val="en-US" w:eastAsia="zh-CN"/>
        </w:rPr>
        <w:t>8、团队设置：成立针对本次项目的专门团队负责本项目的保险服务。</w:t>
      </w:r>
    </w:p>
    <w:p w14:paraId="06FAC4D8">
      <w:pPr>
        <w:snapToGrid w:val="0"/>
        <w:spacing w:line="460" w:lineRule="exact"/>
        <w:ind w:firstLine="541" w:firstLineChars="246"/>
        <w:rPr>
          <w:rFonts w:hint="eastAsia" w:ascii="宋体" w:hAnsi="宋体"/>
          <w:b w:val="0"/>
          <w:sz w:val="22"/>
          <w:szCs w:val="22"/>
          <w:highlight w:val="none"/>
          <w:lang w:val="en-US"/>
        </w:rPr>
      </w:pPr>
      <w:r>
        <w:rPr>
          <w:rFonts w:hint="eastAsia" w:ascii="宋体" w:hAnsi="宋体"/>
          <w:b w:val="0"/>
          <w:sz w:val="22"/>
          <w:szCs w:val="22"/>
          <w:highlight w:val="none"/>
          <w:lang w:val="en-US" w:eastAsia="zh-CN"/>
        </w:rPr>
        <w:t>9、勘查时效：设立365天无休日，24小时报案、咨询受理电话服务。</w:t>
      </w:r>
    </w:p>
    <w:p w14:paraId="1FD33E6D">
      <w:pPr>
        <w:snapToGrid w:val="0"/>
        <w:spacing w:line="460" w:lineRule="exact"/>
        <w:ind w:firstLine="541" w:firstLineChars="246"/>
        <w:rPr>
          <w:rFonts w:hint="eastAsia" w:ascii="宋体" w:hAnsi="宋体"/>
          <w:b w:val="0"/>
          <w:sz w:val="22"/>
          <w:szCs w:val="22"/>
          <w:highlight w:val="none"/>
          <w:lang w:val="en-US" w:eastAsia="zh-CN"/>
        </w:rPr>
      </w:pPr>
      <w:r>
        <w:rPr>
          <w:rFonts w:hint="eastAsia" w:ascii="宋体" w:hAnsi="宋体"/>
          <w:b w:val="0"/>
          <w:sz w:val="22"/>
          <w:szCs w:val="22"/>
          <w:highlight w:val="none"/>
          <w:lang w:val="en-US"/>
        </w:rPr>
        <w:t>10</w:t>
      </w:r>
      <w:r>
        <w:rPr>
          <w:rFonts w:hint="eastAsia" w:ascii="宋体" w:hAnsi="宋体"/>
          <w:b w:val="0"/>
          <w:sz w:val="22"/>
          <w:szCs w:val="22"/>
          <w:highlight w:val="none"/>
          <w:lang w:val="en-US" w:eastAsia="zh-CN"/>
        </w:rPr>
        <w:t>、保险人义务</w:t>
      </w:r>
    </w:p>
    <w:p w14:paraId="2B06F26A">
      <w:pPr>
        <w:snapToGrid w:val="0"/>
        <w:spacing w:line="460" w:lineRule="exact"/>
        <w:ind w:firstLine="541" w:firstLineChars="246"/>
        <w:rPr>
          <w:rFonts w:hint="eastAsia" w:ascii="宋体" w:hAnsi="宋体"/>
          <w:b w:val="0"/>
          <w:sz w:val="22"/>
          <w:szCs w:val="22"/>
          <w:highlight w:val="none"/>
          <w:lang w:val="en-US" w:eastAsia="zh-CN"/>
        </w:rPr>
      </w:pPr>
      <w:r>
        <w:rPr>
          <w:rFonts w:hint="eastAsia" w:ascii="宋体" w:hAnsi="宋体"/>
          <w:b w:val="0"/>
          <w:sz w:val="22"/>
          <w:szCs w:val="22"/>
          <w:highlight w:val="none"/>
          <w:lang w:val="en-US" w:eastAsia="zh-CN"/>
        </w:rPr>
        <w:t>（1）订立保险合同时，采用保险人提供的格式条款的，保险人向投保人提供的投保单应当附格式条款，保险人应当向投保人说明保险合同的内容。对保险合同中免除保险人责任的条款，保险人在订立合同时应当在投保单、保险单或者其他保险凭证上作出足以引起投保人注意的提示，并对该条款的内容以书面或者口头形式向投保人作出明确说明；未作提示或者明确说明的，该条款不产生效力。</w:t>
      </w:r>
    </w:p>
    <w:p w14:paraId="79FCB995">
      <w:pPr>
        <w:snapToGrid w:val="0"/>
        <w:spacing w:line="460" w:lineRule="exact"/>
        <w:ind w:firstLine="541" w:firstLineChars="246"/>
        <w:rPr>
          <w:rFonts w:hint="eastAsia" w:ascii="宋体" w:hAnsi="宋体"/>
          <w:b w:val="0"/>
          <w:sz w:val="22"/>
          <w:szCs w:val="22"/>
          <w:highlight w:val="none"/>
          <w:lang w:val="en-US" w:eastAsia="zh-CN"/>
        </w:rPr>
      </w:pPr>
      <w:r>
        <w:rPr>
          <w:rFonts w:hint="eastAsia" w:ascii="宋体" w:hAnsi="宋体"/>
          <w:b w:val="0"/>
          <w:sz w:val="22"/>
          <w:szCs w:val="22"/>
          <w:highlight w:val="none"/>
          <w:lang w:val="en-US" w:eastAsia="zh-CN"/>
        </w:rPr>
        <w:t>（2）本保险合同成立后，保险人应当及时向投保人签发保险单或其他保险凭证。</w:t>
      </w:r>
    </w:p>
    <w:p w14:paraId="4B5BFFCD">
      <w:pPr>
        <w:snapToGrid w:val="0"/>
        <w:spacing w:line="460" w:lineRule="exact"/>
        <w:ind w:firstLine="541" w:firstLineChars="246"/>
        <w:rPr>
          <w:rFonts w:hint="eastAsia" w:ascii="宋体" w:hAnsi="宋体"/>
          <w:b w:val="0"/>
          <w:sz w:val="22"/>
          <w:szCs w:val="22"/>
          <w:highlight w:val="none"/>
          <w:lang w:val="en-US" w:eastAsia="zh-CN"/>
        </w:rPr>
      </w:pPr>
      <w:r>
        <w:rPr>
          <w:rFonts w:hint="eastAsia" w:ascii="宋体" w:hAnsi="宋体"/>
          <w:b w:val="0"/>
          <w:sz w:val="22"/>
          <w:szCs w:val="22"/>
          <w:highlight w:val="none"/>
          <w:lang w:val="en-US" w:eastAsia="zh-CN"/>
        </w:rPr>
        <w:t>（3）保险人认为被保险人提供的有关索赔的证明和资料不完整的，应当及时一次性通知投保人、被保险人补充提供。</w:t>
      </w:r>
    </w:p>
    <w:p w14:paraId="114E86BD">
      <w:pPr>
        <w:snapToGrid w:val="0"/>
        <w:spacing w:line="460" w:lineRule="exact"/>
        <w:ind w:firstLine="541" w:firstLineChars="246"/>
        <w:rPr>
          <w:rFonts w:hint="eastAsia" w:ascii="宋体" w:hAnsi="宋体"/>
          <w:b w:val="0"/>
          <w:sz w:val="22"/>
          <w:szCs w:val="22"/>
          <w:highlight w:val="none"/>
          <w:lang w:val="en-US" w:eastAsia="zh-CN"/>
        </w:rPr>
      </w:pPr>
      <w:r>
        <w:rPr>
          <w:rFonts w:hint="eastAsia" w:ascii="宋体" w:hAnsi="宋体"/>
          <w:b w:val="0"/>
          <w:sz w:val="22"/>
          <w:szCs w:val="22"/>
          <w:highlight w:val="none"/>
          <w:lang w:val="en-US"/>
        </w:rPr>
        <w:t>（4）</w:t>
      </w:r>
      <w:r>
        <w:rPr>
          <w:rFonts w:hint="eastAsia" w:ascii="宋体" w:hAnsi="宋体"/>
          <w:b w:val="0"/>
          <w:sz w:val="22"/>
          <w:szCs w:val="22"/>
          <w:highlight w:val="none"/>
          <w:lang w:val="en-US" w:eastAsia="zh-CN"/>
        </w:rPr>
        <w:t>在索赔单证齐全的情况下3个工作日内赔付。</w:t>
      </w:r>
    </w:p>
    <w:p w14:paraId="37EE033E">
      <w:pPr>
        <w:snapToGrid w:val="0"/>
        <w:spacing w:line="460" w:lineRule="exact"/>
        <w:ind w:firstLine="541" w:firstLineChars="246"/>
        <w:rPr>
          <w:rFonts w:hint="eastAsia" w:ascii="宋体" w:hAnsi="宋体"/>
          <w:b w:val="0"/>
          <w:sz w:val="22"/>
          <w:szCs w:val="22"/>
          <w:highlight w:val="none"/>
          <w:lang w:val="en-US" w:eastAsia="zh-CN"/>
        </w:rPr>
      </w:pPr>
      <w:r>
        <w:rPr>
          <w:rFonts w:hint="eastAsia" w:ascii="宋体" w:hAnsi="宋体"/>
          <w:b w:val="0"/>
          <w:sz w:val="22"/>
          <w:szCs w:val="22"/>
          <w:highlight w:val="none"/>
          <w:lang w:val="en-US" w:eastAsia="zh-CN"/>
        </w:rPr>
        <w:t>（</w:t>
      </w:r>
      <w:r>
        <w:rPr>
          <w:rFonts w:hint="eastAsia" w:ascii="宋体" w:hAnsi="宋体"/>
          <w:b w:val="0"/>
          <w:sz w:val="22"/>
          <w:szCs w:val="22"/>
          <w:highlight w:val="none"/>
          <w:lang w:val="en-US"/>
        </w:rPr>
        <w:t>5</w:t>
      </w:r>
      <w:r>
        <w:rPr>
          <w:rFonts w:hint="eastAsia" w:ascii="宋体" w:hAnsi="宋体"/>
          <w:b w:val="0"/>
          <w:sz w:val="22"/>
          <w:szCs w:val="22"/>
          <w:highlight w:val="none"/>
          <w:lang w:val="en-US" w:eastAsia="zh-CN"/>
        </w:rPr>
        <w:t>）</w:t>
      </w:r>
      <w:r>
        <w:rPr>
          <w:rFonts w:ascii="宋体" w:hAnsi="宋体"/>
          <w:b w:val="0"/>
          <w:sz w:val="22"/>
          <w:szCs w:val="22"/>
          <w:highlight w:val="none"/>
          <w:lang w:val="en-US" w:eastAsia="zh-CN"/>
        </w:rPr>
        <w:t>其他适用于本险种的</w:t>
      </w:r>
      <w:r>
        <w:rPr>
          <w:rFonts w:hint="eastAsia" w:ascii="宋体" w:hAnsi="宋体"/>
          <w:b w:val="0"/>
          <w:sz w:val="22"/>
          <w:szCs w:val="22"/>
          <w:highlight w:val="none"/>
          <w:lang w:val="en-US" w:eastAsia="zh-CN"/>
        </w:rPr>
        <w:t>保险人义务</w:t>
      </w:r>
      <w:r>
        <w:rPr>
          <w:rFonts w:ascii="宋体" w:hAnsi="宋体"/>
          <w:b w:val="0"/>
          <w:sz w:val="22"/>
          <w:szCs w:val="22"/>
          <w:highlight w:val="none"/>
          <w:lang w:val="en-US" w:eastAsia="zh-CN"/>
        </w:rPr>
        <w:t>。（如有）</w:t>
      </w:r>
    </w:p>
    <w:p w14:paraId="24E85823">
      <w:pPr>
        <w:snapToGrid w:val="0"/>
        <w:spacing w:line="460" w:lineRule="exact"/>
        <w:ind w:firstLine="541" w:firstLineChars="246"/>
        <w:rPr>
          <w:rFonts w:hint="eastAsia" w:ascii="宋体" w:hAnsi="宋体"/>
          <w:b w:val="0"/>
          <w:sz w:val="22"/>
          <w:szCs w:val="22"/>
          <w:highlight w:val="none"/>
          <w:lang w:val="en-US" w:eastAsia="zh-CN"/>
        </w:rPr>
      </w:pPr>
      <w:r>
        <w:rPr>
          <w:rFonts w:hint="eastAsia" w:ascii="宋体" w:hAnsi="宋体"/>
          <w:b w:val="0"/>
          <w:sz w:val="22"/>
          <w:szCs w:val="22"/>
          <w:highlight w:val="none"/>
          <w:lang w:val="en-US"/>
        </w:rPr>
        <w:t>11</w:t>
      </w:r>
      <w:r>
        <w:rPr>
          <w:rFonts w:hint="eastAsia" w:ascii="宋体" w:hAnsi="宋体"/>
          <w:b w:val="0"/>
          <w:sz w:val="22"/>
          <w:szCs w:val="22"/>
          <w:highlight w:val="none"/>
          <w:lang w:val="en-US" w:eastAsia="zh-CN"/>
        </w:rPr>
        <w:t>、争议处理和法律适用</w:t>
      </w:r>
    </w:p>
    <w:p w14:paraId="643F7C29">
      <w:pPr>
        <w:snapToGrid w:val="0"/>
        <w:spacing w:line="460" w:lineRule="exact"/>
        <w:ind w:firstLine="541" w:firstLineChars="246"/>
        <w:rPr>
          <w:rFonts w:hint="eastAsia" w:ascii="宋体" w:hAnsi="宋体"/>
          <w:b w:val="0"/>
          <w:sz w:val="22"/>
          <w:szCs w:val="22"/>
          <w:highlight w:val="none"/>
          <w:lang w:val="en-US" w:eastAsia="zh-CN"/>
        </w:rPr>
      </w:pPr>
      <w:r>
        <w:rPr>
          <w:rFonts w:hint="eastAsia" w:ascii="宋体" w:hAnsi="宋体"/>
          <w:b w:val="0"/>
          <w:sz w:val="22"/>
          <w:szCs w:val="22"/>
          <w:highlight w:val="none"/>
          <w:lang w:val="en-US" w:eastAsia="zh-CN"/>
        </w:rPr>
        <w:t>（1）因履行本项目保险合同发生的争议，由当事人协商解决。协商不成的，提交保险单载明的仲裁机构仲裁；保险单未载明仲裁机构且争议发生后未达成仲裁协议的，依法向人民法院起诉。</w:t>
      </w:r>
    </w:p>
    <w:p w14:paraId="5292917B">
      <w:pPr>
        <w:snapToGrid w:val="0"/>
        <w:spacing w:line="460" w:lineRule="exact"/>
        <w:ind w:firstLine="541" w:firstLineChars="246"/>
        <w:rPr>
          <w:rFonts w:hint="eastAsia" w:ascii="宋体" w:hAnsi="宋体"/>
          <w:b w:val="0"/>
          <w:sz w:val="22"/>
          <w:szCs w:val="22"/>
          <w:highlight w:val="none"/>
          <w:lang w:val="en-US" w:eastAsia="zh-CN"/>
        </w:rPr>
      </w:pPr>
      <w:r>
        <w:rPr>
          <w:rFonts w:hint="eastAsia" w:ascii="宋体" w:hAnsi="宋体"/>
          <w:b w:val="0"/>
          <w:sz w:val="22"/>
          <w:szCs w:val="22"/>
          <w:highlight w:val="none"/>
          <w:lang w:val="en-US" w:eastAsia="zh-CN"/>
        </w:rPr>
        <w:t>（2）与本项目保险合同有关的以及履行本项目保险合同产生的一切争议，适用中华人民共和国法律（不包括港澳台地区法律）。</w:t>
      </w:r>
    </w:p>
    <w:p w14:paraId="6C954F13">
      <w:pPr>
        <w:snapToGrid w:val="0"/>
        <w:spacing w:line="460" w:lineRule="exact"/>
        <w:ind w:firstLine="541" w:firstLineChars="246"/>
        <w:rPr>
          <w:rFonts w:hint="eastAsia" w:ascii="宋体" w:hAnsi="宋体"/>
          <w:b w:val="0"/>
          <w:sz w:val="22"/>
          <w:szCs w:val="22"/>
          <w:highlight w:val="none"/>
          <w:lang w:val="en-US" w:eastAsia="zh-CN"/>
        </w:rPr>
      </w:pPr>
      <w:r>
        <w:rPr>
          <w:rFonts w:hint="eastAsia" w:ascii="宋体" w:hAnsi="宋体"/>
          <w:b w:val="0"/>
          <w:sz w:val="22"/>
          <w:szCs w:val="22"/>
          <w:highlight w:val="none"/>
          <w:lang w:val="en-US" w:eastAsia="zh-CN"/>
        </w:rPr>
        <w:t>（3）</w:t>
      </w:r>
      <w:r>
        <w:rPr>
          <w:rFonts w:ascii="宋体" w:hAnsi="宋体"/>
          <w:b w:val="0"/>
          <w:sz w:val="22"/>
          <w:szCs w:val="22"/>
          <w:highlight w:val="none"/>
          <w:lang w:val="en-US" w:eastAsia="zh-CN"/>
        </w:rPr>
        <w:t>适用条款：经中国保监会审核并备案的相关最新条款以及本招标文件约定</w:t>
      </w:r>
      <w:r>
        <w:rPr>
          <w:rFonts w:hint="eastAsia" w:ascii="宋体" w:hAnsi="宋体"/>
          <w:b w:val="0"/>
          <w:sz w:val="22"/>
          <w:szCs w:val="22"/>
          <w:highlight w:val="none"/>
          <w:lang w:val="en-US" w:eastAsia="zh-CN"/>
        </w:rPr>
        <w:t>的基本保险条款、扩展条款和特别约定</w:t>
      </w:r>
      <w:r>
        <w:rPr>
          <w:rFonts w:ascii="宋体" w:hAnsi="宋体"/>
          <w:b w:val="0"/>
          <w:sz w:val="22"/>
          <w:szCs w:val="22"/>
          <w:highlight w:val="none"/>
          <w:lang w:val="en-US" w:eastAsia="zh-CN"/>
        </w:rPr>
        <w:t>。</w:t>
      </w:r>
    </w:p>
    <w:p w14:paraId="65506CB4">
      <w:pPr>
        <w:snapToGrid w:val="0"/>
        <w:spacing w:line="460" w:lineRule="exact"/>
        <w:ind w:firstLine="541" w:firstLineChars="246"/>
        <w:rPr>
          <w:rFonts w:ascii="宋体" w:hAnsi="宋体"/>
          <w:b w:val="0"/>
          <w:sz w:val="22"/>
          <w:szCs w:val="22"/>
          <w:highlight w:val="none"/>
          <w:lang w:val="en-US"/>
        </w:rPr>
      </w:pPr>
      <w:r>
        <w:rPr>
          <w:rFonts w:hint="eastAsia" w:ascii="宋体" w:hAnsi="宋体"/>
          <w:b w:val="0"/>
          <w:sz w:val="22"/>
          <w:szCs w:val="22"/>
          <w:highlight w:val="none"/>
          <w:lang w:val="en-US" w:eastAsia="zh-CN"/>
        </w:rPr>
        <w:t>（4）</w:t>
      </w:r>
      <w:r>
        <w:rPr>
          <w:rFonts w:ascii="宋体" w:hAnsi="宋体"/>
          <w:b w:val="0"/>
          <w:sz w:val="22"/>
          <w:szCs w:val="22"/>
          <w:highlight w:val="none"/>
          <w:lang w:val="en-US" w:eastAsia="zh-CN"/>
        </w:rPr>
        <w:t>其他适用于本险种的法律、法规、条款和争议处理等。（如有）</w:t>
      </w:r>
    </w:p>
    <w:p w14:paraId="65006694">
      <w:pPr>
        <w:snapToGrid w:val="0"/>
        <w:spacing w:line="460" w:lineRule="exact"/>
        <w:ind w:firstLine="543" w:firstLineChars="246"/>
        <w:rPr>
          <w:rFonts w:hint="eastAsia" w:ascii="宋体" w:hAnsi="宋体"/>
          <w:sz w:val="22"/>
          <w:szCs w:val="22"/>
          <w:highlight w:val="none"/>
          <w:lang w:val="en-US"/>
        </w:rPr>
      </w:pPr>
      <w:r>
        <w:rPr>
          <w:rFonts w:hint="eastAsia" w:ascii="宋体" w:hAnsi="宋体"/>
          <w:sz w:val="22"/>
          <w:szCs w:val="22"/>
          <w:highlight w:val="none"/>
          <w:lang w:val="en-US"/>
        </w:rPr>
        <w:t>12、</w:t>
      </w:r>
      <w:bookmarkStart w:id="9" w:name="_Hlk176423357"/>
      <w:r>
        <w:rPr>
          <w:rFonts w:hint="eastAsia" w:ascii="宋体" w:hAnsi="宋体"/>
          <w:sz w:val="22"/>
          <w:szCs w:val="22"/>
          <w:highlight w:val="none"/>
          <w:lang w:val="en-US"/>
        </w:rPr>
        <w:t>当一个合同期内的年度赔付率（赔付率=（已决赔款+未决赔款）/实收保费）在80%（不含）以下，第二年度保费按上年度保费的9折支付；在80%-100%（不含）第二年度保费不做调整，当年度赔付率超100%（含），第二年度续签合同的保费在上年基础上增加10%。</w:t>
      </w:r>
      <w:bookmarkEnd w:id="9"/>
    </w:p>
    <w:p w14:paraId="76746B86">
      <w:pPr>
        <w:pStyle w:val="29"/>
        <w:adjustRightInd w:val="0"/>
        <w:spacing w:line="430" w:lineRule="atLeast"/>
        <w:ind w:left="422"/>
        <w:rPr>
          <w:rFonts w:ascii="宋体" w:hAnsi="宋体"/>
          <w:color w:val="auto"/>
          <w:sz w:val="22"/>
          <w:szCs w:val="22"/>
          <w:highlight w:val="none"/>
          <w:lang w:val="en-US" w:eastAsia="zh-CN"/>
        </w:rPr>
      </w:pPr>
      <w:r>
        <w:rPr>
          <w:rFonts w:hint="eastAsia" w:ascii="宋体" w:hAnsi="宋体"/>
          <w:color w:val="auto"/>
          <w:sz w:val="22"/>
          <w:szCs w:val="22"/>
          <w:highlight w:val="none"/>
          <w:lang w:val="en-US" w:eastAsia="zh-CN"/>
        </w:rPr>
        <w:t>三、商务条款</w:t>
      </w:r>
    </w:p>
    <w:p w14:paraId="20E3BB76">
      <w:pPr>
        <w:spacing w:line="360" w:lineRule="auto"/>
        <w:ind w:firstLine="422" w:firstLineChars="200"/>
        <w:rPr>
          <w:rFonts w:hint="eastAsia" w:ascii="宋体" w:hAnsi="宋体" w:cs="宋体"/>
          <w:bCs w:val="0"/>
          <w:sz w:val="22"/>
          <w:szCs w:val="22"/>
          <w:highlight w:val="none"/>
          <w:u w:val="single"/>
        </w:rPr>
      </w:pPr>
      <w:r>
        <w:rPr>
          <w:rFonts w:hint="eastAsia"/>
          <w:highlight w:val="none"/>
          <w:lang w:val="en-US"/>
        </w:rPr>
        <w:t>1、履约保证金：</w:t>
      </w:r>
      <w:bookmarkStart w:id="10" w:name="_Hlk176423404"/>
      <w:r>
        <w:rPr>
          <w:rFonts w:hint="eastAsia" w:ascii="宋体" w:hAnsi="宋体" w:cs="宋体"/>
          <w:bCs w:val="0"/>
          <w:sz w:val="22"/>
          <w:szCs w:val="22"/>
          <w:highlight w:val="none"/>
          <w:u w:val="single"/>
        </w:rPr>
        <w:t>▲签订合同后5个工作日内，中标供应商须以银行转账或银行保函或保险保函的方式向采购人提交人民币叁万元（小写：￥30000.00元整）作为履约保证金。履约保证金在服务期终止后，扣除违约金(如果有)后一次性退还中标供应商。</w:t>
      </w:r>
      <w:r>
        <w:rPr>
          <w:rFonts w:hint="eastAsia" w:ascii="宋体" w:hAnsi="宋体" w:cs="宋体"/>
          <w:bCs w:val="0"/>
          <w:sz w:val="22"/>
          <w:szCs w:val="22"/>
          <w:highlight w:val="none"/>
        </w:rPr>
        <w:t>如续签合同的，则在续签合同服务期结束后退还。</w:t>
      </w:r>
      <w:bookmarkEnd w:id="10"/>
    </w:p>
    <w:p w14:paraId="7595FF72">
      <w:pPr>
        <w:spacing w:line="360" w:lineRule="auto"/>
        <w:ind w:firstLine="442" w:firstLineChars="200"/>
        <w:rPr>
          <w:rFonts w:hint="eastAsia" w:ascii="宋体" w:hAnsi="宋体" w:cs="宋体"/>
          <w:bCs w:val="0"/>
          <w:sz w:val="22"/>
          <w:szCs w:val="22"/>
          <w:highlight w:val="none"/>
        </w:rPr>
      </w:pPr>
      <w:r>
        <w:rPr>
          <w:rFonts w:hint="eastAsia" w:ascii="宋体" w:hAnsi="宋体"/>
          <w:sz w:val="22"/>
          <w:szCs w:val="22"/>
          <w:highlight w:val="none"/>
          <w:lang w:val="en-US"/>
        </w:rPr>
        <w:t>2</w:t>
      </w:r>
      <w:r>
        <w:rPr>
          <w:rFonts w:hint="eastAsia" w:ascii="宋体" w:hAnsi="宋体"/>
          <w:sz w:val="22"/>
          <w:szCs w:val="22"/>
          <w:highlight w:val="none"/>
          <w:lang w:val="en-US" w:eastAsia="zh-CN"/>
        </w:rPr>
        <w:t>、</w:t>
      </w:r>
      <w:bookmarkStart w:id="11" w:name="_Hlk176423418"/>
      <w:r>
        <w:rPr>
          <w:rFonts w:hint="eastAsia" w:ascii="宋体" w:hAnsi="宋体"/>
          <w:sz w:val="22"/>
          <w:szCs w:val="22"/>
          <w:highlight w:val="none"/>
          <w:lang w:val="en-US" w:eastAsia="zh-CN"/>
        </w:rPr>
        <w:t>保费付款方式</w:t>
      </w:r>
      <w:bookmarkEnd w:id="11"/>
      <w:r>
        <w:rPr>
          <w:rFonts w:hint="eastAsia" w:ascii="宋体" w:hAnsi="宋体"/>
          <w:sz w:val="22"/>
          <w:szCs w:val="22"/>
          <w:highlight w:val="none"/>
          <w:lang w:val="en-US" w:eastAsia="zh-CN"/>
        </w:rPr>
        <w:t>：</w:t>
      </w:r>
      <w:bookmarkStart w:id="12" w:name="_Hlk176423443"/>
      <w:r>
        <w:rPr>
          <w:rFonts w:hint="eastAsia" w:ascii="宋体" w:hAnsi="宋体" w:cs="宋体"/>
          <w:bCs w:val="0"/>
          <w:sz w:val="22"/>
          <w:szCs w:val="22"/>
          <w:highlight w:val="none"/>
        </w:rPr>
        <w:t>合同签订后，采购人在收到中标供应商履约保证金和缴费通知书之后，采购人向中标供应商支付合同全款。</w:t>
      </w:r>
    </w:p>
    <w:p w14:paraId="3C84545C">
      <w:pPr>
        <w:spacing w:line="360" w:lineRule="auto"/>
        <w:ind w:firstLine="442" w:firstLineChars="200"/>
        <w:rPr>
          <w:rFonts w:ascii="宋体" w:hAnsi="宋体" w:cs="宋体"/>
          <w:bCs w:val="0"/>
          <w:sz w:val="22"/>
          <w:szCs w:val="22"/>
          <w:highlight w:val="none"/>
          <w:lang w:val="zh-CN"/>
        </w:rPr>
      </w:pPr>
      <w:r>
        <w:rPr>
          <w:rFonts w:hint="eastAsia" w:ascii="宋体" w:hAnsi="宋体" w:cs="宋体"/>
          <w:bCs w:val="0"/>
          <w:sz w:val="22"/>
          <w:szCs w:val="22"/>
          <w:highlight w:val="none"/>
        </w:rPr>
        <w:t>采购人</w:t>
      </w:r>
      <w:r>
        <w:rPr>
          <w:rFonts w:hint="eastAsia" w:ascii="宋体" w:hAnsi="宋体" w:cs="宋体"/>
          <w:bCs w:val="0"/>
          <w:sz w:val="22"/>
          <w:szCs w:val="22"/>
          <w:highlight w:val="none"/>
          <w:lang w:val="zh-CN"/>
        </w:rPr>
        <w:t>对于满足合同约定支付条件的，自收到相应金额的发票后</w:t>
      </w:r>
      <w:r>
        <w:rPr>
          <w:rFonts w:hint="eastAsia" w:ascii="宋体" w:hAnsi="宋体" w:cs="宋体"/>
          <w:bCs w:val="0"/>
          <w:sz w:val="22"/>
          <w:szCs w:val="22"/>
          <w:highlight w:val="none"/>
        </w:rPr>
        <w:t>15</w:t>
      </w:r>
      <w:r>
        <w:rPr>
          <w:rFonts w:hint="eastAsia" w:ascii="宋体" w:hAnsi="宋体" w:cs="宋体"/>
          <w:bCs w:val="0"/>
          <w:sz w:val="22"/>
          <w:szCs w:val="22"/>
          <w:highlight w:val="none"/>
          <w:lang w:val="zh-CN"/>
        </w:rPr>
        <w:t>个工作日内将资金支付到合同约定的</w:t>
      </w:r>
      <w:r>
        <w:rPr>
          <w:rFonts w:hint="eastAsia" w:ascii="宋体" w:hAnsi="宋体" w:cs="宋体"/>
          <w:bCs w:val="0"/>
          <w:sz w:val="22"/>
          <w:szCs w:val="22"/>
          <w:highlight w:val="none"/>
        </w:rPr>
        <w:t>中标供应商</w:t>
      </w:r>
      <w:r>
        <w:rPr>
          <w:rFonts w:hint="eastAsia" w:ascii="宋体" w:hAnsi="宋体" w:cs="宋体"/>
          <w:bCs w:val="0"/>
          <w:sz w:val="22"/>
          <w:szCs w:val="22"/>
          <w:highlight w:val="none"/>
          <w:lang w:val="zh-CN"/>
        </w:rPr>
        <w:t>账户。</w:t>
      </w:r>
    </w:p>
    <w:bookmarkEnd w:id="12"/>
    <w:p w14:paraId="5AAFA11C">
      <w:pPr>
        <w:spacing w:line="360" w:lineRule="auto"/>
        <w:ind w:firstLine="410" w:firstLineChars="200"/>
        <w:rPr>
          <w:rFonts w:hint="eastAsia" w:ascii="宋体" w:hAnsi="宋体" w:cs="宋体"/>
          <w:sz w:val="22"/>
          <w:szCs w:val="22"/>
          <w:highlight w:val="none"/>
        </w:rPr>
      </w:pPr>
      <w:r>
        <w:rPr>
          <w:rFonts w:hint="eastAsia" w:ascii="宋体" w:hAnsi="宋体" w:cs="宋体"/>
          <w:bCs w:val="0"/>
          <w:spacing w:val="-8"/>
          <w:sz w:val="22"/>
          <w:szCs w:val="22"/>
          <w:highlight w:val="none"/>
        </w:rPr>
        <w:t>3、服务期：</w:t>
      </w:r>
      <w:bookmarkStart w:id="13" w:name="_Hlk176423470"/>
      <w:r>
        <w:rPr>
          <w:rFonts w:hint="eastAsia" w:ascii="宋体" w:hAnsi="宋体" w:cs="宋体"/>
          <w:sz w:val="22"/>
          <w:szCs w:val="22"/>
          <w:highlight w:val="none"/>
        </w:rPr>
        <w:t>项目服务期一年，采用1+1+1模式，合同到期后（也可视情况提前1-2月），由采购人对中标供应商进行履约验收（验收内容详见附表1），验收合格后（</w:t>
      </w:r>
      <w:r>
        <w:rPr>
          <w:rFonts w:hint="eastAsia" w:ascii="宋体" w:hAnsi="宋体" w:cs="宋体"/>
          <w:bCs w:val="0"/>
          <w:sz w:val="22"/>
          <w:szCs w:val="22"/>
          <w:highlight w:val="none"/>
        </w:rPr>
        <w:t>年度平均分达到80分为合格</w:t>
      </w:r>
      <w:r>
        <w:rPr>
          <w:rFonts w:hint="eastAsia" w:ascii="宋体" w:hAnsi="宋体" w:cs="宋体"/>
          <w:sz w:val="22"/>
          <w:szCs w:val="22"/>
          <w:highlight w:val="none"/>
        </w:rPr>
        <w:t>），经采购人与中标供应商双方同意可以续签，最多续签两次，续签合同的服务内容、要求和单价或单价计算规则不变。即使具备续签条件，采购人仍有权不续签。</w:t>
      </w:r>
      <w:bookmarkEnd w:id="13"/>
    </w:p>
    <w:p w14:paraId="58F52C2A">
      <w:pPr>
        <w:spacing w:line="360" w:lineRule="auto"/>
        <w:textAlignment w:val="center"/>
        <w:rPr>
          <w:rFonts w:hint="eastAsia" w:ascii="宋体" w:hAnsi="宋体" w:cs="宋体"/>
          <w:b w:val="0"/>
          <w:bCs w:val="0"/>
          <w:sz w:val="22"/>
          <w:szCs w:val="22"/>
          <w:highlight w:val="none"/>
        </w:rPr>
      </w:pPr>
      <w:r>
        <w:rPr>
          <w:rFonts w:hint="eastAsia" w:ascii="宋体" w:hAnsi="宋体" w:cs="宋体"/>
          <w:b w:val="0"/>
          <w:bCs w:val="0"/>
          <w:sz w:val="22"/>
          <w:szCs w:val="22"/>
          <w:highlight w:val="none"/>
        </w:rPr>
        <w:t>附表1：验收内容</w:t>
      </w:r>
    </w:p>
    <w:p w14:paraId="24EB8BF6">
      <w:pPr>
        <w:spacing w:line="40" w:lineRule="exact"/>
        <w:jc w:val="center"/>
        <w:rPr>
          <w:rFonts w:hint="eastAsia" w:ascii="宋体" w:hAnsi="宋体" w:cs="宋体"/>
          <w:b w:val="0"/>
          <w:sz w:val="22"/>
          <w:szCs w:val="22"/>
          <w:highlight w:val="none"/>
        </w:rPr>
      </w:pPr>
    </w:p>
    <w:p w14:paraId="3A8ED36F">
      <w:pPr>
        <w:spacing w:line="360" w:lineRule="auto"/>
        <w:jc w:val="center"/>
        <w:rPr>
          <w:rFonts w:hint="eastAsia" w:ascii="宋体" w:hAnsi="宋体" w:cs="宋体"/>
          <w:b w:val="0"/>
          <w:sz w:val="24"/>
          <w:highlight w:val="none"/>
        </w:rPr>
      </w:pPr>
      <w:r>
        <w:rPr>
          <w:rFonts w:hint="eastAsia" w:ascii="宋体" w:hAnsi="宋体" w:cs="宋体"/>
          <w:b w:val="0"/>
          <w:sz w:val="24"/>
          <w:highlight w:val="none"/>
        </w:rPr>
        <w:t>项目评价表（打分形式）</w:t>
      </w:r>
    </w:p>
    <w:tbl>
      <w:tblPr>
        <w:tblStyle w:val="35"/>
        <w:tblW w:w="8840" w:type="dxa"/>
        <w:tblInd w:w="-111"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37"/>
        <w:gridCol w:w="572"/>
        <w:gridCol w:w="6693"/>
        <w:gridCol w:w="738"/>
      </w:tblGrid>
      <w:tr w14:paraId="50EA07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8840" w:type="dxa"/>
            <w:gridSpan w:val="4"/>
            <w:vAlign w:val="center"/>
          </w:tcPr>
          <w:p w14:paraId="4D3D67A1">
            <w:pPr>
              <w:jc w:val="center"/>
              <w:rPr>
                <w:rFonts w:hint="eastAsia" w:ascii="宋体" w:hAnsi="宋体" w:cs="宋体"/>
                <w:b w:val="0"/>
                <w:sz w:val="22"/>
                <w:szCs w:val="22"/>
                <w:highlight w:val="none"/>
              </w:rPr>
            </w:pPr>
            <w:r>
              <w:rPr>
                <w:rFonts w:hint="eastAsia" w:ascii="宋体" w:hAnsi="宋体" w:cs="宋体"/>
                <w:b w:val="0"/>
                <w:sz w:val="22"/>
                <w:szCs w:val="22"/>
                <w:highlight w:val="none"/>
              </w:rPr>
              <w:t>龙港用水客户户内漏水保险服务</w:t>
            </w:r>
          </w:p>
        </w:tc>
      </w:tr>
      <w:tr w14:paraId="1E8076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837" w:type="dxa"/>
            <w:vAlign w:val="center"/>
          </w:tcPr>
          <w:p w14:paraId="25721D87">
            <w:pPr>
              <w:jc w:val="center"/>
              <w:rPr>
                <w:rFonts w:hint="eastAsia" w:ascii="宋体" w:hAnsi="宋体" w:cs="宋体"/>
                <w:b w:val="0"/>
                <w:sz w:val="22"/>
                <w:szCs w:val="22"/>
                <w:highlight w:val="none"/>
              </w:rPr>
            </w:pPr>
            <w:r>
              <w:rPr>
                <w:rFonts w:hint="eastAsia" w:ascii="宋体" w:hAnsi="宋体" w:cs="宋体"/>
                <w:b w:val="0"/>
                <w:sz w:val="22"/>
                <w:szCs w:val="22"/>
                <w:highlight w:val="none"/>
              </w:rPr>
              <w:t>评价阶段</w:t>
            </w:r>
          </w:p>
        </w:tc>
        <w:tc>
          <w:tcPr>
            <w:tcW w:w="8003" w:type="dxa"/>
            <w:gridSpan w:val="3"/>
            <w:vAlign w:val="center"/>
          </w:tcPr>
          <w:p w14:paraId="3C248A82">
            <w:pPr>
              <w:jc w:val="center"/>
              <w:rPr>
                <w:rFonts w:hint="eastAsia" w:ascii="宋体" w:hAnsi="宋体" w:cs="宋体"/>
                <w:b w:val="0"/>
                <w:sz w:val="22"/>
                <w:szCs w:val="22"/>
                <w:highlight w:val="none"/>
              </w:rPr>
            </w:pPr>
            <w:r>
              <w:rPr>
                <w:rFonts w:hint="eastAsia" w:ascii="宋体" w:hAnsi="宋体" w:cs="宋体"/>
                <w:b w:val="0"/>
                <w:sz w:val="22"/>
                <w:szCs w:val="22"/>
                <w:highlight w:val="none"/>
              </w:rPr>
              <w:t>季度（XXXX/XX/1-XXXX/XX/31）</w:t>
            </w:r>
          </w:p>
        </w:tc>
      </w:tr>
      <w:tr w14:paraId="22FE7E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837" w:type="dxa"/>
            <w:vAlign w:val="center"/>
          </w:tcPr>
          <w:p w14:paraId="0B53CEB5">
            <w:pPr>
              <w:jc w:val="center"/>
              <w:rPr>
                <w:rFonts w:hint="eastAsia" w:ascii="宋体" w:hAnsi="宋体" w:cs="宋体"/>
                <w:b w:val="0"/>
                <w:sz w:val="22"/>
                <w:szCs w:val="22"/>
                <w:highlight w:val="none"/>
              </w:rPr>
            </w:pPr>
            <w:r>
              <w:rPr>
                <w:rFonts w:hint="eastAsia" w:ascii="宋体" w:hAnsi="宋体" w:cs="宋体"/>
                <w:b w:val="0"/>
                <w:sz w:val="22"/>
                <w:szCs w:val="22"/>
                <w:highlight w:val="none"/>
              </w:rPr>
              <w:t>服务内容</w:t>
            </w:r>
          </w:p>
        </w:tc>
        <w:tc>
          <w:tcPr>
            <w:tcW w:w="8003" w:type="dxa"/>
            <w:gridSpan w:val="3"/>
            <w:vAlign w:val="center"/>
          </w:tcPr>
          <w:p w14:paraId="49A4C816">
            <w:pPr>
              <w:jc w:val="center"/>
              <w:rPr>
                <w:rFonts w:hint="eastAsia" w:ascii="宋体" w:hAnsi="宋体" w:cs="宋体"/>
                <w:b w:val="0"/>
                <w:sz w:val="22"/>
                <w:szCs w:val="22"/>
                <w:highlight w:val="none"/>
              </w:rPr>
            </w:pPr>
          </w:p>
        </w:tc>
      </w:tr>
      <w:tr w14:paraId="2B2555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8840" w:type="dxa"/>
            <w:gridSpan w:val="4"/>
            <w:vAlign w:val="center"/>
          </w:tcPr>
          <w:p w14:paraId="040C9514">
            <w:pPr>
              <w:jc w:val="center"/>
              <w:rPr>
                <w:rFonts w:hint="eastAsia" w:ascii="宋体" w:hAnsi="宋体" w:cs="宋体"/>
                <w:b w:val="0"/>
                <w:sz w:val="22"/>
                <w:szCs w:val="22"/>
                <w:highlight w:val="none"/>
              </w:rPr>
            </w:pPr>
            <w:r>
              <w:rPr>
                <w:rFonts w:hint="eastAsia" w:ascii="宋体" w:hAnsi="宋体" w:cs="宋体"/>
                <w:b w:val="0"/>
                <w:sz w:val="22"/>
                <w:szCs w:val="22"/>
                <w:highlight w:val="none"/>
              </w:rPr>
              <w:t>评价情况</w:t>
            </w:r>
          </w:p>
        </w:tc>
      </w:tr>
      <w:tr w14:paraId="48CE84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837" w:type="dxa"/>
            <w:vAlign w:val="center"/>
          </w:tcPr>
          <w:p w14:paraId="073E9B1F">
            <w:pPr>
              <w:spacing w:line="360" w:lineRule="auto"/>
              <w:jc w:val="center"/>
              <w:rPr>
                <w:rFonts w:hint="eastAsia" w:ascii="宋体" w:hAnsi="宋体" w:cs="宋体"/>
                <w:b w:val="0"/>
                <w:sz w:val="22"/>
                <w:szCs w:val="22"/>
                <w:highlight w:val="none"/>
              </w:rPr>
            </w:pPr>
            <w:r>
              <w:rPr>
                <w:rFonts w:hint="eastAsia" w:ascii="宋体" w:hAnsi="宋体" w:cs="宋体"/>
                <w:b w:val="0"/>
                <w:sz w:val="22"/>
                <w:szCs w:val="22"/>
                <w:highlight w:val="none"/>
              </w:rPr>
              <w:t>序号</w:t>
            </w:r>
          </w:p>
        </w:tc>
        <w:tc>
          <w:tcPr>
            <w:tcW w:w="0" w:type="auto"/>
            <w:vAlign w:val="center"/>
          </w:tcPr>
          <w:p w14:paraId="07329FD8">
            <w:pPr>
              <w:spacing w:line="360" w:lineRule="auto"/>
              <w:jc w:val="center"/>
              <w:rPr>
                <w:rFonts w:hint="eastAsia" w:ascii="宋体" w:hAnsi="宋体" w:cs="宋体"/>
                <w:b w:val="0"/>
                <w:sz w:val="22"/>
                <w:szCs w:val="22"/>
                <w:highlight w:val="none"/>
              </w:rPr>
            </w:pPr>
            <w:r>
              <w:rPr>
                <w:rFonts w:hint="eastAsia" w:ascii="宋体" w:hAnsi="宋体" w:cs="宋体"/>
                <w:b w:val="0"/>
                <w:sz w:val="22"/>
                <w:szCs w:val="22"/>
                <w:highlight w:val="none"/>
              </w:rPr>
              <w:t>分值</w:t>
            </w:r>
          </w:p>
        </w:tc>
        <w:tc>
          <w:tcPr>
            <w:tcW w:w="0" w:type="auto"/>
            <w:vAlign w:val="center"/>
          </w:tcPr>
          <w:p w14:paraId="39B64C11">
            <w:pPr>
              <w:spacing w:line="360" w:lineRule="auto"/>
              <w:jc w:val="center"/>
              <w:rPr>
                <w:rFonts w:hint="eastAsia" w:ascii="宋体" w:hAnsi="宋体" w:cs="宋体"/>
                <w:b w:val="0"/>
                <w:sz w:val="22"/>
                <w:szCs w:val="22"/>
                <w:highlight w:val="none"/>
              </w:rPr>
            </w:pPr>
            <w:r>
              <w:rPr>
                <w:rFonts w:hint="eastAsia" w:ascii="宋体" w:hAnsi="宋体" w:cs="宋体"/>
                <w:b w:val="0"/>
                <w:sz w:val="22"/>
                <w:szCs w:val="22"/>
                <w:highlight w:val="none"/>
              </w:rPr>
              <w:t>评分内容</w:t>
            </w:r>
          </w:p>
        </w:tc>
        <w:tc>
          <w:tcPr>
            <w:tcW w:w="738" w:type="dxa"/>
            <w:vAlign w:val="center"/>
          </w:tcPr>
          <w:p w14:paraId="63A9735D">
            <w:pPr>
              <w:spacing w:line="360" w:lineRule="auto"/>
              <w:jc w:val="center"/>
              <w:rPr>
                <w:rFonts w:hint="eastAsia" w:ascii="宋体" w:hAnsi="宋体" w:cs="宋体"/>
                <w:b w:val="0"/>
                <w:sz w:val="22"/>
                <w:szCs w:val="22"/>
                <w:highlight w:val="none"/>
              </w:rPr>
            </w:pPr>
            <w:r>
              <w:rPr>
                <w:rFonts w:hint="eastAsia" w:ascii="宋体" w:hAnsi="宋体" w:cs="宋体"/>
                <w:b w:val="0"/>
                <w:sz w:val="22"/>
                <w:szCs w:val="22"/>
                <w:highlight w:val="none"/>
              </w:rPr>
              <w:t>得分</w:t>
            </w:r>
          </w:p>
        </w:tc>
      </w:tr>
      <w:tr w14:paraId="5E28B6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837" w:type="dxa"/>
            <w:vAlign w:val="center"/>
          </w:tcPr>
          <w:p w14:paraId="1CB7A1AF">
            <w:pPr>
              <w:spacing w:line="360" w:lineRule="auto"/>
              <w:jc w:val="center"/>
              <w:rPr>
                <w:rFonts w:hint="eastAsia" w:ascii="宋体" w:hAnsi="宋体" w:cs="宋体"/>
                <w:b w:val="0"/>
                <w:sz w:val="22"/>
                <w:szCs w:val="22"/>
                <w:highlight w:val="none"/>
              </w:rPr>
            </w:pPr>
            <w:r>
              <w:rPr>
                <w:rFonts w:hint="eastAsia" w:ascii="宋体" w:hAnsi="宋体" w:cs="宋体"/>
                <w:b w:val="0"/>
                <w:sz w:val="22"/>
                <w:szCs w:val="22"/>
                <w:highlight w:val="none"/>
              </w:rPr>
              <w:t>1</w:t>
            </w:r>
          </w:p>
        </w:tc>
        <w:tc>
          <w:tcPr>
            <w:tcW w:w="0" w:type="auto"/>
            <w:vAlign w:val="center"/>
          </w:tcPr>
          <w:p w14:paraId="786D8A5A">
            <w:pPr>
              <w:spacing w:line="360" w:lineRule="auto"/>
              <w:jc w:val="center"/>
              <w:rPr>
                <w:rFonts w:hint="eastAsia" w:ascii="宋体" w:hAnsi="宋体" w:eastAsia="等线" w:cs="宋体"/>
                <w:b w:val="0"/>
                <w:sz w:val="22"/>
                <w:szCs w:val="22"/>
                <w:highlight w:val="none"/>
              </w:rPr>
            </w:pPr>
            <w:r>
              <w:rPr>
                <w:rFonts w:hint="eastAsia" w:ascii="宋体" w:hAnsi="宋体" w:eastAsia="等线" w:cs="宋体"/>
                <w:b w:val="0"/>
                <w:sz w:val="22"/>
                <w:szCs w:val="22"/>
                <w:highlight w:val="none"/>
              </w:rPr>
              <w:t>20</w:t>
            </w:r>
          </w:p>
        </w:tc>
        <w:tc>
          <w:tcPr>
            <w:tcW w:w="0" w:type="auto"/>
            <w:vAlign w:val="center"/>
          </w:tcPr>
          <w:p w14:paraId="78F8EB88">
            <w:pPr>
              <w:spacing w:line="360" w:lineRule="auto"/>
              <w:rPr>
                <w:rFonts w:hint="eastAsia" w:ascii="宋体" w:hAnsi="宋体" w:cs="宋体"/>
                <w:b w:val="0"/>
                <w:sz w:val="22"/>
                <w:szCs w:val="22"/>
                <w:highlight w:val="none"/>
              </w:rPr>
            </w:pPr>
            <w:r>
              <w:rPr>
                <w:rFonts w:hint="eastAsia" w:ascii="宋体" w:hAnsi="宋体" w:cs="宋体"/>
                <w:b w:val="0"/>
                <w:sz w:val="22"/>
                <w:szCs w:val="22"/>
                <w:highlight w:val="none"/>
              </w:rPr>
              <w:t>赔付时效：</w:t>
            </w:r>
            <w:r>
              <w:rPr>
                <w:rFonts w:hint="eastAsia" w:ascii="宋体" w:hAnsi="宋体" w:cs="宋体"/>
                <w:b w:val="0"/>
                <w:sz w:val="22"/>
                <w:szCs w:val="22"/>
                <w:highlight w:val="none"/>
                <w:lang w:val="zh-CN"/>
              </w:rPr>
              <w:t>在索赔单证齐全的情况下</w:t>
            </w:r>
            <w:r>
              <w:rPr>
                <w:rFonts w:hint="eastAsia" w:ascii="宋体" w:hAnsi="宋体" w:cs="宋体"/>
                <w:b w:val="0"/>
                <w:sz w:val="22"/>
                <w:szCs w:val="22"/>
                <w:highlight w:val="none"/>
                <w:lang w:val="en-US" w:eastAsia="zh-CN"/>
              </w:rPr>
              <w:t>5</w:t>
            </w:r>
            <w:r>
              <w:rPr>
                <w:rFonts w:hint="eastAsia" w:ascii="宋体" w:hAnsi="宋体" w:cs="宋体"/>
                <w:b w:val="0"/>
                <w:sz w:val="22"/>
                <w:szCs w:val="22"/>
                <w:highlight w:val="none"/>
                <w:lang w:val="zh-CN"/>
              </w:rPr>
              <w:t>个工作日内赔付，</w:t>
            </w:r>
            <w:r>
              <w:rPr>
                <w:rFonts w:hint="eastAsia" w:ascii="宋体" w:hAnsi="宋体" w:cs="宋体"/>
                <w:b w:val="0"/>
                <w:sz w:val="22"/>
                <w:szCs w:val="22"/>
                <w:highlight w:val="none"/>
              </w:rPr>
              <w:t>每延迟1个工作日扣2分。</w:t>
            </w:r>
          </w:p>
        </w:tc>
        <w:tc>
          <w:tcPr>
            <w:tcW w:w="738" w:type="dxa"/>
            <w:vAlign w:val="center"/>
          </w:tcPr>
          <w:p w14:paraId="512057CC">
            <w:pPr>
              <w:spacing w:line="360" w:lineRule="auto"/>
              <w:jc w:val="center"/>
              <w:rPr>
                <w:rFonts w:hint="eastAsia" w:ascii="宋体" w:hAnsi="宋体" w:cs="宋体"/>
                <w:b w:val="0"/>
                <w:sz w:val="22"/>
                <w:szCs w:val="22"/>
                <w:highlight w:val="none"/>
              </w:rPr>
            </w:pPr>
          </w:p>
        </w:tc>
      </w:tr>
      <w:tr w14:paraId="488D5E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837" w:type="dxa"/>
            <w:vAlign w:val="center"/>
          </w:tcPr>
          <w:p w14:paraId="3837AB14">
            <w:pPr>
              <w:spacing w:line="360" w:lineRule="auto"/>
              <w:jc w:val="center"/>
              <w:rPr>
                <w:rFonts w:hint="eastAsia" w:ascii="宋体" w:hAnsi="宋体" w:cs="宋体"/>
                <w:b w:val="0"/>
                <w:sz w:val="22"/>
                <w:szCs w:val="22"/>
                <w:highlight w:val="none"/>
              </w:rPr>
            </w:pPr>
            <w:r>
              <w:rPr>
                <w:rFonts w:hint="eastAsia" w:ascii="宋体" w:hAnsi="宋体" w:cs="宋体"/>
                <w:b w:val="0"/>
                <w:sz w:val="22"/>
                <w:szCs w:val="22"/>
                <w:highlight w:val="none"/>
              </w:rPr>
              <w:t>2</w:t>
            </w:r>
          </w:p>
        </w:tc>
        <w:tc>
          <w:tcPr>
            <w:tcW w:w="0" w:type="auto"/>
            <w:vAlign w:val="center"/>
          </w:tcPr>
          <w:p w14:paraId="54FF4ACF">
            <w:pPr>
              <w:spacing w:line="360" w:lineRule="auto"/>
              <w:jc w:val="center"/>
              <w:rPr>
                <w:rFonts w:hint="eastAsia" w:ascii="宋体" w:hAnsi="宋体" w:eastAsia="等线" w:cs="宋体"/>
                <w:b w:val="0"/>
                <w:sz w:val="22"/>
                <w:szCs w:val="22"/>
                <w:highlight w:val="none"/>
              </w:rPr>
            </w:pPr>
            <w:r>
              <w:rPr>
                <w:rFonts w:hint="eastAsia" w:ascii="宋体" w:hAnsi="宋体" w:cs="宋体"/>
                <w:b w:val="0"/>
                <w:sz w:val="22"/>
                <w:szCs w:val="22"/>
                <w:highlight w:val="none"/>
              </w:rPr>
              <w:t>1</w:t>
            </w:r>
            <w:r>
              <w:rPr>
                <w:rFonts w:hint="eastAsia" w:ascii="宋体" w:hAnsi="宋体" w:eastAsia="等线" w:cs="宋体"/>
                <w:b w:val="0"/>
                <w:sz w:val="22"/>
                <w:szCs w:val="22"/>
                <w:highlight w:val="none"/>
              </w:rPr>
              <w:t>8</w:t>
            </w:r>
          </w:p>
        </w:tc>
        <w:tc>
          <w:tcPr>
            <w:tcW w:w="0" w:type="auto"/>
            <w:vAlign w:val="center"/>
          </w:tcPr>
          <w:p w14:paraId="4D660762">
            <w:pPr>
              <w:spacing w:line="360" w:lineRule="auto"/>
              <w:rPr>
                <w:rFonts w:hint="eastAsia" w:ascii="宋体" w:hAnsi="宋体" w:cs="宋体"/>
                <w:b w:val="0"/>
                <w:sz w:val="22"/>
                <w:szCs w:val="22"/>
                <w:highlight w:val="none"/>
              </w:rPr>
            </w:pPr>
            <w:r>
              <w:rPr>
                <w:rFonts w:hint="eastAsia" w:ascii="宋体" w:hAnsi="宋体" w:cs="宋体"/>
                <w:b w:val="0"/>
                <w:sz w:val="22"/>
                <w:szCs w:val="22"/>
                <w:highlight w:val="none"/>
              </w:rPr>
              <w:t>用户投诉情况：因理赔问题、服务态度等因素导致用户投诉的，每收到一次有效投诉扣4分，扣完为止。</w:t>
            </w:r>
          </w:p>
        </w:tc>
        <w:tc>
          <w:tcPr>
            <w:tcW w:w="738" w:type="dxa"/>
            <w:vAlign w:val="center"/>
          </w:tcPr>
          <w:p w14:paraId="4A188286">
            <w:pPr>
              <w:spacing w:line="360" w:lineRule="auto"/>
              <w:jc w:val="center"/>
              <w:rPr>
                <w:rFonts w:hint="eastAsia" w:ascii="宋体" w:hAnsi="宋体" w:cs="宋体"/>
                <w:b w:val="0"/>
                <w:sz w:val="22"/>
                <w:szCs w:val="22"/>
                <w:highlight w:val="none"/>
              </w:rPr>
            </w:pPr>
          </w:p>
        </w:tc>
      </w:tr>
      <w:tr w14:paraId="6B5A8E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837" w:type="dxa"/>
            <w:vAlign w:val="center"/>
          </w:tcPr>
          <w:p w14:paraId="5592B3FE">
            <w:pPr>
              <w:spacing w:line="360" w:lineRule="auto"/>
              <w:jc w:val="center"/>
              <w:rPr>
                <w:rFonts w:hint="eastAsia" w:ascii="宋体" w:hAnsi="宋体" w:cs="宋体"/>
                <w:b w:val="0"/>
                <w:sz w:val="22"/>
                <w:szCs w:val="22"/>
                <w:highlight w:val="none"/>
              </w:rPr>
            </w:pPr>
            <w:r>
              <w:rPr>
                <w:rFonts w:hint="eastAsia" w:ascii="宋体" w:hAnsi="宋体" w:cs="宋体"/>
                <w:b w:val="0"/>
                <w:sz w:val="22"/>
                <w:szCs w:val="22"/>
                <w:highlight w:val="none"/>
              </w:rPr>
              <w:t>3</w:t>
            </w:r>
          </w:p>
        </w:tc>
        <w:tc>
          <w:tcPr>
            <w:tcW w:w="0" w:type="auto"/>
            <w:vAlign w:val="center"/>
          </w:tcPr>
          <w:p w14:paraId="3402F243">
            <w:pPr>
              <w:spacing w:line="360" w:lineRule="auto"/>
              <w:jc w:val="center"/>
              <w:rPr>
                <w:rFonts w:hint="eastAsia" w:ascii="宋体" w:hAnsi="宋体" w:cs="宋体"/>
                <w:b w:val="0"/>
                <w:sz w:val="22"/>
                <w:szCs w:val="22"/>
                <w:highlight w:val="none"/>
              </w:rPr>
            </w:pPr>
            <w:r>
              <w:rPr>
                <w:rFonts w:hint="eastAsia" w:ascii="宋体" w:hAnsi="宋体" w:cs="宋体"/>
                <w:b w:val="0"/>
                <w:sz w:val="22"/>
                <w:szCs w:val="22"/>
                <w:highlight w:val="none"/>
              </w:rPr>
              <w:t>10</w:t>
            </w:r>
          </w:p>
        </w:tc>
        <w:tc>
          <w:tcPr>
            <w:tcW w:w="0" w:type="auto"/>
            <w:vAlign w:val="center"/>
          </w:tcPr>
          <w:p w14:paraId="67FA3552">
            <w:pPr>
              <w:spacing w:line="360" w:lineRule="auto"/>
              <w:rPr>
                <w:rFonts w:hint="eastAsia" w:ascii="宋体" w:hAnsi="宋体" w:cs="宋体"/>
                <w:b w:val="0"/>
                <w:sz w:val="22"/>
                <w:szCs w:val="22"/>
                <w:highlight w:val="none"/>
              </w:rPr>
            </w:pPr>
            <w:r>
              <w:rPr>
                <w:rFonts w:hint="eastAsia" w:ascii="宋体" w:hAnsi="宋体" w:cs="宋体"/>
                <w:b w:val="0"/>
                <w:sz w:val="22"/>
                <w:szCs w:val="22"/>
                <w:highlight w:val="none"/>
              </w:rPr>
              <w:t>制定理赔监督考核制度并有效实施。9.1-10.0范围为优秀；8.1-9.0范围为良好；6.1-8.0范围为不太满意；6.1以下范围为很不满意。</w:t>
            </w:r>
          </w:p>
        </w:tc>
        <w:tc>
          <w:tcPr>
            <w:tcW w:w="738" w:type="dxa"/>
            <w:vAlign w:val="center"/>
          </w:tcPr>
          <w:p w14:paraId="4FCF990A">
            <w:pPr>
              <w:spacing w:line="360" w:lineRule="auto"/>
              <w:jc w:val="center"/>
              <w:rPr>
                <w:rFonts w:hint="eastAsia" w:ascii="宋体" w:hAnsi="宋体" w:cs="宋体"/>
                <w:b w:val="0"/>
                <w:sz w:val="22"/>
                <w:szCs w:val="22"/>
                <w:highlight w:val="none"/>
              </w:rPr>
            </w:pPr>
          </w:p>
        </w:tc>
      </w:tr>
      <w:tr w14:paraId="3390B9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837" w:type="dxa"/>
            <w:vAlign w:val="center"/>
          </w:tcPr>
          <w:p w14:paraId="4DAD2989">
            <w:pPr>
              <w:spacing w:line="360" w:lineRule="auto"/>
              <w:jc w:val="center"/>
              <w:rPr>
                <w:rFonts w:hint="eastAsia" w:ascii="宋体" w:hAnsi="宋体" w:cs="宋体"/>
                <w:b w:val="0"/>
                <w:sz w:val="22"/>
                <w:szCs w:val="22"/>
                <w:highlight w:val="none"/>
              </w:rPr>
            </w:pPr>
            <w:r>
              <w:rPr>
                <w:rFonts w:hint="eastAsia" w:ascii="宋体" w:hAnsi="宋体" w:cs="宋体"/>
                <w:b w:val="0"/>
                <w:sz w:val="22"/>
                <w:szCs w:val="22"/>
                <w:highlight w:val="none"/>
              </w:rPr>
              <w:t>4</w:t>
            </w:r>
          </w:p>
        </w:tc>
        <w:tc>
          <w:tcPr>
            <w:tcW w:w="0" w:type="auto"/>
            <w:vAlign w:val="center"/>
          </w:tcPr>
          <w:p w14:paraId="24F9C0CA">
            <w:pPr>
              <w:spacing w:line="360" w:lineRule="auto"/>
              <w:jc w:val="center"/>
              <w:rPr>
                <w:rFonts w:hint="eastAsia" w:ascii="宋体" w:hAnsi="宋体" w:cs="宋体"/>
                <w:b w:val="0"/>
                <w:sz w:val="22"/>
                <w:szCs w:val="22"/>
                <w:highlight w:val="none"/>
              </w:rPr>
            </w:pPr>
            <w:r>
              <w:rPr>
                <w:rFonts w:hint="eastAsia" w:ascii="宋体" w:hAnsi="宋体" w:cs="宋体"/>
                <w:b w:val="0"/>
                <w:sz w:val="22"/>
                <w:szCs w:val="22"/>
                <w:highlight w:val="none"/>
              </w:rPr>
              <w:t>12</w:t>
            </w:r>
          </w:p>
        </w:tc>
        <w:tc>
          <w:tcPr>
            <w:tcW w:w="0" w:type="auto"/>
            <w:vAlign w:val="center"/>
          </w:tcPr>
          <w:p w14:paraId="0072D935">
            <w:pPr>
              <w:spacing w:line="360" w:lineRule="auto"/>
              <w:rPr>
                <w:rFonts w:hint="eastAsia" w:ascii="宋体" w:hAnsi="宋体" w:cs="宋体"/>
                <w:b w:val="0"/>
                <w:sz w:val="22"/>
                <w:szCs w:val="22"/>
                <w:highlight w:val="none"/>
              </w:rPr>
            </w:pPr>
            <w:r>
              <w:rPr>
                <w:rFonts w:hint="eastAsia" w:ascii="宋体" w:hAnsi="宋体" w:cs="宋体"/>
                <w:b w:val="0"/>
                <w:sz w:val="22"/>
                <w:szCs w:val="22"/>
                <w:highlight w:val="none"/>
              </w:rPr>
              <w:t>廉洁自律：严格遵守国家相关法律法规，规范自身行为，严守廉洁自律。出现一次违规行为扣6分，扣完为止。</w:t>
            </w:r>
          </w:p>
        </w:tc>
        <w:tc>
          <w:tcPr>
            <w:tcW w:w="738" w:type="dxa"/>
            <w:vAlign w:val="center"/>
          </w:tcPr>
          <w:p w14:paraId="0EFAACF5">
            <w:pPr>
              <w:spacing w:line="360" w:lineRule="auto"/>
              <w:jc w:val="center"/>
              <w:rPr>
                <w:rFonts w:hint="eastAsia" w:ascii="宋体" w:hAnsi="宋体" w:cs="宋体"/>
                <w:b w:val="0"/>
                <w:sz w:val="22"/>
                <w:szCs w:val="22"/>
                <w:highlight w:val="none"/>
              </w:rPr>
            </w:pPr>
          </w:p>
        </w:tc>
      </w:tr>
      <w:tr w14:paraId="0C0F46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837" w:type="dxa"/>
            <w:vAlign w:val="center"/>
          </w:tcPr>
          <w:p w14:paraId="133C608A">
            <w:pPr>
              <w:spacing w:line="360" w:lineRule="auto"/>
              <w:jc w:val="center"/>
              <w:rPr>
                <w:rFonts w:hint="eastAsia" w:ascii="宋体" w:hAnsi="宋体" w:cs="宋体"/>
                <w:b w:val="0"/>
                <w:sz w:val="22"/>
                <w:szCs w:val="22"/>
                <w:highlight w:val="none"/>
              </w:rPr>
            </w:pPr>
            <w:r>
              <w:rPr>
                <w:rFonts w:hint="eastAsia" w:ascii="宋体" w:hAnsi="宋体" w:cs="宋体"/>
                <w:b w:val="0"/>
                <w:sz w:val="22"/>
                <w:szCs w:val="22"/>
                <w:highlight w:val="none"/>
              </w:rPr>
              <w:t>5</w:t>
            </w:r>
          </w:p>
        </w:tc>
        <w:tc>
          <w:tcPr>
            <w:tcW w:w="0" w:type="auto"/>
            <w:vAlign w:val="center"/>
          </w:tcPr>
          <w:p w14:paraId="6810E17D">
            <w:pPr>
              <w:spacing w:line="360" w:lineRule="auto"/>
              <w:jc w:val="center"/>
              <w:rPr>
                <w:rFonts w:hint="eastAsia" w:ascii="宋体" w:hAnsi="宋体" w:cs="宋体"/>
                <w:b w:val="0"/>
                <w:sz w:val="22"/>
                <w:szCs w:val="22"/>
                <w:highlight w:val="none"/>
              </w:rPr>
            </w:pPr>
            <w:r>
              <w:rPr>
                <w:rFonts w:hint="eastAsia" w:ascii="宋体" w:hAnsi="宋体" w:cs="宋体"/>
                <w:b w:val="0"/>
                <w:sz w:val="22"/>
                <w:szCs w:val="22"/>
                <w:highlight w:val="none"/>
              </w:rPr>
              <w:t>10</w:t>
            </w:r>
          </w:p>
        </w:tc>
        <w:tc>
          <w:tcPr>
            <w:tcW w:w="0" w:type="auto"/>
            <w:vAlign w:val="center"/>
          </w:tcPr>
          <w:p w14:paraId="1D257BEB">
            <w:pPr>
              <w:spacing w:line="360" w:lineRule="auto"/>
              <w:rPr>
                <w:rFonts w:hint="eastAsia" w:ascii="宋体" w:hAnsi="宋体" w:cs="宋体"/>
                <w:b w:val="0"/>
                <w:sz w:val="22"/>
                <w:szCs w:val="22"/>
                <w:highlight w:val="none"/>
              </w:rPr>
            </w:pPr>
            <w:r>
              <w:rPr>
                <w:rFonts w:hint="eastAsia" w:ascii="宋体" w:hAnsi="宋体" w:cs="宋体"/>
                <w:b w:val="0"/>
                <w:sz w:val="22"/>
                <w:szCs w:val="22"/>
                <w:highlight w:val="none"/>
              </w:rPr>
              <w:t>项目负责人及项目团队处理问题能力。9.1-10.0范围为优秀；8.1-9.0范围为良好；6.1-8.0范围为不太满意；6.1以下范围为很不满意。</w:t>
            </w:r>
          </w:p>
        </w:tc>
        <w:tc>
          <w:tcPr>
            <w:tcW w:w="738" w:type="dxa"/>
            <w:vAlign w:val="center"/>
          </w:tcPr>
          <w:p w14:paraId="560C7C65">
            <w:pPr>
              <w:spacing w:line="360" w:lineRule="auto"/>
              <w:jc w:val="center"/>
              <w:rPr>
                <w:rFonts w:hint="eastAsia" w:ascii="宋体" w:hAnsi="宋体" w:cs="宋体"/>
                <w:b w:val="0"/>
                <w:sz w:val="22"/>
                <w:szCs w:val="22"/>
                <w:highlight w:val="none"/>
              </w:rPr>
            </w:pPr>
          </w:p>
        </w:tc>
      </w:tr>
      <w:tr w14:paraId="5253C2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837" w:type="dxa"/>
            <w:vAlign w:val="center"/>
          </w:tcPr>
          <w:p w14:paraId="47EF78F2">
            <w:pPr>
              <w:spacing w:line="360" w:lineRule="auto"/>
              <w:jc w:val="center"/>
              <w:rPr>
                <w:rFonts w:hint="eastAsia" w:ascii="宋体" w:hAnsi="宋体" w:cs="宋体"/>
                <w:b w:val="0"/>
                <w:sz w:val="22"/>
                <w:szCs w:val="22"/>
                <w:highlight w:val="none"/>
              </w:rPr>
            </w:pPr>
            <w:r>
              <w:rPr>
                <w:rFonts w:hint="eastAsia" w:ascii="宋体" w:hAnsi="宋体" w:cs="宋体"/>
                <w:b w:val="0"/>
                <w:sz w:val="22"/>
                <w:szCs w:val="22"/>
                <w:highlight w:val="none"/>
              </w:rPr>
              <w:t>6</w:t>
            </w:r>
          </w:p>
        </w:tc>
        <w:tc>
          <w:tcPr>
            <w:tcW w:w="0" w:type="auto"/>
            <w:vAlign w:val="center"/>
          </w:tcPr>
          <w:p w14:paraId="03EF4153">
            <w:pPr>
              <w:spacing w:line="360" w:lineRule="auto"/>
              <w:jc w:val="center"/>
              <w:rPr>
                <w:rFonts w:hint="eastAsia" w:ascii="宋体" w:hAnsi="宋体" w:cs="宋体"/>
                <w:b w:val="0"/>
                <w:sz w:val="22"/>
                <w:szCs w:val="22"/>
                <w:highlight w:val="none"/>
              </w:rPr>
            </w:pPr>
            <w:r>
              <w:rPr>
                <w:rFonts w:hint="eastAsia" w:ascii="宋体" w:hAnsi="宋体" w:cs="宋体"/>
                <w:b w:val="0"/>
                <w:sz w:val="22"/>
                <w:szCs w:val="22"/>
                <w:highlight w:val="none"/>
              </w:rPr>
              <w:t>10</w:t>
            </w:r>
          </w:p>
        </w:tc>
        <w:tc>
          <w:tcPr>
            <w:tcW w:w="0" w:type="auto"/>
            <w:vAlign w:val="center"/>
          </w:tcPr>
          <w:p w14:paraId="114FB063">
            <w:pPr>
              <w:spacing w:line="360" w:lineRule="auto"/>
              <w:rPr>
                <w:rFonts w:hint="eastAsia" w:ascii="宋体" w:hAnsi="宋体" w:cs="宋体"/>
                <w:b w:val="0"/>
                <w:sz w:val="22"/>
                <w:szCs w:val="22"/>
                <w:highlight w:val="none"/>
              </w:rPr>
            </w:pPr>
            <w:r>
              <w:rPr>
                <w:rFonts w:hint="eastAsia" w:ascii="宋体" w:hAnsi="宋体" w:cs="宋体"/>
                <w:b w:val="0"/>
                <w:sz w:val="22"/>
                <w:szCs w:val="22"/>
                <w:highlight w:val="none"/>
              </w:rPr>
              <w:t>不定期组织开展保险相关教育情况。9.1-10.0范围为优秀；8.1-9.0范围为良好；6.1-8.0范围为不太满意；6.1以下范围为很不满意。</w:t>
            </w:r>
          </w:p>
        </w:tc>
        <w:tc>
          <w:tcPr>
            <w:tcW w:w="738" w:type="dxa"/>
            <w:vAlign w:val="center"/>
          </w:tcPr>
          <w:p w14:paraId="0F4C31B6">
            <w:pPr>
              <w:spacing w:line="360" w:lineRule="auto"/>
              <w:jc w:val="center"/>
              <w:rPr>
                <w:rFonts w:hint="eastAsia" w:ascii="宋体" w:hAnsi="宋体" w:cs="宋体"/>
                <w:b w:val="0"/>
                <w:sz w:val="22"/>
                <w:szCs w:val="22"/>
                <w:highlight w:val="none"/>
              </w:rPr>
            </w:pPr>
          </w:p>
        </w:tc>
      </w:tr>
      <w:tr w14:paraId="4B1265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837" w:type="dxa"/>
            <w:vAlign w:val="center"/>
          </w:tcPr>
          <w:p w14:paraId="046FC364">
            <w:pPr>
              <w:spacing w:line="360" w:lineRule="auto"/>
              <w:jc w:val="center"/>
              <w:rPr>
                <w:rFonts w:hint="eastAsia" w:ascii="宋体" w:hAnsi="宋体" w:cs="宋体"/>
                <w:b w:val="0"/>
                <w:sz w:val="22"/>
                <w:szCs w:val="22"/>
                <w:highlight w:val="none"/>
              </w:rPr>
            </w:pPr>
            <w:r>
              <w:rPr>
                <w:rFonts w:hint="eastAsia" w:ascii="宋体" w:hAnsi="宋体" w:cs="宋体"/>
                <w:b w:val="0"/>
                <w:sz w:val="22"/>
                <w:szCs w:val="22"/>
                <w:highlight w:val="none"/>
              </w:rPr>
              <w:t>7</w:t>
            </w:r>
          </w:p>
        </w:tc>
        <w:tc>
          <w:tcPr>
            <w:tcW w:w="0" w:type="auto"/>
            <w:vAlign w:val="center"/>
          </w:tcPr>
          <w:p w14:paraId="3DC0BCC1">
            <w:pPr>
              <w:spacing w:line="360" w:lineRule="auto"/>
              <w:jc w:val="center"/>
              <w:rPr>
                <w:rFonts w:hint="eastAsia" w:ascii="宋体" w:hAnsi="宋体" w:cs="宋体"/>
                <w:b w:val="0"/>
                <w:sz w:val="22"/>
                <w:szCs w:val="22"/>
                <w:highlight w:val="none"/>
              </w:rPr>
            </w:pPr>
            <w:r>
              <w:rPr>
                <w:rFonts w:hint="eastAsia" w:ascii="宋体" w:hAnsi="宋体" w:cs="宋体"/>
                <w:b w:val="0"/>
                <w:sz w:val="22"/>
                <w:szCs w:val="22"/>
                <w:highlight w:val="none"/>
              </w:rPr>
              <w:t>10</w:t>
            </w:r>
          </w:p>
        </w:tc>
        <w:tc>
          <w:tcPr>
            <w:tcW w:w="0" w:type="auto"/>
            <w:vAlign w:val="center"/>
          </w:tcPr>
          <w:p w14:paraId="649D4FBB">
            <w:pPr>
              <w:spacing w:line="360" w:lineRule="auto"/>
              <w:rPr>
                <w:rFonts w:hint="eastAsia" w:ascii="宋体" w:hAnsi="宋体" w:cs="宋体"/>
                <w:b w:val="0"/>
                <w:sz w:val="22"/>
                <w:szCs w:val="22"/>
                <w:highlight w:val="none"/>
              </w:rPr>
            </w:pPr>
            <w:r>
              <w:rPr>
                <w:rFonts w:hint="eastAsia" w:ascii="宋体" w:hAnsi="宋体" w:cs="宋体"/>
                <w:b w:val="0"/>
                <w:sz w:val="22"/>
                <w:szCs w:val="22"/>
                <w:highlight w:val="none"/>
              </w:rPr>
              <w:t>团队整体业务水平。9.1-10.0范围为优秀；8.1-9.0范围为良好；6.1-8.0范围为不太满意；6.1以下范围为很不满意。</w:t>
            </w:r>
          </w:p>
        </w:tc>
        <w:tc>
          <w:tcPr>
            <w:tcW w:w="738" w:type="dxa"/>
            <w:vAlign w:val="center"/>
          </w:tcPr>
          <w:p w14:paraId="4E926538">
            <w:pPr>
              <w:spacing w:line="360" w:lineRule="auto"/>
              <w:jc w:val="center"/>
              <w:rPr>
                <w:rFonts w:hint="eastAsia" w:ascii="宋体" w:hAnsi="宋体" w:cs="宋体"/>
                <w:b w:val="0"/>
                <w:sz w:val="22"/>
                <w:szCs w:val="22"/>
                <w:highlight w:val="none"/>
              </w:rPr>
            </w:pPr>
          </w:p>
        </w:tc>
      </w:tr>
      <w:tr w14:paraId="59A0CE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837" w:type="dxa"/>
            <w:vAlign w:val="center"/>
          </w:tcPr>
          <w:p w14:paraId="2362981B">
            <w:pPr>
              <w:spacing w:line="360" w:lineRule="auto"/>
              <w:jc w:val="center"/>
              <w:rPr>
                <w:rFonts w:hint="eastAsia" w:ascii="宋体" w:hAnsi="宋体" w:eastAsia="等线" w:cs="宋体"/>
                <w:b w:val="0"/>
                <w:sz w:val="22"/>
                <w:szCs w:val="22"/>
                <w:highlight w:val="none"/>
              </w:rPr>
            </w:pPr>
            <w:r>
              <w:rPr>
                <w:rFonts w:hint="eastAsia" w:ascii="宋体" w:hAnsi="宋体" w:eastAsia="等线" w:cs="宋体"/>
                <w:b w:val="0"/>
                <w:sz w:val="22"/>
                <w:szCs w:val="22"/>
                <w:highlight w:val="none"/>
              </w:rPr>
              <w:t>8</w:t>
            </w:r>
          </w:p>
        </w:tc>
        <w:tc>
          <w:tcPr>
            <w:tcW w:w="0" w:type="auto"/>
            <w:vAlign w:val="center"/>
          </w:tcPr>
          <w:p w14:paraId="22318ED5">
            <w:pPr>
              <w:spacing w:line="360" w:lineRule="auto"/>
              <w:jc w:val="center"/>
              <w:rPr>
                <w:rFonts w:hint="eastAsia" w:ascii="宋体" w:hAnsi="宋体" w:cs="宋体"/>
                <w:b w:val="0"/>
                <w:sz w:val="22"/>
                <w:szCs w:val="22"/>
                <w:highlight w:val="none"/>
              </w:rPr>
            </w:pPr>
            <w:r>
              <w:rPr>
                <w:rFonts w:hint="eastAsia" w:ascii="宋体" w:hAnsi="宋体" w:cs="宋体"/>
                <w:b w:val="0"/>
                <w:sz w:val="22"/>
                <w:szCs w:val="22"/>
                <w:highlight w:val="none"/>
              </w:rPr>
              <w:t>10</w:t>
            </w:r>
          </w:p>
        </w:tc>
        <w:tc>
          <w:tcPr>
            <w:tcW w:w="0" w:type="auto"/>
            <w:vAlign w:val="center"/>
          </w:tcPr>
          <w:p w14:paraId="3D64FC6F">
            <w:pPr>
              <w:spacing w:line="360" w:lineRule="auto"/>
              <w:rPr>
                <w:rFonts w:hint="eastAsia" w:ascii="宋体" w:hAnsi="宋体" w:cs="宋体"/>
                <w:b w:val="0"/>
                <w:sz w:val="22"/>
                <w:szCs w:val="22"/>
                <w:highlight w:val="none"/>
              </w:rPr>
            </w:pPr>
            <w:r>
              <w:rPr>
                <w:rFonts w:hint="eastAsia" w:ascii="宋体" w:hAnsi="宋体" w:cs="宋体"/>
                <w:b w:val="0"/>
                <w:sz w:val="22"/>
                <w:szCs w:val="22"/>
                <w:highlight w:val="none"/>
              </w:rPr>
              <w:t>日常服务：处理用户申请理赔后的进展等相关工作汇报材料及时汇报采购人，根据汇报材料的准确性完整性以及及时性评分。9.1-10.0范围为优秀；8.1-9.0范围为良好；6.1-8.0范围为不太满意；6.1以下范围为很不满意。</w:t>
            </w:r>
          </w:p>
        </w:tc>
        <w:tc>
          <w:tcPr>
            <w:tcW w:w="738" w:type="dxa"/>
            <w:vAlign w:val="center"/>
          </w:tcPr>
          <w:p w14:paraId="00558526">
            <w:pPr>
              <w:spacing w:line="360" w:lineRule="auto"/>
              <w:jc w:val="center"/>
              <w:rPr>
                <w:rFonts w:hint="eastAsia" w:ascii="宋体" w:hAnsi="宋体" w:cs="宋体"/>
                <w:b w:val="0"/>
                <w:sz w:val="22"/>
                <w:szCs w:val="22"/>
                <w:highlight w:val="none"/>
              </w:rPr>
            </w:pPr>
          </w:p>
        </w:tc>
      </w:tr>
      <w:tr w14:paraId="3BED04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837" w:type="dxa"/>
            <w:vAlign w:val="center"/>
          </w:tcPr>
          <w:p w14:paraId="399A37CE">
            <w:pPr>
              <w:spacing w:line="360" w:lineRule="auto"/>
              <w:jc w:val="center"/>
              <w:rPr>
                <w:rFonts w:hint="eastAsia" w:ascii="宋体" w:hAnsi="宋体" w:cs="宋体"/>
                <w:b w:val="0"/>
                <w:sz w:val="22"/>
                <w:szCs w:val="22"/>
                <w:highlight w:val="none"/>
              </w:rPr>
            </w:pPr>
            <w:r>
              <w:rPr>
                <w:rFonts w:hint="eastAsia" w:ascii="宋体" w:hAnsi="宋体" w:cs="宋体"/>
                <w:b w:val="0"/>
                <w:sz w:val="22"/>
                <w:szCs w:val="22"/>
                <w:highlight w:val="none"/>
              </w:rPr>
              <w:t>合计</w:t>
            </w:r>
          </w:p>
        </w:tc>
        <w:tc>
          <w:tcPr>
            <w:tcW w:w="8003" w:type="dxa"/>
            <w:gridSpan w:val="3"/>
            <w:vAlign w:val="center"/>
          </w:tcPr>
          <w:p w14:paraId="358F0E20">
            <w:pPr>
              <w:spacing w:line="360" w:lineRule="auto"/>
              <w:jc w:val="center"/>
              <w:rPr>
                <w:rFonts w:hint="eastAsia" w:ascii="宋体" w:hAnsi="宋体" w:cs="宋体"/>
                <w:b w:val="0"/>
                <w:sz w:val="22"/>
                <w:szCs w:val="22"/>
                <w:highlight w:val="none"/>
              </w:rPr>
            </w:pPr>
            <w:r>
              <w:rPr>
                <w:rFonts w:hint="eastAsia" w:ascii="宋体" w:hAnsi="宋体" w:cs="宋体"/>
                <w:b w:val="0"/>
                <w:sz w:val="22"/>
                <w:szCs w:val="22"/>
                <w:highlight w:val="none"/>
              </w:rPr>
              <w:t>100</w:t>
            </w:r>
          </w:p>
        </w:tc>
      </w:tr>
      <w:tr w14:paraId="6D0C5F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03" w:hRule="atLeast"/>
        </w:trPr>
        <w:tc>
          <w:tcPr>
            <w:tcW w:w="8840" w:type="dxa"/>
            <w:gridSpan w:val="4"/>
            <w:vAlign w:val="center"/>
          </w:tcPr>
          <w:p w14:paraId="75E40C9C">
            <w:pPr>
              <w:rPr>
                <w:rFonts w:hint="eastAsia" w:ascii="宋体" w:hAnsi="宋体" w:cs="宋体"/>
                <w:b w:val="0"/>
                <w:sz w:val="22"/>
                <w:szCs w:val="22"/>
                <w:highlight w:val="none"/>
              </w:rPr>
            </w:pPr>
            <w:r>
              <w:rPr>
                <w:rFonts w:hint="eastAsia" w:ascii="宋体" w:hAnsi="宋体" w:cs="宋体"/>
                <w:b w:val="0"/>
                <w:sz w:val="22"/>
                <w:szCs w:val="22"/>
                <w:highlight w:val="none"/>
              </w:rPr>
              <w:t>评价结果：</w:t>
            </w:r>
          </w:p>
          <w:p w14:paraId="28B78823">
            <w:pPr>
              <w:rPr>
                <w:rFonts w:hint="eastAsia" w:ascii="宋体" w:hAnsi="宋体" w:cs="宋体"/>
                <w:b w:val="0"/>
                <w:sz w:val="22"/>
                <w:szCs w:val="22"/>
                <w:highlight w:val="none"/>
              </w:rPr>
            </w:pPr>
          </w:p>
          <w:p w14:paraId="22F15EFE">
            <w:pPr>
              <w:wordWrap w:val="0"/>
              <w:ind w:firstLine="5060" w:firstLineChars="2300"/>
              <w:jc w:val="right"/>
              <w:rPr>
                <w:rFonts w:hint="eastAsia" w:ascii="宋体" w:hAnsi="宋体" w:cs="宋体"/>
                <w:b w:val="0"/>
                <w:sz w:val="22"/>
                <w:szCs w:val="22"/>
                <w:highlight w:val="none"/>
              </w:rPr>
            </w:pPr>
            <w:r>
              <w:rPr>
                <w:rFonts w:hint="eastAsia" w:ascii="宋体" w:hAnsi="宋体" w:cs="宋体"/>
                <w:b w:val="0"/>
                <w:sz w:val="22"/>
                <w:szCs w:val="22"/>
                <w:highlight w:val="none"/>
              </w:rPr>
              <w:t xml:space="preserve">评价人：           </w:t>
            </w:r>
          </w:p>
          <w:p w14:paraId="05FE7B7C">
            <w:pPr>
              <w:wordWrap w:val="0"/>
              <w:jc w:val="right"/>
              <w:rPr>
                <w:rFonts w:hint="eastAsia" w:ascii="宋体" w:hAnsi="宋体" w:cs="宋体"/>
                <w:b w:val="0"/>
                <w:sz w:val="22"/>
                <w:szCs w:val="22"/>
                <w:highlight w:val="none"/>
              </w:rPr>
            </w:pPr>
            <w:r>
              <w:rPr>
                <w:rFonts w:hint="eastAsia" w:ascii="宋体" w:hAnsi="宋体" w:cs="宋体"/>
                <w:b w:val="0"/>
                <w:sz w:val="22"/>
                <w:szCs w:val="22"/>
                <w:highlight w:val="none"/>
              </w:rPr>
              <w:t xml:space="preserve">  年  月  日</w:t>
            </w:r>
          </w:p>
        </w:tc>
      </w:tr>
    </w:tbl>
    <w:p w14:paraId="62CEBAB7">
      <w:pPr>
        <w:pStyle w:val="17"/>
        <w:spacing w:line="360" w:lineRule="auto"/>
        <w:jc w:val="left"/>
        <w:rPr>
          <w:rFonts w:hint="eastAsia" w:ascii="宋体" w:hAnsi="宋体"/>
          <w:b w:val="0"/>
          <w:bCs w:val="0"/>
          <w:color w:val="auto"/>
          <w:sz w:val="22"/>
          <w:szCs w:val="22"/>
          <w:highlight w:val="none"/>
        </w:rPr>
      </w:pPr>
      <w:r>
        <w:rPr>
          <w:rFonts w:hint="eastAsia" w:ascii="宋体" w:hAnsi="宋体" w:eastAsia="宋体" w:cs="宋体"/>
          <w:bCs/>
          <w:sz w:val="22"/>
          <w:szCs w:val="22"/>
          <w:highlight w:val="none"/>
        </w:rPr>
        <w:t>注：</w:t>
      </w:r>
      <w:r>
        <w:rPr>
          <w:rFonts w:hint="eastAsia" w:ascii="宋体" w:hAnsi="宋体" w:eastAsia="宋体" w:cs="宋体"/>
          <w:sz w:val="22"/>
          <w:szCs w:val="22"/>
          <w:highlight w:val="none"/>
        </w:rPr>
        <w:t>实行评价制度，采购人对中标供应商每季度进行一次评价。具体评价办法见上表，如有调整，以采购人在合同期内出台或修订的项目评价表为准，本考核解释权归采购人所有。</w:t>
      </w:r>
      <w:bookmarkEnd w:id="3"/>
      <w:bookmarkEnd w:id="4"/>
      <w:bookmarkEnd w:id="5"/>
      <w:bookmarkEnd w:id="6"/>
      <w:bookmarkEnd w:id="7"/>
    </w:p>
    <w:bookmarkEnd w:id="8"/>
    <w:p w14:paraId="48F9CEEC">
      <w:pPr>
        <w:pStyle w:val="4"/>
        <w:spacing w:before="0" w:after="120" w:line="700" w:lineRule="exact"/>
        <w:ind w:left="0" w:firstLine="0"/>
        <w:jc w:val="center"/>
        <w:rPr>
          <w:rFonts w:ascii="Cambria Math" w:hAnsi="Cambria Math" w:eastAsia="Cambria Math"/>
          <w:b/>
          <w:color w:val="auto"/>
          <w:sz w:val="32"/>
          <w:highlight w:val="none"/>
        </w:rPr>
      </w:pPr>
      <w:r>
        <w:rPr>
          <w:rFonts w:hint="eastAsia" w:ascii="Cambria Math" w:hAnsi="Cambria Math" w:eastAsia="Cambria Math"/>
          <w:b/>
          <w:color w:val="auto"/>
          <w:sz w:val="32"/>
          <w:highlight w:val="none"/>
        </w:rPr>
        <w:t>第三部分</w:t>
      </w:r>
      <w:r>
        <w:rPr>
          <w:rFonts w:hint="eastAsia" w:ascii="Cambria Math" w:hAnsi="Cambria Math" w:eastAsiaTheme="minorEastAsia"/>
          <w:b/>
          <w:color w:val="auto"/>
          <w:sz w:val="32"/>
          <w:highlight w:val="none"/>
        </w:rPr>
        <w:t xml:space="preserve">  </w:t>
      </w:r>
      <w:r>
        <w:rPr>
          <w:rFonts w:hint="eastAsia" w:ascii="Cambria Math" w:hAnsi="Cambria Math" w:eastAsiaTheme="minorEastAsia"/>
          <w:b/>
          <w:color w:val="auto"/>
          <w:sz w:val="32"/>
          <w:highlight w:val="none"/>
          <w:lang w:val="en-US" w:eastAsia="zh-CN"/>
        </w:rPr>
        <w:t xml:space="preserve"> </w:t>
      </w:r>
      <w:r>
        <w:rPr>
          <w:rFonts w:hint="eastAsia" w:ascii="Cambria Math" w:hAnsi="Cambria Math" w:eastAsia="Cambria Math"/>
          <w:b/>
          <w:color w:val="auto"/>
          <w:sz w:val="32"/>
          <w:highlight w:val="none"/>
        </w:rPr>
        <w:t>供应商须知</w:t>
      </w:r>
    </w:p>
    <w:p w14:paraId="7894BC13">
      <w:pPr>
        <w:pStyle w:val="4"/>
        <w:spacing w:before="0" w:after="120" w:line="700" w:lineRule="exact"/>
        <w:ind w:left="0" w:firstLine="0"/>
        <w:rPr>
          <w:rFonts w:hint="eastAsia" w:ascii="宋体" w:hAnsi="宋体" w:eastAsia="宋体" w:cs="宋体"/>
          <w:b/>
          <w:color w:val="auto"/>
          <w:sz w:val="22"/>
          <w:szCs w:val="22"/>
          <w:highlight w:val="none"/>
        </w:rPr>
      </w:pPr>
      <w:r>
        <w:rPr>
          <w:rFonts w:hint="eastAsia" w:ascii="宋体" w:hAnsi="宋体" w:eastAsia="宋体" w:cs="宋体"/>
          <w:b/>
          <w:color w:val="auto"/>
          <w:sz w:val="22"/>
          <w:szCs w:val="22"/>
          <w:highlight w:val="none"/>
        </w:rPr>
        <w:t>一、说明</w:t>
      </w:r>
    </w:p>
    <w:p w14:paraId="56C0558E">
      <w:pPr>
        <w:autoSpaceDE w:val="0"/>
        <w:autoSpaceDN w:val="0"/>
        <w:adjustRightInd w:val="0"/>
        <w:snapToGrid w:val="0"/>
        <w:spacing w:line="440" w:lineRule="atLeast"/>
        <w:ind w:firstLine="420" w:firstLineChars="191"/>
        <w:textAlignment w:val="bottom"/>
        <w:rPr>
          <w:rFonts w:hint="eastAsia" w:ascii="宋体" w:hAnsi="宋体" w:cs="宋体"/>
          <w:b w:val="0"/>
          <w:color w:val="auto"/>
          <w:sz w:val="22"/>
          <w:szCs w:val="22"/>
          <w:highlight w:val="none"/>
        </w:rPr>
      </w:pPr>
      <w:r>
        <w:rPr>
          <w:rFonts w:hint="eastAsia" w:ascii="宋体" w:hAnsi="宋体" w:cs="宋体"/>
          <w:b w:val="0"/>
          <w:color w:val="auto"/>
          <w:sz w:val="22"/>
          <w:szCs w:val="22"/>
          <w:highlight w:val="none"/>
        </w:rPr>
        <w:t>1、本次采购工作是按照《中华人民共和国政府采购法》、《政府采购货物和服务招标投标管理办法》和《</w:t>
      </w:r>
      <w:r>
        <w:rPr>
          <w:rFonts w:hint="eastAsia" w:ascii="宋体" w:hAnsi="宋体" w:cs="宋体"/>
          <w:b w:val="0"/>
          <w:bCs w:val="0"/>
          <w:color w:val="auto"/>
          <w:sz w:val="22"/>
          <w:szCs w:val="22"/>
          <w:highlight w:val="none"/>
        </w:rPr>
        <w:t>浙江省财政厅、省监察厅关于进一步规范政府采购活动的若干意见</w:t>
      </w:r>
      <w:r>
        <w:rPr>
          <w:rFonts w:hint="eastAsia" w:ascii="宋体" w:hAnsi="宋体" w:cs="宋体"/>
          <w:b w:val="0"/>
          <w:color w:val="auto"/>
          <w:sz w:val="22"/>
          <w:szCs w:val="22"/>
          <w:highlight w:val="none"/>
        </w:rPr>
        <w:t>》及相关法律规章组织和实施。</w:t>
      </w:r>
    </w:p>
    <w:p w14:paraId="7E87A21B">
      <w:pPr>
        <w:autoSpaceDE w:val="0"/>
        <w:autoSpaceDN w:val="0"/>
        <w:adjustRightInd w:val="0"/>
        <w:snapToGrid w:val="0"/>
        <w:spacing w:line="460" w:lineRule="atLeast"/>
        <w:ind w:firstLine="431" w:firstLineChars="196"/>
        <w:jc w:val="left"/>
        <w:textAlignment w:val="bottom"/>
        <w:rPr>
          <w:rFonts w:hint="eastAsia" w:ascii="宋体" w:hAnsi="宋体" w:cs="宋体"/>
          <w:b w:val="0"/>
          <w:color w:val="auto"/>
          <w:sz w:val="22"/>
          <w:szCs w:val="22"/>
          <w:highlight w:val="none"/>
          <w:u w:val="single"/>
        </w:rPr>
      </w:pPr>
      <w:r>
        <w:rPr>
          <w:rFonts w:hint="eastAsia" w:ascii="宋体" w:hAnsi="宋体" w:cs="宋体"/>
          <w:b w:val="0"/>
          <w:color w:val="auto"/>
          <w:sz w:val="22"/>
          <w:szCs w:val="22"/>
          <w:highlight w:val="none"/>
          <w:u w:val="single"/>
        </w:rPr>
        <w:t>2、供应商必须对所有采购要求进行投标报价，否则按无效投标处理；</w:t>
      </w:r>
    </w:p>
    <w:p w14:paraId="3ED33F88">
      <w:pPr>
        <w:autoSpaceDE w:val="0"/>
        <w:autoSpaceDN w:val="0"/>
        <w:adjustRightInd w:val="0"/>
        <w:snapToGrid w:val="0"/>
        <w:spacing w:line="440" w:lineRule="atLeast"/>
        <w:ind w:firstLine="420" w:firstLineChars="191"/>
        <w:textAlignment w:val="bottom"/>
        <w:rPr>
          <w:rFonts w:hint="eastAsia" w:ascii="宋体" w:hAnsi="宋体" w:cs="宋体"/>
          <w:b w:val="0"/>
          <w:color w:val="auto"/>
          <w:sz w:val="22"/>
          <w:szCs w:val="22"/>
          <w:highlight w:val="none"/>
        </w:rPr>
      </w:pPr>
      <w:r>
        <w:rPr>
          <w:rFonts w:hint="eastAsia" w:ascii="宋体" w:hAnsi="宋体" w:cs="宋体"/>
          <w:b w:val="0"/>
          <w:color w:val="auto"/>
          <w:sz w:val="22"/>
          <w:szCs w:val="22"/>
          <w:highlight w:val="none"/>
        </w:rPr>
        <w:t>3、无论投标过程中的作法和结果如何，供应商自行承担投标活动中所发生的全部费用。</w:t>
      </w:r>
    </w:p>
    <w:p w14:paraId="7D440ECD">
      <w:pPr>
        <w:autoSpaceDE w:val="0"/>
        <w:autoSpaceDN w:val="0"/>
        <w:adjustRightInd w:val="0"/>
        <w:snapToGrid w:val="0"/>
        <w:spacing w:line="440" w:lineRule="atLeast"/>
        <w:ind w:firstLine="420" w:firstLineChars="191"/>
        <w:textAlignment w:val="bottom"/>
        <w:rPr>
          <w:rFonts w:hint="eastAsia" w:ascii="宋体" w:hAnsi="宋体" w:cs="宋体"/>
          <w:b w:val="0"/>
          <w:color w:val="auto"/>
          <w:sz w:val="22"/>
          <w:szCs w:val="22"/>
          <w:highlight w:val="none"/>
        </w:rPr>
      </w:pPr>
      <w:r>
        <w:rPr>
          <w:rFonts w:hint="eastAsia" w:ascii="宋体" w:hAnsi="宋体" w:cs="宋体"/>
          <w:b w:val="0"/>
          <w:color w:val="auto"/>
          <w:sz w:val="22"/>
          <w:szCs w:val="22"/>
          <w:highlight w:val="none"/>
        </w:rPr>
        <w:t>4、本次采购采用商务报价文件与技术资信文件分别评审，评标委员会首先评审供应商技术资信部分，技术资信部分无效的供应商不进入商务报价评审。要求供应商技术资信部分的投标文件（含资信与服务）中不得含产品报价，否则做无效投标处理。</w:t>
      </w:r>
    </w:p>
    <w:p w14:paraId="7FB81E96">
      <w:pPr>
        <w:adjustRightInd w:val="0"/>
        <w:spacing w:line="430" w:lineRule="atLeast"/>
        <w:ind w:firstLine="431" w:firstLineChars="196"/>
        <w:rPr>
          <w:rFonts w:hint="eastAsia" w:ascii="宋体" w:hAnsi="宋体" w:cs="宋体"/>
          <w:color w:val="auto"/>
          <w:sz w:val="22"/>
          <w:szCs w:val="22"/>
          <w:highlight w:val="none"/>
          <w:u w:val="single"/>
        </w:rPr>
      </w:pPr>
      <w:r>
        <w:rPr>
          <w:rFonts w:hint="eastAsia" w:ascii="宋体" w:hAnsi="宋体" w:cs="宋体"/>
          <w:b w:val="0"/>
          <w:color w:val="auto"/>
          <w:sz w:val="22"/>
          <w:szCs w:val="22"/>
          <w:highlight w:val="none"/>
        </w:rPr>
        <w:t>5、</w:t>
      </w:r>
      <w:r>
        <w:rPr>
          <w:rFonts w:hint="eastAsia" w:ascii="宋体" w:hAnsi="宋体" w:cs="宋体"/>
          <w:color w:val="auto"/>
          <w:sz w:val="22"/>
          <w:szCs w:val="22"/>
          <w:highlight w:val="none"/>
          <w:u w:val="single"/>
        </w:rPr>
        <w:t>▲投标供应商应保证其单位参加采购活动前三年无任何行贿犯罪档案记录。</w:t>
      </w:r>
    </w:p>
    <w:p w14:paraId="45D183EF">
      <w:pPr>
        <w:adjustRightInd w:val="0"/>
        <w:spacing w:line="440" w:lineRule="exact"/>
        <w:ind w:firstLine="433" w:firstLineChars="196"/>
        <w:rPr>
          <w:rFonts w:hint="eastAsia" w:ascii="宋体" w:hAnsi="宋体" w:cs="宋体"/>
          <w:b w:val="0"/>
          <w:color w:val="auto"/>
          <w:sz w:val="22"/>
          <w:szCs w:val="22"/>
          <w:highlight w:val="none"/>
        </w:rPr>
      </w:pPr>
      <w:r>
        <w:rPr>
          <w:rFonts w:hint="eastAsia" w:ascii="宋体" w:hAnsi="宋体" w:cs="宋体"/>
          <w:color w:val="auto"/>
          <w:sz w:val="22"/>
          <w:szCs w:val="22"/>
          <w:highlight w:val="none"/>
        </w:rPr>
        <w:t>6、</w:t>
      </w:r>
      <w:r>
        <w:rPr>
          <w:rFonts w:hint="eastAsia" w:ascii="宋体" w:hAnsi="宋体" w:cs="宋体"/>
          <w:b w:val="0"/>
          <w:color w:val="auto"/>
          <w:sz w:val="22"/>
          <w:szCs w:val="22"/>
          <w:highlight w:val="none"/>
        </w:rPr>
        <w:t>本《招标文件》所称“关联企业”，是指存在关联关系的企业；“关联关系”的界定适用《中华人民共和国公司法》216条之规定。</w:t>
      </w:r>
    </w:p>
    <w:p w14:paraId="28380346">
      <w:pPr>
        <w:adjustRightInd w:val="0"/>
        <w:spacing w:line="440" w:lineRule="exact"/>
        <w:ind w:firstLine="431" w:firstLineChars="196"/>
        <w:rPr>
          <w:rFonts w:hint="eastAsia" w:ascii="宋体" w:hAnsi="宋体" w:cs="宋体"/>
          <w:b w:val="0"/>
          <w:color w:val="auto"/>
          <w:sz w:val="22"/>
          <w:szCs w:val="22"/>
          <w:highlight w:val="none"/>
        </w:rPr>
      </w:pPr>
      <w:r>
        <w:rPr>
          <w:rFonts w:hint="eastAsia" w:ascii="宋体" w:hAnsi="宋体" w:cs="宋体"/>
          <w:b w:val="0"/>
          <w:color w:val="auto"/>
          <w:sz w:val="22"/>
          <w:szCs w:val="22"/>
          <w:highlight w:val="none"/>
        </w:rPr>
        <w:t xml:space="preserve">6.1单位负责人为同一人或者存在直接控股、管理关系的不同供应商参加同一合同项下的采购活动的，相关投标均作无效标处理。 </w:t>
      </w:r>
    </w:p>
    <w:p w14:paraId="22DE7836">
      <w:pPr>
        <w:adjustRightInd w:val="0"/>
        <w:spacing w:line="440" w:lineRule="exact"/>
        <w:ind w:firstLine="431" w:firstLineChars="196"/>
        <w:rPr>
          <w:rFonts w:hint="eastAsia" w:ascii="宋体" w:hAnsi="宋体" w:cs="宋体"/>
          <w:b w:val="0"/>
          <w:color w:val="auto"/>
          <w:sz w:val="22"/>
          <w:szCs w:val="22"/>
          <w:highlight w:val="none"/>
        </w:rPr>
      </w:pPr>
      <w:r>
        <w:rPr>
          <w:rFonts w:hint="eastAsia" w:ascii="宋体" w:hAnsi="宋体" w:cs="宋体"/>
          <w:b w:val="0"/>
          <w:color w:val="auto"/>
          <w:sz w:val="22"/>
          <w:szCs w:val="22"/>
          <w:highlight w:val="none"/>
        </w:rPr>
        <w:t>6.2不同供应商之间存在以下利害关系并且存在影响采购公平竞争行为的，不得参加同一合同项下的采购活动，相关投标均作无效标处理：</w:t>
      </w:r>
    </w:p>
    <w:p w14:paraId="1E95540D">
      <w:pPr>
        <w:adjustRightInd w:val="0"/>
        <w:spacing w:line="440" w:lineRule="exact"/>
        <w:ind w:firstLine="431" w:firstLineChars="196"/>
        <w:rPr>
          <w:rFonts w:hint="eastAsia" w:ascii="宋体" w:hAnsi="宋体" w:cs="宋体"/>
          <w:b w:val="0"/>
          <w:color w:val="auto"/>
          <w:sz w:val="22"/>
          <w:szCs w:val="22"/>
          <w:highlight w:val="none"/>
        </w:rPr>
      </w:pPr>
      <w:r>
        <w:rPr>
          <w:rFonts w:hint="eastAsia" w:ascii="宋体" w:hAnsi="宋体" w:cs="宋体"/>
          <w:b w:val="0"/>
          <w:color w:val="auto"/>
          <w:sz w:val="22"/>
          <w:szCs w:val="22"/>
          <w:highlight w:val="none"/>
        </w:rPr>
        <w:t>（1）法定代表人或负责人或实际控制人是夫妻关系；</w:t>
      </w:r>
    </w:p>
    <w:p w14:paraId="37E8AE61">
      <w:pPr>
        <w:adjustRightInd w:val="0"/>
        <w:spacing w:line="440" w:lineRule="exact"/>
        <w:ind w:firstLine="431" w:firstLineChars="196"/>
        <w:rPr>
          <w:rFonts w:hint="eastAsia" w:ascii="宋体" w:hAnsi="宋体" w:cs="宋体"/>
          <w:b w:val="0"/>
          <w:color w:val="auto"/>
          <w:sz w:val="22"/>
          <w:szCs w:val="22"/>
          <w:highlight w:val="none"/>
        </w:rPr>
      </w:pPr>
      <w:r>
        <w:rPr>
          <w:rFonts w:hint="eastAsia" w:ascii="宋体" w:hAnsi="宋体" w:cs="宋体"/>
          <w:b w:val="0"/>
          <w:color w:val="auto"/>
          <w:sz w:val="22"/>
          <w:szCs w:val="22"/>
          <w:highlight w:val="none"/>
        </w:rPr>
        <w:t>（2）法定代表人或负责人或实际控制人是直系血亲关系；；</w:t>
      </w:r>
    </w:p>
    <w:p w14:paraId="29A2DDF1">
      <w:pPr>
        <w:adjustRightInd w:val="0"/>
        <w:spacing w:line="440" w:lineRule="exact"/>
        <w:ind w:firstLine="431" w:firstLineChars="196"/>
        <w:rPr>
          <w:rFonts w:hint="eastAsia" w:ascii="宋体" w:hAnsi="宋体" w:cs="宋体"/>
          <w:b w:val="0"/>
          <w:color w:val="auto"/>
          <w:sz w:val="22"/>
          <w:szCs w:val="22"/>
          <w:highlight w:val="none"/>
        </w:rPr>
      </w:pPr>
      <w:r>
        <w:rPr>
          <w:rFonts w:hint="eastAsia" w:ascii="宋体" w:hAnsi="宋体" w:cs="宋体"/>
          <w:b w:val="0"/>
          <w:color w:val="auto"/>
          <w:sz w:val="22"/>
          <w:szCs w:val="22"/>
          <w:highlight w:val="none"/>
        </w:rPr>
        <w:t>（3）法定代表人或负责人或实际控制人存在股份控制或实际控制关系；</w:t>
      </w:r>
    </w:p>
    <w:p w14:paraId="5924D567">
      <w:pPr>
        <w:adjustRightInd w:val="0"/>
        <w:spacing w:line="440" w:lineRule="exact"/>
        <w:ind w:firstLine="431" w:firstLineChars="196"/>
        <w:rPr>
          <w:rFonts w:hint="eastAsia" w:ascii="宋体" w:hAnsi="宋体" w:cs="宋体"/>
          <w:b w:val="0"/>
          <w:color w:val="auto"/>
          <w:sz w:val="22"/>
          <w:szCs w:val="22"/>
          <w:highlight w:val="none"/>
        </w:rPr>
      </w:pPr>
      <w:r>
        <w:rPr>
          <w:rFonts w:hint="eastAsia" w:ascii="宋体" w:hAnsi="宋体" w:cs="宋体"/>
          <w:b w:val="0"/>
          <w:color w:val="auto"/>
          <w:sz w:val="22"/>
          <w:szCs w:val="22"/>
          <w:highlight w:val="none"/>
        </w:rPr>
        <w:t>（4）存在共同直接或间接投资设立子公司、联营企业和合营企业情况；</w:t>
      </w:r>
    </w:p>
    <w:p w14:paraId="0FCCF193">
      <w:pPr>
        <w:adjustRightInd w:val="0"/>
        <w:spacing w:line="430" w:lineRule="atLeast"/>
        <w:ind w:firstLine="433" w:firstLineChars="196"/>
        <w:rPr>
          <w:rFonts w:hint="eastAsia" w:ascii="宋体" w:hAnsi="宋体" w:cs="宋体"/>
          <w:b w:val="0"/>
          <w:color w:val="auto"/>
          <w:sz w:val="22"/>
          <w:szCs w:val="22"/>
          <w:highlight w:val="none"/>
        </w:rPr>
      </w:pPr>
      <w:r>
        <w:rPr>
          <w:rFonts w:hint="eastAsia" w:ascii="宋体" w:hAnsi="宋体" w:cs="宋体"/>
          <w:color w:val="auto"/>
          <w:sz w:val="22"/>
          <w:szCs w:val="22"/>
          <w:highlight w:val="none"/>
          <w:lang w:val="en-US" w:eastAsia="zh-CN"/>
        </w:rPr>
        <w:t>7</w:t>
      </w:r>
      <w:r>
        <w:rPr>
          <w:rFonts w:hint="eastAsia" w:ascii="宋体" w:hAnsi="宋体" w:cs="宋体"/>
          <w:color w:val="auto"/>
          <w:sz w:val="22"/>
          <w:szCs w:val="22"/>
          <w:highlight w:val="none"/>
        </w:rPr>
        <w:t>、</w:t>
      </w:r>
      <w:r>
        <w:rPr>
          <w:rFonts w:hint="eastAsia" w:ascii="宋体" w:hAnsi="宋体" w:cs="宋体"/>
          <w:color w:val="auto"/>
          <w:sz w:val="22"/>
          <w:szCs w:val="22"/>
          <w:highlight w:val="none"/>
          <w:lang w:val="en-US" w:eastAsia="zh-CN"/>
        </w:rPr>
        <w:t>本项目属于重新组织公开招标项目，在第一次公开招标采购活动中出现</w:t>
      </w:r>
      <w:r>
        <w:rPr>
          <w:rFonts w:hint="eastAsia" w:ascii="宋体" w:hAnsi="宋体" w:cs="宋体"/>
          <w:color w:val="auto"/>
          <w:szCs w:val="22"/>
          <w:highlight w:val="none"/>
        </w:rPr>
        <w:t>有效供应商不足三家</w:t>
      </w:r>
      <w:r>
        <w:rPr>
          <w:rFonts w:hint="eastAsia" w:ascii="宋体" w:hAnsi="宋体" w:cs="宋体"/>
          <w:color w:val="auto"/>
          <w:szCs w:val="22"/>
          <w:highlight w:val="none"/>
          <w:lang w:val="en-US" w:eastAsia="zh-CN"/>
        </w:rPr>
        <w:t>（只有两家）的情况</w:t>
      </w:r>
      <w:r>
        <w:rPr>
          <w:rFonts w:hint="eastAsia" w:ascii="宋体" w:hAnsi="宋体" w:cs="宋体"/>
          <w:color w:val="auto"/>
          <w:szCs w:val="22"/>
          <w:highlight w:val="none"/>
          <w:lang w:eastAsia="zh-CN"/>
        </w:rPr>
        <w:t>。</w:t>
      </w:r>
      <w:r>
        <w:rPr>
          <w:rFonts w:hint="eastAsia" w:ascii="宋体" w:hAnsi="宋体" w:cs="宋体"/>
          <w:color w:val="auto"/>
          <w:szCs w:val="22"/>
          <w:highlight w:val="none"/>
          <w:lang w:val="en-US" w:eastAsia="zh-CN"/>
        </w:rPr>
        <w:t>根据相关规定，本次采购在有效供应商大于等于两家的情况下，采购活动将继续进行</w:t>
      </w:r>
      <w:r>
        <w:rPr>
          <w:rFonts w:hint="eastAsia" w:ascii="宋体" w:hAnsi="宋体" w:cs="宋体"/>
          <w:color w:val="auto"/>
          <w:szCs w:val="22"/>
          <w:highlight w:val="none"/>
        </w:rPr>
        <w:t>。</w:t>
      </w:r>
    </w:p>
    <w:p w14:paraId="3EDBC302">
      <w:pPr>
        <w:pStyle w:val="4"/>
        <w:spacing w:before="0" w:after="120" w:line="700" w:lineRule="exact"/>
        <w:ind w:left="0" w:firstLine="0"/>
        <w:rPr>
          <w:rFonts w:hint="eastAsia" w:ascii="宋体" w:hAnsi="宋体" w:eastAsia="宋体" w:cs="宋体"/>
          <w:b/>
          <w:color w:val="auto"/>
          <w:sz w:val="22"/>
          <w:szCs w:val="22"/>
          <w:highlight w:val="none"/>
        </w:rPr>
      </w:pPr>
      <w:r>
        <w:rPr>
          <w:rFonts w:hint="eastAsia" w:ascii="宋体" w:hAnsi="宋体" w:eastAsia="宋体" w:cs="宋体"/>
          <w:b/>
          <w:color w:val="auto"/>
          <w:sz w:val="22"/>
          <w:szCs w:val="22"/>
          <w:highlight w:val="none"/>
        </w:rPr>
        <w:t>二、投标供应商资格要求:</w:t>
      </w:r>
    </w:p>
    <w:p w14:paraId="178A9C95">
      <w:pPr>
        <w:autoSpaceDE w:val="0"/>
        <w:autoSpaceDN w:val="0"/>
        <w:adjustRightInd w:val="0"/>
        <w:snapToGrid w:val="0"/>
        <w:spacing w:line="400" w:lineRule="atLeast"/>
        <w:ind w:firstLine="440" w:firstLineChars="200"/>
        <w:rPr>
          <w:rFonts w:hint="eastAsia" w:ascii="宋体" w:hAnsi="宋体" w:cs="宋体"/>
          <w:color w:val="auto"/>
          <w:sz w:val="22"/>
          <w:szCs w:val="22"/>
          <w:highlight w:val="none"/>
          <w:lang w:val="zh-CN"/>
        </w:rPr>
      </w:pPr>
      <w:r>
        <w:rPr>
          <w:rFonts w:hint="eastAsia" w:ascii="宋体" w:hAnsi="宋体" w:cs="宋体"/>
          <w:b w:val="0"/>
          <w:bCs w:val="0"/>
          <w:color w:val="auto"/>
          <w:sz w:val="22"/>
          <w:szCs w:val="22"/>
          <w:highlight w:val="none"/>
        </w:rPr>
        <w:t>按招标公告要求</w:t>
      </w:r>
    </w:p>
    <w:p w14:paraId="2D9FC427">
      <w:pPr>
        <w:pStyle w:val="4"/>
        <w:spacing w:before="0" w:after="120" w:line="700" w:lineRule="exact"/>
        <w:ind w:left="0" w:firstLine="0"/>
        <w:rPr>
          <w:rFonts w:hint="eastAsia" w:ascii="宋体" w:hAnsi="宋体" w:eastAsia="宋体" w:cs="宋体"/>
          <w:b/>
          <w:color w:val="auto"/>
          <w:sz w:val="22"/>
          <w:szCs w:val="22"/>
          <w:highlight w:val="none"/>
        </w:rPr>
      </w:pPr>
      <w:r>
        <w:rPr>
          <w:rFonts w:hint="eastAsia" w:ascii="宋体" w:hAnsi="宋体" w:eastAsia="宋体" w:cs="宋体"/>
          <w:b/>
          <w:color w:val="auto"/>
          <w:sz w:val="22"/>
          <w:szCs w:val="22"/>
          <w:highlight w:val="none"/>
        </w:rPr>
        <w:t>三、招标文件</w:t>
      </w:r>
    </w:p>
    <w:p w14:paraId="0C4B781E">
      <w:pPr>
        <w:autoSpaceDE w:val="0"/>
        <w:autoSpaceDN w:val="0"/>
        <w:adjustRightInd w:val="0"/>
        <w:snapToGrid w:val="0"/>
        <w:spacing w:line="400" w:lineRule="atLeast"/>
        <w:ind w:firstLine="440" w:firstLineChars="200"/>
        <w:rPr>
          <w:rFonts w:hint="eastAsia" w:ascii="宋体" w:hAnsi="宋体" w:cs="宋体"/>
          <w:b w:val="0"/>
          <w:color w:val="auto"/>
          <w:sz w:val="22"/>
          <w:szCs w:val="22"/>
          <w:highlight w:val="none"/>
          <w:lang w:val="zh-CN"/>
        </w:rPr>
      </w:pPr>
      <w:r>
        <w:rPr>
          <w:rFonts w:hint="eastAsia" w:ascii="宋体" w:hAnsi="宋体" w:cs="宋体"/>
          <w:b w:val="0"/>
          <w:color w:val="auto"/>
          <w:sz w:val="22"/>
          <w:szCs w:val="22"/>
          <w:highlight w:val="none"/>
          <w:lang w:val="zh-CN"/>
        </w:rPr>
        <w:t>1、招标文件</w:t>
      </w:r>
    </w:p>
    <w:p w14:paraId="7B6FB2F1">
      <w:pPr>
        <w:autoSpaceDE w:val="0"/>
        <w:autoSpaceDN w:val="0"/>
        <w:adjustRightInd w:val="0"/>
        <w:snapToGrid w:val="0"/>
        <w:spacing w:line="400" w:lineRule="atLeast"/>
        <w:ind w:firstLine="440" w:firstLineChars="200"/>
        <w:rPr>
          <w:rFonts w:hint="eastAsia" w:ascii="宋体" w:hAnsi="宋体" w:cs="宋体"/>
          <w:b w:val="0"/>
          <w:color w:val="auto"/>
          <w:sz w:val="22"/>
          <w:szCs w:val="22"/>
          <w:highlight w:val="none"/>
          <w:lang w:val="zh-CN"/>
        </w:rPr>
      </w:pPr>
      <w:r>
        <w:rPr>
          <w:rFonts w:hint="eastAsia" w:ascii="宋体" w:hAnsi="宋体" w:cs="宋体"/>
          <w:b w:val="0"/>
          <w:color w:val="auto"/>
          <w:sz w:val="22"/>
          <w:szCs w:val="22"/>
          <w:highlight w:val="none"/>
          <w:lang w:val="zh-CN"/>
        </w:rPr>
        <w:t>1.1招标文件发放</w:t>
      </w:r>
    </w:p>
    <w:p w14:paraId="1A4A6B25">
      <w:pPr>
        <w:autoSpaceDE w:val="0"/>
        <w:autoSpaceDN w:val="0"/>
        <w:adjustRightInd w:val="0"/>
        <w:snapToGrid w:val="0"/>
        <w:spacing w:line="400" w:lineRule="atLeast"/>
        <w:ind w:firstLine="440" w:firstLineChars="200"/>
        <w:rPr>
          <w:rFonts w:hint="eastAsia" w:ascii="宋体" w:hAnsi="宋体" w:cs="宋体"/>
          <w:b w:val="0"/>
          <w:color w:val="auto"/>
          <w:sz w:val="22"/>
          <w:szCs w:val="22"/>
          <w:highlight w:val="none"/>
          <w:lang w:val="zh-CN"/>
        </w:rPr>
      </w:pPr>
      <w:r>
        <w:rPr>
          <w:rFonts w:hint="eastAsia" w:ascii="宋体" w:hAnsi="宋体" w:cs="宋体"/>
          <w:b w:val="0"/>
          <w:color w:val="auto"/>
          <w:sz w:val="22"/>
          <w:szCs w:val="22"/>
          <w:highlight w:val="none"/>
          <w:lang w:val="zh-CN"/>
        </w:rPr>
        <w:t>供应商在领取标书的同时须填写报名登记表。</w:t>
      </w:r>
    </w:p>
    <w:p w14:paraId="43D60F1D">
      <w:pPr>
        <w:autoSpaceDE w:val="0"/>
        <w:autoSpaceDN w:val="0"/>
        <w:adjustRightInd w:val="0"/>
        <w:snapToGrid w:val="0"/>
        <w:spacing w:line="400" w:lineRule="atLeast"/>
        <w:ind w:firstLine="440" w:firstLineChars="200"/>
        <w:rPr>
          <w:rFonts w:hint="eastAsia" w:ascii="宋体" w:hAnsi="宋体" w:cs="宋体"/>
          <w:b w:val="0"/>
          <w:color w:val="auto"/>
          <w:sz w:val="22"/>
          <w:szCs w:val="22"/>
          <w:highlight w:val="none"/>
          <w:lang w:val="zh-CN"/>
        </w:rPr>
      </w:pPr>
      <w:r>
        <w:rPr>
          <w:rFonts w:hint="eastAsia" w:ascii="宋体" w:hAnsi="宋体" w:cs="宋体"/>
          <w:b w:val="0"/>
          <w:color w:val="auto"/>
          <w:sz w:val="22"/>
          <w:szCs w:val="22"/>
          <w:highlight w:val="none"/>
          <w:lang w:val="zh-CN"/>
        </w:rPr>
        <w:t>1.2招标文件约束力</w:t>
      </w:r>
    </w:p>
    <w:p w14:paraId="35B94333">
      <w:pPr>
        <w:autoSpaceDE w:val="0"/>
        <w:autoSpaceDN w:val="0"/>
        <w:adjustRightInd w:val="0"/>
        <w:snapToGrid w:val="0"/>
        <w:spacing w:line="400" w:lineRule="atLeast"/>
        <w:ind w:firstLine="442" w:firstLineChars="200"/>
        <w:rPr>
          <w:rFonts w:hint="eastAsia" w:ascii="宋体" w:hAnsi="宋体" w:cs="宋体"/>
          <w:color w:val="auto"/>
          <w:sz w:val="22"/>
          <w:szCs w:val="22"/>
          <w:highlight w:val="none"/>
          <w:u w:val="single"/>
          <w:lang w:val="zh-CN"/>
        </w:rPr>
      </w:pPr>
      <w:r>
        <w:rPr>
          <w:rFonts w:hint="eastAsia" w:ascii="宋体" w:hAnsi="宋体" w:cs="宋体"/>
          <w:color w:val="auto"/>
          <w:sz w:val="22"/>
          <w:szCs w:val="22"/>
          <w:highlight w:val="none"/>
          <w:u w:val="single"/>
          <w:lang w:val="zh-CN"/>
        </w:rPr>
        <w:t>供应商</w:t>
      </w:r>
      <w:r>
        <w:rPr>
          <w:rFonts w:hint="eastAsia" w:ascii="宋体" w:hAnsi="宋体" w:cs="宋体"/>
          <w:color w:val="auto"/>
          <w:sz w:val="22"/>
          <w:szCs w:val="22"/>
          <w:highlight w:val="none"/>
          <w:u w:val="single"/>
        </w:rPr>
        <w:t>一旦</w:t>
      </w:r>
      <w:r>
        <w:rPr>
          <w:rFonts w:hint="eastAsia" w:ascii="宋体" w:hAnsi="宋体" w:cs="宋体"/>
          <w:color w:val="auto"/>
          <w:sz w:val="22"/>
          <w:szCs w:val="22"/>
          <w:highlight w:val="none"/>
          <w:u w:val="single"/>
          <w:lang w:val="en-US" w:eastAsia="zh-CN"/>
        </w:rPr>
        <w:t>获取</w:t>
      </w:r>
      <w:r>
        <w:rPr>
          <w:rFonts w:hint="eastAsia" w:ascii="宋体" w:hAnsi="宋体" w:cs="宋体"/>
          <w:color w:val="auto"/>
          <w:sz w:val="22"/>
          <w:szCs w:val="22"/>
          <w:highlight w:val="none"/>
          <w:u w:val="single"/>
        </w:rPr>
        <w:t>本招标文件并参加投标，即被认为接受了本招标文件中招标通知(邀请)书及供应商须知中所有条款和规定。</w:t>
      </w:r>
    </w:p>
    <w:p w14:paraId="3565CCC7">
      <w:pPr>
        <w:autoSpaceDE w:val="0"/>
        <w:autoSpaceDN w:val="0"/>
        <w:adjustRightInd w:val="0"/>
        <w:snapToGrid w:val="0"/>
        <w:spacing w:line="400" w:lineRule="atLeast"/>
        <w:ind w:firstLine="440" w:firstLineChars="200"/>
        <w:rPr>
          <w:rFonts w:hint="eastAsia" w:ascii="宋体" w:hAnsi="宋体" w:cs="宋体"/>
          <w:b w:val="0"/>
          <w:color w:val="auto"/>
          <w:sz w:val="22"/>
          <w:szCs w:val="22"/>
          <w:highlight w:val="none"/>
          <w:lang w:val="zh-CN"/>
        </w:rPr>
      </w:pPr>
      <w:r>
        <w:rPr>
          <w:rFonts w:hint="eastAsia" w:ascii="宋体" w:hAnsi="宋体" w:cs="宋体"/>
          <w:b w:val="0"/>
          <w:color w:val="auto"/>
          <w:sz w:val="22"/>
          <w:szCs w:val="22"/>
          <w:highlight w:val="none"/>
          <w:lang w:val="zh-CN"/>
        </w:rPr>
        <w:t>2、招标文件的澄清</w:t>
      </w:r>
    </w:p>
    <w:p w14:paraId="480482C4">
      <w:pPr>
        <w:autoSpaceDE w:val="0"/>
        <w:autoSpaceDN w:val="0"/>
        <w:adjustRightInd w:val="0"/>
        <w:snapToGrid w:val="0"/>
        <w:spacing w:line="400" w:lineRule="atLeast"/>
        <w:ind w:firstLine="440" w:firstLineChars="200"/>
        <w:rPr>
          <w:rFonts w:hint="eastAsia" w:ascii="宋体" w:hAnsi="宋体" w:cs="宋体"/>
          <w:b w:val="0"/>
          <w:color w:val="auto"/>
          <w:sz w:val="22"/>
          <w:szCs w:val="22"/>
          <w:highlight w:val="none"/>
          <w:lang w:val="zh-CN"/>
        </w:rPr>
      </w:pPr>
      <w:r>
        <w:rPr>
          <w:rFonts w:hint="eastAsia" w:ascii="宋体" w:hAnsi="宋体" w:cs="宋体"/>
          <w:b w:val="0"/>
          <w:color w:val="auto"/>
          <w:sz w:val="22"/>
          <w:szCs w:val="22"/>
          <w:highlight w:val="none"/>
          <w:lang w:val="zh-CN"/>
        </w:rPr>
        <w:t>2.1供应商对招标文件如有疑点要求澄清，或认为有必要与采购人进行技术交流，可用书面形式（包括信函、传真，下同）通知代理机构，但通知不得迟于投标通知（邀请）书中规定时间使代理机构收到，代理机构将用书面形式予以答复。如有必要，可将不说明来源的答复发给各有关供应商。</w:t>
      </w:r>
    </w:p>
    <w:p w14:paraId="4CCD3AC8">
      <w:pPr>
        <w:autoSpaceDE w:val="0"/>
        <w:autoSpaceDN w:val="0"/>
        <w:adjustRightInd w:val="0"/>
        <w:snapToGrid w:val="0"/>
        <w:spacing w:line="400" w:lineRule="atLeast"/>
        <w:ind w:firstLine="440" w:firstLineChars="200"/>
        <w:rPr>
          <w:rFonts w:hint="eastAsia" w:ascii="宋体" w:hAnsi="宋体" w:cs="宋体"/>
          <w:b w:val="0"/>
          <w:color w:val="auto"/>
          <w:sz w:val="22"/>
          <w:szCs w:val="22"/>
          <w:highlight w:val="none"/>
          <w:lang w:val="zh-CN"/>
        </w:rPr>
      </w:pPr>
      <w:r>
        <w:rPr>
          <w:rFonts w:hint="eastAsia" w:ascii="宋体" w:hAnsi="宋体" w:cs="宋体"/>
          <w:b w:val="0"/>
          <w:color w:val="auto"/>
          <w:sz w:val="22"/>
          <w:szCs w:val="22"/>
          <w:highlight w:val="none"/>
          <w:lang w:val="zh-CN"/>
        </w:rPr>
        <w:t>3、招标文件的修改</w:t>
      </w:r>
    </w:p>
    <w:p w14:paraId="1B8C53E3">
      <w:pPr>
        <w:autoSpaceDE w:val="0"/>
        <w:autoSpaceDN w:val="0"/>
        <w:adjustRightInd w:val="0"/>
        <w:snapToGrid w:val="0"/>
        <w:spacing w:line="400" w:lineRule="atLeast"/>
        <w:ind w:firstLine="440" w:firstLineChars="200"/>
        <w:rPr>
          <w:rFonts w:hint="eastAsia" w:ascii="宋体" w:hAnsi="宋体" w:cs="宋体"/>
          <w:b w:val="0"/>
          <w:color w:val="auto"/>
          <w:sz w:val="22"/>
          <w:szCs w:val="22"/>
          <w:highlight w:val="none"/>
          <w:lang w:val="zh-CN"/>
        </w:rPr>
      </w:pPr>
      <w:r>
        <w:rPr>
          <w:rFonts w:hint="eastAsia" w:ascii="宋体" w:hAnsi="宋体" w:cs="宋体"/>
          <w:b w:val="0"/>
          <w:color w:val="auto"/>
          <w:sz w:val="22"/>
          <w:szCs w:val="22"/>
          <w:highlight w:val="none"/>
          <w:lang w:val="zh-CN"/>
        </w:rPr>
        <w:t>3.1在投标截止时间前，采购人或代理机构有权修改招标文件，并以书面形式通知供应商。补充文件作为招标文件的补充和组成部分，对所有供应商均有约束力。</w:t>
      </w:r>
    </w:p>
    <w:p w14:paraId="209C5C2B">
      <w:pPr>
        <w:autoSpaceDE w:val="0"/>
        <w:autoSpaceDN w:val="0"/>
        <w:adjustRightInd w:val="0"/>
        <w:snapToGrid w:val="0"/>
        <w:spacing w:line="400" w:lineRule="atLeast"/>
        <w:ind w:firstLine="440" w:firstLineChars="200"/>
        <w:rPr>
          <w:rFonts w:hint="eastAsia" w:ascii="宋体" w:hAnsi="宋体" w:cs="宋体"/>
          <w:b w:val="0"/>
          <w:color w:val="auto"/>
          <w:sz w:val="22"/>
          <w:szCs w:val="22"/>
          <w:highlight w:val="none"/>
          <w:lang w:val="zh-CN"/>
        </w:rPr>
      </w:pPr>
      <w:r>
        <w:rPr>
          <w:rFonts w:hint="eastAsia" w:ascii="宋体" w:hAnsi="宋体" w:cs="宋体"/>
          <w:b w:val="0"/>
          <w:color w:val="auto"/>
          <w:sz w:val="22"/>
          <w:szCs w:val="22"/>
          <w:highlight w:val="none"/>
          <w:lang w:val="zh-CN"/>
        </w:rPr>
        <w:t>3.2为使供应商有足够的时间按招标文件要求修正投标文件，采购人可酌情推迟投标截止时间和开标时间，并将此变更通知供应商。</w:t>
      </w:r>
    </w:p>
    <w:p w14:paraId="243A1295">
      <w:pPr>
        <w:pStyle w:val="4"/>
        <w:spacing w:before="0" w:after="120" w:line="700" w:lineRule="exact"/>
        <w:ind w:left="0" w:firstLine="0"/>
        <w:rPr>
          <w:rFonts w:hint="eastAsia" w:ascii="宋体" w:hAnsi="宋体" w:eastAsia="宋体" w:cs="宋体"/>
          <w:b/>
          <w:color w:val="auto"/>
          <w:sz w:val="22"/>
          <w:szCs w:val="22"/>
          <w:highlight w:val="none"/>
        </w:rPr>
      </w:pPr>
      <w:r>
        <w:rPr>
          <w:rFonts w:hint="eastAsia" w:ascii="宋体" w:hAnsi="宋体" w:eastAsia="宋体" w:cs="宋体"/>
          <w:b/>
          <w:color w:val="auto"/>
          <w:sz w:val="22"/>
          <w:szCs w:val="22"/>
          <w:highlight w:val="none"/>
        </w:rPr>
        <w:t>四、投标文件</w:t>
      </w:r>
    </w:p>
    <w:p w14:paraId="4437657B">
      <w:pPr>
        <w:autoSpaceDE w:val="0"/>
        <w:autoSpaceDN w:val="0"/>
        <w:adjustRightInd w:val="0"/>
        <w:snapToGrid w:val="0"/>
        <w:spacing w:line="400" w:lineRule="atLeast"/>
        <w:ind w:firstLine="440" w:firstLineChars="200"/>
        <w:rPr>
          <w:rFonts w:hint="eastAsia" w:ascii="宋体" w:hAnsi="宋体" w:cs="宋体"/>
          <w:b w:val="0"/>
          <w:color w:val="auto"/>
          <w:sz w:val="22"/>
          <w:szCs w:val="22"/>
          <w:highlight w:val="none"/>
          <w:lang w:val="zh-CN"/>
        </w:rPr>
      </w:pPr>
      <w:r>
        <w:rPr>
          <w:rFonts w:hint="eastAsia" w:ascii="宋体" w:hAnsi="宋体" w:cs="宋体"/>
          <w:b w:val="0"/>
          <w:color w:val="auto"/>
          <w:sz w:val="22"/>
          <w:szCs w:val="22"/>
          <w:highlight w:val="none"/>
          <w:lang w:val="zh-CN"/>
        </w:rPr>
        <w:t>1、投标文件</w:t>
      </w:r>
    </w:p>
    <w:p w14:paraId="55099797">
      <w:pPr>
        <w:autoSpaceDE w:val="0"/>
        <w:autoSpaceDN w:val="0"/>
        <w:adjustRightInd w:val="0"/>
        <w:snapToGrid w:val="0"/>
        <w:spacing w:line="400" w:lineRule="atLeast"/>
        <w:ind w:firstLine="440" w:firstLineChars="200"/>
        <w:textAlignment w:val="bottom"/>
        <w:rPr>
          <w:rFonts w:hint="eastAsia" w:ascii="宋体" w:hAnsi="宋体" w:cs="宋体"/>
          <w:b w:val="0"/>
          <w:color w:val="auto"/>
          <w:sz w:val="22"/>
          <w:szCs w:val="22"/>
          <w:highlight w:val="none"/>
        </w:rPr>
      </w:pPr>
      <w:r>
        <w:rPr>
          <w:rFonts w:hint="eastAsia" w:ascii="宋体" w:hAnsi="宋体" w:cs="宋体"/>
          <w:b w:val="0"/>
          <w:color w:val="auto"/>
          <w:sz w:val="22"/>
          <w:szCs w:val="22"/>
          <w:highlight w:val="none"/>
          <w:lang w:val="zh-CN"/>
        </w:rPr>
        <w:t>1.1</w:t>
      </w:r>
      <w:r>
        <w:rPr>
          <w:rFonts w:hint="eastAsia" w:ascii="宋体" w:hAnsi="宋体" w:cs="宋体"/>
          <w:b w:val="0"/>
          <w:color w:val="auto"/>
          <w:sz w:val="22"/>
          <w:szCs w:val="22"/>
          <w:highlight w:val="none"/>
        </w:rPr>
        <w:t>供应商应仔细阅读招标文件中的所有内容，按照招标文件及招标货物技术规格要求，详细编制投标文件。并对招标文件的要求做出实质上响应。实质上响应的投标应该是与招标文件要求没有重大偏离的投标。未实质上响应的投标文件将被拒绝，但允许投标设备在基本满足招标货物技术要求的前提下出现的微小差异。</w:t>
      </w:r>
    </w:p>
    <w:p w14:paraId="585C90A5">
      <w:pPr>
        <w:autoSpaceDE w:val="0"/>
        <w:autoSpaceDN w:val="0"/>
        <w:adjustRightInd w:val="0"/>
        <w:snapToGrid w:val="0"/>
        <w:spacing w:line="400" w:lineRule="atLeast"/>
        <w:ind w:firstLine="440" w:firstLineChars="200"/>
        <w:textAlignment w:val="bottom"/>
        <w:rPr>
          <w:rFonts w:hint="eastAsia" w:ascii="宋体" w:hAnsi="宋体" w:cs="宋体"/>
          <w:b w:val="0"/>
          <w:color w:val="auto"/>
          <w:sz w:val="22"/>
          <w:szCs w:val="22"/>
          <w:highlight w:val="none"/>
        </w:rPr>
      </w:pPr>
      <w:r>
        <w:rPr>
          <w:rFonts w:hint="eastAsia" w:ascii="宋体" w:hAnsi="宋体" w:cs="宋体"/>
          <w:b w:val="0"/>
          <w:color w:val="auto"/>
          <w:sz w:val="22"/>
          <w:szCs w:val="22"/>
          <w:highlight w:val="none"/>
          <w:lang w:val="zh-CN"/>
        </w:rPr>
        <w:t>1.2</w:t>
      </w:r>
      <w:r>
        <w:rPr>
          <w:rFonts w:hint="eastAsia" w:ascii="宋体" w:hAnsi="宋体" w:cs="宋体"/>
          <w:b w:val="0"/>
          <w:color w:val="auto"/>
          <w:sz w:val="22"/>
          <w:szCs w:val="22"/>
          <w:highlight w:val="none"/>
        </w:rPr>
        <w:t>供应商必须按招标文件的要求提供相关技术参数、资料，包括采用的计量单位，并保证投标文件的正确性和真实性。投标文件全部内容应保持一致，否则可能导致不利于其投标的评定甚至被拒绝。技术和商务如有偏离均应填写偏离表。</w:t>
      </w:r>
    </w:p>
    <w:p w14:paraId="38162EC8">
      <w:pPr>
        <w:autoSpaceDE w:val="0"/>
        <w:autoSpaceDN w:val="0"/>
        <w:adjustRightInd w:val="0"/>
        <w:snapToGrid w:val="0"/>
        <w:spacing w:line="400" w:lineRule="atLeast"/>
        <w:ind w:firstLine="440" w:firstLineChars="200"/>
        <w:rPr>
          <w:rFonts w:hint="eastAsia" w:ascii="宋体" w:hAnsi="宋体" w:cs="宋体"/>
          <w:b w:val="0"/>
          <w:color w:val="auto"/>
          <w:sz w:val="22"/>
          <w:szCs w:val="22"/>
          <w:highlight w:val="none"/>
          <w:lang w:val="zh-CN"/>
        </w:rPr>
      </w:pPr>
      <w:r>
        <w:rPr>
          <w:rFonts w:hint="eastAsia" w:ascii="宋体" w:hAnsi="宋体" w:cs="宋体"/>
          <w:b w:val="0"/>
          <w:color w:val="auto"/>
          <w:sz w:val="22"/>
          <w:szCs w:val="22"/>
          <w:highlight w:val="none"/>
          <w:lang w:val="zh-CN"/>
        </w:rPr>
        <w:t>1.3供应商应仔细阅读招标文件中的所有内容，按照招标文件要求，详细编制投标文件，所有文件资料必须是针对本次投标。不按招标文件的要求提供的投标文件可能导致被拒绝。</w:t>
      </w:r>
    </w:p>
    <w:p w14:paraId="42A40A93">
      <w:pPr>
        <w:autoSpaceDE w:val="0"/>
        <w:autoSpaceDN w:val="0"/>
        <w:adjustRightInd w:val="0"/>
        <w:snapToGrid w:val="0"/>
        <w:spacing w:line="400" w:lineRule="atLeast"/>
        <w:ind w:firstLine="440" w:firstLineChars="200"/>
        <w:rPr>
          <w:rFonts w:hint="eastAsia" w:ascii="宋体" w:hAnsi="宋体" w:cs="宋体"/>
          <w:b w:val="0"/>
          <w:color w:val="auto"/>
          <w:sz w:val="22"/>
          <w:szCs w:val="22"/>
          <w:highlight w:val="none"/>
          <w:lang w:val="zh-CN"/>
        </w:rPr>
      </w:pPr>
      <w:r>
        <w:rPr>
          <w:rFonts w:hint="eastAsia" w:ascii="宋体" w:hAnsi="宋体" w:cs="宋体"/>
          <w:b w:val="0"/>
          <w:color w:val="auto"/>
          <w:sz w:val="22"/>
          <w:szCs w:val="22"/>
          <w:highlight w:val="none"/>
          <w:lang w:val="zh-CN"/>
        </w:rPr>
        <w:t>2、投标文件的组成</w:t>
      </w:r>
    </w:p>
    <w:p w14:paraId="44504B9D">
      <w:pPr>
        <w:autoSpaceDE w:val="0"/>
        <w:autoSpaceDN w:val="0"/>
        <w:adjustRightInd w:val="0"/>
        <w:snapToGrid w:val="0"/>
        <w:spacing w:line="400" w:lineRule="atLeast"/>
        <w:ind w:firstLine="442" w:firstLineChars="200"/>
        <w:rPr>
          <w:rFonts w:hint="eastAsia" w:ascii="宋体" w:hAnsi="宋体" w:cs="宋体"/>
          <w:color w:val="auto"/>
          <w:sz w:val="22"/>
          <w:szCs w:val="22"/>
          <w:highlight w:val="none"/>
          <w:lang w:val="zh-CN"/>
        </w:rPr>
      </w:pPr>
      <w:r>
        <w:rPr>
          <w:rFonts w:hint="eastAsia" w:ascii="宋体" w:hAnsi="宋体" w:cs="宋体"/>
          <w:bCs w:val="0"/>
          <w:color w:val="auto"/>
          <w:sz w:val="22"/>
          <w:szCs w:val="22"/>
          <w:highlight w:val="none"/>
          <w:u w:val="single"/>
        </w:rPr>
        <w:t>投标文件由商务报价部分和技术资信部分二部分组成</w:t>
      </w:r>
      <w:r>
        <w:rPr>
          <w:rFonts w:hint="eastAsia" w:ascii="宋体" w:hAnsi="宋体" w:cs="宋体"/>
          <w:bCs w:val="0"/>
          <w:color w:val="auto"/>
          <w:sz w:val="22"/>
          <w:szCs w:val="22"/>
          <w:highlight w:val="none"/>
          <w:u w:val="single"/>
          <w:lang w:eastAsia="zh-CN"/>
        </w:rPr>
        <w:t>，</w:t>
      </w:r>
      <w:r>
        <w:rPr>
          <w:rFonts w:hint="eastAsia" w:ascii="宋体" w:hAnsi="宋体" w:cs="宋体"/>
          <w:bCs w:val="0"/>
          <w:color w:val="auto"/>
          <w:sz w:val="22"/>
          <w:szCs w:val="22"/>
          <w:highlight w:val="none"/>
          <w:u w:val="single"/>
        </w:rPr>
        <w:t>技术资信部分（含资信与服务）不得含报价，否则投标将被拒绝。</w:t>
      </w:r>
    </w:p>
    <w:p w14:paraId="4CFCEE17">
      <w:pPr>
        <w:autoSpaceDE w:val="0"/>
        <w:autoSpaceDN w:val="0"/>
        <w:adjustRightInd w:val="0"/>
        <w:snapToGrid w:val="0"/>
        <w:spacing w:line="400" w:lineRule="atLeast"/>
        <w:ind w:firstLine="440" w:firstLineChars="200"/>
        <w:rPr>
          <w:rFonts w:hint="eastAsia" w:ascii="宋体" w:hAnsi="宋体" w:cs="宋体"/>
          <w:b w:val="0"/>
          <w:color w:val="auto"/>
          <w:sz w:val="22"/>
          <w:szCs w:val="22"/>
          <w:highlight w:val="none"/>
          <w:lang w:val="zh-CN"/>
        </w:rPr>
      </w:pPr>
      <w:r>
        <w:rPr>
          <w:rFonts w:hint="eastAsia" w:ascii="宋体" w:hAnsi="宋体" w:cs="宋体"/>
          <w:b w:val="0"/>
          <w:color w:val="auto"/>
          <w:sz w:val="22"/>
          <w:szCs w:val="22"/>
          <w:highlight w:val="none"/>
          <w:lang w:val="zh-CN"/>
        </w:rPr>
        <w:t>2.1、</w:t>
      </w:r>
      <w:r>
        <w:rPr>
          <w:rFonts w:hint="eastAsia" w:ascii="宋体" w:hAnsi="宋体" w:cs="宋体"/>
          <w:color w:val="auto"/>
          <w:sz w:val="22"/>
          <w:szCs w:val="22"/>
          <w:highlight w:val="none"/>
          <w:u w:val="single"/>
        </w:rPr>
        <w:t>商务报价部分</w:t>
      </w:r>
      <w:r>
        <w:rPr>
          <w:rFonts w:hint="eastAsia" w:ascii="宋体" w:hAnsi="宋体" w:cs="宋体"/>
          <w:color w:val="auto"/>
          <w:sz w:val="22"/>
          <w:szCs w:val="22"/>
          <w:highlight w:val="none"/>
          <w:u w:val="single"/>
          <w:lang w:val="zh-CN"/>
        </w:rPr>
        <w:t>组成</w:t>
      </w:r>
    </w:p>
    <w:p w14:paraId="28EB98AF">
      <w:pPr>
        <w:autoSpaceDE w:val="0"/>
        <w:autoSpaceDN w:val="0"/>
        <w:adjustRightInd w:val="0"/>
        <w:snapToGrid w:val="0"/>
        <w:spacing w:line="460" w:lineRule="atLeast"/>
        <w:ind w:firstLine="440" w:firstLineChars="200"/>
        <w:textAlignment w:val="bottom"/>
        <w:rPr>
          <w:rFonts w:hint="eastAsia" w:ascii="宋体" w:hAnsi="宋体" w:cs="宋体"/>
          <w:b w:val="0"/>
          <w:color w:val="auto"/>
          <w:sz w:val="22"/>
          <w:szCs w:val="22"/>
          <w:highlight w:val="none"/>
        </w:rPr>
      </w:pPr>
      <w:r>
        <w:rPr>
          <w:rFonts w:hint="eastAsia" w:ascii="宋体" w:hAnsi="宋体" w:cs="宋体"/>
          <w:b w:val="0"/>
          <w:color w:val="auto"/>
          <w:sz w:val="22"/>
          <w:szCs w:val="22"/>
          <w:highlight w:val="none"/>
        </w:rPr>
        <w:t>1）开标一览表（附件1-1）</w:t>
      </w:r>
      <w:r>
        <w:rPr>
          <w:rFonts w:hint="eastAsia" w:ascii="宋体" w:hAnsi="宋体" w:cs="宋体"/>
          <w:color w:val="auto"/>
          <w:sz w:val="22"/>
          <w:szCs w:val="22"/>
          <w:highlight w:val="none"/>
          <w:u w:val="single"/>
        </w:rPr>
        <w:t>（统一格式、不得更改）；</w:t>
      </w:r>
    </w:p>
    <w:p w14:paraId="6FBF86D4">
      <w:pPr>
        <w:autoSpaceDE w:val="0"/>
        <w:autoSpaceDN w:val="0"/>
        <w:adjustRightInd w:val="0"/>
        <w:snapToGrid w:val="0"/>
        <w:spacing w:line="460" w:lineRule="atLeast"/>
        <w:ind w:firstLine="440" w:firstLineChars="200"/>
        <w:textAlignment w:val="bottom"/>
        <w:rPr>
          <w:rFonts w:hint="eastAsia" w:ascii="宋体" w:hAnsi="宋体" w:cs="宋体"/>
          <w:b w:val="0"/>
          <w:color w:val="auto"/>
          <w:sz w:val="22"/>
          <w:szCs w:val="22"/>
          <w:highlight w:val="none"/>
        </w:rPr>
      </w:pPr>
      <w:r>
        <w:rPr>
          <w:rFonts w:hint="eastAsia" w:ascii="宋体" w:hAnsi="宋体" w:cs="宋体"/>
          <w:b w:val="0"/>
          <w:color w:val="auto"/>
          <w:sz w:val="22"/>
          <w:szCs w:val="22"/>
          <w:highlight w:val="none"/>
        </w:rPr>
        <w:t>2）投标明细表（附件1-2）。</w:t>
      </w:r>
    </w:p>
    <w:p w14:paraId="5091B0A4">
      <w:pPr>
        <w:autoSpaceDE w:val="0"/>
        <w:autoSpaceDN w:val="0"/>
        <w:adjustRightInd w:val="0"/>
        <w:snapToGrid w:val="0"/>
        <w:spacing w:line="460" w:lineRule="atLeast"/>
        <w:ind w:firstLine="440" w:firstLineChars="200"/>
        <w:textAlignment w:val="bottom"/>
        <w:rPr>
          <w:rFonts w:hint="eastAsia" w:ascii="宋体" w:hAnsi="宋体" w:cs="宋体"/>
          <w:b w:val="0"/>
          <w:color w:val="auto"/>
          <w:sz w:val="22"/>
          <w:szCs w:val="22"/>
          <w:highlight w:val="none"/>
        </w:rPr>
      </w:pPr>
      <w:r>
        <w:rPr>
          <w:rFonts w:hint="eastAsia" w:ascii="宋体" w:hAnsi="宋体" w:cs="宋体"/>
          <w:b w:val="0"/>
          <w:color w:val="auto"/>
          <w:sz w:val="22"/>
          <w:szCs w:val="22"/>
          <w:highlight w:val="none"/>
        </w:rPr>
        <w:t>2.2、</w:t>
      </w:r>
      <w:r>
        <w:rPr>
          <w:rFonts w:hint="eastAsia" w:ascii="宋体" w:hAnsi="宋体" w:cs="宋体"/>
          <w:color w:val="auto"/>
          <w:sz w:val="22"/>
          <w:szCs w:val="22"/>
          <w:highlight w:val="none"/>
          <w:u w:val="single"/>
        </w:rPr>
        <w:t>技术资信部分组成</w:t>
      </w:r>
    </w:p>
    <w:p w14:paraId="308BA4AB">
      <w:pPr>
        <w:autoSpaceDE w:val="0"/>
        <w:autoSpaceDN w:val="0"/>
        <w:adjustRightInd w:val="0"/>
        <w:snapToGrid w:val="0"/>
        <w:spacing w:line="460" w:lineRule="atLeast"/>
        <w:ind w:left="752" w:leftChars="208" w:hanging="315" w:hangingChars="150"/>
        <w:textAlignment w:val="bottom"/>
        <w:rPr>
          <w:rFonts w:hint="eastAsia" w:ascii="宋体" w:hAnsi="宋体" w:cs="宋体"/>
          <w:b w:val="0"/>
          <w:color w:val="auto"/>
          <w:highlight w:val="none"/>
        </w:rPr>
      </w:pPr>
      <w:r>
        <w:rPr>
          <w:rFonts w:hint="eastAsia" w:ascii="宋体" w:hAnsi="宋体" w:cs="宋体"/>
          <w:b w:val="0"/>
          <w:color w:val="auto"/>
          <w:highlight w:val="none"/>
        </w:rPr>
        <w:t>1）投标函（附件2-1）；</w:t>
      </w:r>
    </w:p>
    <w:p w14:paraId="7AA4210B">
      <w:pPr>
        <w:autoSpaceDE w:val="0"/>
        <w:autoSpaceDN w:val="0"/>
        <w:adjustRightInd w:val="0"/>
        <w:snapToGrid w:val="0"/>
        <w:spacing w:line="460" w:lineRule="atLeast"/>
        <w:ind w:left="752" w:leftChars="208" w:hanging="315" w:hangingChars="150"/>
        <w:textAlignment w:val="bottom"/>
        <w:rPr>
          <w:rFonts w:hint="eastAsia" w:ascii="宋体" w:hAnsi="宋体" w:cs="宋体"/>
          <w:b w:val="0"/>
          <w:color w:val="auto"/>
          <w:highlight w:val="none"/>
        </w:rPr>
      </w:pPr>
      <w:r>
        <w:rPr>
          <w:rFonts w:hint="eastAsia" w:ascii="宋体" w:hAnsi="宋体" w:cs="宋体"/>
          <w:b w:val="0"/>
          <w:color w:val="auto"/>
          <w:highlight w:val="none"/>
        </w:rPr>
        <w:t>2）法定代表人</w:t>
      </w:r>
      <w:r>
        <w:rPr>
          <w:rFonts w:hint="eastAsia" w:ascii="宋体" w:hAnsi="宋体" w:cs="宋体"/>
          <w:b w:val="0"/>
          <w:color w:val="auto"/>
          <w:highlight w:val="none"/>
          <w:lang w:eastAsia="zh-CN"/>
        </w:rPr>
        <w:t>（</w:t>
      </w:r>
      <w:r>
        <w:rPr>
          <w:rFonts w:hint="eastAsia" w:ascii="宋体" w:hAnsi="宋体" w:cs="宋体"/>
          <w:b w:val="0"/>
          <w:color w:val="auto"/>
          <w:highlight w:val="none"/>
          <w:lang w:val="en-US" w:eastAsia="zh-CN"/>
        </w:rPr>
        <w:t>负责人</w:t>
      </w:r>
      <w:r>
        <w:rPr>
          <w:rFonts w:hint="eastAsia" w:ascii="宋体" w:hAnsi="宋体" w:cs="宋体"/>
          <w:b w:val="0"/>
          <w:color w:val="auto"/>
          <w:highlight w:val="none"/>
          <w:lang w:eastAsia="zh-CN"/>
        </w:rPr>
        <w:t>）</w:t>
      </w:r>
      <w:r>
        <w:rPr>
          <w:rFonts w:hint="eastAsia" w:ascii="宋体" w:hAnsi="宋体" w:cs="宋体"/>
          <w:b w:val="0"/>
          <w:color w:val="auto"/>
          <w:highlight w:val="none"/>
        </w:rPr>
        <w:t>授权书（附件2-2）（统一格式、不得更改）；</w:t>
      </w:r>
    </w:p>
    <w:p w14:paraId="66DED3F6">
      <w:pPr>
        <w:autoSpaceDE w:val="0"/>
        <w:autoSpaceDN w:val="0"/>
        <w:adjustRightInd w:val="0"/>
        <w:snapToGrid w:val="0"/>
        <w:spacing w:line="460" w:lineRule="atLeast"/>
        <w:ind w:left="752" w:leftChars="208" w:hanging="315" w:hangingChars="150"/>
        <w:textAlignment w:val="bottom"/>
        <w:rPr>
          <w:rFonts w:hint="eastAsia" w:ascii="宋体" w:hAnsi="宋体" w:cs="宋体"/>
          <w:b w:val="0"/>
          <w:color w:val="auto"/>
          <w:highlight w:val="none"/>
        </w:rPr>
      </w:pPr>
      <w:r>
        <w:rPr>
          <w:rFonts w:hint="eastAsia" w:ascii="宋体" w:hAnsi="宋体" w:cs="宋体"/>
          <w:b w:val="0"/>
          <w:color w:val="auto"/>
          <w:highlight w:val="none"/>
        </w:rPr>
        <w:t>3) 供应商情况声明（附件2-3）；</w:t>
      </w:r>
    </w:p>
    <w:p w14:paraId="2EDD02A0">
      <w:pPr>
        <w:autoSpaceDE w:val="0"/>
        <w:autoSpaceDN w:val="0"/>
        <w:adjustRightInd w:val="0"/>
        <w:snapToGrid w:val="0"/>
        <w:spacing w:line="460" w:lineRule="atLeast"/>
        <w:ind w:left="752" w:leftChars="208" w:hanging="315" w:hangingChars="150"/>
        <w:textAlignment w:val="bottom"/>
        <w:rPr>
          <w:rFonts w:hint="eastAsia" w:ascii="宋体" w:hAnsi="宋体" w:cs="宋体"/>
          <w:b w:val="0"/>
          <w:color w:val="auto"/>
          <w:highlight w:val="none"/>
        </w:rPr>
      </w:pPr>
      <w:r>
        <w:rPr>
          <w:rFonts w:hint="eastAsia" w:ascii="宋体" w:hAnsi="宋体" w:cs="宋体"/>
          <w:b w:val="0"/>
          <w:color w:val="auto"/>
          <w:highlight w:val="none"/>
        </w:rPr>
        <w:t>4）近三年内在经营活动中没有重大违法记录的书面声明（附件2-4）；</w:t>
      </w:r>
    </w:p>
    <w:p w14:paraId="7D8E86B1">
      <w:pPr>
        <w:autoSpaceDE w:val="0"/>
        <w:autoSpaceDN w:val="0"/>
        <w:adjustRightInd w:val="0"/>
        <w:snapToGrid w:val="0"/>
        <w:spacing w:line="460" w:lineRule="atLeast"/>
        <w:ind w:left="752" w:leftChars="208" w:hanging="315" w:hangingChars="150"/>
        <w:textAlignment w:val="bottom"/>
        <w:rPr>
          <w:rFonts w:hint="eastAsia" w:ascii="宋体" w:hAnsi="宋体" w:cs="宋体"/>
          <w:b w:val="0"/>
          <w:color w:val="auto"/>
          <w:highlight w:val="none"/>
        </w:rPr>
      </w:pPr>
      <w:r>
        <w:rPr>
          <w:rFonts w:hint="eastAsia" w:ascii="宋体" w:hAnsi="宋体" w:cs="宋体"/>
          <w:b w:val="0"/>
          <w:color w:val="auto"/>
          <w:highlight w:val="none"/>
        </w:rPr>
        <w:t>5）依法缴纳税收和</w:t>
      </w:r>
      <w:r>
        <w:rPr>
          <w:rFonts w:hint="eastAsia" w:ascii="宋体" w:hAnsi="宋体" w:cs="宋体"/>
          <w:b w:val="0"/>
          <w:color w:val="auto"/>
          <w:highlight w:val="none"/>
        </w:rPr>
        <w:fldChar w:fldCharType="begin"/>
      </w:r>
      <w:r>
        <w:rPr>
          <w:rFonts w:hint="eastAsia" w:ascii="宋体" w:hAnsi="宋体" w:cs="宋体"/>
          <w:b w:val="0"/>
          <w:color w:val="auto"/>
          <w:highlight w:val="none"/>
        </w:rPr>
        <w:instrText xml:space="preserve"> HYPERLINK "http://baike.sogou.com/lemma/ShowInnerLink.htm?lemmaId=65969667&amp;ss_c=ssc.citiao.link" \t "_blank" </w:instrText>
      </w:r>
      <w:r>
        <w:rPr>
          <w:rFonts w:hint="eastAsia" w:ascii="宋体" w:hAnsi="宋体" w:cs="宋体"/>
          <w:b w:val="0"/>
          <w:color w:val="auto"/>
          <w:highlight w:val="none"/>
        </w:rPr>
        <w:fldChar w:fldCharType="separate"/>
      </w:r>
      <w:r>
        <w:rPr>
          <w:rFonts w:hint="eastAsia" w:ascii="宋体" w:hAnsi="宋体" w:cs="宋体"/>
          <w:b w:val="0"/>
          <w:color w:val="auto"/>
          <w:highlight w:val="none"/>
        </w:rPr>
        <w:t>社会保障资金</w:t>
      </w:r>
      <w:r>
        <w:rPr>
          <w:rFonts w:hint="eastAsia" w:ascii="宋体" w:hAnsi="宋体" w:cs="宋体"/>
          <w:b w:val="0"/>
          <w:color w:val="auto"/>
          <w:highlight w:val="none"/>
        </w:rPr>
        <w:fldChar w:fldCharType="end"/>
      </w:r>
      <w:r>
        <w:rPr>
          <w:rFonts w:hint="eastAsia" w:ascii="宋体" w:hAnsi="宋体" w:cs="宋体"/>
          <w:b w:val="0"/>
          <w:color w:val="auto"/>
          <w:highlight w:val="none"/>
        </w:rPr>
        <w:t>的相关材料（附件2-5）；</w:t>
      </w:r>
    </w:p>
    <w:p w14:paraId="1F170BB1">
      <w:pPr>
        <w:autoSpaceDE w:val="0"/>
        <w:autoSpaceDN w:val="0"/>
        <w:adjustRightInd w:val="0"/>
        <w:snapToGrid w:val="0"/>
        <w:spacing w:line="460" w:lineRule="atLeast"/>
        <w:ind w:left="752" w:leftChars="208" w:hanging="315" w:hangingChars="150"/>
        <w:textAlignment w:val="bottom"/>
        <w:rPr>
          <w:rFonts w:hint="eastAsia" w:ascii="宋体" w:hAnsi="宋体" w:cs="宋体"/>
          <w:b w:val="0"/>
          <w:color w:val="auto"/>
          <w:highlight w:val="none"/>
        </w:rPr>
      </w:pPr>
      <w:r>
        <w:rPr>
          <w:rFonts w:hint="eastAsia" w:ascii="宋体" w:hAnsi="宋体" w:cs="宋体"/>
          <w:b w:val="0"/>
          <w:color w:val="auto"/>
          <w:highlight w:val="none"/>
        </w:rPr>
        <w:t>6) 供应商营业执照（或事业单位法人证书）、税务登记证或三（五）证合一证照、资质证书（批文）（复印件加盖公章）；</w:t>
      </w:r>
    </w:p>
    <w:p w14:paraId="36727A8F">
      <w:pPr>
        <w:autoSpaceDE w:val="0"/>
        <w:autoSpaceDN w:val="0"/>
        <w:adjustRightInd w:val="0"/>
        <w:snapToGrid w:val="0"/>
        <w:spacing w:line="460" w:lineRule="atLeast"/>
        <w:ind w:left="752" w:leftChars="208" w:hanging="315" w:hangingChars="150"/>
        <w:textAlignment w:val="bottom"/>
        <w:rPr>
          <w:rFonts w:hint="eastAsia" w:ascii="宋体" w:hAnsi="宋体" w:eastAsia="宋体" w:cs="宋体"/>
          <w:b w:val="0"/>
          <w:color w:val="auto"/>
          <w:highlight w:val="none"/>
          <w:lang w:eastAsia="zh-CN"/>
        </w:rPr>
      </w:pPr>
      <w:r>
        <w:rPr>
          <w:rFonts w:hint="eastAsia" w:ascii="宋体" w:hAnsi="宋体" w:cs="宋体"/>
          <w:b w:val="0"/>
          <w:color w:val="auto"/>
          <w:highlight w:val="none"/>
        </w:rPr>
        <w:t>7)中华人民共和国经营保险业务许可证（复印件加盖有效公章）</w:t>
      </w:r>
      <w:r>
        <w:rPr>
          <w:rFonts w:hint="eastAsia" w:ascii="宋体" w:hAnsi="宋体" w:cs="宋体"/>
          <w:b w:val="0"/>
          <w:color w:val="auto"/>
          <w:highlight w:val="none"/>
          <w:lang w:eastAsia="zh-CN"/>
        </w:rPr>
        <w:t>；</w:t>
      </w:r>
    </w:p>
    <w:p w14:paraId="341EBD19">
      <w:pPr>
        <w:autoSpaceDE w:val="0"/>
        <w:autoSpaceDN w:val="0"/>
        <w:adjustRightInd w:val="0"/>
        <w:snapToGrid w:val="0"/>
        <w:spacing w:line="460" w:lineRule="atLeast"/>
        <w:ind w:left="752" w:leftChars="208" w:hanging="315" w:hangingChars="150"/>
        <w:textAlignment w:val="bottom"/>
        <w:rPr>
          <w:rFonts w:hint="eastAsia" w:ascii="宋体" w:hAnsi="宋体" w:cs="宋体"/>
          <w:b w:val="0"/>
          <w:color w:val="auto"/>
          <w:highlight w:val="none"/>
        </w:rPr>
      </w:pPr>
      <w:r>
        <w:rPr>
          <w:rFonts w:hint="eastAsia" w:ascii="宋体" w:hAnsi="宋体" w:cs="宋体"/>
          <w:b w:val="0"/>
          <w:color w:val="auto"/>
          <w:highlight w:val="none"/>
        </w:rPr>
        <w:t>8) 商务、技术响应表（附件2-6、附件2-7）（如不填写，则视为完全响应采购文件的要求）；</w:t>
      </w:r>
    </w:p>
    <w:p w14:paraId="24FD4D5F">
      <w:pPr>
        <w:autoSpaceDE w:val="0"/>
        <w:autoSpaceDN w:val="0"/>
        <w:adjustRightInd w:val="0"/>
        <w:snapToGrid w:val="0"/>
        <w:spacing w:line="460" w:lineRule="atLeast"/>
        <w:ind w:left="752" w:leftChars="208" w:hanging="315" w:hangingChars="150"/>
        <w:textAlignment w:val="bottom"/>
        <w:rPr>
          <w:rFonts w:hint="eastAsia" w:ascii="宋体" w:hAnsi="宋体" w:cs="宋体"/>
          <w:b w:val="0"/>
          <w:color w:val="auto"/>
          <w:highlight w:val="none"/>
        </w:rPr>
      </w:pPr>
      <w:r>
        <w:rPr>
          <w:rFonts w:hint="eastAsia" w:ascii="宋体" w:hAnsi="宋体" w:cs="宋体"/>
          <w:b w:val="0"/>
          <w:color w:val="auto"/>
          <w:highlight w:val="none"/>
        </w:rPr>
        <w:t>9）拟投入项目人员情况（附件2-8）</w:t>
      </w:r>
    </w:p>
    <w:p w14:paraId="390A71AA">
      <w:pPr>
        <w:autoSpaceDE w:val="0"/>
        <w:autoSpaceDN w:val="0"/>
        <w:adjustRightInd w:val="0"/>
        <w:snapToGrid w:val="0"/>
        <w:spacing w:line="460" w:lineRule="atLeast"/>
        <w:ind w:left="752" w:leftChars="208" w:hanging="315" w:hangingChars="150"/>
        <w:textAlignment w:val="bottom"/>
        <w:rPr>
          <w:rFonts w:hint="eastAsia" w:ascii="宋体" w:hAnsi="宋体" w:cs="宋体"/>
          <w:b w:val="0"/>
          <w:color w:val="auto"/>
          <w:highlight w:val="none"/>
        </w:rPr>
      </w:pPr>
      <w:r>
        <w:rPr>
          <w:rFonts w:hint="eastAsia" w:ascii="宋体" w:hAnsi="宋体" w:cs="宋体"/>
          <w:b w:val="0"/>
          <w:color w:val="auto"/>
          <w:highlight w:val="none"/>
        </w:rPr>
        <w:t>10）投标人类似业绩清单；</w:t>
      </w:r>
    </w:p>
    <w:p w14:paraId="784CC2F3">
      <w:pPr>
        <w:autoSpaceDE w:val="0"/>
        <w:autoSpaceDN w:val="0"/>
        <w:adjustRightInd w:val="0"/>
        <w:snapToGrid w:val="0"/>
        <w:spacing w:line="460" w:lineRule="atLeast"/>
        <w:ind w:left="752" w:leftChars="208" w:hanging="315" w:hangingChars="150"/>
        <w:textAlignment w:val="bottom"/>
        <w:rPr>
          <w:rFonts w:hint="eastAsia" w:ascii="宋体" w:hAnsi="宋体" w:cs="宋体"/>
          <w:b w:val="0"/>
          <w:color w:val="auto"/>
          <w:highlight w:val="none"/>
        </w:rPr>
      </w:pPr>
      <w:r>
        <w:rPr>
          <w:rFonts w:hint="eastAsia" w:ascii="宋体" w:hAnsi="宋体" w:cs="宋体"/>
          <w:b w:val="0"/>
          <w:color w:val="auto"/>
          <w:highlight w:val="none"/>
        </w:rPr>
        <w:t>11）根据“技术资信综合评分”提供各项方案（格式自拟））；</w:t>
      </w:r>
    </w:p>
    <w:p w14:paraId="0DBCA851">
      <w:pPr>
        <w:autoSpaceDE w:val="0"/>
        <w:autoSpaceDN w:val="0"/>
        <w:adjustRightInd w:val="0"/>
        <w:snapToGrid w:val="0"/>
        <w:spacing w:line="460" w:lineRule="atLeast"/>
        <w:ind w:left="752" w:leftChars="208" w:hanging="315" w:hangingChars="150"/>
        <w:textAlignment w:val="bottom"/>
        <w:rPr>
          <w:rFonts w:hint="eastAsia" w:ascii="宋体" w:hAnsi="宋体" w:cs="宋体"/>
          <w:b w:val="0"/>
          <w:color w:val="auto"/>
          <w:highlight w:val="none"/>
        </w:rPr>
      </w:pPr>
      <w:r>
        <w:rPr>
          <w:rFonts w:hint="eastAsia" w:ascii="宋体" w:hAnsi="宋体" w:cs="宋体"/>
          <w:b w:val="0"/>
          <w:color w:val="auto"/>
          <w:highlight w:val="none"/>
        </w:rPr>
        <w:t>12）供应商相关资质、认证证书、获得荣誉、资信或信用证书等（如有则提供，复印件加盖有效公章）；</w:t>
      </w:r>
    </w:p>
    <w:p w14:paraId="4A91944C">
      <w:pPr>
        <w:autoSpaceDE w:val="0"/>
        <w:autoSpaceDN w:val="0"/>
        <w:adjustRightInd w:val="0"/>
        <w:snapToGrid w:val="0"/>
        <w:spacing w:line="460" w:lineRule="atLeast"/>
        <w:ind w:left="752" w:leftChars="208" w:hanging="315" w:hangingChars="150"/>
        <w:textAlignment w:val="bottom"/>
        <w:rPr>
          <w:rFonts w:hint="eastAsia" w:ascii="宋体" w:hAnsi="宋体" w:cs="宋体"/>
          <w:b w:val="0"/>
          <w:color w:val="auto"/>
          <w:sz w:val="22"/>
          <w:highlight w:val="none"/>
        </w:rPr>
      </w:pPr>
      <w:r>
        <w:rPr>
          <w:rFonts w:hint="eastAsia" w:ascii="宋体" w:hAnsi="宋体" w:cs="宋体"/>
          <w:b w:val="0"/>
          <w:color w:val="auto"/>
          <w:highlight w:val="none"/>
        </w:rPr>
        <w:t>13）其它应提供的文件。</w:t>
      </w:r>
    </w:p>
    <w:p w14:paraId="3D3E55DE">
      <w:pPr>
        <w:autoSpaceDE w:val="0"/>
        <w:autoSpaceDN w:val="0"/>
        <w:adjustRightInd w:val="0"/>
        <w:snapToGrid w:val="0"/>
        <w:spacing w:line="460" w:lineRule="atLeast"/>
        <w:ind w:left="768" w:leftChars="208" w:hanging="331" w:hangingChars="150"/>
        <w:textAlignment w:val="bottom"/>
        <w:rPr>
          <w:rFonts w:hint="eastAsia" w:ascii="宋体" w:hAnsi="宋体" w:cs="宋体"/>
          <w:color w:val="auto"/>
          <w:sz w:val="22"/>
          <w:szCs w:val="22"/>
          <w:highlight w:val="none"/>
        </w:rPr>
      </w:pPr>
      <w:r>
        <w:rPr>
          <w:rFonts w:hint="eastAsia" w:ascii="宋体" w:hAnsi="宋体" w:cs="宋体"/>
          <w:color w:val="auto"/>
          <w:sz w:val="22"/>
          <w:szCs w:val="22"/>
          <w:highlight w:val="none"/>
        </w:rPr>
        <w:t>▲注：《法定代表人授权委托书》必须由投标人的法定代表人</w:t>
      </w:r>
      <w:r>
        <w:rPr>
          <w:rFonts w:hint="eastAsia" w:ascii="宋体" w:hAnsi="宋体" w:cs="宋体"/>
          <w:color w:val="auto"/>
          <w:sz w:val="22"/>
          <w:szCs w:val="22"/>
          <w:highlight w:val="none"/>
          <w:lang w:eastAsia="zh-CN"/>
        </w:rPr>
        <w:t>（</w:t>
      </w:r>
      <w:r>
        <w:rPr>
          <w:rFonts w:hint="eastAsia" w:ascii="宋体" w:hAnsi="宋体" w:cs="宋体"/>
          <w:color w:val="auto"/>
          <w:sz w:val="22"/>
          <w:szCs w:val="22"/>
          <w:highlight w:val="none"/>
          <w:lang w:val="en-US" w:eastAsia="zh-CN"/>
        </w:rPr>
        <w:t>分支机构为负责人</w:t>
      </w:r>
      <w:r>
        <w:rPr>
          <w:rFonts w:hint="eastAsia" w:ascii="宋体" w:hAnsi="宋体" w:cs="宋体"/>
          <w:color w:val="auto"/>
          <w:sz w:val="22"/>
          <w:szCs w:val="22"/>
          <w:highlight w:val="none"/>
          <w:lang w:eastAsia="zh-CN"/>
        </w:rPr>
        <w:t>）</w:t>
      </w:r>
      <w:r>
        <w:rPr>
          <w:rFonts w:hint="eastAsia" w:ascii="宋体" w:hAnsi="宋体" w:cs="宋体"/>
          <w:color w:val="auto"/>
          <w:sz w:val="22"/>
          <w:szCs w:val="22"/>
          <w:highlight w:val="none"/>
        </w:rPr>
        <w:t>签名（盖章）并加盖单位公章（其他需要签字的部分可由授权代表签字并加盖公章）；资格、资质证书复印件以及其他关键文件资料均须加盖单位公章；签章不齐或未签章的视同未提供；</w:t>
      </w:r>
    </w:p>
    <w:p w14:paraId="380BFB75">
      <w:pPr>
        <w:autoSpaceDE w:val="0"/>
        <w:autoSpaceDN w:val="0"/>
        <w:adjustRightInd w:val="0"/>
        <w:snapToGrid w:val="0"/>
        <w:spacing w:line="440" w:lineRule="atLeast"/>
        <w:ind w:firstLine="440" w:firstLineChars="200"/>
        <w:textAlignment w:val="bottom"/>
        <w:rPr>
          <w:rFonts w:hint="eastAsia" w:ascii="宋体" w:hAnsi="宋体" w:cs="Arial"/>
          <w:b w:val="0"/>
          <w:color w:val="auto"/>
          <w:sz w:val="22"/>
          <w:szCs w:val="22"/>
          <w:highlight w:val="none"/>
        </w:rPr>
      </w:pPr>
      <w:r>
        <w:rPr>
          <w:rFonts w:hint="eastAsia" w:ascii="宋体" w:hAnsi="宋体" w:cs="Arial"/>
          <w:b w:val="0"/>
          <w:color w:val="auto"/>
          <w:sz w:val="22"/>
          <w:szCs w:val="22"/>
          <w:highlight w:val="none"/>
        </w:rPr>
        <w:t>3、投标内容填写说明</w:t>
      </w:r>
    </w:p>
    <w:p w14:paraId="6E69C95A">
      <w:pPr>
        <w:autoSpaceDE w:val="0"/>
        <w:autoSpaceDN w:val="0"/>
        <w:adjustRightInd w:val="0"/>
        <w:snapToGrid w:val="0"/>
        <w:spacing w:line="440" w:lineRule="atLeast"/>
        <w:ind w:firstLine="440" w:firstLineChars="200"/>
        <w:textAlignment w:val="bottom"/>
        <w:rPr>
          <w:rFonts w:hint="eastAsia" w:ascii="宋体" w:hAnsi="宋体" w:cs="Arial"/>
          <w:b w:val="0"/>
          <w:color w:val="auto"/>
          <w:sz w:val="22"/>
          <w:szCs w:val="22"/>
          <w:highlight w:val="none"/>
        </w:rPr>
      </w:pPr>
      <w:r>
        <w:rPr>
          <w:rFonts w:hint="eastAsia" w:ascii="宋体" w:hAnsi="宋体" w:cs="Arial"/>
          <w:b w:val="0"/>
          <w:color w:val="auto"/>
          <w:sz w:val="22"/>
          <w:szCs w:val="22"/>
          <w:highlight w:val="none"/>
        </w:rPr>
        <w:t>3.1、投标文件格式</w:t>
      </w:r>
    </w:p>
    <w:p w14:paraId="4AFEBA45">
      <w:pPr>
        <w:autoSpaceDE w:val="0"/>
        <w:autoSpaceDN w:val="0"/>
        <w:adjustRightInd w:val="0"/>
        <w:snapToGrid w:val="0"/>
        <w:spacing w:line="440" w:lineRule="atLeast"/>
        <w:ind w:firstLine="440" w:firstLineChars="200"/>
        <w:textAlignment w:val="bottom"/>
        <w:rPr>
          <w:rFonts w:hint="eastAsia" w:ascii="宋体" w:hAnsi="宋体" w:cs="Arial"/>
          <w:b w:val="0"/>
          <w:color w:val="auto"/>
          <w:sz w:val="22"/>
          <w:szCs w:val="22"/>
          <w:highlight w:val="none"/>
        </w:rPr>
      </w:pPr>
      <w:r>
        <w:rPr>
          <w:rFonts w:hint="eastAsia" w:ascii="宋体" w:hAnsi="宋体" w:cs="Arial"/>
          <w:b w:val="0"/>
          <w:color w:val="auto"/>
          <w:sz w:val="22"/>
          <w:szCs w:val="22"/>
          <w:highlight w:val="none"/>
        </w:rPr>
        <w:t>供应商应按照第2条所列出的内容及格式组成投标文件</w:t>
      </w:r>
      <w:r>
        <w:rPr>
          <w:rFonts w:hint="eastAsia" w:ascii="宋体" w:hAnsi="宋体" w:cs="Arial"/>
          <w:color w:val="auto"/>
          <w:sz w:val="22"/>
          <w:szCs w:val="22"/>
          <w:highlight w:val="none"/>
        </w:rPr>
        <w:t>。</w:t>
      </w:r>
    </w:p>
    <w:p w14:paraId="2E7A693E">
      <w:pPr>
        <w:autoSpaceDE w:val="0"/>
        <w:autoSpaceDN w:val="0"/>
        <w:adjustRightInd w:val="0"/>
        <w:snapToGrid w:val="0"/>
        <w:spacing w:line="440" w:lineRule="atLeast"/>
        <w:ind w:firstLine="440" w:firstLineChars="200"/>
        <w:textAlignment w:val="bottom"/>
        <w:rPr>
          <w:rFonts w:hint="eastAsia" w:ascii="宋体" w:hAnsi="宋体" w:cs="Arial"/>
          <w:b w:val="0"/>
          <w:color w:val="auto"/>
          <w:sz w:val="22"/>
          <w:szCs w:val="22"/>
          <w:highlight w:val="none"/>
        </w:rPr>
      </w:pPr>
      <w:r>
        <w:rPr>
          <w:rFonts w:hint="eastAsia" w:ascii="宋体" w:hAnsi="宋体" w:cs="Arial"/>
          <w:b w:val="0"/>
          <w:color w:val="auto"/>
          <w:sz w:val="22"/>
          <w:szCs w:val="22"/>
          <w:highlight w:val="none"/>
        </w:rPr>
        <w:t>3.2、开标一览表供应商需按格式填写，统一规格，不得自行增减内容。</w:t>
      </w:r>
    </w:p>
    <w:p w14:paraId="5F0A84A1">
      <w:pPr>
        <w:autoSpaceDE w:val="0"/>
        <w:autoSpaceDN w:val="0"/>
        <w:adjustRightInd w:val="0"/>
        <w:snapToGrid w:val="0"/>
        <w:spacing w:line="440" w:lineRule="atLeast"/>
        <w:ind w:firstLine="440" w:firstLineChars="200"/>
        <w:textAlignment w:val="bottom"/>
        <w:rPr>
          <w:rFonts w:hint="eastAsia" w:ascii="宋体" w:hAnsi="宋体" w:cs="Arial"/>
          <w:b w:val="0"/>
          <w:color w:val="auto"/>
          <w:sz w:val="22"/>
          <w:szCs w:val="22"/>
          <w:highlight w:val="none"/>
        </w:rPr>
      </w:pPr>
      <w:bookmarkStart w:id="14" w:name="_Toc132122115"/>
      <w:bookmarkStart w:id="15" w:name="_Toc132122412"/>
      <w:r>
        <w:rPr>
          <w:rFonts w:hint="eastAsia" w:ascii="宋体" w:hAnsi="宋体" w:cs="Arial"/>
          <w:b w:val="0"/>
          <w:color w:val="auto"/>
          <w:sz w:val="22"/>
          <w:szCs w:val="22"/>
          <w:highlight w:val="none"/>
        </w:rPr>
        <w:t>4、投标报价</w:t>
      </w:r>
      <w:bookmarkEnd w:id="14"/>
      <w:bookmarkEnd w:id="15"/>
    </w:p>
    <w:p w14:paraId="52F7E28E">
      <w:pPr>
        <w:autoSpaceDE w:val="0"/>
        <w:autoSpaceDN w:val="0"/>
        <w:adjustRightInd w:val="0"/>
        <w:snapToGrid w:val="0"/>
        <w:spacing w:line="440" w:lineRule="atLeast"/>
        <w:ind w:firstLine="440" w:firstLineChars="200"/>
        <w:textAlignment w:val="bottom"/>
        <w:rPr>
          <w:rFonts w:hint="eastAsia" w:ascii="宋体" w:hAnsi="宋体" w:cs="Arial"/>
          <w:b w:val="0"/>
          <w:color w:val="auto"/>
          <w:sz w:val="22"/>
          <w:szCs w:val="22"/>
          <w:highlight w:val="none"/>
        </w:rPr>
      </w:pPr>
      <w:r>
        <w:rPr>
          <w:rFonts w:hint="eastAsia" w:ascii="宋体" w:hAnsi="宋体" w:cs="Arial"/>
          <w:b w:val="0"/>
          <w:color w:val="auto"/>
          <w:sz w:val="22"/>
          <w:szCs w:val="22"/>
          <w:highlight w:val="none"/>
        </w:rPr>
        <w:t>4.1、供应商应按招标文件中《开标一览表》填写投标价格。</w:t>
      </w:r>
    </w:p>
    <w:p w14:paraId="46AFCA70">
      <w:pPr>
        <w:autoSpaceDE w:val="0"/>
        <w:autoSpaceDN w:val="0"/>
        <w:adjustRightInd w:val="0"/>
        <w:snapToGrid w:val="0"/>
        <w:spacing w:line="440" w:lineRule="atLeast"/>
        <w:ind w:firstLine="440" w:firstLineChars="200"/>
        <w:textAlignment w:val="bottom"/>
        <w:rPr>
          <w:rFonts w:hint="eastAsia" w:ascii="宋体" w:hAnsi="宋体" w:cs="Arial"/>
          <w:b w:val="0"/>
          <w:color w:val="auto"/>
          <w:sz w:val="22"/>
          <w:szCs w:val="22"/>
          <w:highlight w:val="none"/>
        </w:rPr>
      </w:pPr>
      <w:r>
        <w:rPr>
          <w:rFonts w:hint="eastAsia" w:ascii="宋体" w:hAnsi="宋体" w:cs="Arial"/>
          <w:b w:val="0"/>
          <w:color w:val="auto"/>
          <w:sz w:val="22"/>
          <w:szCs w:val="22"/>
          <w:highlight w:val="none"/>
        </w:rPr>
        <w:t>4.2、本次招标只允许有一个报价，有选择的报价将不予接受。</w:t>
      </w:r>
    </w:p>
    <w:p w14:paraId="129B3B06">
      <w:pPr>
        <w:autoSpaceDE w:val="0"/>
        <w:autoSpaceDN w:val="0"/>
        <w:adjustRightInd w:val="0"/>
        <w:snapToGrid w:val="0"/>
        <w:spacing w:line="440" w:lineRule="atLeast"/>
        <w:ind w:firstLine="440" w:firstLineChars="200"/>
        <w:textAlignment w:val="bottom"/>
        <w:rPr>
          <w:rFonts w:hint="eastAsia" w:ascii="宋体" w:hAnsi="宋体" w:cs="Arial"/>
          <w:b w:val="0"/>
          <w:color w:val="auto"/>
          <w:sz w:val="22"/>
          <w:szCs w:val="22"/>
          <w:highlight w:val="none"/>
        </w:rPr>
      </w:pPr>
      <w:r>
        <w:rPr>
          <w:rFonts w:hint="eastAsia" w:ascii="宋体" w:hAnsi="宋体" w:cs="Arial"/>
          <w:b w:val="0"/>
          <w:color w:val="auto"/>
          <w:sz w:val="22"/>
          <w:szCs w:val="22"/>
          <w:highlight w:val="none"/>
        </w:rPr>
        <w:t>4.3、本次招标只有一次投标报价的机会，投标报价为到货并送到最终用户验收合格后的全部费用。供应商应在各自技术和商务占优势的基础上并充分考虑本项目的重要性，提供对买方最优惠的投标报价。</w:t>
      </w:r>
    </w:p>
    <w:p w14:paraId="6BDB225F">
      <w:pPr>
        <w:autoSpaceDE w:val="0"/>
        <w:autoSpaceDN w:val="0"/>
        <w:adjustRightInd w:val="0"/>
        <w:snapToGrid w:val="0"/>
        <w:spacing w:line="440" w:lineRule="atLeast"/>
        <w:ind w:firstLine="440" w:firstLineChars="200"/>
        <w:textAlignment w:val="bottom"/>
        <w:rPr>
          <w:rFonts w:hint="eastAsia" w:ascii="宋体" w:hAnsi="宋体" w:cs="Arial"/>
          <w:b w:val="0"/>
          <w:color w:val="auto"/>
          <w:sz w:val="22"/>
          <w:szCs w:val="22"/>
          <w:highlight w:val="none"/>
        </w:rPr>
      </w:pPr>
      <w:r>
        <w:rPr>
          <w:rFonts w:hint="eastAsia" w:ascii="宋体" w:hAnsi="宋体" w:cs="Arial"/>
          <w:b w:val="0"/>
          <w:color w:val="auto"/>
          <w:sz w:val="22"/>
          <w:szCs w:val="22"/>
          <w:highlight w:val="none"/>
        </w:rPr>
        <w:t>4.4、投标报价应按包含以下费用。</w:t>
      </w:r>
    </w:p>
    <w:p w14:paraId="6FE5CF79">
      <w:pPr>
        <w:autoSpaceDE w:val="0"/>
        <w:autoSpaceDN w:val="0"/>
        <w:adjustRightInd w:val="0"/>
        <w:snapToGrid w:val="0"/>
        <w:spacing w:line="400" w:lineRule="atLeast"/>
        <w:ind w:firstLine="552" w:firstLineChars="250"/>
        <w:textAlignment w:val="bottom"/>
        <w:rPr>
          <w:rFonts w:hint="eastAsia" w:ascii="宋体" w:hAnsi="宋体" w:cs="Arial"/>
          <w:color w:val="auto"/>
          <w:sz w:val="22"/>
          <w:szCs w:val="22"/>
          <w:highlight w:val="none"/>
          <w:u w:val="single"/>
        </w:rPr>
      </w:pPr>
      <w:r>
        <w:rPr>
          <w:rFonts w:hint="eastAsia" w:ascii="宋体" w:hAnsi="宋体" w:cs="Arial"/>
          <w:color w:val="auto"/>
          <w:sz w:val="22"/>
          <w:szCs w:val="22"/>
          <w:highlight w:val="none"/>
        </w:rPr>
        <w:t>应包括本次项目所涉及的所有</w:t>
      </w:r>
      <w:r>
        <w:rPr>
          <w:rFonts w:ascii="宋体" w:hAnsi="宋体" w:cs="Arial"/>
          <w:color w:val="auto"/>
          <w:sz w:val="22"/>
          <w:szCs w:val="22"/>
          <w:highlight w:val="none"/>
          <w:u w:val="single"/>
        </w:rPr>
        <w:t>服务范围内全部工作内容的价格，</w:t>
      </w:r>
      <w:r>
        <w:rPr>
          <w:rFonts w:hint="eastAsia" w:ascii="宋体" w:hAnsi="宋体" w:cs="Arial"/>
          <w:color w:val="auto"/>
          <w:sz w:val="22"/>
          <w:szCs w:val="22"/>
          <w:highlight w:val="none"/>
          <w:u w:val="single"/>
        </w:rPr>
        <w:t>合同价为完成本项目所有采购内容并完成合同约定的相应服务应支付的各项金额总和，</w:t>
      </w:r>
      <w:r>
        <w:rPr>
          <w:rFonts w:hint="eastAsia" w:ascii="宋体" w:hAnsi="宋体" w:cs="宋体"/>
          <w:bCs w:val="0"/>
          <w:color w:val="auto"/>
          <w:sz w:val="22"/>
          <w:szCs w:val="22"/>
          <w:highlight w:val="none"/>
          <w:u w:val="single"/>
        </w:rPr>
        <w:t>包含项目实施全过程所涉及的全部费用以及合理的利润、税金、风险等其他一切费用。投标报价为投标方所能承受的最低、最终报价，投标方不得再要求追加任何费用。</w:t>
      </w:r>
    </w:p>
    <w:p w14:paraId="7646FB32">
      <w:pPr>
        <w:autoSpaceDE w:val="0"/>
        <w:autoSpaceDN w:val="0"/>
        <w:adjustRightInd w:val="0"/>
        <w:snapToGrid w:val="0"/>
        <w:spacing w:line="400" w:lineRule="atLeast"/>
        <w:ind w:firstLine="552" w:firstLineChars="250"/>
        <w:textAlignment w:val="bottom"/>
        <w:rPr>
          <w:rFonts w:hint="eastAsia" w:ascii="宋体" w:hAnsi="宋体" w:cs="Arial"/>
          <w:color w:val="auto"/>
          <w:sz w:val="22"/>
          <w:szCs w:val="22"/>
          <w:highlight w:val="none"/>
        </w:rPr>
      </w:pPr>
      <w:r>
        <w:rPr>
          <w:rFonts w:hint="eastAsia" w:ascii="宋体" w:hAnsi="宋体" w:cs="Arial"/>
          <w:color w:val="auto"/>
          <w:sz w:val="22"/>
          <w:szCs w:val="22"/>
          <w:highlight w:val="none"/>
        </w:rPr>
        <w:t>供应商对在合同执行中，除上述费用及招标文件规定的由中标人负责的工作范围以外需要买方协调或提供便利的工作应当在投标文件中说明。</w:t>
      </w:r>
    </w:p>
    <w:p w14:paraId="0E67BA9A">
      <w:pPr>
        <w:autoSpaceDE w:val="0"/>
        <w:autoSpaceDN w:val="0"/>
        <w:adjustRightInd w:val="0"/>
        <w:snapToGrid w:val="0"/>
        <w:spacing w:line="440" w:lineRule="atLeast"/>
        <w:ind w:firstLine="440" w:firstLineChars="200"/>
        <w:textAlignment w:val="bottom"/>
        <w:rPr>
          <w:rFonts w:hint="eastAsia" w:ascii="宋体" w:hAnsi="宋体" w:cs="Arial"/>
          <w:b w:val="0"/>
          <w:color w:val="auto"/>
          <w:sz w:val="22"/>
          <w:szCs w:val="22"/>
          <w:highlight w:val="none"/>
        </w:rPr>
      </w:pPr>
      <w:r>
        <w:rPr>
          <w:rFonts w:hint="eastAsia" w:ascii="宋体" w:hAnsi="宋体" w:cs="Arial"/>
          <w:b w:val="0"/>
          <w:color w:val="auto"/>
          <w:sz w:val="22"/>
          <w:szCs w:val="22"/>
          <w:highlight w:val="none"/>
        </w:rPr>
        <w:t>填写报价表格时，各项费用应如实填写，如已含在产品价格中，则填“含”，如免费则填“免”，不允许空白。</w:t>
      </w:r>
    </w:p>
    <w:p w14:paraId="5E950615">
      <w:pPr>
        <w:autoSpaceDE w:val="0"/>
        <w:autoSpaceDN w:val="0"/>
        <w:adjustRightInd w:val="0"/>
        <w:snapToGrid w:val="0"/>
        <w:spacing w:line="440" w:lineRule="atLeast"/>
        <w:ind w:firstLine="440" w:firstLineChars="200"/>
        <w:textAlignment w:val="bottom"/>
        <w:rPr>
          <w:rFonts w:hint="eastAsia" w:ascii="宋体" w:hAnsi="宋体" w:cs="Arial"/>
          <w:b w:val="0"/>
          <w:color w:val="auto"/>
          <w:sz w:val="22"/>
          <w:szCs w:val="22"/>
          <w:highlight w:val="none"/>
        </w:rPr>
      </w:pPr>
      <w:r>
        <w:rPr>
          <w:rFonts w:hint="eastAsia" w:ascii="宋体" w:hAnsi="宋体" w:cs="Arial"/>
          <w:b w:val="0"/>
          <w:color w:val="auto"/>
          <w:sz w:val="22"/>
          <w:szCs w:val="22"/>
          <w:highlight w:val="none"/>
        </w:rPr>
        <w:t>5、采购人要求分类报价是为了方便评标，但在任何情况下不限制采购人以其认为最合适的条款签订合同的权利。</w:t>
      </w:r>
    </w:p>
    <w:p w14:paraId="3773D1AF">
      <w:pPr>
        <w:pStyle w:val="21"/>
        <w:adjustRightInd w:val="0"/>
        <w:snapToGrid w:val="0"/>
        <w:spacing w:line="440" w:lineRule="atLeast"/>
        <w:ind w:firstLine="440" w:firstLineChars="200"/>
        <w:rPr>
          <w:rFonts w:hint="eastAsia" w:ascii="宋体" w:hAnsi="宋体" w:eastAsia="宋体" w:cs="Arial"/>
          <w:b w:val="0"/>
          <w:color w:val="auto"/>
          <w:sz w:val="22"/>
          <w:szCs w:val="22"/>
          <w:highlight w:val="none"/>
        </w:rPr>
      </w:pPr>
      <w:bookmarkStart w:id="16" w:name="_Toc132122117"/>
      <w:bookmarkStart w:id="17" w:name="_Toc132122414"/>
      <w:r>
        <w:rPr>
          <w:rFonts w:ascii="宋体" w:hAnsi="宋体" w:eastAsia="宋体" w:cs="Arial"/>
          <w:b w:val="0"/>
          <w:color w:val="auto"/>
          <w:sz w:val="22"/>
          <w:szCs w:val="22"/>
          <w:highlight w:val="none"/>
        </w:rPr>
        <w:t>6</w:t>
      </w:r>
      <w:r>
        <w:rPr>
          <w:rFonts w:hint="eastAsia" w:ascii="宋体" w:hAnsi="宋体" w:eastAsia="宋体" w:cs="Arial"/>
          <w:b w:val="0"/>
          <w:color w:val="auto"/>
          <w:sz w:val="22"/>
          <w:szCs w:val="22"/>
          <w:highlight w:val="none"/>
        </w:rPr>
        <w:t>、投标文件的有效期</w:t>
      </w:r>
      <w:bookmarkEnd w:id="16"/>
      <w:bookmarkEnd w:id="17"/>
    </w:p>
    <w:p w14:paraId="05A903F0">
      <w:pPr>
        <w:pStyle w:val="21"/>
        <w:adjustRightInd w:val="0"/>
        <w:snapToGrid w:val="0"/>
        <w:spacing w:line="440" w:lineRule="atLeast"/>
        <w:ind w:firstLine="440" w:firstLineChars="200"/>
        <w:rPr>
          <w:rFonts w:hint="eastAsia" w:ascii="宋体" w:hAnsi="宋体" w:eastAsia="宋体" w:cs="Arial"/>
          <w:b w:val="0"/>
          <w:color w:val="auto"/>
          <w:sz w:val="22"/>
          <w:szCs w:val="22"/>
          <w:highlight w:val="none"/>
        </w:rPr>
      </w:pPr>
      <w:r>
        <w:rPr>
          <w:rFonts w:ascii="宋体" w:hAnsi="宋体" w:eastAsia="宋体" w:cs="Arial"/>
          <w:b w:val="0"/>
          <w:color w:val="auto"/>
          <w:sz w:val="22"/>
          <w:szCs w:val="22"/>
          <w:highlight w:val="none"/>
        </w:rPr>
        <w:t>6</w:t>
      </w:r>
      <w:r>
        <w:rPr>
          <w:rFonts w:hint="eastAsia" w:ascii="宋体" w:hAnsi="宋体" w:eastAsia="宋体" w:cs="Arial"/>
          <w:b w:val="0"/>
          <w:color w:val="auto"/>
          <w:sz w:val="22"/>
          <w:szCs w:val="22"/>
          <w:highlight w:val="none"/>
        </w:rPr>
        <w:t>.1、自开标日起</w:t>
      </w:r>
      <w:r>
        <w:rPr>
          <w:rFonts w:hint="eastAsia" w:ascii="宋体" w:hAnsi="宋体" w:eastAsia="宋体" w:cs="Arial"/>
          <w:b w:val="0"/>
          <w:color w:val="auto"/>
          <w:sz w:val="22"/>
          <w:szCs w:val="22"/>
          <w:highlight w:val="none"/>
          <w:lang w:val="en-US" w:eastAsia="zh-CN"/>
        </w:rPr>
        <w:t>90</w:t>
      </w:r>
      <w:r>
        <w:rPr>
          <w:rFonts w:hint="eastAsia" w:ascii="宋体" w:hAnsi="宋体" w:eastAsia="宋体" w:cs="Arial"/>
          <w:b w:val="0"/>
          <w:color w:val="auto"/>
          <w:sz w:val="22"/>
          <w:szCs w:val="22"/>
          <w:highlight w:val="none"/>
        </w:rPr>
        <w:t>天内，投标文件应保持有效。有效期短于这个规定期限的投标将被拒绝。</w:t>
      </w:r>
    </w:p>
    <w:p w14:paraId="42A416D5">
      <w:pPr>
        <w:pStyle w:val="21"/>
        <w:adjustRightInd w:val="0"/>
        <w:snapToGrid w:val="0"/>
        <w:spacing w:line="440" w:lineRule="atLeast"/>
        <w:ind w:firstLine="440" w:firstLineChars="200"/>
        <w:rPr>
          <w:rFonts w:hint="eastAsia" w:ascii="宋体" w:hAnsi="宋体" w:eastAsia="宋体" w:cs="Arial"/>
          <w:b w:val="0"/>
          <w:color w:val="auto"/>
          <w:sz w:val="22"/>
          <w:szCs w:val="22"/>
          <w:highlight w:val="none"/>
        </w:rPr>
      </w:pPr>
      <w:r>
        <w:rPr>
          <w:rFonts w:ascii="宋体" w:hAnsi="宋体" w:eastAsia="宋体" w:cs="Arial"/>
          <w:b w:val="0"/>
          <w:color w:val="auto"/>
          <w:sz w:val="22"/>
          <w:szCs w:val="22"/>
          <w:highlight w:val="none"/>
        </w:rPr>
        <w:t>6</w:t>
      </w:r>
      <w:r>
        <w:rPr>
          <w:rFonts w:hint="eastAsia" w:ascii="宋体" w:hAnsi="宋体" w:eastAsia="宋体" w:cs="Arial"/>
          <w:b w:val="0"/>
          <w:color w:val="auto"/>
          <w:sz w:val="22"/>
          <w:szCs w:val="22"/>
          <w:highlight w:val="none"/>
        </w:rPr>
        <w:t>.2、在特殊情况下，采购人可与供应商协商延长投标文件的有效期，这种要求和答复均应以书面形式进行。</w:t>
      </w:r>
    </w:p>
    <w:p w14:paraId="2713C688">
      <w:pPr>
        <w:pStyle w:val="21"/>
        <w:adjustRightInd w:val="0"/>
        <w:snapToGrid w:val="0"/>
        <w:spacing w:line="440" w:lineRule="atLeast"/>
        <w:ind w:firstLine="440" w:firstLineChars="200"/>
        <w:rPr>
          <w:rFonts w:hint="eastAsia" w:ascii="宋体" w:hAnsi="宋体" w:eastAsia="宋体" w:cs="Arial"/>
          <w:b w:val="0"/>
          <w:color w:val="auto"/>
          <w:sz w:val="22"/>
          <w:szCs w:val="22"/>
          <w:highlight w:val="none"/>
        </w:rPr>
      </w:pPr>
      <w:r>
        <w:rPr>
          <w:rFonts w:ascii="宋体" w:hAnsi="宋体" w:eastAsia="宋体" w:cs="Arial"/>
          <w:b w:val="0"/>
          <w:color w:val="auto"/>
          <w:sz w:val="22"/>
          <w:szCs w:val="22"/>
          <w:highlight w:val="none"/>
        </w:rPr>
        <w:t>6</w:t>
      </w:r>
      <w:r>
        <w:rPr>
          <w:rFonts w:hint="eastAsia" w:ascii="宋体" w:hAnsi="宋体" w:eastAsia="宋体" w:cs="Arial"/>
          <w:b w:val="0"/>
          <w:color w:val="auto"/>
          <w:sz w:val="22"/>
          <w:szCs w:val="22"/>
          <w:highlight w:val="none"/>
        </w:rPr>
        <w:t>.3、供应商可拒绝接受延期要求。同意延长有效期的供应商不能修改投标文件。</w:t>
      </w:r>
    </w:p>
    <w:p w14:paraId="1D24904C">
      <w:pPr>
        <w:pStyle w:val="21"/>
        <w:adjustRightInd w:val="0"/>
        <w:snapToGrid w:val="0"/>
        <w:spacing w:line="440" w:lineRule="atLeast"/>
        <w:ind w:firstLine="440" w:firstLineChars="200"/>
        <w:rPr>
          <w:rFonts w:hint="eastAsia" w:ascii="宋体" w:hAnsi="宋体" w:eastAsia="宋体" w:cs="Arial"/>
          <w:b w:val="0"/>
          <w:color w:val="auto"/>
          <w:sz w:val="22"/>
          <w:szCs w:val="22"/>
          <w:highlight w:val="none"/>
        </w:rPr>
      </w:pPr>
      <w:bookmarkStart w:id="18" w:name="_Toc132122118"/>
      <w:bookmarkStart w:id="19" w:name="_Toc132122415"/>
      <w:r>
        <w:rPr>
          <w:rFonts w:ascii="宋体" w:hAnsi="宋体" w:eastAsia="宋体" w:cs="Arial"/>
          <w:b w:val="0"/>
          <w:color w:val="auto"/>
          <w:sz w:val="22"/>
          <w:szCs w:val="22"/>
          <w:highlight w:val="none"/>
        </w:rPr>
        <w:t>7</w:t>
      </w:r>
      <w:r>
        <w:rPr>
          <w:rFonts w:hint="eastAsia" w:ascii="宋体" w:hAnsi="宋体" w:eastAsia="宋体" w:cs="Arial"/>
          <w:b w:val="0"/>
          <w:color w:val="auto"/>
          <w:sz w:val="22"/>
          <w:szCs w:val="22"/>
          <w:highlight w:val="none"/>
        </w:rPr>
        <w:t>、投标文件的签署和份数</w:t>
      </w:r>
      <w:bookmarkEnd w:id="18"/>
      <w:bookmarkEnd w:id="19"/>
    </w:p>
    <w:p w14:paraId="376437B3">
      <w:pPr>
        <w:pStyle w:val="21"/>
        <w:adjustRightInd w:val="0"/>
        <w:snapToGrid w:val="0"/>
        <w:spacing w:line="440" w:lineRule="atLeast"/>
        <w:ind w:firstLine="442" w:firstLineChars="200"/>
        <w:rPr>
          <w:rFonts w:hint="eastAsia" w:ascii="宋体" w:hAnsi="宋体" w:eastAsia="宋体" w:cs="Arial"/>
          <w:color w:val="auto"/>
          <w:sz w:val="22"/>
          <w:szCs w:val="22"/>
          <w:highlight w:val="none"/>
          <w:u w:val="single"/>
        </w:rPr>
      </w:pPr>
      <w:r>
        <w:rPr>
          <w:rFonts w:ascii="宋体" w:hAnsi="宋体" w:eastAsia="宋体" w:cs="Arial"/>
          <w:color w:val="auto"/>
          <w:sz w:val="22"/>
          <w:szCs w:val="22"/>
          <w:highlight w:val="none"/>
        </w:rPr>
        <w:t>7.1</w:t>
      </w:r>
      <w:r>
        <w:rPr>
          <w:rFonts w:hint="eastAsia" w:ascii="宋体" w:hAnsi="宋体" w:eastAsia="宋体" w:cs="Arial"/>
          <w:color w:val="auto"/>
          <w:sz w:val="22"/>
          <w:szCs w:val="22"/>
          <w:highlight w:val="none"/>
        </w:rPr>
        <w:t>投标文件的签章：</w:t>
      </w:r>
    </w:p>
    <w:p w14:paraId="1F521354">
      <w:pPr>
        <w:pStyle w:val="21"/>
        <w:adjustRightInd w:val="0"/>
        <w:snapToGrid w:val="0"/>
        <w:spacing w:line="440" w:lineRule="atLeast"/>
        <w:ind w:firstLine="442" w:firstLineChars="200"/>
        <w:rPr>
          <w:rFonts w:hint="eastAsia" w:ascii="宋体" w:hAnsi="宋体" w:eastAsia="宋体" w:cs="Arial"/>
          <w:color w:val="auto"/>
          <w:sz w:val="22"/>
          <w:szCs w:val="22"/>
          <w:highlight w:val="none"/>
        </w:rPr>
      </w:pPr>
      <w:r>
        <w:rPr>
          <w:rFonts w:hint="eastAsia" w:ascii="宋体" w:hAnsi="宋体" w:eastAsia="宋体" w:cs="Arial"/>
          <w:color w:val="auto"/>
          <w:sz w:val="22"/>
          <w:szCs w:val="22"/>
          <w:highlight w:val="none"/>
        </w:rPr>
        <w:t>1）投标文件的签章：见《</w:t>
      </w:r>
      <w:r>
        <w:rPr>
          <w:rFonts w:ascii="宋体" w:hAnsi="宋体" w:eastAsia="宋体" w:cs="Arial"/>
          <w:color w:val="auto"/>
          <w:sz w:val="22"/>
          <w:szCs w:val="22"/>
          <w:highlight w:val="none"/>
        </w:rPr>
        <w:t>投标通知(邀请)书</w:t>
      </w:r>
      <w:r>
        <w:rPr>
          <w:rFonts w:hint="eastAsia" w:ascii="宋体" w:hAnsi="宋体" w:eastAsia="宋体" w:cs="Arial"/>
          <w:color w:val="auto"/>
          <w:sz w:val="22"/>
          <w:szCs w:val="22"/>
          <w:highlight w:val="none"/>
        </w:rPr>
        <w:t>》；</w:t>
      </w:r>
    </w:p>
    <w:p w14:paraId="081DE8A6">
      <w:pPr>
        <w:pStyle w:val="21"/>
        <w:adjustRightInd w:val="0"/>
        <w:snapToGrid w:val="0"/>
        <w:spacing w:line="440" w:lineRule="atLeast"/>
        <w:ind w:firstLine="442" w:firstLineChars="200"/>
        <w:rPr>
          <w:rFonts w:hint="eastAsia" w:ascii="宋体" w:hAnsi="宋体" w:eastAsia="宋体" w:cs="Arial"/>
          <w:b w:val="0"/>
          <w:color w:val="auto"/>
          <w:sz w:val="22"/>
          <w:szCs w:val="22"/>
          <w:highlight w:val="none"/>
        </w:rPr>
      </w:pPr>
      <w:r>
        <w:rPr>
          <w:rFonts w:hint="eastAsia" w:ascii="宋体" w:hAnsi="宋体" w:eastAsia="宋体" w:cs="Arial"/>
          <w:color w:val="auto"/>
          <w:sz w:val="22"/>
          <w:szCs w:val="22"/>
          <w:highlight w:val="none"/>
        </w:rPr>
        <w:t>2）电子签章操作指南详见《供应商项目采购-电子招投标操作指南》</w:t>
      </w:r>
      <w:r>
        <w:rPr>
          <w:rFonts w:hint="eastAsia" w:ascii="宋体" w:hAnsi="宋体" w:eastAsia="宋体" w:cs="Arial"/>
          <w:b w:val="0"/>
          <w:color w:val="auto"/>
          <w:sz w:val="22"/>
          <w:szCs w:val="22"/>
          <w:highlight w:val="none"/>
        </w:rPr>
        <w:t>。</w:t>
      </w:r>
    </w:p>
    <w:p w14:paraId="4D64F1FA">
      <w:pPr>
        <w:pStyle w:val="21"/>
        <w:adjustRightInd w:val="0"/>
        <w:snapToGrid w:val="0"/>
        <w:spacing w:line="440" w:lineRule="atLeast"/>
        <w:ind w:firstLine="442" w:firstLineChars="200"/>
        <w:rPr>
          <w:rFonts w:hint="eastAsia" w:ascii="宋体" w:hAnsi="宋体" w:eastAsia="宋体" w:cs="Arial"/>
          <w:color w:val="auto"/>
          <w:sz w:val="22"/>
          <w:szCs w:val="22"/>
          <w:highlight w:val="none"/>
        </w:rPr>
      </w:pPr>
      <w:r>
        <w:rPr>
          <w:rFonts w:ascii="宋体" w:hAnsi="宋体" w:eastAsia="宋体" w:cs="Arial"/>
          <w:color w:val="auto"/>
          <w:sz w:val="22"/>
          <w:szCs w:val="22"/>
          <w:highlight w:val="none"/>
        </w:rPr>
        <w:t>7.2</w:t>
      </w:r>
      <w:r>
        <w:rPr>
          <w:rFonts w:hint="eastAsia" w:ascii="宋体" w:hAnsi="宋体" w:eastAsia="宋体" w:cs="Arial"/>
          <w:color w:val="auto"/>
          <w:sz w:val="22"/>
          <w:szCs w:val="22"/>
          <w:highlight w:val="none"/>
        </w:rPr>
        <w:t>磋商响应文件的份数</w:t>
      </w:r>
    </w:p>
    <w:p w14:paraId="4A251494">
      <w:pPr>
        <w:pStyle w:val="21"/>
        <w:adjustRightInd w:val="0"/>
        <w:snapToGrid w:val="0"/>
        <w:spacing w:line="440" w:lineRule="atLeast"/>
        <w:ind w:firstLine="442" w:firstLineChars="200"/>
        <w:rPr>
          <w:rFonts w:hint="eastAsia" w:ascii="宋体" w:hAnsi="宋体" w:eastAsia="宋体" w:cs="Arial"/>
          <w:color w:val="auto"/>
          <w:sz w:val="22"/>
          <w:szCs w:val="22"/>
          <w:highlight w:val="none"/>
        </w:rPr>
      </w:pPr>
      <w:r>
        <w:rPr>
          <w:rFonts w:hint="eastAsia" w:ascii="宋体" w:hAnsi="宋体" w:eastAsia="宋体" w:cs="Arial"/>
          <w:color w:val="auto"/>
          <w:sz w:val="22"/>
          <w:szCs w:val="22"/>
          <w:highlight w:val="none"/>
        </w:rPr>
        <w:t>1）“电子加密投标文件”：在线上传递交（一份）。</w:t>
      </w:r>
    </w:p>
    <w:p w14:paraId="470D9B2C">
      <w:pPr>
        <w:pStyle w:val="21"/>
        <w:adjustRightInd w:val="0"/>
        <w:snapToGrid w:val="0"/>
        <w:spacing w:line="440" w:lineRule="atLeast"/>
        <w:ind w:firstLine="442" w:firstLineChars="200"/>
        <w:rPr>
          <w:rFonts w:hint="eastAsia" w:ascii="宋体" w:hAnsi="宋体" w:eastAsia="宋体" w:cs="Arial"/>
          <w:color w:val="auto"/>
          <w:sz w:val="22"/>
          <w:szCs w:val="22"/>
          <w:highlight w:val="none"/>
        </w:rPr>
      </w:pPr>
      <w:r>
        <w:rPr>
          <w:rFonts w:hint="eastAsia" w:ascii="宋体" w:hAnsi="宋体" w:eastAsia="宋体" w:cs="Arial"/>
          <w:color w:val="auto"/>
          <w:sz w:val="22"/>
          <w:szCs w:val="22"/>
          <w:highlight w:val="none"/>
        </w:rPr>
        <w:t>2）“备份投标文件”：密封包装后（如采用邮寄方式建议用EMS邮寄或顺丰邮寄形式）投标截止时间前递交（一份），以签收时间为准。（收件地址：龙港市海港路1283号后幢一单元202室；收件人：温州超然招标代理有限公司 洪世铭收 联系电话：</w:t>
      </w:r>
      <w:r>
        <w:rPr>
          <w:rFonts w:ascii="宋体" w:hAnsi="宋体" w:eastAsia="宋体" w:cs="Arial"/>
          <w:color w:val="auto"/>
          <w:sz w:val="22"/>
          <w:szCs w:val="22"/>
          <w:highlight w:val="none"/>
        </w:rPr>
        <w:t>18267789396</w:t>
      </w:r>
      <w:r>
        <w:rPr>
          <w:rFonts w:hint="eastAsia" w:ascii="宋体" w:hAnsi="宋体" w:eastAsia="宋体" w:cs="Arial"/>
          <w:color w:val="auto"/>
          <w:sz w:val="22"/>
          <w:szCs w:val="22"/>
          <w:highlight w:val="none"/>
        </w:rPr>
        <w:t>）。</w:t>
      </w:r>
    </w:p>
    <w:p w14:paraId="405FC6FF">
      <w:pPr>
        <w:pStyle w:val="21"/>
        <w:adjustRightInd w:val="0"/>
        <w:snapToGrid w:val="0"/>
        <w:spacing w:line="440" w:lineRule="atLeast"/>
        <w:ind w:firstLine="440" w:firstLineChars="200"/>
        <w:rPr>
          <w:rFonts w:hint="eastAsia" w:ascii="宋体" w:hAnsi="宋体" w:eastAsia="宋体" w:cs="Arial"/>
          <w:b w:val="0"/>
          <w:color w:val="auto"/>
          <w:sz w:val="22"/>
          <w:szCs w:val="22"/>
          <w:highlight w:val="none"/>
        </w:rPr>
      </w:pPr>
      <w:r>
        <w:rPr>
          <w:rFonts w:ascii="宋体" w:hAnsi="宋体" w:eastAsia="宋体" w:cs="Arial"/>
          <w:b w:val="0"/>
          <w:color w:val="auto"/>
          <w:sz w:val="22"/>
          <w:szCs w:val="22"/>
          <w:highlight w:val="none"/>
        </w:rPr>
        <w:t>8</w:t>
      </w:r>
      <w:r>
        <w:rPr>
          <w:rFonts w:hint="eastAsia" w:ascii="宋体" w:hAnsi="宋体" w:eastAsia="宋体" w:cs="Arial"/>
          <w:b w:val="0"/>
          <w:color w:val="auto"/>
          <w:sz w:val="22"/>
          <w:szCs w:val="22"/>
          <w:highlight w:val="none"/>
        </w:rPr>
        <w:t>、投标文件的修改和撤回</w:t>
      </w:r>
    </w:p>
    <w:p w14:paraId="573FD50E">
      <w:pPr>
        <w:pStyle w:val="21"/>
        <w:adjustRightInd w:val="0"/>
        <w:snapToGrid w:val="0"/>
        <w:spacing w:line="440" w:lineRule="atLeast"/>
        <w:ind w:firstLine="442" w:firstLineChars="200"/>
        <w:rPr>
          <w:rFonts w:hint="eastAsia" w:ascii="宋体" w:hAnsi="宋体" w:eastAsia="宋体" w:cs="Arial"/>
          <w:color w:val="auto"/>
          <w:sz w:val="22"/>
          <w:szCs w:val="22"/>
          <w:highlight w:val="none"/>
        </w:rPr>
      </w:pPr>
      <w:bookmarkStart w:id="20" w:name="_Toc132123634"/>
      <w:bookmarkStart w:id="21" w:name="_Toc132122119"/>
      <w:bookmarkStart w:id="22" w:name="_Toc132123547"/>
      <w:bookmarkStart w:id="23" w:name="_Toc132125095"/>
      <w:bookmarkStart w:id="24" w:name="_Toc132122416"/>
      <w:bookmarkStart w:id="25" w:name="_Toc132123439"/>
      <w:bookmarkStart w:id="26" w:name="_Toc132125151"/>
      <w:bookmarkStart w:id="27" w:name="_Toc132126154"/>
      <w:bookmarkStart w:id="28" w:name="_Toc132125983"/>
      <w:bookmarkStart w:id="29" w:name="_Toc132125037"/>
      <w:bookmarkStart w:id="30" w:name="_Toc132123838"/>
      <w:bookmarkStart w:id="31" w:name="_Toc132655776"/>
      <w:bookmarkStart w:id="32" w:name="_Toc132124594"/>
      <w:bookmarkStart w:id="33" w:name="_Toc132125574"/>
      <w:bookmarkStart w:id="34" w:name="_Toc132123881"/>
      <w:r>
        <w:rPr>
          <w:rFonts w:hint="eastAsia" w:ascii="宋体" w:hAnsi="宋体" w:eastAsia="宋体" w:cs="Arial"/>
          <w:color w:val="auto"/>
          <w:sz w:val="22"/>
          <w:szCs w:val="22"/>
          <w:highlight w:val="none"/>
        </w:rPr>
        <w:t>供应商应当在投标截止时间前完成投标文件的上传、递交，并可以补充、修改或者撤回投标文件。补充或者修改投标文件的，应当先行撤回原文件，补充、修改后重新上传、递交。投标截止时间前未完成上传、递交的，视为撤回投标文件。投标截止时间后递交的投标文件，“乐采云平台”将予以拒收。</w:t>
      </w:r>
      <w:r>
        <w:rPr>
          <w:rFonts w:ascii="宋体" w:hAnsi="宋体" w:eastAsia="宋体" w:cs="Arial"/>
          <w:color w:val="auto"/>
          <w:sz w:val="22"/>
          <w:szCs w:val="22"/>
          <w:highlight w:val="none"/>
        </w:rPr>
        <w:t>投标截止时间后，投标供应商不得撤回、修改《投标文件》</w:t>
      </w:r>
      <w:r>
        <w:rPr>
          <w:rFonts w:hint="eastAsia" w:ascii="宋体" w:hAnsi="宋体" w:eastAsia="宋体" w:cs="Arial"/>
          <w:color w:val="auto"/>
          <w:sz w:val="22"/>
          <w:szCs w:val="22"/>
          <w:highlight w:val="none"/>
        </w:rPr>
        <w:t>。四、投标文件的密封与递交</w:t>
      </w:r>
      <w:bookmarkEnd w:id="20"/>
      <w:bookmarkEnd w:id="21"/>
      <w:bookmarkEnd w:id="22"/>
      <w:bookmarkEnd w:id="23"/>
      <w:bookmarkEnd w:id="24"/>
      <w:bookmarkEnd w:id="25"/>
      <w:bookmarkEnd w:id="26"/>
      <w:bookmarkEnd w:id="27"/>
      <w:bookmarkEnd w:id="28"/>
      <w:bookmarkEnd w:id="29"/>
      <w:bookmarkEnd w:id="30"/>
      <w:bookmarkEnd w:id="31"/>
      <w:bookmarkEnd w:id="32"/>
      <w:bookmarkEnd w:id="33"/>
      <w:bookmarkEnd w:id="34"/>
    </w:p>
    <w:p w14:paraId="14C3A228">
      <w:pPr>
        <w:pStyle w:val="21"/>
        <w:adjustRightInd w:val="0"/>
        <w:snapToGrid w:val="0"/>
        <w:spacing w:line="440" w:lineRule="atLeast"/>
        <w:rPr>
          <w:rFonts w:hint="eastAsia" w:ascii="宋体" w:hAnsi="宋体" w:eastAsia="宋体" w:cs="Arial"/>
          <w:b w:val="0"/>
          <w:bCs w:val="0"/>
          <w:color w:val="auto"/>
          <w:sz w:val="22"/>
          <w:szCs w:val="22"/>
          <w:highlight w:val="none"/>
        </w:rPr>
      </w:pPr>
      <w:r>
        <w:rPr>
          <w:rFonts w:hint="eastAsia" w:ascii="宋体" w:hAnsi="宋体" w:eastAsia="宋体" w:cs="Arial"/>
          <w:b w:val="0"/>
          <w:bCs w:val="0"/>
          <w:color w:val="auto"/>
          <w:sz w:val="22"/>
          <w:szCs w:val="22"/>
          <w:highlight w:val="none"/>
        </w:rPr>
        <w:t>1、投标文件的上传与递交</w:t>
      </w:r>
    </w:p>
    <w:p w14:paraId="5107A5B9">
      <w:pPr>
        <w:pStyle w:val="21"/>
        <w:adjustRightInd w:val="0"/>
        <w:snapToGrid w:val="0"/>
        <w:spacing w:line="440" w:lineRule="atLeast"/>
        <w:ind w:firstLine="450"/>
        <w:rPr>
          <w:rFonts w:hint="eastAsia" w:ascii="宋体" w:hAnsi="宋体" w:eastAsia="宋体" w:cs="Arial"/>
          <w:color w:val="auto"/>
          <w:sz w:val="22"/>
          <w:szCs w:val="22"/>
          <w:highlight w:val="none"/>
        </w:rPr>
      </w:pPr>
      <w:r>
        <w:rPr>
          <w:rFonts w:hint="eastAsia" w:ascii="宋体" w:hAnsi="宋体" w:eastAsia="宋体" w:cs="Arial"/>
          <w:color w:val="auto"/>
          <w:sz w:val="22"/>
          <w:szCs w:val="22"/>
          <w:highlight w:val="none"/>
        </w:rPr>
        <w:t>（1）“电子加密投标文件”的上传、递交：</w:t>
      </w:r>
    </w:p>
    <w:p w14:paraId="6CC83C25">
      <w:pPr>
        <w:pStyle w:val="21"/>
        <w:adjustRightInd w:val="0"/>
        <w:snapToGrid w:val="0"/>
        <w:spacing w:line="440" w:lineRule="atLeast"/>
        <w:ind w:firstLine="450"/>
        <w:rPr>
          <w:rFonts w:hint="eastAsia" w:ascii="宋体" w:hAnsi="宋体" w:eastAsia="宋体" w:cs="Arial"/>
          <w:color w:val="auto"/>
          <w:sz w:val="22"/>
          <w:szCs w:val="22"/>
          <w:highlight w:val="none"/>
        </w:rPr>
      </w:pPr>
      <w:r>
        <w:rPr>
          <w:rFonts w:hint="eastAsia" w:ascii="宋体" w:hAnsi="宋体" w:eastAsia="宋体" w:cs="Arial"/>
          <w:color w:val="auto"/>
          <w:sz w:val="22"/>
          <w:szCs w:val="22"/>
          <w:highlight w:val="none"/>
        </w:rPr>
        <w:t>a.投标供应商应在投标截止时间前将“电子加密投标文件”成功上传递交至“乐采云平台”，否则投标无效。</w:t>
      </w:r>
    </w:p>
    <w:p w14:paraId="41B5851A">
      <w:pPr>
        <w:pStyle w:val="21"/>
        <w:adjustRightInd w:val="0"/>
        <w:snapToGrid w:val="0"/>
        <w:spacing w:line="440" w:lineRule="atLeast"/>
        <w:ind w:firstLine="450"/>
        <w:rPr>
          <w:rFonts w:hint="eastAsia" w:ascii="宋体" w:hAnsi="宋体" w:eastAsia="宋体" w:cs="Arial"/>
          <w:color w:val="auto"/>
          <w:sz w:val="22"/>
          <w:szCs w:val="22"/>
          <w:highlight w:val="none"/>
        </w:rPr>
      </w:pPr>
      <w:r>
        <w:rPr>
          <w:rFonts w:hint="eastAsia" w:ascii="宋体" w:hAnsi="宋体" w:eastAsia="宋体" w:cs="Arial"/>
          <w:color w:val="auto"/>
          <w:sz w:val="22"/>
          <w:szCs w:val="22"/>
          <w:highlight w:val="none"/>
        </w:rPr>
        <w:t>b.“电子加密投标文件”成功上传递交后，供应商可自行打印投标文件接收回执。</w:t>
      </w:r>
    </w:p>
    <w:p w14:paraId="71C95126">
      <w:pPr>
        <w:pStyle w:val="21"/>
        <w:adjustRightInd w:val="0"/>
        <w:snapToGrid w:val="0"/>
        <w:spacing w:line="440" w:lineRule="atLeast"/>
        <w:ind w:firstLine="450"/>
        <w:rPr>
          <w:rFonts w:hint="eastAsia" w:ascii="宋体" w:hAnsi="宋体" w:eastAsia="宋体" w:cs="Arial"/>
          <w:color w:val="auto"/>
          <w:sz w:val="22"/>
          <w:szCs w:val="22"/>
          <w:highlight w:val="none"/>
        </w:rPr>
      </w:pPr>
      <w:r>
        <w:rPr>
          <w:rFonts w:hint="eastAsia" w:ascii="宋体" w:hAnsi="宋体" w:eastAsia="宋体" w:cs="Arial"/>
          <w:color w:val="auto"/>
          <w:sz w:val="22"/>
          <w:szCs w:val="22"/>
          <w:highlight w:val="none"/>
        </w:rPr>
        <w:t>（2）“备份投标文件”的密封包装、递交：</w:t>
      </w:r>
    </w:p>
    <w:p w14:paraId="701D166B">
      <w:pPr>
        <w:pStyle w:val="21"/>
        <w:adjustRightInd w:val="0"/>
        <w:snapToGrid w:val="0"/>
        <w:spacing w:line="440" w:lineRule="atLeast"/>
        <w:ind w:firstLine="450"/>
        <w:rPr>
          <w:rFonts w:hint="eastAsia" w:ascii="宋体" w:hAnsi="宋体" w:eastAsia="宋体" w:cs="Arial"/>
          <w:color w:val="auto"/>
          <w:sz w:val="22"/>
          <w:szCs w:val="22"/>
          <w:highlight w:val="none"/>
        </w:rPr>
      </w:pPr>
      <w:r>
        <w:rPr>
          <w:rFonts w:hint="eastAsia" w:ascii="宋体" w:hAnsi="宋体" w:eastAsia="宋体" w:cs="Arial"/>
          <w:color w:val="auto"/>
          <w:sz w:val="22"/>
          <w:szCs w:val="22"/>
          <w:highlight w:val="none"/>
        </w:rPr>
        <w:t>a.投标供应商在“乐采云平台”完成“电子加密投标文件”的上传递交后，还可以（如采用邮寄方式建议用EMS邮寄或顺丰邮寄形式）在投标截止时间前递交以介质（U盘）存储的 “备份投标文件”（一份）；</w:t>
      </w:r>
    </w:p>
    <w:p w14:paraId="3266676D">
      <w:pPr>
        <w:pStyle w:val="21"/>
        <w:adjustRightInd w:val="0"/>
        <w:snapToGrid w:val="0"/>
        <w:spacing w:line="440" w:lineRule="atLeast"/>
        <w:ind w:firstLine="450"/>
        <w:rPr>
          <w:rFonts w:hint="eastAsia" w:ascii="宋体" w:hAnsi="宋体" w:eastAsia="宋体" w:cs="Arial"/>
          <w:color w:val="auto"/>
          <w:sz w:val="22"/>
          <w:szCs w:val="22"/>
          <w:highlight w:val="none"/>
        </w:rPr>
      </w:pPr>
      <w:r>
        <w:rPr>
          <w:rFonts w:hint="eastAsia" w:ascii="宋体" w:hAnsi="宋体" w:eastAsia="宋体" w:cs="Arial"/>
          <w:color w:val="auto"/>
          <w:sz w:val="22"/>
          <w:szCs w:val="22"/>
          <w:highlight w:val="none"/>
        </w:rPr>
        <w:t>b.“备份投标文件”应当密封包装，并在包装上标注投标项目名称、投标单位名称并加盖公章。没有密封包装或者逾期送达至投标地点的“备份投标文件”将不予接收；</w:t>
      </w:r>
    </w:p>
    <w:p w14:paraId="2A225894">
      <w:pPr>
        <w:pStyle w:val="21"/>
        <w:adjustRightInd w:val="0"/>
        <w:snapToGrid w:val="0"/>
        <w:spacing w:line="440" w:lineRule="atLeast"/>
        <w:ind w:firstLine="450"/>
        <w:rPr>
          <w:rFonts w:hint="eastAsia" w:ascii="宋体" w:hAnsi="宋体" w:eastAsia="宋体" w:cs="Arial"/>
          <w:color w:val="auto"/>
          <w:sz w:val="22"/>
          <w:szCs w:val="22"/>
          <w:highlight w:val="none"/>
        </w:rPr>
      </w:pPr>
      <w:r>
        <w:rPr>
          <w:rFonts w:hint="eastAsia" w:ascii="宋体" w:hAnsi="宋体" w:eastAsia="宋体" w:cs="Arial"/>
          <w:color w:val="auto"/>
          <w:sz w:val="22"/>
          <w:szCs w:val="22"/>
          <w:highlight w:val="none"/>
        </w:rPr>
        <w:t>c.通过“乐采云平台”成功上传递交的“电子加密投标文件”已按时解密的，“备份投标文件”自动失效。投标截止时间前，投标供应商仅递交了“备份投标文件”而未将“电子加密投标文件”成功上传至“乐采云平台”的，投标无效。</w:t>
      </w:r>
    </w:p>
    <w:p w14:paraId="4BE701C2">
      <w:pPr>
        <w:pStyle w:val="21"/>
        <w:adjustRightInd w:val="0"/>
        <w:snapToGrid w:val="0"/>
        <w:spacing w:line="440" w:lineRule="atLeast"/>
        <w:ind w:firstLine="220" w:firstLineChars="100"/>
        <w:rPr>
          <w:rFonts w:hint="eastAsia" w:ascii="宋体" w:hAnsi="宋体" w:eastAsia="宋体" w:cs="Arial"/>
          <w:b w:val="0"/>
          <w:color w:val="auto"/>
          <w:sz w:val="22"/>
          <w:szCs w:val="22"/>
          <w:highlight w:val="none"/>
        </w:rPr>
      </w:pPr>
      <w:r>
        <w:rPr>
          <w:rFonts w:hint="eastAsia" w:ascii="宋体" w:hAnsi="宋体" w:eastAsia="宋体" w:cs="Arial"/>
          <w:b w:val="0"/>
          <w:color w:val="auto"/>
          <w:sz w:val="22"/>
          <w:szCs w:val="22"/>
          <w:highlight w:val="none"/>
        </w:rPr>
        <w:t>2、投标截止时间</w:t>
      </w:r>
    </w:p>
    <w:p w14:paraId="137B3A76">
      <w:pPr>
        <w:pStyle w:val="21"/>
        <w:spacing w:line="440" w:lineRule="atLeast"/>
        <w:ind w:firstLine="660" w:firstLineChars="300"/>
        <w:rPr>
          <w:rFonts w:hint="eastAsia" w:ascii="宋体" w:hAnsi="宋体" w:eastAsia="宋体" w:cs="Arial"/>
          <w:b w:val="0"/>
          <w:color w:val="auto"/>
          <w:sz w:val="22"/>
          <w:szCs w:val="22"/>
          <w:highlight w:val="none"/>
        </w:rPr>
      </w:pPr>
      <w:r>
        <w:rPr>
          <w:rFonts w:hint="eastAsia" w:ascii="宋体" w:hAnsi="宋体" w:eastAsia="宋体" w:cs="Arial"/>
          <w:b w:val="0"/>
          <w:color w:val="auto"/>
          <w:sz w:val="22"/>
          <w:szCs w:val="22"/>
          <w:highlight w:val="none"/>
        </w:rPr>
        <w:t>2.1投标文件必须在投标文件递交截止时间前成功上传递交至“乐采云平台”，否则投标无效。</w:t>
      </w:r>
    </w:p>
    <w:p w14:paraId="5720428A">
      <w:pPr>
        <w:pStyle w:val="21"/>
        <w:adjustRightInd w:val="0"/>
        <w:snapToGrid w:val="0"/>
        <w:spacing w:line="440" w:lineRule="atLeast"/>
        <w:ind w:firstLine="220" w:firstLineChars="100"/>
        <w:rPr>
          <w:rFonts w:hint="eastAsia" w:ascii="宋体" w:hAnsi="宋体" w:eastAsia="宋体" w:cs="Arial"/>
          <w:b w:val="0"/>
          <w:color w:val="auto"/>
          <w:sz w:val="22"/>
          <w:szCs w:val="22"/>
          <w:highlight w:val="none"/>
        </w:rPr>
      </w:pPr>
      <w:r>
        <w:rPr>
          <w:rFonts w:hint="eastAsia" w:ascii="宋体" w:hAnsi="宋体" w:eastAsia="宋体" w:cs="Arial"/>
          <w:b w:val="0"/>
          <w:color w:val="auto"/>
          <w:sz w:val="22"/>
          <w:szCs w:val="22"/>
          <w:highlight w:val="none"/>
        </w:rPr>
        <w:t xml:space="preserve">    2.2采购机构如因故推迟投标截止时间，应通知所有供应商。在这种情况下，供应商的权利和义务将受到新的截止时间的约束。</w:t>
      </w:r>
    </w:p>
    <w:p w14:paraId="6DC94F67">
      <w:pPr>
        <w:pStyle w:val="4"/>
        <w:tabs>
          <w:tab w:val="clear" w:pos="720"/>
        </w:tabs>
        <w:spacing w:before="0" w:after="120" w:line="700" w:lineRule="exact"/>
        <w:ind w:left="0" w:firstLine="0"/>
        <w:rPr>
          <w:rFonts w:hint="eastAsia" w:ascii="宋体" w:hAnsi="宋体" w:eastAsia="宋体"/>
          <w:b/>
          <w:color w:val="auto"/>
          <w:sz w:val="22"/>
          <w:szCs w:val="22"/>
          <w:highlight w:val="none"/>
        </w:rPr>
      </w:pPr>
      <w:bookmarkStart w:id="35" w:name="_Toc132655777"/>
      <w:bookmarkStart w:id="36" w:name="_Toc132125152"/>
      <w:bookmarkStart w:id="37" w:name="_Toc132123882"/>
      <w:bookmarkStart w:id="38" w:name="_Toc132122120"/>
      <w:bookmarkStart w:id="39" w:name="_Toc132123839"/>
      <w:bookmarkStart w:id="40" w:name="_Toc132123440"/>
      <w:bookmarkStart w:id="41" w:name="_Toc132123548"/>
      <w:bookmarkStart w:id="42" w:name="_Toc132125575"/>
      <w:bookmarkStart w:id="43" w:name="_Toc132122417"/>
      <w:bookmarkStart w:id="44" w:name="_Toc132123635"/>
      <w:bookmarkStart w:id="45" w:name="_Toc132125984"/>
      <w:bookmarkStart w:id="46" w:name="_Toc132125096"/>
      <w:bookmarkStart w:id="47" w:name="_Toc132125038"/>
      <w:bookmarkStart w:id="48" w:name="_Toc132126155"/>
      <w:bookmarkStart w:id="49" w:name="_Toc132124595"/>
      <w:r>
        <w:rPr>
          <w:rFonts w:hint="eastAsia" w:ascii="宋体" w:hAnsi="宋体" w:eastAsia="宋体"/>
          <w:b/>
          <w:color w:val="auto"/>
          <w:sz w:val="22"/>
          <w:szCs w:val="22"/>
          <w:highlight w:val="none"/>
        </w:rPr>
        <w:t>五、开标和评标</w:t>
      </w:r>
      <w:bookmarkEnd w:id="35"/>
      <w:bookmarkEnd w:id="36"/>
      <w:bookmarkEnd w:id="37"/>
      <w:bookmarkEnd w:id="38"/>
      <w:bookmarkEnd w:id="39"/>
      <w:bookmarkEnd w:id="40"/>
      <w:bookmarkEnd w:id="41"/>
      <w:bookmarkEnd w:id="42"/>
      <w:bookmarkEnd w:id="43"/>
      <w:bookmarkEnd w:id="44"/>
      <w:bookmarkEnd w:id="45"/>
      <w:bookmarkEnd w:id="46"/>
      <w:bookmarkEnd w:id="47"/>
      <w:bookmarkEnd w:id="48"/>
      <w:bookmarkEnd w:id="49"/>
    </w:p>
    <w:p w14:paraId="24FA304A">
      <w:pPr>
        <w:pStyle w:val="21"/>
        <w:adjustRightInd w:val="0"/>
        <w:snapToGrid w:val="0"/>
        <w:spacing w:line="440" w:lineRule="atLeast"/>
        <w:ind w:firstLine="440" w:firstLineChars="200"/>
        <w:rPr>
          <w:rFonts w:hint="eastAsia" w:ascii="宋体" w:hAnsi="宋体" w:eastAsia="宋体" w:cs="Arial"/>
          <w:b w:val="0"/>
          <w:color w:val="auto"/>
          <w:sz w:val="22"/>
          <w:szCs w:val="22"/>
          <w:highlight w:val="none"/>
        </w:rPr>
      </w:pPr>
      <w:r>
        <w:rPr>
          <w:rFonts w:hint="eastAsia" w:ascii="宋体" w:hAnsi="宋体" w:eastAsia="宋体" w:cs="Arial"/>
          <w:b w:val="0"/>
          <w:color w:val="auto"/>
          <w:sz w:val="22"/>
          <w:szCs w:val="22"/>
          <w:highlight w:val="none"/>
        </w:rPr>
        <w:t>1、开标</w:t>
      </w:r>
    </w:p>
    <w:p w14:paraId="5E08D35D">
      <w:pPr>
        <w:pStyle w:val="21"/>
        <w:spacing w:line="440" w:lineRule="atLeast"/>
        <w:ind w:firstLine="442" w:firstLineChars="200"/>
        <w:rPr>
          <w:rFonts w:hint="eastAsia" w:ascii="宋体" w:hAnsi="宋体" w:eastAsia="宋体" w:cs="Arial"/>
          <w:color w:val="auto"/>
          <w:sz w:val="22"/>
          <w:szCs w:val="22"/>
          <w:highlight w:val="none"/>
        </w:rPr>
      </w:pPr>
      <w:r>
        <w:rPr>
          <w:rFonts w:hint="eastAsia" w:ascii="宋体" w:hAnsi="宋体" w:eastAsia="宋体" w:cs="Arial"/>
          <w:color w:val="auto"/>
          <w:sz w:val="22"/>
          <w:szCs w:val="22"/>
          <w:highlight w:val="none"/>
        </w:rPr>
        <w:t>1.1采购组织机构将按照招标文件规定的时间通过“乐采云平台”组织开标、开启投标文件，所有供应商均应当准时在线参加。</w:t>
      </w:r>
    </w:p>
    <w:p w14:paraId="27D919F7">
      <w:pPr>
        <w:pStyle w:val="21"/>
        <w:spacing w:line="440" w:lineRule="atLeast"/>
        <w:ind w:firstLine="440" w:firstLineChars="200"/>
        <w:rPr>
          <w:rFonts w:hint="eastAsia" w:ascii="宋体" w:hAnsi="宋体" w:eastAsia="宋体" w:cs="Arial"/>
          <w:b w:val="0"/>
          <w:color w:val="auto"/>
          <w:sz w:val="22"/>
          <w:szCs w:val="22"/>
          <w:highlight w:val="none"/>
        </w:rPr>
      </w:pPr>
      <w:r>
        <w:rPr>
          <w:rFonts w:ascii="宋体" w:hAnsi="宋体" w:eastAsia="宋体" w:cs="Arial"/>
          <w:b w:val="0"/>
          <w:color w:val="auto"/>
          <w:sz w:val="22"/>
          <w:szCs w:val="22"/>
          <w:highlight w:val="none"/>
        </w:rPr>
        <w:t>1</w:t>
      </w:r>
      <w:r>
        <w:rPr>
          <w:rFonts w:hint="eastAsia" w:ascii="宋体" w:hAnsi="宋体" w:eastAsia="宋体" w:cs="Arial"/>
          <w:b w:val="0"/>
          <w:color w:val="auto"/>
          <w:sz w:val="22"/>
          <w:szCs w:val="22"/>
          <w:highlight w:val="none"/>
        </w:rPr>
        <w:t>.</w:t>
      </w:r>
      <w:r>
        <w:rPr>
          <w:rFonts w:ascii="宋体" w:hAnsi="宋体" w:eastAsia="宋体" w:cs="Arial"/>
          <w:b w:val="0"/>
          <w:color w:val="auto"/>
          <w:sz w:val="22"/>
          <w:szCs w:val="22"/>
          <w:highlight w:val="none"/>
        </w:rPr>
        <w:t>2</w:t>
      </w:r>
      <w:r>
        <w:rPr>
          <w:rFonts w:hint="eastAsia" w:ascii="宋体" w:hAnsi="宋体" w:eastAsia="宋体" w:cs="Arial"/>
          <w:b w:val="0"/>
          <w:color w:val="auto"/>
          <w:sz w:val="22"/>
          <w:szCs w:val="22"/>
          <w:highlight w:val="none"/>
        </w:rPr>
        <w:t>开标的准备工作由采购组织机构负责落实；</w:t>
      </w:r>
    </w:p>
    <w:p w14:paraId="147FEDE3">
      <w:pPr>
        <w:pStyle w:val="21"/>
        <w:spacing w:line="440" w:lineRule="atLeast"/>
        <w:ind w:firstLine="442" w:firstLineChars="200"/>
        <w:rPr>
          <w:rFonts w:hint="eastAsia" w:ascii="宋体" w:hAnsi="宋体" w:eastAsia="宋体" w:cs="Arial"/>
          <w:color w:val="auto"/>
          <w:sz w:val="22"/>
          <w:szCs w:val="22"/>
          <w:highlight w:val="none"/>
        </w:rPr>
      </w:pPr>
      <w:r>
        <w:rPr>
          <w:rFonts w:ascii="宋体" w:hAnsi="宋体" w:eastAsia="宋体" w:cs="Arial"/>
          <w:color w:val="auto"/>
          <w:sz w:val="22"/>
          <w:szCs w:val="22"/>
          <w:highlight w:val="none"/>
        </w:rPr>
        <w:t>1</w:t>
      </w:r>
      <w:r>
        <w:rPr>
          <w:rFonts w:hint="eastAsia" w:ascii="宋体" w:hAnsi="宋体" w:eastAsia="宋体" w:cs="Arial"/>
          <w:color w:val="auto"/>
          <w:sz w:val="22"/>
          <w:szCs w:val="22"/>
          <w:highlight w:val="none"/>
        </w:rPr>
        <w:t>.</w:t>
      </w:r>
      <w:r>
        <w:rPr>
          <w:rFonts w:ascii="宋体" w:hAnsi="宋体" w:eastAsia="宋体" w:cs="Arial"/>
          <w:color w:val="auto"/>
          <w:sz w:val="22"/>
          <w:szCs w:val="22"/>
          <w:highlight w:val="none"/>
        </w:rPr>
        <w:t>3</w:t>
      </w:r>
      <w:r>
        <w:rPr>
          <w:rFonts w:hint="eastAsia" w:ascii="宋体" w:hAnsi="宋体" w:eastAsia="宋体" w:cs="Arial"/>
          <w:color w:val="auto"/>
          <w:sz w:val="22"/>
          <w:szCs w:val="22"/>
          <w:highlight w:val="none"/>
        </w:rPr>
        <w:t>采购组织机构将按照招标文件规定的时间通过“乐采云平台”组织开标、开启投标文件，所有供应商均应当准时在线参加。投标供应商</w:t>
      </w:r>
      <w:r>
        <w:rPr>
          <w:rFonts w:ascii="宋体" w:hAnsi="宋体" w:eastAsia="宋体" w:cs="Arial"/>
          <w:color w:val="auto"/>
          <w:sz w:val="22"/>
          <w:szCs w:val="22"/>
          <w:highlight w:val="none"/>
        </w:rPr>
        <w:t>如不</w:t>
      </w:r>
      <w:r>
        <w:rPr>
          <w:rFonts w:hint="eastAsia" w:ascii="宋体" w:hAnsi="宋体" w:eastAsia="宋体" w:cs="Arial"/>
          <w:color w:val="auto"/>
          <w:sz w:val="22"/>
          <w:szCs w:val="22"/>
          <w:highlight w:val="none"/>
        </w:rPr>
        <w:t>参加</w:t>
      </w:r>
      <w:r>
        <w:rPr>
          <w:rFonts w:ascii="宋体" w:hAnsi="宋体" w:eastAsia="宋体" w:cs="Arial"/>
          <w:color w:val="auto"/>
          <w:sz w:val="22"/>
          <w:szCs w:val="22"/>
          <w:highlight w:val="none"/>
        </w:rPr>
        <w:t>开标大会的，</w:t>
      </w:r>
      <w:r>
        <w:rPr>
          <w:rFonts w:hint="eastAsia" w:ascii="宋体" w:hAnsi="宋体" w:eastAsia="宋体" w:cs="Arial"/>
          <w:color w:val="auto"/>
          <w:sz w:val="22"/>
          <w:szCs w:val="22"/>
          <w:highlight w:val="none"/>
        </w:rPr>
        <w:t>视同认可开标结果，</w:t>
      </w:r>
      <w:r>
        <w:rPr>
          <w:rFonts w:ascii="宋体" w:hAnsi="宋体" w:eastAsia="宋体" w:cs="Arial"/>
          <w:color w:val="auto"/>
          <w:sz w:val="22"/>
          <w:szCs w:val="22"/>
          <w:highlight w:val="none"/>
        </w:rPr>
        <w:t>事后不得对采购相关人员、开标过程和开标结果提出异议</w:t>
      </w:r>
      <w:r>
        <w:rPr>
          <w:rFonts w:hint="eastAsia" w:ascii="宋体" w:hAnsi="宋体" w:eastAsia="宋体" w:cs="Arial"/>
          <w:color w:val="auto"/>
          <w:sz w:val="22"/>
          <w:szCs w:val="22"/>
          <w:highlight w:val="none"/>
        </w:rPr>
        <w:t>，同时投标供应商因未在线参加开标而导致投标文件无法按时解密等一切后果由供应商自己承担。</w:t>
      </w:r>
    </w:p>
    <w:p w14:paraId="462A7DB4">
      <w:pPr>
        <w:pStyle w:val="21"/>
        <w:adjustRightInd w:val="0"/>
        <w:snapToGrid w:val="0"/>
        <w:spacing w:line="440" w:lineRule="atLeast"/>
        <w:ind w:firstLine="440" w:firstLineChars="200"/>
        <w:rPr>
          <w:rFonts w:hint="eastAsia" w:ascii="宋体" w:hAnsi="宋体" w:eastAsia="宋体" w:cs="Arial"/>
          <w:b w:val="0"/>
          <w:color w:val="auto"/>
          <w:sz w:val="22"/>
          <w:szCs w:val="22"/>
          <w:highlight w:val="none"/>
        </w:rPr>
      </w:pPr>
      <w:r>
        <w:rPr>
          <w:rFonts w:hint="eastAsia" w:ascii="宋体" w:hAnsi="宋体" w:eastAsia="宋体" w:cs="Arial"/>
          <w:b w:val="0"/>
          <w:color w:val="auto"/>
          <w:sz w:val="22"/>
          <w:szCs w:val="22"/>
          <w:highlight w:val="none"/>
        </w:rPr>
        <w:t>2、开标程序</w:t>
      </w:r>
    </w:p>
    <w:p w14:paraId="14F284FF">
      <w:pPr>
        <w:pStyle w:val="21"/>
        <w:adjustRightInd w:val="0"/>
        <w:snapToGrid w:val="0"/>
        <w:spacing w:line="440" w:lineRule="atLeast"/>
        <w:ind w:firstLine="440" w:firstLineChars="200"/>
        <w:rPr>
          <w:rFonts w:hint="eastAsia" w:ascii="宋体" w:hAnsi="宋体" w:eastAsia="宋体" w:cs="Arial"/>
          <w:b w:val="0"/>
          <w:color w:val="auto"/>
          <w:sz w:val="22"/>
          <w:szCs w:val="22"/>
          <w:highlight w:val="none"/>
        </w:rPr>
      </w:pPr>
      <w:r>
        <w:rPr>
          <w:rFonts w:hint="eastAsia" w:ascii="宋体" w:hAnsi="宋体" w:eastAsia="宋体" w:cs="Arial"/>
          <w:b w:val="0"/>
          <w:color w:val="auto"/>
          <w:sz w:val="22"/>
          <w:szCs w:val="22"/>
          <w:highlight w:val="none"/>
        </w:rPr>
        <w:t>（</w:t>
      </w:r>
      <w:r>
        <w:rPr>
          <w:rFonts w:ascii="宋体" w:hAnsi="宋体" w:eastAsia="宋体" w:cs="Arial"/>
          <w:b w:val="0"/>
          <w:color w:val="auto"/>
          <w:sz w:val="22"/>
          <w:szCs w:val="22"/>
          <w:highlight w:val="none"/>
        </w:rPr>
        <w:t>1</w:t>
      </w:r>
      <w:r>
        <w:rPr>
          <w:rFonts w:hint="eastAsia" w:ascii="宋体" w:hAnsi="宋体" w:eastAsia="宋体" w:cs="Arial"/>
          <w:b w:val="0"/>
          <w:color w:val="auto"/>
          <w:sz w:val="22"/>
          <w:szCs w:val="22"/>
          <w:highlight w:val="none"/>
        </w:rPr>
        <w:t>）采购代理机构向各投标供应商发出电子加密投标文件【开始解密】通知，由供应商在30分钟内自行进行投标文件解密。投标供应商在规定的时间内无法完成已递交的“电子加密投标文件”解密的，如已按规定递交了备份投标文件的，将由采购组织机构按“乐采云平台”操作规范将备份投标文件上传至“乐采云平台”，上传成功后，“电子加密投标文件”自动失效；</w:t>
      </w:r>
    </w:p>
    <w:p w14:paraId="021EA4EF">
      <w:pPr>
        <w:pStyle w:val="21"/>
        <w:adjustRightInd w:val="0"/>
        <w:snapToGrid w:val="0"/>
        <w:spacing w:line="440" w:lineRule="atLeast"/>
        <w:ind w:firstLine="440" w:firstLineChars="200"/>
        <w:rPr>
          <w:rFonts w:hint="eastAsia" w:ascii="宋体" w:hAnsi="宋体" w:eastAsia="宋体" w:cs="Arial"/>
          <w:b w:val="0"/>
          <w:color w:val="auto"/>
          <w:sz w:val="22"/>
          <w:szCs w:val="22"/>
          <w:highlight w:val="none"/>
        </w:rPr>
      </w:pPr>
      <w:r>
        <w:rPr>
          <w:rFonts w:hint="eastAsia" w:ascii="宋体" w:hAnsi="宋体" w:eastAsia="宋体" w:cs="Arial"/>
          <w:b w:val="0"/>
          <w:color w:val="auto"/>
          <w:sz w:val="22"/>
          <w:szCs w:val="22"/>
          <w:highlight w:val="none"/>
        </w:rPr>
        <w:t>（</w:t>
      </w:r>
      <w:r>
        <w:rPr>
          <w:rFonts w:ascii="宋体" w:hAnsi="宋体" w:eastAsia="宋体" w:cs="Arial"/>
          <w:b w:val="0"/>
          <w:color w:val="auto"/>
          <w:sz w:val="22"/>
          <w:szCs w:val="22"/>
          <w:highlight w:val="none"/>
        </w:rPr>
        <w:t>2</w:t>
      </w:r>
      <w:r>
        <w:rPr>
          <w:rFonts w:hint="eastAsia" w:ascii="宋体" w:hAnsi="宋体" w:eastAsia="宋体" w:cs="Arial"/>
          <w:b w:val="0"/>
          <w:color w:val="auto"/>
          <w:sz w:val="22"/>
          <w:szCs w:val="22"/>
          <w:highlight w:val="none"/>
        </w:rPr>
        <w:t>）在所有投标文件解密成功后，采购代理机构向各投标供应商发起在线询标确认是否存在影响公平竞争情况；如各投标供应商对采购活动现场情况无异议，须在</w:t>
      </w:r>
      <w:r>
        <w:rPr>
          <w:rFonts w:ascii="宋体" w:hAnsi="宋体" w:eastAsia="宋体" w:cs="Arial"/>
          <w:b w:val="0"/>
          <w:color w:val="auto"/>
          <w:sz w:val="22"/>
          <w:szCs w:val="22"/>
          <w:highlight w:val="none"/>
        </w:rPr>
        <w:t>2</w:t>
      </w:r>
      <w:r>
        <w:rPr>
          <w:rFonts w:hint="eastAsia" w:ascii="宋体" w:hAnsi="宋体" w:eastAsia="宋体" w:cs="Arial"/>
          <w:b w:val="0"/>
          <w:color w:val="auto"/>
          <w:sz w:val="22"/>
          <w:szCs w:val="22"/>
          <w:highlight w:val="none"/>
        </w:rPr>
        <w:t>0分钟内填写（签章）完成《国企采购活动现场确认声明书》并在询标确认中作为附件上传至“乐采云平台”或发送至采购组织机构邮箱：</w:t>
      </w:r>
      <w:r>
        <w:rPr>
          <w:rFonts w:ascii="宋体" w:hAnsi="宋体" w:eastAsia="宋体" w:cs="Arial"/>
          <w:color w:val="auto"/>
          <w:highlight w:val="none"/>
        </w:rPr>
        <w:t>376169591@qq.com</w:t>
      </w:r>
      <w:r>
        <w:rPr>
          <w:rFonts w:hint="eastAsia" w:ascii="宋体" w:hAnsi="宋体" w:eastAsia="宋体" w:cs="Arial"/>
          <w:b w:val="0"/>
          <w:color w:val="auto"/>
          <w:sz w:val="22"/>
          <w:szCs w:val="22"/>
          <w:highlight w:val="none"/>
        </w:rPr>
        <w:t>，否则按投标供应商默认处理；</w:t>
      </w:r>
    </w:p>
    <w:p w14:paraId="202A8E2A">
      <w:pPr>
        <w:pStyle w:val="21"/>
        <w:adjustRightInd w:val="0"/>
        <w:snapToGrid w:val="0"/>
        <w:spacing w:line="440" w:lineRule="atLeast"/>
        <w:ind w:firstLine="440" w:firstLineChars="200"/>
        <w:rPr>
          <w:rFonts w:hint="eastAsia" w:ascii="宋体" w:hAnsi="宋体" w:eastAsia="宋体" w:cs="Arial"/>
          <w:b w:val="0"/>
          <w:color w:val="auto"/>
          <w:sz w:val="22"/>
          <w:szCs w:val="22"/>
          <w:highlight w:val="none"/>
        </w:rPr>
      </w:pPr>
      <w:r>
        <w:rPr>
          <w:rFonts w:hint="eastAsia" w:ascii="宋体" w:hAnsi="宋体" w:eastAsia="宋体" w:cs="Arial"/>
          <w:b w:val="0"/>
          <w:color w:val="auto"/>
          <w:sz w:val="22"/>
          <w:szCs w:val="22"/>
          <w:highlight w:val="none"/>
        </w:rPr>
        <w:t>注：格式详见“</w:t>
      </w:r>
      <w:r>
        <w:rPr>
          <w:rFonts w:hint="eastAsia" w:ascii="宋体" w:hAnsi="宋体" w:eastAsia="宋体"/>
          <w:color w:val="auto"/>
          <w:highlight w:val="none"/>
        </w:rPr>
        <w:t xml:space="preserve"> </w:t>
      </w:r>
      <w:r>
        <w:rPr>
          <w:rFonts w:hint="eastAsia" w:ascii="宋体" w:hAnsi="宋体" w:eastAsia="宋体" w:cs="Arial"/>
          <w:b w:val="0"/>
          <w:color w:val="auto"/>
          <w:sz w:val="22"/>
          <w:szCs w:val="22"/>
          <w:highlight w:val="none"/>
        </w:rPr>
        <w:t>第五部分</w:t>
      </w:r>
      <w:r>
        <w:rPr>
          <w:rFonts w:ascii="宋体" w:hAnsi="宋体" w:eastAsia="宋体" w:cs="Arial"/>
          <w:b w:val="0"/>
          <w:color w:val="auto"/>
          <w:sz w:val="22"/>
          <w:szCs w:val="22"/>
          <w:highlight w:val="none"/>
        </w:rPr>
        <w:t xml:space="preserve"> 投标文件格式</w:t>
      </w:r>
      <w:r>
        <w:rPr>
          <w:rFonts w:hint="eastAsia" w:ascii="宋体" w:hAnsi="宋体" w:eastAsia="宋体" w:cs="Arial"/>
          <w:b w:val="0"/>
          <w:color w:val="auto"/>
          <w:sz w:val="22"/>
          <w:szCs w:val="22"/>
          <w:highlight w:val="none"/>
        </w:rPr>
        <w:t>”中的“三、采购活动现场确认声明书格式”。</w:t>
      </w:r>
    </w:p>
    <w:p w14:paraId="72F14454">
      <w:pPr>
        <w:pStyle w:val="21"/>
        <w:adjustRightInd w:val="0"/>
        <w:snapToGrid w:val="0"/>
        <w:spacing w:line="440" w:lineRule="atLeast"/>
        <w:ind w:firstLine="440" w:firstLineChars="200"/>
        <w:rPr>
          <w:rFonts w:hint="eastAsia" w:ascii="宋体" w:hAnsi="宋体" w:eastAsia="宋体" w:cs="Arial"/>
          <w:b w:val="0"/>
          <w:color w:val="auto"/>
          <w:sz w:val="22"/>
          <w:szCs w:val="22"/>
          <w:highlight w:val="none"/>
        </w:rPr>
      </w:pPr>
      <w:r>
        <w:rPr>
          <w:rFonts w:hint="eastAsia" w:ascii="宋体" w:hAnsi="宋体" w:eastAsia="宋体" w:cs="Arial"/>
          <w:b w:val="0"/>
          <w:color w:val="auto"/>
          <w:sz w:val="22"/>
          <w:szCs w:val="22"/>
          <w:highlight w:val="none"/>
        </w:rPr>
        <w:t>（</w:t>
      </w:r>
      <w:r>
        <w:rPr>
          <w:rFonts w:ascii="宋体" w:hAnsi="宋体" w:eastAsia="宋体" w:cs="Arial"/>
          <w:b w:val="0"/>
          <w:color w:val="auto"/>
          <w:sz w:val="22"/>
          <w:szCs w:val="22"/>
          <w:highlight w:val="none"/>
        </w:rPr>
        <w:t>3</w:t>
      </w:r>
      <w:r>
        <w:rPr>
          <w:rFonts w:hint="eastAsia" w:ascii="宋体" w:hAnsi="宋体" w:eastAsia="宋体" w:cs="Arial"/>
          <w:b w:val="0"/>
          <w:color w:val="auto"/>
          <w:sz w:val="22"/>
          <w:szCs w:val="22"/>
          <w:highlight w:val="none"/>
        </w:rPr>
        <w:t>）开启技术资信文件，进入资格审查；</w:t>
      </w:r>
    </w:p>
    <w:p w14:paraId="4B14DC2D">
      <w:pPr>
        <w:pStyle w:val="21"/>
        <w:adjustRightInd w:val="0"/>
        <w:snapToGrid w:val="0"/>
        <w:spacing w:line="440" w:lineRule="atLeast"/>
        <w:ind w:firstLine="440" w:firstLineChars="200"/>
        <w:rPr>
          <w:rFonts w:hint="eastAsia" w:ascii="宋体" w:hAnsi="宋体" w:eastAsia="宋体" w:cs="Arial"/>
          <w:b w:val="0"/>
          <w:color w:val="auto"/>
          <w:sz w:val="22"/>
          <w:szCs w:val="22"/>
          <w:highlight w:val="none"/>
        </w:rPr>
      </w:pPr>
      <w:r>
        <w:rPr>
          <w:rFonts w:hint="eastAsia" w:ascii="宋体" w:hAnsi="宋体" w:eastAsia="宋体" w:cs="Arial"/>
          <w:b w:val="0"/>
          <w:color w:val="auto"/>
          <w:sz w:val="22"/>
          <w:szCs w:val="22"/>
          <w:highlight w:val="none"/>
        </w:rPr>
        <w:t>（</w:t>
      </w:r>
      <w:r>
        <w:rPr>
          <w:rFonts w:ascii="宋体" w:hAnsi="宋体" w:eastAsia="宋体" w:cs="Arial"/>
          <w:b w:val="0"/>
          <w:color w:val="auto"/>
          <w:sz w:val="22"/>
          <w:szCs w:val="22"/>
          <w:highlight w:val="none"/>
        </w:rPr>
        <w:t>4</w:t>
      </w:r>
      <w:r>
        <w:rPr>
          <w:rFonts w:hint="eastAsia" w:ascii="宋体" w:hAnsi="宋体" w:eastAsia="宋体" w:cs="Arial"/>
          <w:b w:val="0"/>
          <w:color w:val="auto"/>
          <w:sz w:val="22"/>
          <w:szCs w:val="22"/>
          <w:highlight w:val="none"/>
        </w:rPr>
        <w:t>）资格审查未通过的供应商将通过邮件形式告知；资格审查通过的投标供应商进入技术资信评审；</w:t>
      </w:r>
    </w:p>
    <w:p w14:paraId="5C5B1F56">
      <w:pPr>
        <w:pStyle w:val="21"/>
        <w:adjustRightInd w:val="0"/>
        <w:snapToGrid w:val="0"/>
        <w:spacing w:line="440" w:lineRule="atLeast"/>
        <w:ind w:firstLine="440" w:firstLineChars="200"/>
        <w:rPr>
          <w:rFonts w:hint="eastAsia" w:ascii="宋体" w:hAnsi="宋体" w:eastAsia="宋体" w:cs="Arial"/>
          <w:b w:val="0"/>
          <w:color w:val="auto"/>
          <w:sz w:val="22"/>
          <w:szCs w:val="22"/>
          <w:highlight w:val="none"/>
        </w:rPr>
      </w:pPr>
      <w:r>
        <w:rPr>
          <w:rFonts w:hint="eastAsia" w:ascii="宋体" w:hAnsi="宋体" w:eastAsia="宋体" w:cs="Arial"/>
          <w:b w:val="0"/>
          <w:color w:val="auto"/>
          <w:sz w:val="22"/>
          <w:szCs w:val="22"/>
          <w:highlight w:val="none"/>
        </w:rPr>
        <w:t>（6）技术资信评审结束后，通过发送邮件形式</w:t>
      </w:r>
      <w:r>
        <w:rPr>
          <w:rFonts w:ascii="宋体" w:hAnsi="宋体" w:eastAsia="宋体" w:cs="Arial"/>
          <w:b w:val="0"/>
          <w:color w:val="auto"/>
          <w:sz w:val="22"/>
          <w:szCs w:val="22"/>
          <w:highlight w:val="none"/>
        </w:rPr>
        <w:t>公布</w:t>
      </w:r>
      <w:r>
        <w:rPr>
          <w:rFonts w:hint="eastAsia" w:ascii="宋体" w:hAnsi="宋体" w:eastAsia="宋体" w:cs="Arial"/>
          <w:b w:val="0"/>
          <w:color w:val="auto"/>
          <w:sz w:val="22"/>
          <w:szCs w:val="22"/>
          <w:highlight w:val="none"/>
        </w:rPr>
        <w:t>供应</w:t>
      </w:r>
      <w:r>
        <w:rPr>
          <w:rFonts w:ascii="宋体" w:hAnsi="宋体" w:eastAsia="宋体" w:cs="Arial"/>
          <w:b w:val="0"/>
          <w:color w:val="auto"/>
          <w:sz w:val="22"/>
          <w:szCs w:val="22"/>
          <w:highlight w:val="none"/>
        </w:rPr>
        <w:t>技术</w:t>
      </w:r>
      <w:r>
        <w:rPr>
          <w:rFonts w:hint="eastAsia" w:ascii="宋体" w:hAnsi="宋体" w:eastAsia="宋体" w:cs="Arial"/>
          <w:b w:val="0"/>
          <w:color w:val="auto"/>
          <w:sz w:val="22"/>
          <w:szCs w:val="22"/>
          <w:highlight w:val="none"/>
        </w:rPr>
        <w:t>资信</w:t>
      </w:r>
      <w:r>
        <w:rPr>
          <w:rFonts w:ascii="宋体" w:hAnsi="宋体" w:eastAsia="宋体" w:cs="Arial"/>
          <w:b w:val="0"/>
          <w:color w:val="auto"/>
          <w:sz w:val="22"/>
          <w:szCs w:val="22"/>
          <w:highlight w:val="none"/>
        </w:rPr>
        <w:t>评审</w:t>
      </w:r>
      <w:r>
        <w:rPr>
          <w:rFonts w:hint="eastAsia" w:ascii="宋体" w:hAnsi="宋体" w:eastAsia="宋体" w:cs="Arial"/>
          <w:b w:val="0"/>
          <w:color w:val="auto"/>
          <w:sz w:val="22"/>
          <w:szCs w:val="22"/>
          <w:highlight w:val="none"/>
        </w:rPr>
        <w:t>后有效投标</w:t>
      </w:r>
      <w:r>
        <w:rPr>
          <w:rFonts w:ascii="宋体" w:hAnsi="宋体" w:eastAsia="宋体" w:cs="Arial"/>
          <w:b w:val="0"/>
          <w:color w:val="auto"/>
          <w:sz w:val="22"/>
          <w:szCs w:val="22"/>
          <w:highlight w:val="none"/>
        </w:rPr>
        <w:t>供应商</w:t>
      </w:r>
      <w:r>
        <w:rPr>
          <w:rFonts w:hint="eastAsia" w:ascii="宋体" w:hAnsi="宋体" w:eastAsia="宋体" w:cs="Arial"/>
          <w:b w:val="0"/>
          <w:color w:val="auto"/>
          <w:sz w:val="22"/>
          <w:szCs w:val="22"/>
          <w:highlight w:val="none"/>
        </w:rPr>
        <w:t>的</w:t>
      </w:r>
      <w:r>
        <w:rPr>
          <w:rFonts w:ascii="宋体" w:hAnsi="宋体" w:eastAsia="宋体" w:cs="Arial"/>
          <w:b w:val="0"/>
          <w:color w:val="auto"/>
          <w:sz w:val="22"/>
          <w:szCs w:val="22"/>
          <w:highlight w:val="none"/>
        </w:rPr>
        <w:t>名单及各供应商得分情况</w:t>
      </w:r>
      <w:r>
        <w:rPr>
          <w:rFonts w:hint="eastAsia" w:ascii="宋体" w:hAnsi="宋体" w:eastAsia="宋体" w:cs="Arial"/>
          <w:b w:val="0"/>
          <w:color w:val="auto"/>
          <w:sz w:val="22"/>
          <w:szCs w:val="22"/>
          <w:highlight w:val="none"/>
        </w:rPr>
        <w:t>。随后开启商务报价投标文件，通过发送邮件形式</w:t>
      </w:r>
      <w:r>
        <w:rPr>
          <w:rFonts w:ascii="宋体" w:hAnsi="宋体" w:eastAsia="宋体" w:cs="Arial"/>
          <w:b w:val="0"/>
          <w:color w:val="auto"/>
          <w:sz w:val="22"/>
          <w:szCs w:val="22"/>
          <w:highlight w:val="none"/>
        </w:rPr>
        <w:t>公布</w:t>
      </w:r>
      <w:r>
        <w:rPr>
          <w:rFonts w:hint="eastAsia" w:ascii="宋体" w:hAnsi="宋体" w:eastAsia="宋体" w:cs="Arial"/>
          <w:b w:val="0"/>
          <w:color w:val="auto"/>
          <w:sz w:val="22"/>
          <w:szCs w:val="22"/>
          <w:highlight w:val="none"/>
        </w:rPr>
        <w:t>供应商</w:t>
      </w:r>
      <w:r>
        <w:rPr>
          <w:rFonts w:ascii="宋体" w:hAnsi="宋体" w:eastAsia="宋体" w:cs="Arial"/>
          <w:b w:val="0"/>
          <w:color w:val="auto"/>
          <w:sz w:val="22"/>
          <w:szCs w:val="22"/>
          <w:highlight w:val="none"/>
        </w:rPr>
        <w:t>务</w:t>
      </w:r>
      <w:r>
        <w:rPr>
          <w:rFonts w:hint="eastAsia" w:ascii="宋体" w:hAnsi="宋体" w:eastAsia="宋体" w:cs="Arial"/>
          <w:b w:val="0"/>
          <w:color w:val="auto"/>
          <w:sz w:val="22"/>
          <w:szCs w:val="22"/>
          <w:highlight w:val="none"/>
        </w:rPr>
        <w:t>报价</w:t>
      </w:r>
      <w:r>
        <w:rPr>
          <w:rFonts w:ascii="宋体" w:hAnsi="宋体" w:eastAsia="宋体" w:cs="Arial"/>
          <w:b w:val="0"/>
          <w:color w:val="auto"/>
          <w:sz w:val="22"/>
          <w:szCs w:val="22"/>
          <w:highlight w:val="none"/>
        </w:rPr>
        <w:t>评审</w:t>
      </w:r>
      <w:r>
        <w:rPr>
          <w:rFonts w:hint="eastAsia" w:ascii="宋体" w:hAnsi="宋体" w:eastAsia="宋体" w:cs="Arial"/>
          <w:b w:val="0"/>
          <w:color w:val="auto"/>
          <w:sz w:val="22"/>
          <w:szCs w:val="22"/>
          <w:highlight w:val="none"/>
        </w:rPr>
        <w:t>后有效投标</w:t>
      </w:r>
      <w:r>
        <w:rPr>
          <w:rFonts w:ascii="宋体" w:hAnsi="宋体" w:eastAsia="宋体" w:cs="Arial"/>
          <w:b w:val="0"/>
          <w:color w:val="auto"/>
          <w:sz w:val="22"/>
          <w:szCs w:val="22"/>
          <w:highlight w:val="none"/>
        </w:rPr>
        <w:t>供应商</w:t>
      </w:r>
      <w:r>
        <w:rPr>
          <w:rFonts w:hint="eastAsia" w:ascii="宋体" w:hAnsi="宋体" w:eastAsia="宋体" w:cs="Arial"/>
          <w:b w:val="0"/>
          <w:color w:val="auto"/>
          <w:sz w:val="22"/>
          <w:szCs w:val="22"/>
          <w:highlight w:val="none"/>
        </w:rPr>
        <w:t>的</w:t>
      </w:r>
      <w:r>
        <w:rPr>
          <w:rFonts w:ascii="宋体" w:hAnsi="宋体" w:eastAsia="宋体" w:cs="Arial"/>
          <w:b w:val="0"/>
          <w:color w:val="auto"/>
          <w:sz w:val="22"/>
          <w:szCs w:val="22"/>
          <w:highlight w:val="none"/>
        </w:rPr>
        <w:t>名单及各供应商得分情况</w:t>
      </w:r>
      <w:r>
        <w:rPr>
          <w:rFonts w:hint="eastAsia" w:ascii="宋体" w:hAnsi="宋体" w:eastAsia="宋体" w:cs="Arial"/>
          <w:b w:val="0"/>
          <w:color w:val="auto"/>
          <w:sz w:val="22"/>
          <w:szCs w:val="22"/>
          <w:highlight w:val="none"/>
        </w:rPr>
        <w:t>。</w:t>
      </w:r>
    </w:p>
    <w:p w14:paraId="1D074654">
      <w:pPr>
        <w:pStyle w:val="21"/>
        <w:adjustRightInd w:val="0"/>
        <w:snapToGrid w:val="0"/>
        <w:spacing w:line="440" w:lineRule="atLeast"/>
        <w:ind w:firstLine="440" w:firstLineChars="200"/>
        <w:rPr>
          <w:rFonts w:hint="eastAsia" w:ascii="宋体" w:hAnsi="宋体" w:eastAsia="宋体" w:cs="Arial"/>
          <w:b w:val="0"/>
          <w:color w:val="auto"/>
          <w:sz w:val="22"/>
          <w:szCs w:val="22"/>
          <w:highlight w:val="none"/>
        </w:rPr>
      </w:pPr>
      <w:r>
        <w:rPr>
          <w:rFonts w:hint="eastAsia" w:ascii="宋体" w:hAnsi="宋体" w:eastAsia="宋体" w:cs="Arial"/>
          <w:b w:val="0"/>
          <w:color w:val="auto"/>
          <w:sz w:val="22"/>
          <w:szCs w:val="22"/>
          <w:highlight w:val="none"/>
        </w:rPr>
        <w:t>（7）评审结束后，通过发送邮件形式公布中标（成交）候选供应商名单，及采购人最终确定中标或成交供应商名单的时间和公告方式等。</w:t>
      </w:r>
    </w:p>
    <w:p w14:paraId="26010898">
      <w:pPr>
        <w:pStyle w:val="21"/>
        <w:spacing w:line="440" w:lineRule="atLeast"/>
        <w:ind w:firstLine="442" w:firstLineChars="200"/>
        <w:rPr>
          <w:rFonts w:hint="eastAsia" w:ascii="宋体" w:hAnsi="宋体" w:eastAsia="宋体" w:cs="Arial"/>
          <w:b w:val="0"/>
          <w:color w:val="auto"/>
          <w:sz w:val="22"/>
          <w:szCs w:val="22"/>
          <w:highlight w:val="none"/>
        </w:rPr>
      </w:pPr>
      <w:r>
        <w:rPr>
          <w:rFonts w:hint="eastAsia" w:ascii="宋体" w:hAnsi="宋体" w:eastAsia="宋体" w:cs="Arial"/>
          <w:color w:val="auto"/>
          <w:sz w:val="22"/>
          <w:szCs w:val="22"/>
          <w:highlight w:val="none"/>
        </w:rPr>
        <w:t>特别说明：如遇“乐采云平台”电子化开标或评审程序调整的，按调整后程序执行。</w:t>
      </w:r>
    </w:p>
    <w:p w14:paraId="10CDF3E4">
      <w:pPr>
        <w:pStyle w:val="21"/>
        <w:adjustRightInd w:val="0"/>
        <w:snapToGrid w:val="0"/>
        <w:spacing w:line="440" w:lineRule="atLeast"/>
        <w:ind w:firstLine="440" w:firstLineChars="200"/>
        <w:rPr>
          <w:rFonts w:hint="eastAsia" w:ascii="宋体" w:hAnsi="宋体" w:eastAsia="宋体" w:cs="Arial"/>
          <w:b w:val="0"/>
          <w:color w:val="auto"/>
          <w:sz w:val="22"/>
          <w:szCs w:val="22"/>
          <w:highlight w:val="none"/>
        </w:rPr>
      </w:pPr>
      <w:r>
        <w:rPr>
          <w:rFonts w:hint="eastAsia" w:ascii="宋体" w:hAnsi="宋体" w:eastAsia="宋体" w:cs="Arial"/>
          <w:b w:val="0"/>
          <w:color w:val="auto"/>
          <w:sz w:val="22"/>
          <w:szCs w:val="22"/>
          <w:highlight w:val="none"/>
        </w:rPr>
        <w:t>3、评标</w:t>
      </w:r>
    </w:p>
    <w:p w14:paraId="5873457F">
      <w:pPr>
        <w:pStyle w:val="21"/>
        <w:adjustRightInd w:val="0"/>
        <w:snapToGrid w:val="0"/>
        <w:spacing w:line="440" w:lineRule="atLeast"/>
        <w:ind w:firstLine="440" w:firstLineChars="200"/>
        <w:rPr>
          <w:rFonts w:hint="eastAsia" w:ascii="宋体" w:hAnsi="宋体" w:eastAsia="宋体"/>
          <w:b w:val="0"/>
          <w:color w:val="auto"/>
          <w:sz w:val="22"/>
          <w:szCs w:val="22"/>
          <w:highlight w:val="none"/>
        </w:rPr>
      </w:pPr>
      <w:r>
        <w:rPr>
          <w:rFonts w:hint="eastAsia" w:ascii="宋体" w:hAnsi="宋体" w:eastAsia="宋体" w:cs="Arial"/>
          <w:b w:val="0"/>
          <w:color w:val="auto"/>
          <w:sz w:val="22"/>
          <w:szCs w:val="22"/>
          <w:highlight w:val="none"/>
        </w:rPr>
        <w:t>3.1评标由采购人依法组建的评标委员会负责</w:t>
      </w:r>
      <w:r>
        <w:rPr>
          <w:rFonts w:hint="eastAsia" w:ascii="宋体" w:hAnsi="宋体" w:eastAsia="宋体"/>
          <w:b w:val="0"/>
          <w:color w:val="auto"/>
          <w:sz w:val="22"/>
          <w:szCs w:val="22"/>
          <w:highlight w:val="none"/>
        </w:rPr>
        <w:t>，并独立履行下列职责：</w:t>
      </w:r>
    </w:p>
    <w:p w14:paraId="4C90A19C">
      <w:pPr>
        <w:snapToGrid w:val="0"/>
        <w:spacing w:line="440" w:lineRule="atLeast"/>
        <w:ind w:firstLine="431" w:firstLineChars="196"/>
        <w:rPr>
          <w:rFonts w:hint="eastAsia" w:ascii="宋体" w:hAnsi="宋体"/>
          <w:b w:val="0"/>
          <w:color w:val="auto"/>
          <w:sz w:val="22"/>
          <w:szCs w:val="22"/>
          <w:highlight w:val="none"/>
        </w:rPr>
      </w:pPr>
      <w:r>
        <w:rPr>
          <w:rFonts w:hint="eastAsia" w:ascii="宋体" w:hAnsi="宋体"/>
          <w:b w:val="0"/>
          <w:color w:val="auto"/>
          <w:sz w:val="22"/>
          <w:szCs w:val="22"/>
          <w:highlight w:val="none"/>
        </w:rPr>
        <w:t>1）审查投标文件是否符合招标文件要求，并作出评价；</w:t>
      </w:r>
    </w:p>
    <w:p w14:paraId="016CD25A">
      <w:pPr>
        <w:snapToGrid w:val="0"/>
        <w:spacing w:line="440" w:lineRule="atLeast"/>
        <w:ind w:firstLine="440" w:firstLineChars="200"/>
        <w:rPr>
          <w:rFonts w:hint="eastAsia" w:ascii="宋体" w:hAnsi="宋体"/>
          <w:b w:val="0"/>
          <w:color w:val="auto"/>
          <w:sz w:val="22"/>
          <w:szCs w:val="22"/>
          <w:highlight w:val="none"/>
        </w:rPr>
      </w:pPr>
      <w:r>
        <w:rPr>
          <w:rFonts w:hint="eastAsia" w:ascii="宋体" w:hAnsi="宋体"/>
          <w:b w:val="0"/>
          <w:color w:val="auto"/>
          <w:sz w:val="22"/>
          <w:szCs w:val="22"/>
          <w:highlight w:val="none"/>
        </w:rPr>
        <w:t>2）要求投标供应商对投标文件有关事项作出解释或者澄清；</w:t>
      </w:r>
    </w:p>
    <w:p w14:paraId="31365F60">
      <w:pPr>
        <w:snapToGrid w:val="0"/>
        <w:spacing w:line="440" w:lineRule="atLeast"/>
        <w:ind w:firstLine="440" w:firstLineChars="200"/>
        <w:rPr>
          <w:rFonts w:hint="eastAsia" w:ascii="宋体" w:hAnsi="宋体"/>
          <w:b w:val="0"/>
          <w:color w:val="auto"/>
          <w:sz w:val="22"/>
          <w:szCs w:val="22"/>
          <w:highlight w:val="none"/>
        </w:rPr>
      </w:pPr>
      <w:r>
        <w:rPr>
          <w:rFonts w:hint="eastAsia" w:ascii="宋体" w:hAnsi="宋体"/>
          <w:b w:val="0"/>
          <w:color w:val="auto"/>
          <w:sz w:val="22"/>
          <w:szCs w:val="22"/>
          <w:highlight w:val="none"/>
        </w:rPr>
        <w:t>3）按照招标文件确定的评标办法向采购人推荐中标候选人；</w:t>
      </w:r>
    </w:p>
    <w:p w14:paraId="7A97C8D8">
      <w:pPr>
        <w:pStyle w:val="21"/>
        <w:adjustRightInd w:val="0"/>
        <w:snapToGrid w:val="0"/>
        <w:spacing w:line="440" w:lineRule="atLeast"/>
        <w:ind w:firstLine="431" w:firstLineChars="196"/>
        <w:rPr>
          <w:rFonts w:hint="eastAsia" w:ascii="宋体" w:hAnsi="宋体" w:eastAsia="宋体"/>
          <w:b w:val="0"/>
          <w:color w:val="auto"/>
          <w:sz w:val="22"/>
          <w:szCs w:val="22"/>
          <w:highlight w:val="none"/>
        </w:rPr>
      </w:pPr>
      <w:r>
        <w:rPr>
          <w:rFonts w:hint="eastAsia" w:ascii="宋体" w:hAnsi="宋体" w:eastAsia="宋体"/>
          <w:b w:val="0"/>
          <w:color w:val="auto"/>
          <w:sz w:val="22"/>
          <w:szCs w:val="22"/>
          <w:highlight w:val="none"/>
        </w:rPr>
        <w:t>4）向采购机构或者有关部门报告非法干预评标工作的行为。</w:t>
      </w:r>
    </w:p>
    <w:p w14:paraId="2FC7121B">
      <w:pPr>
        <w:snapToGrid w:val="0"/>
        <w:spacing w:line="440" w:lineRule="atLeast"/>
        <w:ind w:firstLine="431" w:firstLineChars="196"/>
        <w:rPr>
          <w:rFonts w:hint="eastAsia" w:ascii="宋体" w:hAnsi="宋体"/>
          <w:b w:val="0"/>
          <w:color w:val="auto"/>
          <w:sz w:val="22"/>
          <w:szCs w:val="22"/>
          <w:highlight w:val="none"/>
        </w:rPr>
      </w:pPr>
      <w:r>
        <w:rPr>
          <w:rFonts w:hint="eastAsia" w:ascii="宋体" w:hAnsi="宋体"/>
          <w:b w:val="0"/>
          <w:color w:val="auto"/>
          <w:sz w:val="22"/>
          <w:szCs w:val="22"/>
          <w:highlight w:val="none"/>
        </w:rPr>
        <w:t>3.2评标应当遵循下列工作程序：</w:t>
      </w:r>
    </w:p>
    <w:p w14:paraId="4C736243">
      <w:pPr>
        <w:snapToGrid w:val="0"/>
        <w:spacing w:line="440" w:lineRule="atLeast"/>
        <w:ind w:firstLine="440" w:firstLineChars="200"/>
        <w:rPr>
          <w:rFonts w:hint="eastAsia" w:ascii="宋体" w:hAnsi="宋体"/>
          <w:b w:val="0"/>
          <w:color w:val="auto"/>
          <w:sz w:val="22"/>
          <w:szCs w:val="22"/>
          <w:highlight w:val="none"/>
        </w:rPr>
      </w:pPr>
      <w:r>
        <w:rPr>
          <w:rFonts w:hint="eastAsia" w:ascii="宋体" w:hAnsi="宋体"/>
          <w:b w:val="0"/>
          <w:color w:val="auto"/>
          <w:sz w:val="22"/>
          <w:szCs w:val="22"/>
          <w:highlight w:val="none"/>
        </w:rPr>
        <w:t>1）投标文件初审。初审分为资格性检查和符合性检查。</w:t>
      </w:r>
    </w:p>
    <w:p w14:paraId="62CCA825">
      <w:pPr>
        <w:snapToGrid w:val="0"/>
        <w:spacing w:line="440" w:lineRule="atLeast"/>
        <w:ind w:firstLine="440" w:firstLineChars="200"/>
        <w:rPr>
          <w:rFonts w:hint="eastAsia" w:ascii="宋体" w:hAnsi="宋体"/>
          <w:b w:val="0"/>
          <w:color w:val="auto"/>
          <w:sz w:val="22"/>
          <w:szCs w:val="22"/>
          <w:highlight w:val="none"/>
        </w:rPr>
      </w:pPr>
      <w:r>
        <w:rPr>
          <w:rFonts w:hint="eastAsia" w:ascii="宋体" w:hAnsi="宋体"/>
          <w:b w:val="0"/>
          <w:color w:val="auto"/>
          <w:sz w:val="22"/>
          <w:szCs w:val="22"/>
          <w:highlight w:val="none"/>
        </w:rPr>
        <w:t>（1）资格性检查。依据法律法规和招标文件的规定，对投标文件中的资格证明等进行审查，以确定投标供应商是否具备投标资格。</w:t>
      </w:r>
    </w:p>
    <w:p w14:paraId="1554027A">
      <w:pPr>
        <w:snapToGrid w:val="0"/>
        <w:spacing w:line="440" w:lineRule="atLeast"/>
        <w:ind w:firstLine="440" w:firstLineChars="200"/>
        <w:rPr>
          <w:rFonts w:hint="eastAsia" w:ascii="宋体" w:hAnsi="宋体"/>
          <w:b w:val="0"/>
          <w:color w:val="auto"/>
          <w:sz w:val="22"/>
          <w:szCs w:val="22"/>
          <w:highlight w:val="none"/>
        </w:rPr>
      </w:pPr>
      <w:r>
        <w:rPr>
          <w:rFonts w:hint="eastAsia" w:ascii="宋体" w:hAnsi="宋体"/>
          <w:b w:val="0"/>
          <w:color w:val="auto"/>
          <w:sz w:val="22"/>
          <w:szCs w:val="22"/>
          <w:highlight w:val="none"/>
        </w:rPr>
        <w:t>（2）符合性检查。依据招标文件的规定，从投标文件的有效性、完整性和对招标文件的响应程度进行审查，以确定是否对招标文件的实质性要求作出响应。</w:t>
      </w:r>
    </w:p>
    <w:p w14:paraId="11E1327D">
      <w:pPr>
        <w:snapToGrid w:val="0"/>
        <w:spacing w:line="440" w:lineRule="atLeast"/>
        <w:ind w:firstLine="440" w:firstLineChars="200"/>
        <w:rPr>
          <w:rFonts w:hint="eastAsia" w:ascii="宋体" w:hAnsi="宋体"/>
          <w:b w:val="0"/>
          <w:color w:val="auto"/>
          <w:sz w:val="22"/>
          <w:szCs w:val="22"/>
          <w:highlight w:val="none"/>
        </w:rPr>
      </w:pPr>
      <w:r>
        <w:rPr>
          <w:rFonts w:ascii="宋体" w:hAnsi="宋体"/>
          <w:b w:val="0"/>
          <w:color w:val="auto"/>
          <w:sz w:val="22"/>
          <w:szCs w:val="22"/>
          <w:highlight w:val="none"/>
        </w:rPr>
        <w:t>2</w:t>
      </w:r>
      <w:r>
        <w:rPr>
          <w:rFonts w:hint="eastAsia" w:ascii="宋体" w:hAnsi="宋体"/>
          <w:b w:val="0"/>
          <w:color w:val="auto"/>
          <w:sz w:val="22"/>
          <w:szCs w:val="22"/>
          <w:highlight w:val="none"/>
        </w:rPr>
        <w:t>）比较与评价。按招标文件中规定的评标方法和标准，对资格性检查和符合性检查合格的投标文件进行商务和技术评估，综合比较与评价。</w:t>
      </w:r>
    </w:p>
    <w:p w14:paraId="1C789068">
      <w:pPr>
        <w:pStyle w:val="21"/>
        <w:adjustRightInd w:val="0"/>
        <w:snapToGrid w:val="0"/>
        <w:spacing w:line="440" w:lineRule="atLeast"/>
        <w:ind w:firstLine="440" w:firstLineChars="200"/>
        <w:rPr>
          <w:rFonts w:hint="eastAsia" w:ascii="宋体" w:hAnsi="宋体" w:eastAsia="宋体" w:cs="Arial"/>
          <w:b w:val="0"/>
          <w:color w:val="auto"/>
          <w:sz w:val="22"/>
          <w:szCs w:val="22"/>
          <w:highlight w:val="none"/>
        </w:rPr>
      </w:pPr>
      <w:r>
        <w:rPr>
          <w:rFonts w:hint="eastAsia" w:ascii="宋体" w:hAnsi="宋体" w:eastAsia="宋体" w:cs="Arial"/>
          <w:b w:val="0"/>
          <w:color w:val="auto"/>
          <w:sz w:val="22"/>
          <w:szCs w:val="22"/>
          <w:highlight w:val="none"/>
        </w:rPr>
        <w:t>3.3、</w:t>
      </w:r>
      <w:r>
        <w:rPr>
          <w:rFonts w:hint="eastAsia" w:ascii="宋体" w:hAnsi="宋体" w:eastAsia="宋体" w:cs="Arial"/>
          <w:color w:val="auto"/>
          <w:sz w:val="22"/>
          <w:szCs w:val="22"/>
          <w:highlight w:val="none"/>
        </w:rPr>
        <w:t>评标时发现投标文件有下列情形之一的属于重大偏差(评标委员会按少数服从多数原则认定),按照无效投标处理：</w:t>
      </w:r>
    </w:p>
    <w:p w14:paraId="10CAB016">
      <w:pPr>
        <w:pStyle w:val="21"/>
        <w:adjustRightInd w:val="0"/>
        <w:snapToGrid w:val="0"/>
        <w:spacing w:line="440" w:lineRule="atLeast"/>
        <w:ind w:firstLine="440" w:firstLineChars="200"/>
        <w:rPr>
          <w:rFonts w:hint="eastAsia" w:ascii="宋体" w:hAnsi="宋体" w:eastAsia="宋体" w:cs="Arial"/>
          <w:b w:val="0"/>
          <w:color w:val="auto"/>
          <w:sz w:val="22"/>
          <w:szCs w:val="22"/>
          <w:highlight w:val="none"/>
        </w:rPr>
      </w:pPr>
      <w:r>
        <w:rPr>
          <w:rFonts w:hint="eastAsia" w:ascii="宋体" w:hAnsi="宋体" w:eastAsia="宋体" w:cs="Arial"/>
          <w:b w:val="0"/>
          <w:color w:val="auto"/>
          <w:sz w:val="22"/>
          <w:szCs w:val="22"/>
          <w:highlight w:val="none"/>
        </w:rPr>
        <w:t>1）未按招标文件要求编制或字迹模糊、辨认不清的投标文件；</w:t>
      </w:r>
    </w:p>
    <w:p w14:paraId="43C013CA">
      <w:pPr>
        <w:pStyle w:val="21"/>
        <w:adjustRightInd w:val="0"/>
        <w:snapToGrid w:val="0"/>
        <w:spacing w:line="440" w:lineRule="atLeast"/>
        <w:ind w:firstLine="440" w:firstLineChars="200"/>
        <w:rPr>
          <w:rFonts w:hint="eastAsia" w:ascii="宋体" w:hAnsi="宋体" w:eastAsia="宋体" w:cs="Arial"/>
          <w:b w:val="0"/>
          <w:color w:val="auto"/>
          <w:sz w:val="22"/>
          <w:szCs w:val="22"/>
          <w:highlight w:val="none"/>
        </w:rPr>
      </w:pPr>
      <w:r>
        <w:rPr>
          <w:rFonts w:hint="eastAsia" w:ascii="宋体" w:hAnsi="宋体" w:eastAsia="宋体" w:cs="Arial"/>
          <w:b w:val="0"/>
          <w:color w:val="auto"/>
          <w:sz w:val="22"/>
          <w:szCs w:val="22"/>
          <w:highlight w:val="none"/>
        </w:rPr>
        <w:t>2）供应商递交两份或两份以上内容不同的投标文件，未声明其中一份为有效的或同一投标文件中出现有选择性的报价，未声明以其中一个报价为准的；</w:t>
      </w:r>
    </w:p>
    <w:p w14:paraId="7FEA1C87">
      <w:pPr>
        <w:pStyle w:val="21"/>
        <w:adjustRightInd w:val="0"/>
        <w:snapToGrid w:val="0"/>
        <w:spacing w:line="440" w:lineRule="atLeast"/>
        <w:ind w:firstLine="440" w:firstLineChars="200"/>
        <w:rPr>
          <w:rFonts w:hint="eastAsia" w:ascii="宋体" w:hAnsi="宋体" w:eastAsia="宋体" w:cs="Arial"/>
          <w:b w:val="0"/>
          <w:color w:val="auto"/>
          <w:sz w:val="22"/>
          <w:szCs w:val="22"/>
          <w:highlight w:val="none"/>
        </w:rPr>
      </w:pPr>
      <w:r>
        <w:rPr>
          <w:rFonts w:hint="eastAsia" w:ascii="宋体" w:hAnsi="宋体" w:eastAsia="宋体" w:cs="Arial"/>
          <w:b w:val="0"/>
          <w:color w:val="auto"/>
          <w:sz w:val="22"/>
          <w:szCs w:val="22"/>
          <w:highlight w:val="none"/>
        </w:rPr>
        <w:t>3）投标文件中投标函、法定代表人授权委托书、开标一览表中没有加盖有效公章；</w:t>
      </w:r>
    </w:p>
    <w:p w14:paraId="45A9BCE1">
      <w:pPr>
        <w:pStyle w:val="21"/>
        <w:adjustRightInd w:val="0"/>
        <w:snapToGrid w:val="0"/>
        <w:spacing w:line="440" w:lineRule="atLeast"/>
        <w:ind w:firstLine="440" w:firstLineChars="200"/>
        <w:rPr>
          <w:rFonts w:hint="eastAsia" w:ascii="宋体" w:hAnsi="宋体" w:eastAsia="宋体"/>
          <w:b w:val="0"/>
          <w:color w:val="auto"/>
          <w:sz w:val="22"/>
          <w:highlight w:val="none"/>
        </w:rPr>
      </w:pPr>
      <w:r>
        <w:rPr>
          <w:rFonts w:hint="eastAsia" w:ascii="宋体" w:hAnsi="宋体" w:eastAsia="宋体"/>
          <w:b w:val="0"/>
          <w:color w:val="auto"/>
          <w:sz w:val="22"/>
          <w:highlight w:val="none"/>
        </w:rPr>
        <w:t>5）</w:t>
      </w:r>
      <w:r>
        <w:rPr>
          <w:rFonts w:hint="eastAsia" w:ascii="宋体" w:hAnsi="宋体" w:eastAsia="宋体" w:cs="Arial"/>
          <w:b w:val="0"/>
          <w:color w:val="auto"/>
          <w:sz w:val="22"/>
          <w:szCs w:val="22"/>
          <w:highlight w:val="none"/>
        </w:rPr>
        <w:t>投标文件中未提供</w:t>
      </w:r>
      <w:r>
        <w:rPr>
          <w:rFonts w:hint="eastAsia" w:ascii="宋体" w:hAnsi="宋体" w:eastAsia="宋体"/>
          <w:b w:val="0"/>
          <w:color w:val="auto"/>
          <w:sz w:val="22"/>
          <w:highlight w:val="none"/>
        </w:rPr>
        <w:t>供应商营业执照（或事业单位法人证书）、税务登记证或三（五）证合一证照的（复印件加盖投标人公章）；</w:t>
      </w:r>
    </w:p>
    <w:p w14:paraId="1FD9EC83">
      <w:pPr>
        <w:pStyle w:val="21"/>
        <w:adjustRightInd w:val="0"/>
        <w:snapToGrid w:val="0"/>
        <w:spacing w:line="440" w:lineRule="atLeast"/>
        <w:ind w:firstLine="440" w:firstLineChars="200"/>
        <w:rPr>
          <w:rFonts w:hint="eastAsia" w:ascii="宋体" w:hAnsi="宋体" w:eastAsia="宋体" w:cs="Arial"/>
          <w:b w:val="0"/>
          <w:color w:val="auto"/>
          <w:sz w:val="22"/>
          <w:szCs w:val="22"/>
          <w:highlight w:val="none"/>
        </w:rPr>
      </w:pPr>
      <w:r>
        <w:rPr>
          <w:rFonts w:hint="eastAsia" w:ascii="宋体" w:hAnsi="宋体" w:eastAsia="宋体"/>
          <w:b w:val="0"/>
          <w:color w:val="auto"/>
          <w:sz w:val="22"/>
          <w:highlight w:val="none"/>
        </w:rPr>
        <w:t>6）</w:t>
      </w:r>
      <w:r>
        <w:rPr>
          <w:rFonts w:hint="eastAsia" w:ascii="宋体" w:hAnsi="宋体" w:eastAsia="宋体" w:cs="Arial"/>
          <w:b w:val="0"/>
          <w:color w:val="auto"/>
          <w:sz w:val="22"/>
          <w:szCs w:val="22"/>
          <w:highlight w:val="none"/>
        </w:rPr>
        <w:t>供应商技术资信投标文件中出现投标产品的商务报价；</w:t>
      </w:r>
    </w:p>
    <w:p w14:paraId="6B055BFD">
      <w:pPr>
        <w:pStyle w:val="21"/>
        <w:adjustRightInd w:val="0"/>
        <w:snapToGrid w:val="0"/>
        <w:spacing w:line="440" w:lineRule="atLeast"/>
        <w:ind w:firstLine="440" w:firstLineChars="200"/>
        <w:rPr>
          <w:rFonts w:hint="eastAsia" w:ascii="宋体" w:hAnsi="宋体" w:eastAsia="宋体" w:cs="Arial"/>
          <w:b w:val="0"/>
          <w:color w:val="auto"/>
          <w:sz w:val="22"/>
          <w:szCs w:val="22"/>
          <w:highlight w:val="none"/>
        </w:rPr>
      </w:pPr>
      <w:r>
        <w:rPr>
          <w:rFonts w:ascii="宋体" w:hAnsi="宋体" w:eastAsia="宋体" w:cs="Arial"/>
          <w:b w:val="0"/>
          <w:color w:val="auto"/>
          <w:sz w:val="22"/>
          <w:szCs w:val="22"/>
          <w:highlight w:val="none"/>
        </w:rPr>
        <w:t>7</w:t>
      </w:r>
      <w:r>
        <w:rPr>
          <w:rFonts w:hint="eastAsia" w:ascii="宋体" w:hAnsi="宋体" w:eastAsia="宋体" w:cs="Arial"/>
          <w:b w:val="0"/>
          <w:color w:val="auto"/>
          <w:sz w:val="22"/>
          <w:szCs w:val="22"/>
          <w:highlight w:val="none"/>
        </w:rPr>
        <w:t>）明显不符合技术规格、技术标准的要求或不满足招标文件技术的主要参数或提出的偏离采购人不予接受的投标文件；</w:t>
      </w:r>
    </w:p>
    <w:p w14:paraId="6F696FBA">
      <w:pPr>
        <w:pStyle w:val="21"/>
        <w:adjustRightInd w:val="0"/>
        <w:snapToGrid w:val="0"/>
        <w:spacing w:line="440" w:lineRule="atLeast"/>
        <w:ind w:firstLine="440" w:firstLineChars="200"/>
        <w:rPr>
          <w:rFonts w:hint="eastAsia" w:ascii="宋体" w:hAnsi="宋体" w:eastAsia="宋体" w:cs="Arial"/>
          <w:b w:val="0"/>
          <w:color w:val="auto"/>
          <w:sz w:val="22"/>
          <w:szCs w:val="22"/>
          <w:highlight w:val="none"/>
        </w:rPr>
      </w:pPr>
      <w:r>
        <w:rPr>
          <w:rFonts w:ascii="宋体" w:hAnsi="宋体" w:eastAsia="宋体" w:cs="Arial"/>
          <w:b w:val="0"/>
          <w:color w:val="auto"/>
          <w:sz w:val="22"/>
          <w:szCs w:val="22"/>
          <w:highlight w:val="none"/>
        </w:rPr>
        <w:t>8</w:t>
      </w:r>
      <w:r>
        <w:rPr>
          <w:rFonts w:hint="eastAsia" w:ascii="宋体" w:hAnsi="宋体" w:eastAsia="宋体" w:cs="Arial"/>
          <w:b w:val="0"/>
          <w:color w:val="auto"/>
          <w:sz w:val="22"/>
          <w:szCs w:val="22"/>
          <w:highlight w:val="none"/>
        </w:rPr>
        <w:t>）不符合招标文件中规定的其他实质性要求的投标文件(是否为实质性偏离由评标委员会按少数服从多数原则认定)；</w:t>
      </w:r>
    </w:p>
    <w:p w14:paraId="41FCC3AE">
      <w:pPr>
        <w:pStyle w:val="21"/>
        <w:adjustRightInd w:val="0"/>
        <w:snapToGrid w:val="0"/>
        <w:spacing w:line="440" w:lineRule="atLeast"/>
        <w:ind w:firstLine="440" w:firstLineChars="200"/>
        <w:rPr>
          <w:rFonts w:hint="eastAsia" w:ascii="宋体" w:hAnsi="宋体" w:eastAsia="宋体" w:cs="Arial"/>
          <w:b w:val="0"/>
          <w:color w:val="auto"/>
          <w:sz w:val="22"/>
          <w:szCs w:val="22"/>
          <w:highlight w:val="none"/>
        </w:rPr>
      </w:pPr>
      <w:r>
        <w:rPr>
          <w:rFonts w:ascii="宋体" w:hAnsi="宋体" w:eastAsia="宋体" w:cs="Arial"/>
          <w:b w:val="0"/>
          <w:color w:val="auto"/>
          <w:sz w:val="22"/>
          <w:szCs w:val="22"/>
          <w:highlight w:val="none"/>
        </w:rPr>
        <w:t>9</w:t>
      </w:r>
      <w:r>
        <w:rPr>
          <w:rFonts w:hint="eastAsia" w:ascii="宋体" w:hAnsi="宋体" w:eastAsia="宋体" w:cs="Arial"/>
          <w:b w:val="0"/>
          <w:color w:val="auto"/>
          <w:sz w:val="22"/>
          <w:szCs w:val="22"/>
          <w:highlight w:val="none"/>
        </w:rPr>
        <w:t>）供应商的</w:t>
      </w:r>
      <w:r>
        <w:rPr>
          <w:rFonts w:hint="eastAsia" w:ascii="宋体" w:hAnsi="宋体" w:eastAsia="宋体"/>
          <w:b w:val="0"/>
          <w:color w:val="auto"/>
          <w:sz w:val="22"/>
          <w:szCs w:val="22"/>
          <w:highlight w:val="none"/>
        </w:rPr>
        <w:t>投标文件</w:t>
      </w:r>
      <w:r>
        <w:rPr>
          <w:rFonts w:hint="eastAsia" w:ascii="宋体" w:hAnsi="宋体" w:eastAsia="宋体" w:cs="Arial"/>
          <w:b w:val="0"/>
          <w:color w:val="auto"/>
          <w:sz w:val="22"/>
          <w:szCs w:val="22"/>
          <w:highlight w:val="none"/>
        </w:rPr>
        <w:t>中有不明确的问题或其报价明显不合理且又不能合理说明（解释清楚）或者不能提供相关证明材料的；</w:t>
      </w:r>
    </w:p>
    <w:p w14:paraId="28F9B538">
      <w:pPr>
        <w:pStyle w:val="21"/>
        <w:adjustRightInd w:val="0"/>
        <w:snapToGrid w:val="0"/>
        <w:spacing w:line="440" w:lineRule="atLeast"/>
        <w:ind w:firstLine="440" w:firstLineChars="200"/>
        <w:rPr>
          <w:rFonts w:hint="eastAsia" w:ascii="宋体" w:hAnsi="宋体" w:eastAsia="宋体" w:cs="Arial"/>
          <w:b w:val="0"/>
          <w:color w:val="auto"/>
          <w:sz w:val="22"/>
          <w:szCs w:val="22"/>
          <w:highlight w:val="none"/>
        </w:rPr>
      </w:pPr>
      <w:r>
        <w:rPr>
          <w:rFonts w:hint="eastAsia" w:ascii="宋体" w:hAnsi="宋体" w:eastAsia="宋体" w:cs="Arial"/>
          <w:b w:val="0"/>
          <w:color w:val="auto"/>
          <w:sz w:val="22"/>
          <w:szCs w:val="22"/>
          <w:highlight w:val="none"/>
        </w:rPr>
        <w:t>1</w:t>
      </w:r>
      <w:r>
        <w:rPr>
          <w:rFonts w:ascii="宋体" w:hAnsi="宋体" w:eastAsia="宋体" w:cs="Arial"/>
          <w:b w:val="0"/>
          <w:color w:val="auto"/>
          <w:sz w:val="22"/>
          <w:szCs w:val="22"/>
          <w:highlight w:val="none"/>
        </w:rPr>
        <w:t>0</w:t>
      </w:r>
      <w:r>
        <w:rPr>
          <w:rFonts w:hint="eastAsia" w:ascii="宋体" w:hAnsi="宋体" w:eastAsia="宋体" w:cs="Arial"/>
          <w:b w:val="0"/>
          <w:color w:val="auto"/>
          <w:sz w:val="22"/>
          <w:szCs w:val="22"/>
          <w:highlight w:val="none"/>
        </w:rPr>
        <w:t>）</w:t>
      </w:r>
      <w:r>
        <w:rPr>
          <w:rFonts w:ascii="宋体" w:hAnsi="宋体" w:eastAsia="宋体" w:cs="Arial"/>
          <w:b w:val="0"/>
          <w:color w:val="auto"/>
          <w:sz w:val="22"/>
          <w:szCs w:val="22"/>
          <w:highlight w:val="none"/>
        </w:rPr>
        <w:t>评审小组认为投标供应商的报价明显低于其他通过符合性审查的投标供应商的报价，有可能影响产品质量或者不能诚信履约的，将要求投标供应商在合理的时间内提供书面说明，必要时提交相关证明材料；投标供应商不能证明其报价合理性的，评审小组将认定为无效投标。</w:t>
      </w:r>
    </w:p>
    <w:p w14:paraId="0FC95143">
      <w:pPr>
        <w:pStyle w:val="21"/>
        <w:adjustRightInd w:val="0"/>
        <w:snapToGrid w:val="0"/>
        <w:spacing w:line="440" w:lineRule="atLeast"/>
        <w:ind w:firstLine="440" w:firstLineChars="200"/>
        <w:rPr>
          <w:rFonts w:hint="eastAsia" w:ascii="宋体" w:hAnsi="宋体" w:eastAsia="宋体" w:cs="Arial"/>
          <w:b w:val="0"/>
          <w:color w:val="auto"/>
          <w:sz w:val="22"/>
          <w:szCs w:val="22"/>
          <w:highlight w:val="none"/>
        </w:rPr>
      </w:pPr>
      <w:r>
        <w:rPr>
          <w:rFonts w:hint="eastAsia" w:ascii="宋体" w:hAnsi="宋体" w:eastAsia="宋体" w:cs="Arial"/>
          <w:b w:val="0"/>
          <w:color w:val="auto"/>
          <w:sz w:val="22"/>
          <w:szCs w:val="22"/>
          <w:highlight w:val="none"/>
        </w:rPr>
        <w:t>1</w:t>
      </w:r>
      <w:r>
        <w:rPr>
          <w:rFonts w:ascii="宋体" w:hAnsi="宋体" w:eastAsia="宋体" w:cs="Arial"/>
          <w:b w:val="0"/>
          <w:color w:val="auto"/>
          <w:sz w:val="22"/>
          <w:szCs w:val="22"/>
          <w:highlight w:val="none"/>
        </w:rPr>
        <w:t>1</w:t>
      </w:r>
      <w:r>
        <w:rPr>
          <w:rFonts w:hint="eastAsia" w:ascii="宋体" w:hAnsi="宋体" w:eastAsia="宋体" w:cs="Arial"/>
          <w:b w:val="0"/>
          <w:color w:val="auto"/>
          <w:sz w:val="22"/>
          <w:szCs w:val="22"/>
          <w:highlight w:val="none"/>
        </w:rPr>
        <w:t>）存在串标、抬标或弄虚作假情况的</w:t>
      </w:r>
    </w:p>
    <w:p w14:paraId="6B1576BF">
      <w:pPr>
        <w:pStyle w:val="21"/>
        <w:adjustRightInd w:val="0"/>
        <w:snapToGrid w:val="0"/>
        <w:spacing w:line="440" w:lineRule="atLeast"/>
        <w:ind w:firstLine="440" w:firstLineChars="200"/>
        <w:rPr>
          <w:rFonts w:hint="eastAsia" w:ascii="宋体" w:hAnsi="宋体" w:eastAsia="宋体" w:cs="Arial"/>
          <w:b w:val="0"/>
          <w:color w:val="auto"/>
          <w:sz w:val="22"/>
          <w:szCs w:val="22"/>
          <w:highlight w:val="none"/>
        </w:rPr>
      </w:pPr>
      <w:r>
        <w:rPr>
          <w:rFonts w:hint="eastAsia" w:ascii="宋体" w:hAnsi="宋体" w:eastAsia="宋体" w:cs="Arial"/>
          <w:b w:val="0"/>
          <w:color w:val="auto"/>
          <w:sz w:val="22"/>
          <w:szCs w:val="22"/>
          <w:highlight w:val="none"/>
        </w:rPr>
        <w:t>1</w:t>
      </w:r>
      <w:r>
        <w:rPr>
          <w:rFonts w:ascii="宋体" w:hAnsi="宋体" w:eastAsia="宋体" w:cs="Arial"/>
          <w:b w:val="0"/>
          <w:color w:val="auto"/>
          <w:sz w:val="22"/>
          <w:szCs w:val="22"/>
          <w:highlight w:val="none"/>
        </w:rPr>
        <w:t>2</w:t>
      </w:r>
      <w:r>
        <w:rPr>
          <w:rFonts w:hint="eastAsia" w:ascii="宋体" w:hAnsi="宋体" w:eastAsia="宋体" w:cs="Arial"/>
          <w:b w:val="0"/>
          <w:color w:val="auto"/>
          <w:sz w:val="22"/>
          <w:szCs w:val="22"/>
          <w:highlight w:val="none"/>
        </w:rPr>
        <w:t>）对关键条文的偏离、保留或反对，例如关于适用法律、税及关税、质量保证期等其他内容</w:t>
      </w:r>
    </w:p>
    <w:p w14:paraId="75EE89F2">
      <w:pPr>
        <w:pStyle w:val="21"/>
        <w:adjustRightInd w:val="0"/>
        <w:snapToGrid w:val="0"/>
        <w:spacing w:line="440" w:lineRule="atLeast"/>
        <w:ind w:firstLine="440" w:firstLineChars="200"/>
        <w:rPr>
          <w:rFonts w:hint="eastAsia" w:ascii="宋体" w:hAnsi="宋体" w:eastAsia="宋体" w:cs="Arial"/>
          <w:b w:val="0"/>
          <w:color w:val="auto"/>
          <w:sz w:val="22"/>
          <w:szCs w:val="22"/>
          <w:highlight w:val="none"/>
        </w:rPr>
      </w:pPr>
      <w:r>
        <w:rPr>
          <w:rFonts w:hint="eastAsia" w:ascii="宋体" w:hAnsi="宋体" w:eastAsia="宋体" w:cs="Arial"/>
          <w:b w:val="0"/>
          <w:color w:val="auto"/>
          <w:sz w:val="22"/>
          <w:szCs w:val="22"/>
          <w:highlight w:val="none"/>
        </w:rPr>
        <w:t>1</w:t>
      </w:r>
      <w:r>
        <w:rPr>
          <w:rFonts w:ascii="宋体" w:hAnsi="宋体" w:eastAsia="宋体" w:cs="Arial"/>
          <w:b w:val="0"/>
          <w:color w:val="auto"/>
          <w:sz w:val="22"/>
          <w:szCs w:val="22"/>
          <w:highlight w:val="none"/>
        </w:rPr>
        <w:t>3</w:t>
      </w:r>
      <w:r>
        <w:rPr>
          <w:rFonts w:hint="eastAsia" w:ascii="宋体" w:hAnsi="宋体" w:eastAsia="宋体" w:cs="Arial"/>
          <w:b w:val="0"/>
          <w:color w:val="auto"/>
          <w:sz w:val="22"/>
          <w:szCs w:val="22"/>
          <w:highlight w:val="none"/>
        </w:rPr>
        <w:t>）仅提交“备份投标文件”的；</w:t>
      </w:r>
    </w:p>
    <w:p w14:paraId="1404B135">
      <w:pPr>
        <w:pStyle w:val="21"/>
        <w:adjustRightInd w:val="0"/>
        <w:snapToGrid w:val="0"/>
        <w:spacing w:line="440" w:lineRule="atLeast"/>
        <w:ind w:firstLine="440" w:firstLineChars="200"/>
        <w:rPr>
          <w:rFonts w:hint="eastAsia" w:ascii="宋体" w:hAnsi="宋体" w:eastAsia="宋体" w:cs="Arial"/>
          <w:b w:val="0"/>
          <w:color w:val="auto"/>
          <w:sz w:val="22"/>
          <w:szCs w:val="22"/>
          <w:highlight w:val="none"/>
        </w:rPr>
      </w:pPr>
      <w:r>
        <w:rPr>
          <w:rFonts w:hint="eastAsia" w:ascii="宋体" w:hAnsi="宋体" w:eastAsia="宋体" w:cs="Arial"/>
          <w:b w:val="0"/>
          <w:color w:val="auto"/>
          <w:sz w:val="22"/>
          <w:szCs w:val="22"/>
          <w:highlight w:val="none"/>
        </w:rPr>
        <w:t>1</w:t>
      </w:r>
      <w:r>
        <w:rPr>
          <w:rFonts w:ascii="宋体" w:hAnsi="宋体" w:eastAsia="宋体" w:cs="Arial"/>
          <w:b w:val="0"/>
          <w:color w:val="auto"/>
          <w:sz w:val="22"/>
          <w:szCs w:val="22"/>
          <w:highlight w:val="none"/>
        </w:rPr>
        <w:t>4</w:t>
      </w:r>
      <w:r>
        <w:rPr>
          <w:rFonts w:hint="eastAsia" w:ascii="宋体" w:hAnsi="宋体" w:eastAsia="宋体" w:cs="Arial"/>
          <w:b w:val="0"/>
          <w:color w:val="auto"/>
          <w:sz w:val="22"/>
          <w:szCs w:val="22"/>
          <w:highlight w:val="none"/>
        </w:rPr>
        <w:t>)其他经评标委员会认定的未能在实质上响应的或违反国家有关规定的投标文件。</w:t>
      </w:r>
    </w:p>
    <w:p w14:paraId="37FDAB7A">
      <w:pPr>
        <w:pStyle w:val="21"/>
        <w:adjustRightInd w:val="0"/>
        <w:snapToGrid w:val="0"/>
        <w:spacing w:line="460" w:lineRule="atLeast"/>
        <w:ind w:firstLine="330" w:firstLineChars="150"/>
        <w:rPr>
          <w:rFonts w:hint="eastAsia" w:ascii="宋体" w:hAnsi="宋体" w:eastAsia="宋体"/>
          <w:b w:val="0"/>
          <w:color w:val="auto"/>
          <w:sz w:val="22"/>
          <w:szCs w:val="22"/>
          <w:highlight w:val="none"/>
        </w:rPr>
      </w:pPr>
      <w:r>
        <w:rPr>
          <w:rFonts w:hint="eastAsia" w:ascii="宋体" w:hAnsi="宋体" w:eastAsia="宋体"/>
          <w:b w:val="0"/>
          <w:color w:val="auto"/>
          <w:sz w:val="22"/>
          <w:szCs w:val="22"/>
          <w:highlight w:val="none"/>
        </w:rPr>
        <w:t>3.4、开启供应商商务报价文件后发现价格、数量有误，其投标价将按下述原则处理：</w:t>
      </w:r>
    </w:p>
    <w:p w14:paraId="1848A99A">
      <w:pPr>
        <w:adjustRightInd w:val="0"/>
        <w:snapToGrid w:val="0"/>
        <w:spacing w:line="460" w:lineRule="atLeast"/>
        <w:ind w:firstLine="440" w:firstLineChars="200"/>
        <w:rPr>
          <w:rFonts w:hint="eastAsia" w:ascii="宋体" w:hAnsi="宋体"/>
          <w:b w:val="0"/>
          <w:color w:val="auto"/>
          <w:sz w:val="22"/>
          <w:szCs w:val="22"/>
          <w:highlight w:val="none"/>
        </w:rPr>
      </w:pPr>
      <w:r>
        <w:rPr>
          <w:rFonts w:hint="eastAsia" w:ascii="宋体" w:hAnsi="宋体"/>
          <w:b w:val="0"/>
          <w:color w:val="auto"/>
          <w:sz w:val="22"/>
          <w:szCs w:val="22"/>
          <w:highlight w:val="none"/>
        </w:rPr>
        <w:t>1)任何有漏去一些小项货物或服务的将被视为其费用已包含在投标总价中，投标价格不予调整。如果供应商不接受上述处理方式，将做为无效投标。</w:t>
      </w:r>
    </w:p>
    <w:p w14:paraId="581D86CD">
      <w:pPr>
        <w:adjustRightInd w:val="0"/>
        <w:snapToGrid w:val="0"/>
        <w:spacing w:line="460" w:lineRule="atLeast"/>
        <w:ind w:firstLine="440" w:firstLineChars="200"/>
        <w:rPr>
          <w:rFonts w:hint="eastAsia" w:ascii="宋体" w:hAnsi="宋体"/>
          <w:b w:val="0"/>
          <w:color w:val="auto"/>
          <w:sz w:val="22"/>
          <w:szCs w:val="22"/>
          <w:highlight w:val="none"/>
        </w:rPr>
      </w:pPr>
      <w:r>
        <w:rPr>
          <w:rFonts w:hint="eastAsia" w:ascii="宋体" w:hAnsi="宋体"/>
          <w:b w:val="0"/>
          <w:color w:val="auto"/>
          <w:sz w:val="22"/>
          <w:szCs w:val="22"/>
          <w:highlight w:val="none"/>
        </w:rPr>
        <w:t>2)任何有多报一些小项工程或货物的其投标价不予调整，如果该供应商中标，则合同价格必须为核减掉多报的一些小项工程或货物后的价格。如果供应商不接受上述处理方式，将做为无效投标。</w:t>
      </w:r>
    </w:p>
    <w:p w14:paraId="0B3A2ACD">
      <w:pPr>
        <w:adjustRightInd w:val="0"/>
        <w:snapToGrid w:val="0"/>
        <w:spacing w:line="460" w:lineRule="atLeast"/>
        <w:ind w:firstLine="440" w:firstLineChars="200"/>
        <w:rPr>
          <w:rFonts w:hint="eastAsia" w:ascii="宋体" w:hAnsi="宋体"/>
          <w:b w:val="0"/>
          <w:color w:val="auto"/>
          <w:sz w:val="22"/>
          <w:szCs w:val="22"/>
          <w:highlight w:val="none"/>
        </w:rPr>
      </w:pPr>
      <w:r>
        <w:rPr>
          <w:rFonts w:hint="eastAsia" w:ascii="宋体" w:hAnsi="宋体"/>
          <w:b w:val="0"/>
          <w:color w:val="auto"/>
          <w:sz w:val="22"/>
          <w:szCs w:val="22"/>
          <w:highlight w:val="none"/>
        </w:rPr>
        <w:t>3）对于计算错误的其投标价不予调整，如果该供应商中标，如其投标价格计算错误导致实际价格增加，则合同价格必须为计算正确的实际价格。如果供应商不接受上述处理方式，将做为无效投标。</w:t>
      </w:r>
    </w:p>
    <w:p w14:paraId="42AA9D48">
      <w:pPr>
        <w:adjustRightInd w:val="0"/>
        <w:snapToGrid w:val="0"/>
        <w:spacing w:line="460" w:lineRule="atLeast"/>
        <w:ind w:firstLine="440" w:firstLineChars="200"/>
        <w:rPr>
          <w:rFonts w:hint="eastAsia" w:ascii="宋体" w:hAnsi="宋体"/>
          <w:b w:val="0"/>
          <w:color w:val="auto"/>
          <w:sz w:val="22"/>
          <w:szCs w:val="22"/>
          <w:highlight w:val="none"/>
        </w:rPr>
      </w:pPr>
      <w:r>
        <w:rPr>
          <w:rFonts w:hint="eastAsia" w:ascii="宋体" w:hAnsi="宋体"/>
          <w:b w:val="0"/>
          <w:color w:val="auto"/>
          <w:sz w:val="22"/>
          <w:szCs w:val="22"/>
          <w:highlight w:val="none"/>
        </w:rPr>
        <w:t>4）对于计算错误，多报或漏报的一些小项工程或货物、服务的仅仅为非实质性重大偏差范围内的偏离，并经过评标委员会按少数服从多数原则认定为细微偏差，评审时其投标价不予调整。如评标委员会按少数服从多数原则认定为重大偏差的，其投标做无效投标处理。</w:t>
      </w:r>
    </w:p>
    <w:p w14:paraId="7DABF47C">
      <w:pPr>
        <w:adjustRightInd w:val="0"/>
        <w:snapToGrid w:val="0"/>
        <w:spacing w:line="440" w:lineRule="atLeast"/>
        <w:ind w:firstLine="440" w:firstLineChars="200"/>
        <w:rPr>
          <w:rFonts w:hint="eastAsia" w:ascii="宋体" w:hAnsi="宋体" w:cs="Arial"/>
          <w:b w:val="0"/>
          <w:color w:val="auto"/>
          <w:sz w:val="22"/>
          <w:szCs w:val="22"/>
          <w:highlight w:val="none"/>
        </w:rPr>
      </w:pPr>
      <w:r>
        <w:rPr>
          <w:rFonts w:hint="eastAsia" w:ascii="宋体" w:hAnsi="宋体" w:cs="Arial"/>
          <w:b w:val="0"/>
          <w:color w:val="auto"/>
          <w:sz w:val="22"/>
          <w:szCs w:val="22"/>
          <w:highlight w:val="none"/>
        </w:rPr>
        <w:t>3.5、实质上没有响应招标文件要求的投标将被拒绝。评标委员会不得通过询标使供应商修正或撤消不合要求的偏离从而使其投标成为实质上响应的投标。</w:t>
      </w:r>
    </w:p>
    <w:p w14:paraId="26575341">
      <w:pPr>
        <w:pStyle w:val="21"/>
        <w:adjustRightInd w:val="0"/>
        <w:snapToGrid w:val="0"/>
        <w:spacing w:line="440" w:lineRule="atLeast"/>
        <w:ind w:firstLine="440" w:firstLineChars="200"/>
        <w:rPr>
          <w:rFonts w:hint="eastAsia" w:ascii="宋体" w:hAnsi="宋体" w:eastAsia="宋体" w:cs="Arial"/>
          <w:b w:val="0"/>
          <w:color w:val="auto"/>
          <w:sz w:val="22"/>
          <w:szCs w:val="22"/>
          <w:highlight w:val="none"/>
        </w:rPr>
      </w:pPr>
      <w:r>
        <w:rPr>
          <w:rFonts w:hint="eastAsia" w:ascii="宋体" w:hAnsi="宋体" w:eastAsia="宋体" w:cs="Arial"/>
          <w:b w:val="0"/>
          <w:color w:val="auto"/>
          <w:sz w:val="22"/>
          <w:szCs w:val="22"/>
          <w:highlight w:val="none"/>
        </w:rPr>
        <w:t>3.6、评标委员会对投标文件的判定，只依据投标内容本身，不依靠开标后的任何外来证明。</w:t>
      </w:r>
    </w:p>
    <w:p w14:paraId="4E382C0D">
      <w:pPr>
        <w:pStyle w:val="21"/>
        <w:adjustRightInd w:val="0"/>
        <w:snapToGrid w:val="0"/>
        <w:spacing w:line="440" w:lineRule="atLeast"/>
        <w:ind w:firstLine="440" w:firstLineChars="200"/>
        <w:rPr>
          <w:rFonts w:hint="eastAsia" w:ascii="宋体" w:hAnsi="宋体" w:eastAsia="宋体" w:cs="Arial"/>
          <w:b w:val="0"/>
          <w:color w:val="auto"/>
          <w:sz w:val="22"/>
          <w:szCs w:val="22"/>
          <w:highlight w:val="none"/>
        </w:rPr>
      </w:pPr>
      <w:r>
        <w:rPr>
          <w:rFonts w:hint="eastAsia" w:ascii="宋体" w:hAnsi="宋体" w:eastAsia="宋体" w:cs="Arial"/>
          <w:b w:val="0"/>
          <w:color w:val="auto"/>
          <w:sz w:val="22"/>
          <w:szCs w:val="22"/>
          <w:highlight w:val="none"/>
        </w:rPr>
        <w:t>3.7、评标委员会</w:t>
      </w:r>
      <w:r>
        <w:rPr>
          <w:rFonts w:hint="eastAsia" w:ascii="宋体" w:hAnsi="宋体" w:eastAsia="宋体"/>
          <w:b w:val="0"/>
          <w:color w:val="auto"/>
          <w:sz w:val="22"/>
          <w:szCs w:val="22"/>
          <w:highlight w:val="none"/>
        </w:rPr>
        <w:t>在评标中，不得改变招标文件中规定的评标标准、方法和中标条件。</w:t>
      </w:r>
    </w:p>
    <w:p w14:paraId="5D8AEC2F">
      <w:pPr>
        <w:pStyle w:val="21"/>
        <w:adjustRightInd w:val="0"/>
        <w:snapToGrid w:val="0"/>
        <w:spacing w:line="440" w:lineRule="atLeast"/>
        <w:ind w:firstLine="440" w:firstLineChars="200"/>
        <w:rPr>
          <w:rFonts w:hint="eastAsia" w:ascii="宋体" w:hAnsi="宋体" w:eastAsia="宋体" w:cs="Arial"/>
          <w:b w:val="0"/>
          <w:color w:val="auto"/>
          <w:sz w:val="22"/>
          <w:szCs w:val="22"/>
          <w:highlight w:val="none"/>
        </w:rPr>
      </w:pPr>
      <w:r>
        <w:rPr>
          <w:rFonts w:hint="eastAsia" w:ascii="宋体" w:hAnsi="宋体" w:eastAsia="宋体" w:cs="Arial"/>
          <w:b w:val="0"/>
          <w:color w:val="auto"/>
          <w:sz w:val="22"/>
          <w:szCs w:val="22"/>
          <w:highlight w:val="none"/>
        </w:rPr>
        <w:t>4、投标文件的澄清</w:t>
      </w:r>
    </w:p>
    <w:p w14:paraId="34B15558">
      <w:pPr>
        <w:snapToGrid w:val="0"/>
        <w:spacing w:line="440" w:lineRule="atLeast"/>
        <w:ind w:firstLine="433" w:firstLineChars="196"/>
        <w:rPr>
          <w:rFonts w:hint="eastAsia" w:ascii="宋体" w:hAnsi="宋体" w:cs="Arial"/>
          <w:color w:val="auto"/>
          <w:sz w:val="22"/>
          <w:szCs w:val="22"/>
          <w:highlight w:val="none"/>
        </w:rPr>
      </w:pPr>
      <w:r>
        <w:rPr>
          <w:rFonts w:hint="eastAsia" w:ascii="宋体" w:hAnsi="宋体" w:cs="Arial"/>
          <w:color w:val="auto"/>
          <w:sz w:val="22"/>
          <w:szCs w:val="22"/>
          <w:highlight w:val="none"/>
        </w:rPr>
        <w:t>（1）对于投标文件中含义不明确、同类问题表述不一致或者有明显文字和计算错误的内容，评标委员会将以书面形式（或通过“乐采云平台”在线询标）的形式要求</w:t>
      </w:r>
      <w:r>
        <w:rPr>
          <w:rFonts w:ascii="宋体" w:hAnsi="宋体" w:cs="Arial"/>
          <w:color w:val="auto"/>
          <w:sz w:val="22"/>
          <w:szCs w:val="22"/>
          <w:highlight w:val="none"/>
        </w:rPr>
        <w:t>投标供应商</w:t>
      </w:r>
      <w:r>
        <w:rPr>
          <w:rFonts w:hint="eastAsia" w:ascii="宋体" w:hAnsi="宋体" w:cs="Arial"/>
          <w:color w:val="auto"/>
          <w:sz w:val="22"/>
          <w:szCs w:val="22"/>
          <w:highlight w:val="none"/>
        </w:rPr>
        <w:t>在规定的时间内作出必要的澄清、说明或者补正，投标供应商澄清、说明或补正时间为30分钟。</w:t>
      </w:r>
    </w:p>
    <w:p w14:paraId="7857AB99">
      <w:pPr>
        <w:snapToGrid w:val="0"/>
        <w:spacing w:line="440" w:lineRule="atLeast"/>
        <w:ind w:firstLine="433" w:firstLineChars="196"/>
        <w:rPr>
          <w:rFonts w:hint="eastAsia" w:ascii="宋体" w:hAnsi="宋体" w:cs="Arial"/>
          <w:b w:val="0"/>
          <w:color w:val="auto"/>
          <w:sz w:val="22"/>
          <w:szCs w:val="22"/>
          <w:highlight w:val="none"/>
        </w:rPr>
      </w:pPr>
      <w:r>
        <w:rPr>
          <w:rFonts w:ascii="宋体" w:hAnsi="宋体" w:cs="Arial"/>
          <w:color w:val="auto"/>
          <w:sz w:val="22"/>
          <w:szCs w:val="22"/>
          <w:highlight w:val="none"/>
        </w:rPr>
        <w:t>（</w:t>
      </w:r>
      <w:r>
        <w:rPr>
          <w:rFonts w:hint="eastAsia" w:ascii="宋体" w:hAnsi="宋体" w:cs="Arial"/>
          <w:color w:val="auto"/>
          <w:sz w:val="22"/>
          <w:szCs w:val="22"/>
          <w:highlight w:val="none"/>
        </w:rPr>
        <w:t>2</w:t>
      </w:r>
      <w:r>
        <w:rPr>
          <w:rFonts w:ascii="宋体" w:hAnsi="宋体" w:cs="Arial"/>
          <w:color w:val="auto"/>
          <w:sz w:val="22"/>
          <w:szCs w:val="22"/>
          <w:highlight w:val="none"/>
        </w:rPr>
        <w:t>）投标供应商</w:t>
      </w:r>
      <w:r>
        <w:rPr>
          <w:rFonts w:hint="eastAsia" w:ascii="宋体" w:hAnsi="宋体" w:cs="Arial"/>
          <w:color w:val="auto"/>
          <w:sz w:val="22"/>
          <w:szCs w:val="22"/>
          <w:highlight w:val="none"/>
        </w:rPr>
        <w:t>的澄清、说明或者补正应当采用书面（或通过“乐采云平台”在线答复）形式提交，并加盖公章，或者由法定代表人或其授权的代表签字。</w:t>
      </w:r>
      <w:r>
        <w:rPr>
          <w:rFonts w:ascii="宋体" w:hAnsi="宋体" w:cs="Arial"/>
          <w:color w:val="auto"/>
          <w:sz w:val="22"/>
          <w:szCs w:val="22"/>
          <w:highlight w:val="none"/>
        </w:rPr>
        <w:t>投标供应商</w:t>
      </w:r>
      <w:r>
        <w:rPr>
          <w:rFonts w:hint="eastAsia" w:ascii="宋体" w:hAnsi="宋体" w:cs="Arial"/>
          <w:color w:val="auto"/>
          <w:sz w:val="22"/>
          <w:szCs w:val="22"/>
          <w:highlight w:val="none"/>
        </w:rPr>
        <w:t>的澄清、说明或者补正不得超出投标文件的范围或者改变投标文件的实质性内容。</w:t>
      </w:r>
    </w:p>
    <w:p w14:paraId="2E321399">
      <w:pPr>
        <w:pStyle w:val="21"/>
        <w:adjustRightInd w:val="0"/>
        <w:snapToGrid w:val="0"/>
        <w:spacing w:line="440" w:lineRule="atLeast"/>
        <w:ind w:firstLine="440" w:firstLineChars="200"/>
        <w:rPr>
          <w:rFonts w:hint="eastAsia" w:ascii="宋体" w:hAnsi="宋体" w:eastAsia="宋体" w:cs="Arial"/>
          <w:b w:val="0"/>
          <w:color w:val="auto"/>
          <w:sz w:val="22"/>
          <w:szCs w:val="22"/>
          <w:highlight w:val="none"/>
        </w:rPr>
      </w:pPr>
      <w:r>
        <w:rPr>
          <w:rFonts w:hint="eastAsia" w:ascii="宋体" w:hAnsi="宋体" w:eastAsia="宋体"/>
          <w:b w:val="0"/>
          <w:color w:val="auto"/>
          <w:sz w:val="22"/>
          <w:szCs w:val="22"/>
          <w:highlight w:val="none"/>
        </w:rPr>
        <w:t>5、</w:t>
      </w:r>
      <w:r>
        <w:rPr>
          <w:rFonts w:hint="eastAsia" w:ascii="宋体" w:hAnsi="宋体" w:eastAsia="宋体" w:cs="Arial"/>
          <w:b w:val="0"/>
          <w:color w:val="auto"/>
          <w:sz w:val="22"/>
          <w:szCs w:val="22"/>
          <w:highlight w:val="none"/>
        </w:rPr>
        <w:t>评标原则</w:t>
      </w:r>
    </w:p>
    <w:p w14:paraId="37B4C94E">
      <w:pPr>
        <w:pStyle w:val="21"/>
        <w:adjustRightInd w:val="0"/>
        <w:snapToGrid w:val="0"/>
        <w:spacing w:line="440" w:lineRule="atLeast"/>
        <w:ind w:firstLine="440" w:firstLineChars="200"/>
        <w:rPr>
          <w:rFonts w:hint="eastAsia" w:ascii="宋体" w:hAnsi="宋体" w:eastAsia="宋体" w:cs="Arial"/>
          <w:b w:val="0"/>
          <w:color w:val="auto"/>
          <w:sz w:val="22"/>
          <w:szCs w:val="22"/>
          <w:highlight w:val="none"/>
        </w:rPr>
      </w:pPr>
      <w:r>
        <w:rPr>
          <w:rFonts w:hint="eastAsia" w:ascii="宋体" w:hAnsi="宋体" w:eastAsia="宋体" w:cs="Arial"/>
          <w:b w:val="0"/>
          <w:color w:val="auto"/>
          <w:sz w:val="22"/>
          <w:szCs w:val="22"/>
          <w:highlight w:val="none"/>
        </w:rPr>
        <w:t>评标委员会按照招标文件的要求和条件对投标文件进行商务和技术评估，综合比较与评价。</w:t>
      </w:r>
    </w:p>
    <w:p w14:paraId="4A63D1B0">
      <w:pPr>
        <w:pStyle w:val="21"/>
        <w:adjustRightInd w:val="0"/>
        <w:snapToGrid w:val="0"/>
        <w:spacing w:line="440" w:lineRule="atLeast"/>
        <w:ind w:firstLine="421" w:firstLineChars="162"/>
        <w:rPr>
          <w:rFonts w:hint="eastAsia" w:ascii="宋体" w:hAnsi="宋体" w:eastAsia="宋体" w:cs="Arial"/>
          <w:b w:val="0"/>
          <w:color w:val="auto"/>
          <w:sz w:val="22"/>
          <w:szCs w:val="22"/>
          <w:highlight w:val="none"/>
        </w:rPr>
      </w:pPr>
      <w:r>
        <w:rPr>
          <w:rFonts w:hint="eastAsia" w:ascii="宋体" w:hAnsi="宋体" w:eastAsia="宋体" w:cs="Arial"/>
          <w:b w:val="0"/>
          <w:color w:val="auto"/>
          <w:spacing w:val="20"/>
          <w:sz w:val="22"/>
          <w:szCs w:val="22"/>
          <w:highlight w:val="none"/>
        </w:rPr>
        <w:t>评标办法：</w:t>
      </w:r>
      <w:r>
        <w:rPr>
          <w:rFonts w:hint="eastAsia" w:ascii="宋体" w:hAnsi="宋体" w:eastAsia="宋体" w:cs="Arial"/>
          <w:b w:val="0"/>
          <w:color w:val="auto"/>
          <w:sz w:val="22"/>
          <w:szCs w:val="22"/>
          <w:highlight w:val="none"/>
        </w:rPr>
        <w:t>采用综合评分法,将最大限度地满足招标文件中规定的各项综合评价标准第一名的供应商,推荐为中标候选人（附后）。</w:t>
      </w:r>
    </w:p>
    <w:p w14:paraId="3E3C244A">
      <w:pPr>
        <w:pStyle w:val="4"/>
        <w:tabs>
          <w:tab w:val="clear" w:pos="720"/>
        </w:tabs>
        <w:spacing w:before="0" w:after="120" w:line="700" w:lineRule="exact"/>
        <w:ind w:left="0" w:firstLine="0"/>
        <w:rPr>
          <w:rFonts w:hint="eastAsia" w:ascii="宋体" w:hAnsi="宋体" w:eastAsia="宋体"/>
          <w:b/>
          <w:color w:val="auto"/>
          <w:sz w:val="22"/>
          <w:szCs w:val="22"/>
          <w:highlight w:val="none"/>
        </w:rPr>
      </w:pPr>
      <w:bookmarkStart w:id="50" w:name="_Toc132125576"/>
      <w:bookmarkStart w:id="51" w:name="_Toc132123441"/>
      <w:bookmarkStart w:id="52" w:name="_Toc132123549"/>
      <w:bookmarkStart w:id="53" w:name="_Toc132655778"/>
      <w:bookmarkStart w:id="54" w:name="_Toc132122121"/>
      <w:bookmarkStart w:id="55" w:name="_Toc132123636"/>
      <w:bookmarkStart w:id="56" w:name="_Toc132126156"/>
      <w:bookmarkStart w:id="57" w:name="_Toc132125153"/>
      <w:bookmarkStart w:id="58" w:name="_Toc132122418"/>
      <w:bookmarkStart w:id="59" w:name="_Toc132123840"/>
      <w:bookmarkStart w:id="60" w:name="_Toc132124596"/>
      <w:bookmarkStart w:id="61" w:name="_Toc132125985"/>
      <w:bookmarkStart w:id="62" w:name="_Toc132123883"/>
      <w:bookmarkStart w:id="63" w:name="_Toc132125039"/>
      <w:bookmarkStart w:id="64" w:name="_Toc132125097"/>
      <w:r>
        <w:rPr>
          <w:rFonts w:hint="eastAsia" w:ascii="宋体" w:hAnsi="宋体" w:eastAsia="宋体"/>
          <w:b/>
          <w:color w:val="auto"/>
          <w:sz w:val="22"/>
          <w:szCs w:val="22"/>
          <w:highlight w:val="none"/>
        </w:rPr>
        <w:t>六、授予合同</w:t>
      </w:r>
      <w:bookmarkEnd w:id="50"/>
      <w:bookmarkEnd w:id="51"/>
      <w:bookmarkEnd w:id="52"/>
      <w:bookmarkEnd w:id="53"/>
      <w:bookmarkEnd w:id="54"/>
      <w:bookmarkEnd w:id="55"/>
      <w:bookmarkEnd w:id="56"/>
      <w:bookmarkEnd w:id="57"/>
      <w:bookmarkEnd w:id="58"/>
      <w:bookmarkEnd w:id="59"/>
      <w:bookmarkEnd w:id="60"/>
      <w:bookmarkEnd w:id="61"/>
      <w:bookmarkEnd w:id="62"/>
      <w:bookmarkEnd w:id="63"/>
      <w:bookmarkEnd w:id="64"/>
    </w:p>
    <w:p w14:paraId="086B2DA7">
      <w:pPr>
        <w:pStyle w:val="21"/>
        <w:adjustRightInd w:val="0"/>
        <w:snapToGrid w:val="0"/>
        <w:spacing w:line="440" w:lineRule="atLeast"/>
        <w:ind w:firstLine="440" w:firstLineChars="200"/>
        <w:outlineLvl w:val="1"/>
        <w:rPr>
          <w:rFonts w:hint="eastAsia" w:ascii="宋体" w:hAnsi="宋体" w:eastAsia="宋体" w:cs="Arial"/>
          <w:b w:val="0"/>
          <w:color w:val="auto"/>
          <w:sz w:val="22"/>
          <w:szCs w:val="22"/>
          <w:highlight w:val="none"/>
        </w:rPr>
      </w:pPr>
      <w:r>
        <w:rPr>
          <w:rFonts w:hint="eastAsia" w:ascii="宋体" w:hAnsi="宋体" w:eastAsia="宋体" w:cs="Arial"/>
          <w:b w:val="0"/>
          <w:color w:val="auto"/>
          <w:sz w:val="22"/>
          <w:szCs w:val="22"/>
          <w:highlight w:val="none"/>
        </w:rPr>
        <w:t>1、中标条件</w:t>
      </w:r>
    </w:p>
    <w:p w14:paraId="4CDCD186">
      <w:pPr>
        <w:adjustRightInd w:val="0"/>
        <w:snapToGrid w:val="0"/>
        <w:spacing w:line="440" w:lineRule="atLeast"/>
        <w:ind w:firstLine="440" w:firstLineChars="200"/>
        <w:rPr>
          <w:rFonts w:hint="eastAsia" w:ascii="宋体" w:hAnsi="宋体" w:cs="Arial"/>
          <w:b w:val="0"/>
          <w:color w:val="auto"/>
          <w:sz w:val="22"/>
          <w:szCs w:val="22"/>
          <w:highlight w:val="none"/>
        </w:rPr>
      </w:pPr>
      <w:r>
        <w:rPr>
          <w:rFonts w:hint="eastAsia" w:ascii="宋体" w:hAnsi="宋体" w:cs="Arial"/>
          <w:b w:val="0"/>
          <w:color w:val="auto"/>
          <w:sz w:val="22"/>
          <w:szCs w:val="22"/>
          <w:highlight w:val="none"/>
        </w:rPr>
        <w:t>1)投标文件基本符合招标文件要求，能够最大限度满足招标文件中规定的各项综合评价标准</w:t>
      </w:r>
    </w:p>
    <w:p w14:paraId="7A8518FF">
      <w:pPr>
        <w:pStyle w:val="21"/>
        <w:adjustRightInd w:val="0"/>
        <w:snapToGrid w:val="0"/>
        <w:spacing w:line="440" w:lineRule="atLeast"/>
        <w:ind w:firstLine="440" w:firstLineChars="200"/>
        <w:rPr>
          <w:rFonts w:hint="eastAsia" w:ascii="宋体" w:hAnsi="宋体" w:eastAsia="宋体" w:cs="Arial"/>
          <w:b w:val="0"/>
          <w:color w:val="auto"/>
          <w:sz w:val="22"/>
          <w:szCs w:val="22"/>
          <w:highlight w:val="none"/>
        </w:rPr>
      </w:pPr>
      <w:r>
        <w:rPr>
          <w:rFonts w:hint="eastAsia" w:ascii="宋体" w:hAnsi="宋体" w:eastAsia="宋体" w:cs="Arial"/>
          <w:b w:val="0"/>
          <w:color w:val="auto"/>
          <w:sz w:val="22"/>
          <w:szCs w:val="22"/>
          <w:highlight w:val="none"/>
        </w:rPr>
        <w:t>2)供应商有很好的执行合同的能力</w:t>
      </w:r>
    </w:p>
    <w:p w14:paraId="6C945B8F">
      <w:pPr>
        <w:pStyle w:val="21"/>
        <w:adjustRightInd w:val="0"/>
        <w:snapToGrid w:val="0"/>
        <w:spacing w:line="440" w:lineRule="atLeast"/>
        <w:ind w:firstLine="440" w:firstLineChars="200"/>
        <w:rPr>
          <w:rFonts w:hint="eastAsia" w:ascii="宋体" w:hAnsi="宋体" w:eastAsia="宋体" w:cs="Arial"/>
          <w:b w:val="0"/>
          <w:color w:val="auto"/>
          <w:sz w:val="22"/>
          <w:szCs w:val="22"/>
          <w:highlight w:val="none"/>
        </w:rPr>
      </w:pPr>
      <w:bookmarkStart w:id="65" w:name="_Toc132122419"/>
      <w:bookmarkStart w:id="66" w:name="_Toc132122122"/>
      <w:r>
        <w:rPr>
          <w:rFonts w:hint="eastAsia" w:ascii="宋体" w:hAnsi="宋体" w:eastAsia="宋体" w:cs="Arial"/>
          <w:b w:val="0"/>
          <w:color w:val="auto"/>
          <w:sz w:val="22"/>
          <w:szCs w:val="22"/>
          <w:highlight w:val="none"/>
        </w:rPr>
        <w:t>3)供应商能够提供质量技术、商务经济占综合优势的产品及服务</w:t>
      </w:r>
      <w:bookmarkEnd w:id="65"/>
      <w:bookmarkEnd w:id="66"/>
    </w:p>
    <w:p w14:paraId="068866CC">
      <w:pPr>
        <w:pStyle w:val="21"/>
        <w:adjustRightInd w:val="0"/>
        <w:snapToGrid w:val="0"/>
        <w:spacing w:line="440" w:lineRule="atLeast"/>
        <w:ind w:firstLine="433" w:firstLineChars="196"/>
        <w:rPr>
          <w:rFonts w:hint="eastAsia" w:ascii="宋体" w:hAnsi="宋体" w:eastAsia="宋体" w:cs="Arial"/>
          <w:bCs w:val="0"/>
          <w:color w:val="auto"/>
          <w:sz w:val="22"/>
          <w:szCs w:val="22"/>
          <w:highlight w:val="none"/>
          <w:u w:val="single"/>
        </w:rPr>
      </w:pPr>
      <w:r>
        <w:rPr>
          <w:rFonts w:hint="eastAsia" w:ascii="宋体" w:hAnsi="宋体" w:eastAsia="宋体" w:cs="Arial"/>
          <w:bCs w:val="0"/>
          <w:color w:val="auto"/>
          <w:sz w:val="22"/>
          <w:szCs w:val="22"/>
          <w:highlight w:val="none"/>
          <w:u w:val="single"/>
        </w:rPr>
        <w:t>采购机构将把中标通知书授予综合得分第一名投标者，但最低报价不是中标的唯一保证。</w:t>
      </w:r>
    </w:p>
    <w:p w14:paraId="122F2C68">
      <w:pPr>
        <w:pStyle w:val="21"/>
        <w:adjustRightInd w:val="0"/>
        <w:snapToGrid w:val="0"/>
        <w:spacing w:line="440" w:lineRule="atLeast"/>
        <w:ind w:firstLine="440" w:firstLineChars="200"/>
        <w:rPr>
          <w:rFonts w:hint="eastAsia" w:ascii="宋体" w:hAnsi="宋体" w:eastAsia="宋体" w:cs="Arial"/>
          <w:b w:val="0"/>
          <w:color w:val="auto"/>
          <w:sz w:val="22"/>
          <w:szCs w:val="22"/>
          <w:highlight w:val="none"/>
        </w:rPr>
      </w:pPr>
      <w:bookmarkStart w:id="67" w:name="_Toc132122420"/>
      <w:bookmarkStart w:id="68" w:name="_Toc132122123"/>
      <w:r>
        <w:rPr>
          <w:rFonts w:hint="eastAsia" w:ascii="宋体" w:hAnsi="宋体" w:eastAsia="宋体" w:cs="Arial"/>
          <w:b w:val="0"/>
          <w:color w:val="auto"/>
          <w:sz w:val="22"/>
          <w:szCs w:val="22"/>
          <w:highlight w:val="none"/>
        </w:rPr>
        <w:t>2、中标通知</w:t>
      </w:r>
      <w:bookmarkEnd w:id="67"/>
      <w:bookmarkEnd w:id="68"/>
    </w:p>
    <w:p w14:paraId="4F9DEA2A">
      <w:pPr>
        <w:adjustRightInd w:val="0"/>
        <w:snapToGrid w:val="0"/>
        <w:spacing w:line="440" w:lineRule="atLeast"/>
        <w:ind w:firstLine="440" w:firstLineChars="200"/>
        <w:rPr>
          <w:rFonts w:hint="eastAsia" w:ascii="宋体" w:hAnsi="宋体"/>
          <w:b w:val="0"/>
          <w:color w:val="auto"/>
          <w:sz w:val="22"/>
          <w:szCs w:val="22"/>
          <w:highlight w:val="none"/>
        </w:rPr>
      </w:pPr>
      <w:r>
        <w:rPr>
          <w:rFonts w:hint="eastAsia" w:ascii="宋体" w:hAnsi="宋体" w:cs="Arial"/>
          <w:b w:val="0"/>
          <w:color w:val="auto"/>
          <w:sz w:val="22"/>
          <w:szCs w:val="22"/>
          <w:highlight w:val="none"/>
        </w:rPr>
        <w:t>2.1、</w:t>
      </w:r>
      <w:r>
        <w:rPr>
          <w:rFonts w:ascii="宋体" w:hAnsi="宋体" w:cs="Arial"/>
          <w:b w:val="0"/>
          <w:color w:val="auto"/>
          <w:sz w:val="22"/>
          <w:szCs w:val="22"/>
          <w:highlight w:val="none"/>
        </w:rPr>
        <w:t>采购组织机构在评标结束后</w:t>
      </w:r>
      <w:r>
        <w:rPr>
          <w:rFonts w:hint="eastAsia" w:ascii="宋体" w:hAnsi="宋体" w:cs="Arial"/>
          <w:b w:val="0"/>
          <w:color w:val="auto"/>
          <w:sz w:val="22"/>
          <w:szCs w:val="22"/>
          <w:highlight w:val="none"/>
        </w:rPr>
        <w:t>的2</w:t>
      </w:r>
      <w:r>
        <w:rPr>
          <w:rFonts w:ascii="宋体" w:hAnsi="宋体" w:cs="Arial"/>
          <w:b w:val="0"/>
          <w:color w:val="auto"/>
          <w:sz w:val="22"/>
          <w:szCs w:val="22"/>
          <w:highlight w:val="none"/>
        </w:rPr>
        <w:t>个工作日内将《评审报告》</w:t>
      </w:r>
      <w:r>
        <w:rPr>
          <w:rFonts w:hint="eastAsia" w:ascii="宋体" w:hAnsi="宋体" w:cs="Arial"/>
          <w:b w:val="0"/>
          <w:color w:val="auto"/>
          <w:sz w:val="22"/>
          <w:szCs w:val="22"/>
          <w:highlight w:val="none"/>
        </w:rPr>
        <w:t>交给采购人</w:t>
      </w:r>
      <w:r>
        <w:rPr>
          <w:rFonts w:ascii="宋体" w:hAnsi="宋体" w:cs="Arial"/>
          <w:b w:val="0"/>
          <w:color w:val="auto"/>
          <w:sz w:val="22"/>
          <w:szCs w:val="22"/>
          <w:highlight w:val="none"/>
        </w:rPr>
        <w:t>确认。</w:t>
      </w:r>
      <w:r>
        <w:rPr>
          <w:rFonts w:hint="eastAsia" w:ascii="宋体" w:hAnsi="宋体" w:cs="Arial"/>
          <w:b w:val="0"/>
          <w:color w:val="auto"/>
          <w:sz w:val="22"/>
          <w:szCs w:val="22"/>
          <w:highlight w:val="none"/>
        </w:rPr>
        <w:t>采购人将在收到评审报告后的5个工作日内确定中标成交供应商，并将确认意见以书面形式回复采购代理机构。</w:t>
      </w:r>
    </w:p>
    <w:p w14:paraId="14BD0ACF">
      <w:pPr>
        <w:adjustRightInd w:val="0"/>
        <w:snapToGrid w:val="0"/>
        <w:spacing w:line="440" w:lineRule="atLeast"/>
        <w:ind w:firstLine="440" w:firstLineChars="200"/>
        <w:rPr>
          <w:rFonts w:hint="eastAsia" w:ascii="宋体" w:hAnsi="宋体" w:cs="Arial"/>
          <w:b w:val="0"/>
          <w:color w:val="auto"/>
          <w:sz w:val="22"/>
          <w:szCs w:val="22"/>
          <w:highlight w:val="none"/>
        </w:rPr>
      </w:pPr>
      <w:r>
        <w:rPr>
          <w:rFonts w:hint="eastAsia" w:ascii="宋体" w:hAnsi="宋体" w:cs="Arial"/>
          <w:b w:val="0"/>
          <w:color w:val="auto"/>
          <w:sz w:val="22"/>
          <w:szCs w:val="22"/>
          <w:highlight w:val="none"/>
        </w:rPr>
        <w:t>采购结果经采购人确认后2个工作日内，采购代理机构将对外发布中标成交公告和中标通知书</w:t>
      </w:r>
    </w:p>
    <w:p w14:paraId="22A41E73">
      <w:pPr>
        <w:adjustRightInd w:val="0"/>
        <w:snapToGrid w:val="0"/>
        <w:spacing w:line="440" w:lineRule="atLeast"/>
        <w:ind w:firstLine="440" w:firstLineChars="200"/>
        <w:rPr>
          <w:rFonts w:hint="eastAsia" w:ascii="宋体" w:hAnsi="宋体" w:cs="Arial"/>
          <w:b w:val="0"/>
          <w:color w:val="auto"/>
          <w:sz w:val="22"/>
          <w:szCs w:val="22"/>
          <w:highlight w:val="none"/>
        </w:rPr>
      </w:pPr>
      <w:r>
        <w:rPr>
          <w:rFonts w:hint="eastAsia" w:ascii="宋体" w:hAnsi="宋体" w:cs="Arial"/>
          <w:b w:val="0"/>
          <w:color w:val="auto"/>
          <w:sz w:val="22"/>
          <w:szCs w:val="22"/>
          <w:highlight w:val="none"/>
        </w:rPr>
        <w:t>2.2、评标委员会对评标结果不负责解释。</w:t>
      </w:r>
    </w:p>
    <w:p w14:paraId="1F944C99">
      <w:pPr>
        <w:pStyle w:val="21"/>
        <w:adjustRightInd w:val="0"/>
        <w:snapToGrid w:val="0"/>
        <w:spacing w:line="440" w:lineRule="atLeast"/>
        <w:ind w:firstLine="440" w:firstLineChars="200"/>
        <w:rPr>
          <w:rFonts w:hint="eastAsia" w:ascii="宋体" w:hAnsi="宋体" w:eastAsia="宋体" w:cs="Arial"/>
          <w:b w:val="0"/>
          <w:color w:val="auto"/>
          <w:sz w:val="22"/>
          <w:szCs w:val="22"/>
          <w:highlight w:val="none"/>
        </w:rPr>
      </w:pPr>
      <w:r>
        <w:rPr>
          <w:rFonts w:hint="eastAsia" w:ascii="宋体" w:hAnsi="宋体" w:eastAsia="宋体" w:cs="Arial"/>
          <w:b w:val="0"/>
          <w:color w:val="auto"/>
          <w:sz w:val="22"/>
          <w:szCs w:val="22"/>
          <w:highlight w:val="none"/>
        </w:rPr>
        <w:t>3、询问、质疑和投诉</w:t>
      </w:r>
    </w:p>
    <w:p w14:paraId="0B3E9261">
      <w:pPr>
        <w:pStyle w:val="21"/>
        <w:adjustRightInd w:val="0"/>
        <w:snapToGrid w:val="0"/>
        <w:spacing w:line="440" w:lineRule="atLeast"/>
        <w:ind w:firstLine="440" w:firstLineChars="200"/>
        <w:rPr>
          <w:rFonts w:hint="eastAsia" w:ascii="宋体" w:hAnsi="宋体" w:eastAsia="宋体" w:cs="Arial"/>
          <w:b w:val="0"/>
          <w:color w:val="auto"/>
          <w:sz w:val="22"/>
          <w:szCs w:val="22"/>
          <w:highlight w:val="none"/>
        </w:rPr>
      </w:pPr>
      <w:r>
        <w:rPr>
          <w:rFonts w:hint="eastAsia" w:ascii="宋体" w:hAnsi="宋体" w:eastAsia="宋体" w:cs="Arial"/>
          <w:b w:val="0"/>
          <w:color w:val="auto"/>
          <w:sz w:val="22"/>
          <w:szCs w:val="22"/>
          <w:highlight w:val="none"/>
        </w:rPr>
        <w:t>3.1</w:t>
      </w:r>
      <w:r>
        <w:rPr>
          <w:rFonts w:ascii="宋体" w:hAnsi="宋体" w:eastAsia="宋体" w:cs="Arial"/>
          <w:b w:val="0"/>
          <w:color w:val="auto"/>
          <w:sz w:val="22"/>
          <w:szCs w:val="22"/>
          <w:highlight w:val="none"/>
        </w:rPr>
        <w:t>询问：在采购活动中供应商可以就某一事项向采购组织机构发出“询问”，采购组织机构将在收到供应商“询问”后三个工作日内予以答复，但规定不予答复的内容除外。</w:t>
      </w:r>
    </w:p>
    <w:p w14:paraId="36B07576">
      <w:pPr>
        <w:pStyle w:val="21"/>
        <w:adjustRightInd w:val="0"/>
        <w:snapToGrid w:val="0"/>
        <w:spacing w:line="440" w:lineRule="atLeast"/>
        <w:ind w:firstLine="440" w:firstLineChars="200"/>
        <w:rPr>
          <w:rFonts w:hint="eastAsia" w:ascii="宋体" w:hAnsi="宋体" w:eastAsia="宋体" w:cs="Arial"/>
          <w:b w:val="0"/>
          <w:color w:val="auto"/>
          <w:sz w:val="22"/>
          <w:szCs w:val="22"/>
          <w:highlight w:val="none"/>
        </w:rPr>
      </w:pPr>
      <w:r>
        <w:rPr>
          <w:rFonts w:hint="eastAsia" w:ascii="宋体" w:hAnsi="宋体" w:eastAsia="宋体" w:cs="Arial"/>
          <w:b w:val="0"/>
          <w:color w:val="auto"/>
          <w:sz w:val="22"/>
          <w:szCs w:val="22"/>
          <w:highlight w:val="none"/>
        </w:rPr>
        <w:t>3.2</w:t>
      </w:r>
      <w:r>
        <w:rPr>
          <w:rFonts w:ascii="宋体" w:hAnsi="宋体" w:eastAsia="宋体" w:cs="Arial"/>
          <w:b w:val="0"/>
          <w:color w:val="auto"/>
          <w:sz w:val="22"/>
          <w:szCs w:val="22"/>
          <w:highlight w:val="none"/>
        </w:rPr>
        <w:t>质疑：投标供应商认为采购文件、采购过程和采购结果使自己的合法权益受到损害的，应当在知道或者应知其权益受到损害之日起七个工作日内，以书面形式向采购组织机构提出质疑。</w:t>
      </w:r>
      <w:r>
        <w:rPr>
          <w:rFonts w:hint="eastAsia" w:ascii="宋体" w:hAnsi="宋体" w:eastAsia="宋体" w:cs="Arial"/>
          <w:b w:val="0"/>
          <w:color w:val="auto"/>
          <w:sz w:val="22"/>
          <w:szCs w:val="22"/>
          <w:highlight w:val="none"/>
        </w:rPr>
        <w:t>对采购文件提出质疑的，应在规定的时间内提出，</w:t>
      </w:r>
      <w:r>
        <w:rPr>
          <w:rFonts w:ascii="宋体" w:hAnsi="宋体" w:eastAsia="宋体" w:cs="Arial"/>
          <w:b w:val="0"/>
          <w:color w:val="auto"/>
          <w:sz w:val="22"/>
          <w:szCs w:val="22"/>
          <w:highlight w:val="none"/>
        </w:rPr>
        <w:t>否则采购组织机构可以不予答复。</w:t>
      </w:r>
    </w:p>
    <w:p w14:paraId="30C7C38F">
      <w:pPr>
        <w:pStyle w:val="21"/>
        <w:adjustRightInd w:val="0"/>
        <w:snapToGrid w:val="0"/>
        <w:spacing w:line="440" w:lineRule="atLeast"/>
        <w:ind w:firstLine="440" w:firstLineChars="200"/>
        <w:rPr>
          <w:rFonts w:hint="eastAsia" w:ascii="宋体" w:hAnsi="宋体" w:eastAsia="宋体" w:cs="Arial"/>
          <w:b w:val="0"/>
          <w:color w:val="auto"/>
          <w:sz w:val="22"/>
          <w:szCs w:val="22"/>
          <w:highlight w:val="none"/>
        </w:rPr>
      </w:pPr>
      <w:r>
        <w:rPr>
          <w:rFonts w:hint="eastAsia" w:ascii="宋体" w:hAnsi="宋体" w:eastAsia="宋体" w:cs="Arial"/>
          <w:b w:val="0"/>
          <w:color w:val="auto"/>
          <w:sz w:val="22"/>
          <w:szCs w:val="22"/>
          <w:highlight w:val="none"/>
        </w:rPr>
        <w:t>3.2.1上述所指“供应商应知其权益受到损害之日”，是指：</w:t>
      </w:r>
    </w:p>
    <w:p w14:paraId="59319E48">
      <w:pPr>
        <w:pStyle w:val="21"/>
        <w:adjustRightInd w:val="0"/>
        <w:snapToGrid w:val="0"/>
        <w:spacing w:line="440" w:lineRule="atLeast"/>
        <w:ind w:firstLine="440" w:firstLineChars="200"/>
        <w:rPr>
          <w:rFonts w:hint="eastAsia" w:ascii="宋体" w:hAnsi="宋体" w:eastAsia="宋体" w:cs="Arial"/>
          <w:b w:val="0"/>
          <w:color w:val="auto"/>
          <w:sz w:val="22"/>
          <w:szCs w:val="22"/>
          <w:highlight w:val="none"/>
        </w:rPr>
      </w:pPr>
      <w:r>
        <w:rPr>
          <w:rFonts w:ascii="宋体" w:hAnsi="宋体" w:eastAsia="宋体" w:cs="Arial"/>
          <w:b w:val="0"/>
          <w:color w:val="auto"/>
          <w:sz w:val="22"/>
          <w:szCs w:val="22"/>
          <w:highlight w:val="none"/>
        </w:rPr>
        <w:t>（一）</w:t>
      </w:r>
      <w:r>
        <w:rPr>
          <w:rFonts w:ascii="宋体" w:hAnsi="宋体" w:eastAsia="宋体" w:cs="Wingdings"/>
          <w:b w:val="0"/>
          <w:color w:val="auto"/>
          <w:sz w:val="22"/>
          <w:szCs w:val="22"/>
          <w:highlight w:val="none"/>
        </w:rPr>
        <w:t>对采购文件提出质疑的，为</w:t>
      </w:r>
      <w:r>
        <w:rPr>
          <w:rFonts w:hint="eastAsia" w:ascii="宋体" w:hAnsi="宋体" w:eastAsia="宋体" w:cs="Wingdings"/>
          <w:b w:val="0"/>
          <w:color w:val="auto"/>
          <w:sz w:val="22"/>
          <w:szCs w:val="22"/>
          <w:highlight w:val="none"/>
        </w:rPr>
        <w:t>获取采购文件之日或者采购文件公告期限届满之日（公告期限届满后获取采购文件的，以公告期限届满之日为准）起</w:t>
      </w:r>
      <w:r>
        <w:rPr>
          <w:rFonts w:ascii="宋体" w:hAnsi="宋体" w:eastAsia="宋体" w:cs="Wingdings"/>
          <w:b w:val="0"/>
          <w:color w:val="auto"/>
          <w:sz w:val="22"/>
          <w:szCs w:val="22"/>
          <w:highlight w:val="none"/>
        </w:rPr>
        <w:t>7</w:t>
      </w:r>
      <w:r>
        <w:rPr>
          <w:rFonts w:hint="eastAsia" w:ascii="宋体" w:hAnsi="宋体" w:eastAsia="宋体" w:cs="Wingdings"/>
          <w:b w:val="0"/>
          <w:color w:val="auto"/>
          <w:sz w:val="22"/>
          <w:szCs w:val="22"/>
          <w:highlight w:val="none"/>
        </w:rPr>
        <w:t>个工作日内</w:t>
      </w:r>
      <w:r>
        <w:rPr>
          <w:rFonts w:ascii="宋体" w:hAnsi="宋体" w:eastAsia="宋体" w:cs="Arial"/>
          <w:b w:val="0"/>
          <w:color w:val="auto"/>
          <w:sz w:val="22"/>
          <w:szCs w:val="22"/>
          <w:highlight w:val="none"/>
        </w:rPr>
        <w:t>；</w:t>
      </w:r>
    </w:p>
    <w:p w14:paraId="6F80973E">
      <w:pPr>
        <w:pStyle w:val="21"/>
        <w:adjustRightInd w:val="0"/>
        <w:snapToGrid w:val="0"/>
        <w:spacing w:line="440" w:lineRule="atLeast"/>
        <w:ind w:firstLine="440" w:firstLineChars="200"/>
        <w:rPr>
          <w:rFonts w:hint="eastAsia" w:ascii="宋体" w:hAnsi="宋体" w:eastAsia="宋体" w:cs="Arial"/>
          <w:b w:val="0"/>
          <w:color w:val="auto"/>
          <w:sz w:val="22"/>
          <w:szCs w:val="22"/>
          <w:highlight w:val="none"/>
        </w:rPr>
      </w:pPr>
      <w:r>
        <w:rPr>
          <w:rFonts w:ascii="宋体" w:hAnsi="宋体" w:eastAsia="宋体" w:cs="Arial"/>
          <w:b w:val="0"/>
          <w:color w:val="auto"/>
          <w:sz w:val="22"/>
          <w:szCs w:val="22"/>
          <w:highlight w:val="none"/>
        </w:rPr>
        <w:t>（二）对采购过程提出质疑的，为各采购程序环节结束之日；</w:t>
      </w:r>
    </w:p>
    <w:p w14:paraId="238767B4">
      <w:pPr>
        <w:pStyle w:val="21"/>
        <w:adjustRightInd w:val="0"/>
        <w:snapToGrid w:val="0"/>
        <w:spacing w:line="440" w:lineRule="atLeast"/>
        <w:ind w:firstLine="440" w:firstLineChars="200"/>
        <w:rPr>
          <w:rFonts w:hint="eastAsia" w:ascii="宋体" w:hAnsi="宋体" w:eastAsia="宋体" w:cs="Arial"/>
          <w:b w:val="0"/>
          <w:color w:val="auto"/>
          <w:sz w:val="22"/>
          <w:szCs w:val="22"/>
          <w:highlight w:val="none"/>
        </w:rPr>
      </w:pPr>
      <w:r>
        <w:rPr>
          <w:rFonts w:ascii="宋体" w:hAnsi="宋体" w:eastAsia="宋体" w:cs="Arial"/>
          <w:b w:val="0"/>
          <w:color w:val="auto"/>
          <w:sz w:val="22"/>
          <w:szCs w:val="22"/>
          <w:highlight w:val="none"/>
        </w:rPr>
        <w:t>（三）对中标或者成交结果提出质疑的，为中标或者成交结果公告期限届满之日。</w:t>
      </w:r>
    </w:p>
    <w:p w14:paraId="6087724B">
      <w:pPr>
        <w:pStyle w:val="21"/>
        <w:adjustRightInd w:val="0"/>
        <w:snapToGrid w:val="0"/>
        <w:spacing w:line="440" w:lineRule="atLeast"/>
        <w:ind w:firstLine="440" w:firstLineChars="200"/>
        <w:rPr>
          <w:rFonts w:hint="eastAsia" w:ascii="宋体" w:hAnsi="宋体" w:eastAsia="宋体" w:cs="Arial"/>
          <w:b w:val="0"/>
          <w:color w:val="auto"/>
          <w:sz w:val="22"/>
          <w:szCs w:val="22"/>
          <w:highlight w:val="none"/>
        </w:rPr>
      </w:pPr>
      <w:r>
        <w:rPr>
          <w:rFonts w:hint="eastAsia" w:ascii="宋体" w:hAnsi="宋体" w:eastAsia="宋体" w:cs="Arial"/>
          <w:b w:val="0"/>
          <w:color w:val="auto"/>
          <w:sz w:val="22"/>
          <w:szCs w:val="22"/>
          <w:highlight w:val="none"/>
        </w:rPr>
        <w:t>3.2.2</w:t>
      </w:r>
      <w:r>
        <w:rPr>
          <w:rFonts w:ascii="宋体" w:hAnsi="宋体" w:eastAsia="宋体" w:cs="Arial"/>
          <w:b w:val="0"/>
          <w:color w:val="auto"/>
          <w:sz w:val="22"/>
          <w:szCs w:val="22"/>
          <w:highlight w:val="none"/>
        </w:rPr>
        <w:t>质疑书须包括以下内容：</w:t>
      </w:r>
    </w:p>
    <w:p w14:paraId="7BCEDA06">
      <w:pPr>
        <w:pStyle w:val="21"/>
        <w:adjustRightInd w:val="0"/>
        <w:snapToGrid w:val="0"/>
        <w:spacing w:line="440" w:lineRule="atLeast"/>
        <w:ind w:firstLine="440" w:firstLineChars="200"/>
        <w:rPr>
          <w:rFonts w:hint="eastAsia" w:ascii="宋体" w:hAnsi="宋体" w:eastAsia="宋体" w:cs="Arial"/>
          <w:b w:val="0"/>
          <w:color w:val="auto"/>
          <w:sz w:val="22"/>
          <w:szCs w:val="22"/>
          <w:highlight w:val="none"/>
        </w:rPr>
      </w:pPr>
      <w:r>
        <w:rPr>
          <w:rFonts w:ascii="宋体" w:hAnsi="宋体" w:eastAsia="宋体" w:cs="Arial"/>
          <w:b w:val="0"/>
          <w:color w:val="auto"/>
          <w:sz w:val="22"/>
          <w:szCs w:val="22"/>
          <w:highlight w:val="none"/>
        </w:rPr>
        <w:t>（一）质疑人的名称、地址、邮政编码、联系人、联系电话、法定代表人签字或盖章；</w:t>
      </w:r>
    </w:p>
    <w:p w14:paraId="181BEB0A">
      <w:pPr>
        <w:pStyle w:val="21"/>
        <w:adjustRightInd w:val="0"/>
        <w:snapToGrid w:val="0"/>
        <w:spacing w:line="440" w:lineRule="atLeast"/>
        <w:ind w:firstLine="440" w:firstLineChars="200"/>
        <w:rPr>
          <w:rFonts w:hint="eastAsia" w:ascii="宋体" w:hAnsi="宋体" w:eastAsia="宋体" w:cs="Arial"/>
          <w:b w:val="0"/>
          <w:color w:val="auto"/>
          <w:sz w:val="22"/>
          <w:szCs w:val="22"/>
          <w:highlight w:val="none"/>
        </w:rPr>
      </w:pPr>
      <w:r>
        <w:rPr>
          <w:rFonts w:ascii="宋体" w:hAnsi="宋体" w:eastAsia="宋体" w:cs="Arial"/>
          <w:b w:val="0"/>
          <w:color w:val="auto"/>
          <w:sz w:val="22"/>
          <w:szCs w:val="22"/>
          <w:highlight w:val="none"/>
        </w:rPr>
        <w:t>（二）被质疑采购项目名称、编号及采购内容；</w:t>
      </w:r>
    </w:p>
    <w:p w14:paraId="1D1E9FC6">
      <w:pPr>
        <w:pStyle w:val="21"/>
        <w:adjustRightInd w:val="0"/>
        <w:snapToGrid w:val="0"/>
        <w:spacing w:line="440" w:lineRule="atLeast"/>
        <w:ind w:firstLine="440" w:firstLineChars="200"/>
        <w:rPr>
          <w:rFonts w:hint="eastAsia" w:ascii="宋体" w:hAnsi="宋体" w:eastAsia="宋体" w:cs="Arial"/>
          <w:b w:val="0"/>
          <w:color w:val="auto"/>
          <w:sz w:val="22"/>
          <w:szCs w:val="22"/>
          <w:highlight w:val="none"/>
        </w:rPr>
      </w:pPr>
      <w:r>
        <w:rPr>
          <w:rFonts w:ascii="宋体" w:hAnsi="宋体" w:eastAsia="宋体" w:cs="Arial"/>
          <w:b w:val="0"/>
          <w:color w:val="auto"/>
          <w:sz w:val="22"/>
          <w:szCs w:val="22"/>
          <w:highlight w:val="none"/>
        </w:rPr>
        <w:t>（三）具体的质疑事项及事实依据；</w:t>
      </w:r>
    </w:p>
    <w:p w14:paraId="4641DA53">
      <w:pPr>
        <w:pStyle w:val="21"/>
        <w:adjustRightInd w:val="0"/>
        <w:snapToGrid w:val="0"/>
        <w:spacing w:line="440" w:lineRule="atLeast"/>
        <w:ind w:firstLine="440" w:firstLineChars="200"/>
        <w:rPr>
          <w:rFonts w:hint="eastAsia" w:ascii="宋体" w:hAnsi="宋体" w:eastAsia="宋体" w:cs="Arial"/>
          <w:b w:val="0"/>
          <w:color w:val="auto"/>
          <w:sz w:val="22"/>
          <w:szCs w:val="22"/>
          <w:highlight w:val="none"/>
        </w:rPr>
      </w:pPr>
      <w:r>
        <w:rPr>
          <w:rFonts w:ascii="宋体" w:hAnsi="宋体" w:eastAsia="宋体" w:cs="Arial"/>
          <w:b w:val="0"/>
          <w:color w:val="auto"/>
          <w:sz w:val="22"/>
          <w:szCs w:val="22"/>
          <w:highlight w:val="none"/>
        </w:rPr>
        <w:t>（四）认为自己合法权益受到损害或可能受到损害的相关证据材料；</w:t>
      </w:r>
    </w:p>
    <w:p w14:paraId="787BA84B">
      <w:pPr>
        <w:pStyle w:val="21"/>
        <w:adjustRightInd w:val="0"/>
        <w:snapToGrid w:val="0"/>
        <w:spacing w:line="440" w:lineRule="atLeast"/>
        <w:ind w:firstLine="440" w:firstLineChars="200"/>
        <w:rPr>
          <w:rFonts w:hint="eastAsia" w:ascii="宋体" w:hAnsi="宋体" w:eastAsia="宋体" w:cs="Arial"/>
          <w:b w:val="0"/>
          <w:color w:val="auto"/>
          <w:sz w:val="22"/>
          <w:szCs w:val="22"/>
          <w:highlight w:val="none"/>
        </w:rPr>
      </w:pPr>
      <w:r>
        <w:rPr>
          <w:rFonts w:ascii="宋体" w:hAnsi="宋体" w:eastAsia="宋体" w:cs="Arial"/>
          <w:b w:val="0"/>
          <w:color w:val="auto"/>
          <w:sz w:val="22"/>
          <w:szCs w:val="22"/>
          <w:highlight w:val="none"/>
        </w:rPr>
        <w:t>（五）提出质疑的日期。</w:t>
      </w:r>
    </w:p>
    <w:p w14:paraId="1D741026">
      <w:pPr>
        <w:pStyle w:val="21"/>
        <w:adjustRightInd w:val="0"/>
        <w:snapToGrid w:val="0"/>
        <w:spacing w:line="440" w:lineRule="atLeast"/>
        <w:ind w:firstLine="440" w:firstLineChars="200"/>
        <w:rPr>
          <w:rFonts w:hint="eastAsia" w:ascii="宋体" w:hAnsi="宋体" w:eastAsia="宋体" w:cs="Arial"/>
          <w:b w:val="0"/>
          <w:color w:val="auto"/>
          <w:sz w:val="22"/>
          <w:szCs w:val="22"/>
          <w:highlight w:val="none"/>
        </w:rPr>
      </w:pPr>
      <w:r>
        <w:rPr>
          <w:rFonts w:hint="eastAsia" w:ascii="宋体" w:hAnsi="宋体" w:eastAsia="宋体" w:cs="Arial"/>
          <w:b w:val="0"/>
          <w:color w:val="auto"/>
          <w:sz w:val="22"/>
          <w:szCs w:val="22"/>
          <w:highlight w:val="none"/>
        </w:rPr>
        <w:t>3.2.3</w:t>
      </w:r>
      <w:r>
        <w:rPr>
          <w:rFonts w:ascii="宋体" w:hAnsi="宋体" w:eastAsia="宋体" w:cs="Arial"/>
          <w:b w:val="0"/>
          <w:color w:val="auto"/>
          <w:sz w:val="22"/>
          <w:szCs w:val="22"/>
          <w:highlight w:val="none"/>
        </w:rPr>
        <w:t>投标供应商认可采购组织机构在质疑答复程序中启用的调查和重新评审等程序，在该程序操作过程未明显违反法律禁止性规定时，不得再提出异议。</w:t>
      </w:r>
    </w:p>
    <w:p w14:paraId="65CAB6B5">
      <w:pPr>
        <w:pStyle w:val="21"/>
        <w:adjustRightInd w:val="0"/>
        <w:snapToGrid w:val="0"/>
        <w:spacing w:line="440" w:lineRule="atLeast"/>
        <w:ind w:firstLine="440" w:firstLineChars="200"/>
        <w:rPr>
          <w:rFonts w:hint="eastAsia" w:ascii="宋体" w:hAnsi="宋体" w:eastAsia="宋体" w:cs="Arial"/>
          <w:b w:val="0"/>
          <w:color w:val="auto"/>
          <w:sz w:val="22"/>
          <w:szCs w:val="22"/>
          <w:highlight w:val="none"/>
        </w:rPr>
      </w:pPr>
      <w:r>
        <w:rPr>
          <w:rFonts w:hint="eastAsia" w:ascii="宋体" w:hAnsi="宋体" w:eastAsia="宋体" w:cs="Arial"/>
          <w:b w:val="0"/>
          <w:color w:val="auto"/>
          <w:sz w:val="22"/>
          <w:szCs w:val="22"/>
          <w:highlight w:val="none"/>
        </w:rPr>
        <w:t>3.2.4质疑、投诉应当采用书面形式，经法定代表人或其授权代表签署后加盖单位公章，质疑书、投诉书均应明确阐述《招标文件》、招标过程和中标结果中使自己合法权益受到损害的实质性内容，供应商提出的质疑、投诉应当有明确的诉求（即通过质疑所要达到的具体目标）和必要的证明材料（即通过合法手段获得的能够证明供应商的诉求成立的必要材料）。</w:t>
      </w:r>
    </w:p>
    <w:p w14:paraId="046D1130">
      <w:pPr>
        <w:adjustRightInd w:val="0"/>
        <w:snapToGrid w:val="0"/>
        <w:spacing w:line="440" w:lineRule="atLeast"/>
        <w:ind w:firstLine="440" w:firstLineChars="200"/>
        <w:rPr>
          <w:rFonts w:hint="eastAsia" w:ascii="宋体" w:hAnsi="宋体" w:cs="Arial"/>
          <w:b w:val="0"/>
          <w:color w:val="auto"/>
          <w:sz w:val="22"/>
          <w:szCs w:val="22"/>
          <w:highlight w:val="none"/>
        </w:rPr>
      </w:pPr>
      <w:r>
        <w:rPr>
          <w:rFonts w:hint="eastAsia" w:ascii="宋体" w:hAnsi="宋体" w:cs="Arial"/>
          <w:b w:val="0"/>
          <w:color w:val="auto"/>
          <w:sz w:val="22"/>
          <w:szCs w:val="22"/>
          <w:highlight w:val="none"/>
        </w:rPr>
        <w:t>3</w:t>
      </w:r>
      <w:r>
        <w:rPr>
          <w:rFonts w:ascii="宋体" w:hAnsi="宋体" w:cs="Arial"/>
          <w:b w:val="0"/>
          <w:color w:val="auto"/>
          <w:sz w:val="22"/>
          <w:szCs w:val="22"/>
          <w:highlight w:val="none"/>
        </w:rPr>
        <w:t>.3 投诉：投标供应商对采购组织机构的质疑答复不满意或者采购组织机构未在规定时间内作出答复的，可以在答复期满后十五个工作日内向同级采购监管部门投诉。</w:t>
      </w:r>
    </w:p>
    <w:p w14:paraId="5A0577F7">
      <w:pPr>
        <w:pStyle w:val="21"/>
        <w:adjustRightInd w:val="0"/>
        <w:snapToGrid w:val="0"/>
        <w:spacing w:line="440" w:lineRule="atLeast"/>
        <w:ind w:firstLine="440" w:firstLineChars="200"/>
        <w:rPr>
          <w:rFonts w:hint="eastAsia" w:ascii="宋体" w:hAnsi="宋体" w:eastAsia="宋体" w:cs="Arial"/>
          <w:b w:val="0"/>
          <w:color w:val="auto"/>
          <w:sz w:val="22"/>
          <w:szCs w:val="22"/>
          <w:highlight w:val="none"/>
        </w:rPr>
      </w:pPr>
      <w:bookmarkStart w:id="69" w:name="_Toc132122421"/>
      <w:bookmarkStart w:id="70" w:name="_Toc132122124"/>
      <w:r>
        <w:rPr>
          <w:rFonts w:hint="eastAsia" w:ascii="宋体" w:hAnsi="宋体" w:eastAsia="宋体" w:cs="Arial"/>
          <w:b w:val="0"/>
          <w:color w:val="auto"/>
          <w:sz w:val="22"/>
          <w:szCs w:val="22"/>
          <w:highlight w:val="none"/>
        </w:rPr>
        <w:t>4、签订合同</w:t>
      </w:r>
      <w:bookmarkEnd w:id="69"/>
      <w:bookmarkEnd w:id="70"/>
    </w:p>
    <w:p w14:paraId="4859796D">
      <w:pPr>
        <w:pStyle w:val="21"/>
        <w:adjustRightInd w:val="0"/>
        <w:snapToGrid w:val="0"/>
        <w:spacing w:line="440" w:lineRule="atLeast"/>
        <w:ind w:firstLine="440" w:firstLineChars="200"/>
        <w:rPr>
          <w:rFonts w:hint="eastAsia" w:ascii="宋体" w:hAnsi="宋体" w:eastAsia="宋体" w:cs="Arial"/>
          <w:b w:val="0"/>
          <w:color w:val="auto"/>
          <w:sz w:val="22"/>
          <w:szCs w:val="22"/>
          <w:highlight w:val="none"/>
        </w:rPr>
      </w:pPr>
      <w:r>
        <w:rPr>
          <w:rFonts w:hint="eastAsia" w:ascii="宋体" w:hAnsi="宋体" w:eastAsia="宋体" w:cs="Arial"/>
          <w:b w:val="0"/>
          <w:color w:val="auto"/>
          <w:sz w:val="22"/>
          <w:szCs w:val="22"/>
          <w:highlight w:val="none"/>
        </w:rPr>
        <w:t>4.1、中标供应商在领取中标通知书后7工作日内与采购人签订合同。如中标供应商未经采购人许可，在规定的时间内未到采购人处签订合同的，视为拒签合同，在经监管部门同意后，可以向排名在其后的中标候选人发出中标通知书。</w:t>
      </w:r>
    </w:p>
    <w:p w14:paraId="538CA28E">
      <w:pPr>
        <w:pStyle w:val="21"/>
        <w:adjustRightInd w:val="0"/>
        <w:snapToGrid w:val="0"/>
        <w:spacing w:line="440" w:lineRule="atLeast"/>
        <w:ind w:firstLine="440" w:firstLineChars="200"/>
        <w:rPr>
          <w:rFonts w:hint="eastAsia" w:ascii="宋体" w:hAnsi="宋体" w:eastAsia="宋体" w:cs="Arial"/>
          <w:b w:val="0"/>
          <w:color w:val="auto"/>
          <w:sz w:val="22"/>
          <w:szCs w:val="22"/>
          <w:highlight w:val="none"/>
        </w:rPr>
      </w:pPr>
      <w:r>
        <w:rPr>
          <w:rFonts w:hint="eastAsia" w:ascii="宋体" w:hAnsi="宋体" w:eastAsia="宋体" w:cs="Arial"/>
          <w:b w:val="0"/>
          <w:color w:val="auto"/>
          <w:sz w:val="22"/>
          <w:szCs w:val="22"/>
          <w:highlight w:val="none"/>
        </w:rPr>
        <w:t>4.2、招标文件、中标人的投标文件及投标修改文件、评标过程中有关澄清文件及经双方签章的询标纪要和中标通知书均作为合同附件。</w:t>
      </w:r>
    </w:p>
    <w:p w14:paraId="2A487DB8">
      <w:pPr>
        <w:pStyle w:val="21"/>
        <w:adjustRightInd w:val="0"/>
        <w:snapToGrid w:val="0"/>
        <w:spacing w:line="440" w:lineRule="atLeast"/>
        <w:ind w:firstLine="440" w:firstLineChars="200"/>
        <w:rPr>
          <w:rFonts w:hint="eastAsia" w:ascii="宋体" w:hAnsi="宋体" w:eastAsia="宋体" w:cs="Arial"/>
          <w:b w:val="0"/>
          <w:color w:val="auto"/>
          <w:sz w:val="22"/>
          <w:szCs w:val="22"/>
          <w:highlight w:val="none"/>
        </w:rPr>
      </w:pPr>
      <w:r>
        <w:rPr>
          <w:rFonts w:hint="eastAsia" w:ascii="宋体" w:hAnsi="宋体" w:eastAsia="宋体" w:cs="Arial"/>
          <w:b w:val="0"/>
          <w:color w:val="auto"/>
          <w:sz w:val="22"/>
          <w:szCs w:val="22"/>
          <w:highlight w:val="none"/>
        </w:rPr>
        <w:t>4.3、拒签合同的责任</w:t>
      </w:r>
    </w:p>
    <w:p w14:paraId="425316D0">
      <w:pPr>
        <w:pStyle w:val="21"/>
        <w:adjustRightInd w:val="0"/>
        <w:snapToGrid w:val="0"/>
        <w:spacing w:line="440" w:lineRule="atLeast"/>
        <w:ind w:firstLine="440" w:firstLineChars="200"/>
        <w:rPr>
          <w:rFonts w:hint="eastAsia" w:ascii="宋体" w:hAnsi="宋体" w:eastAsia="宋体" w:cs="Arial"/>
          <w:b w:val="0"/>
          <w:color w:val="auto"/>
          <w:sz w:val="22"/>
          <w:szCs w:val="22"/>
          <w:highlight w:val="none"/>
        </w:rPr>
      </w:pPr>
      <w:r>
        <w:rPr>
          <w:rFonts w:hint="eastAsia" w:ascii="宋体" w:hAnsi="宋体" w:eastAsia="宋体" w:cs="Arial"/>
          <w:b w:val="0"/>
          <w:color w:val="auto"/>
          <w:sz w:val="22"/>
          <w:szCs w:val="22"/>
          <w:highlight w:val="none"/>
        </w:rPr>
        <w:t>中标供应商接到中标通知书后，在规定时间内借故否认已经承诺的条件、拒签合同者，以投标违约处理，并赔偿采购人由此造成的直接经济损失。</w:t>
      </w:r>
    </w:p>
    <w:p w14:paraId="6D73544E">
      <w:pPr>
        <w:pStyle w:val="21"/>
        <w:adjustRightInd w:val="0"/>
        <w:snapToGrid w:val="0"/>
        <w:spacing w:line="440" w:lineRule="atLeast"/>
        <w:ind w:firstLine="440" w:firstLineChars="200"/>
        <w:rPr>
          <w:rFonts w:hint="eastAsia" w:ascii="宋体" w:hAnsi="宋体" w:eastAsia="宋体" w:cs="Arial"/>
          <w:b w:val="0"/>
          <w:color w:val="auto"/>
          <w:sz w:val="22"/>
          <w:szCs w:val="22"/>
          <w:highlight w:val="none"/>
        </w:rPr>
      </w:pPr>
      <w:r>
        <w:rPr>
          <w:rFonts w:hint="eastAsia" w:ascii="宋体" w:hAnsi="宋体" w:eastAsia="宋体" w:cs="Arial"/>
          <w:b w:val="0"/>
          <w:color w:val="auto"/>
          <w:sz w:val="22"/>
          <w:szCs w:val="22"/>
          <w:highlight w:val="none"/>
        </w:rPr>
        <w:t>采购人重新组织招标的，所需费用由原中标供应商承担。</w:t>
      </w:r>
    </w:p>
    <w:p w14:paraId="2AD8B753">
      <w:pPr>
        <w:pStyle w:val="21"/>
        <w:snapToGrid w:val="0"/>
        <w:spacing w:line="440" w:lineRule="atLeast"/>
        <w:ind w:firstLine="440" w:firstLineChars="200"/>
        <w:rPr>
          <w:rFonts w:hint="eastAsia" w:ascii="宋体" w:hAnsi="宋体" w:eastAsia="宋体" w:cs="Arial"/>
          <w:b w:val="0"/>
          <w:color w:val="auto"/>
          <w:sz w:val="22"/>
          <w:szCs w:val="22"/>
          <w:highlight w:val="none"/>
        </w:rPr>
      </w:pPr>
      <w:r>
        <w:rPr>
          <w:rFonts w:hint="eastAsia" w:ascii="宋体" w:hAnsi="宋体" w:eastAsia="宋体"/>
          <w:b w:val="0"/>
          <w:color w:val="auto"/>
          <w:sz w:val="22"/>
          <w:szCs w:val="22"/>
          <w:highlight w:val="none"/>
        </w:rPr>
        <w:t>5</w:t>
      </w:r>
      <w:r>
        <w:rPr>
          <w:rFonts w:hint="eastAsia" w:ascii="宋体" w:hAnsi="宋体" w:eastAsia="宋体" w:cs="Arial"/>
          <w:b w:val="0"/>
          <w:color w:val="auto"/>
          <w:sz w:val="22"/>
          <w:szCs w:val="22"/>
          <w:highlight w:val="none"/>
        </w:rPr>
        <w:t>、前期费用及招标代理服务费</w:t>
      </w:r>
    </w:p>
    <w:p w14:paraId="44669B43">
      <w:pPr>
        <w:autoSpaceDE w:val="0"/>
        <w:autoSpaceDN w:val="0"/>
        <w:adjustRightInd w:val="0"/>
        <w:snapToGrid w:val="0"/>
        <w:spacing w:line="440" w:lineRule="atLeast"/>
        <w:ind w:firstLine="440" w:firstLineChars="200"/>
        <w:textAlignment w:val="bottom"/>
        <w:rPr>
          <w:rFonts w:hint="eastAsia" w:ascii="宋体" w:hAnsi="宋体"/>
          <w:b w:val="0"/>
          <w:color w:val="auto"/>
          <w:sz w:val="22"/>
          <w:szCs w:val="22"/>
          <w:highlight w:val="none"/>
        </w:rPr>
      </w:pPr>
      <w:r>
        <w:rPr>
          <w:rFonts w:hint="eastAsia" w:ascii="宋体" w:hAnsi="宋体"/>
          <w:b w:val="0"/>
          <w:color w:val="auto"/>
          <w:sz w:val="22"/>
          <w:szCs w:val="22"/>
          <w:highlight w:val="none"/>
        </w:rPr>
        <w:t>5.1、</w:t>
      </w:r>
      <w:r>
        <w:rPr>
          <w:rFonts w:ascii="宋体" w:hAnsi="宋体"/>
          <w:b w:val="0"/>
          <w:color w:val="auto"/>
          <w:sz w:val="22"/>
          <w:szCs w:val="22"/>
          <w:highlight w:val="none"/>
        </w:rPr>
        <w:t>中标</w:t>
      </w:r>
      <w:r>
        <w:rPr>
          <w:rFonts w:hint="eastAsia" w:ascii="宋体" w:hAnsi="宋体"/>
          <w:b w:val="0"/>
          <w:color w:val="auto"/>
          <w:sz w:val="22"/>
          <w:szCs w:val="22"/>
          <w:highlight w:val="none"/>
        </w:rPr>
        <w:t>供应商</w:t>
      </w:r>
      <w:r>
        <w:rPr>
          <w:rFonts w:ascii="宋体" w:hAnsi="宋体"/>
          <w:b w:val="0"/>
          <w:color w:val="auto"/>
          <w:sz w:val="22"/>
          <w:szCs w:val="22"/>
          <w:highlight w:val="none"/>
        </w:rPr>
        <w:t>向招标代理机构支付招标代理服务费</w:t>
      </w:r>
      <w:r>
        <w:rPr>
          <w:rFonts w:hint="eastAsia" w:ascii="宋体" w:hAnsi="宋体"/>
          <w:b w:val="0"/>
          <w:color w:val="auto"/>
          <w:sz w:val="22"/>
          <w:szCs w:val="22"/>
          <w:highlight w:val="none"/>
          <w:lang w:val="en-US" w:eastAsia="zh-CN"/>
        </w:rPr>
        <w:t>9000元（不包含于投标报价中）</w:t>
      </w:r>
      <w:r>
        <w:rPr>
          <w:rFonts w:hint="eastAsia" w:ascii="宋体" w:hAnsi="宋体"/>
          <w:b w:val="0"/>
          <w:color w:val="auto"/>
          <w:sz w:val="22"/>
          <w:szCs w:val="22"/>
          <w:highlight w:val="none"/>
        </w:rPr>
        <w:t>。招标代理服务费汇入以下帐号：</w:t>
      </w:r>
    </w:p>
    <w:p w14:paraId="5FDD40B6">
      <w:pPr>
        <w:autoSpaceDE w:val="0"/>
        <w:autoSpaceDN w:val="0"/>
        <w:adjustRightInd w:val="0"/>
        <w:snapToGrid w:val="0"/>
        <w:spacing w:line="440" w:lineRule="atLeast"/>
        <w:ind w:firstLine="440" w:firstLineChars="200"/>
        <w:textAlignment w:val="bottom"/>
        <w:rPr>
          <w:rFonts w:hint="eastAsia" w:ascii="宋体" w:hAnsi="宋体"/>
          <w:b w:val="0"/>
          <w:color w:val="auto"/>
          <w:sz w:val="22"/>
          <w:szCs w:val="22"/>
          <w:highlight w:val="none"/>
        </w:rPr>
      </w:pPr>
      <w:r>
        <w:rPr>
          <w:rFonts w:ascii="宋体" w:hAnsi="宋体"/>
          <w:b w:val="0"/>
          <w:color w:val="auto"/>
          <w:sz w:val="22"/>
          <w:szCs w:val="22"/>
          <w:highlight w:val="none"/>
        </w:rPr>
        <w:t>户  名：</w:t>
      </w:r>
      <w:r>
        <w:rPr>
          <w:rFonts w:hint="eastAsia" w:ascii="宋体" w:hAnsi="宋体"/>
          <w:b w:val="0"/>
          <w:color w:val="auto"/>
          <w:sz w:val="22"/>
          <w:szCs w:val="22"/>
          <w:highlight w:val="none"/>
        </w:rPr>
        <w:t>温州超然招标代理有限公司</w:t>
      </w:r>
    </w:p>
    <w:p w14:paraId="1AEAE96F">
      <w:pPr>
        <w:autoSpaceDE w:val="0"/>
        <w:autoSpaceDN w:val="0"/>
        <w:adjustRightInd w:val="0"/>
        <w:snapToGrid w:val="0"/>
        <w:spacing w:line="440" w:lineRule="atLeast"/>
        <w:ind w:firstLine="440" w:firstLineChars="200"/>
        <w:textAlignment w:val="bottom"/>
        <w:rPr>
          <w:rFonts w:hint="eastAsia" w:ascii="宋体" w:hAnsi="宋体"/>
          <w:b w:val="0"/>
          <w:color w:val="auto"/>
          <w:sz w:val="22"/>
          <w:szCs w:val="22"/>
          <w:highlight w:val="none"/>
        </w:rPr>
      </w:pPr>
      <w:r>
        <w:rPr>
          <w:rFonts w:ascii="宋体" w:hAnsi="宋体"/>
          <w:b w:val="0"/>
          <w:color w:val="auto"/>
          <w:sz w:val="22"/>
          <w:szCs w:val="22"/>
          <w:highlight w:val="none"/>
        </w:rPr>
        <w:t>帐  号：</w:t>
      </w:r>
      <w:r>
        <w:rPr>
          <w:rFonts w:hint="eastAsia" w:ascii="宋体" w:hAnsi="宋体"/>
          <w:b w:val="0"/>
          <w:color w:val="auto"/>
          <w:sz w:val="22"/>
          <w:szCs w:val="22"/>
          <w:highlight w:val="none"/>
        </w:rPr>
        <w:t>9330 0901 0011 1188 92</w:t>
      </w:r>
    </w:p>
    <w:p w14:paraId="28A26270">
      <w:pPr>
        <w:autoSpaceDE w:val="0"/>
        <w:autoSpaceDN w:val="0"/>
        <w:adjustRightInd w:val="0"/>
        <w:snapToGrid w:val="0"/>
        <w:spacing w:line="440" w:lineRule="atLeast"/>
        <w:ind w:firstLine="440" w:firstLineChars="200"/>
        <w:textAlignment w:val="bottom"/>
        <w:rPr>
          <w:rFonts w:hint="eastAsia" w:ascii="宋体" w:hAnsi="宋体"/>
          <w:b w:val="0"/>
          <w:color w:val="auto"/>
          <w:sz w:val="22"/>
          <w:szCs w:val="22"/>
          <w:highlight w:val="none"/>
        </w:rPr>
      </w:pPr>
      <w:r>
        <w:rPr>
          <w:rFonts w:ascii="宋体" w:hAnsi="宋体"/>
          <w:b w:val="0"/>
          <w:color w:val="auto"/>
          <w:sz w:val="22"/>
          <w:szCs w:val="22"/>
          <w:highlight w:val="none"/>
        </w:rPr>
        <w:t>开户行：</w:t>
      </w:r>
      <w:r>
        <w:rPr>
          <w:rFonts w:hint="eastAsia" w:ascii="宋体" w:hAnsi="宋体"/>
          <w:b w:val="0"/>
          <w:color w:val="auto"/>
          <w:sz w:val="22"/>
          <w:szCs w:val="22"/>
          <w:highlight w:val="none"/>
        </w:rPr>
        <w:t>中国邮政储蓄银行股份有限公司苍南县支行</w:t>
      </w:r>
    </w:p>
    <w:p w14:paraId="7920EAA8">
      <w:pPr>
        <w:pStyle w:val="5"/>
        <w:ind w:firstLine="0" w:firstLineChars="0"/>
        <w:rPr>
          <w:rFonts w:ascii="Cambria Math" w:hAnsi="Cambria Math" w:eastAsia="Cambria Math"/>
          <w:color w:val="auto"/>
          <w:highlight w:val="none"/>
        </w:rPr>
      </w:pPr>
    </w:p>
    <w:p w14:paraId="0814AEAF">
      <w:pPr>
        <w:pStyle w:val="5"/>
        <w:ind w:firstLine="0" w:firstLineChars="0"/>
        <w:rPr>
          <w:rFonts w:ascii="Cambria Math" w:hAnsi="Cambria Math" w:eastAsia="宋体"/>
          <w:color w:val="auto"/>
          <w:highlight w:val="none"/>
        </w:rPr>
      </w:pPr>
    </w:p>
    <w:p w14:paraId="23F934D7">
      <w:pPr>
        <w:pStyle w:val="4"/>
        <w:spacing w:before="0" w:after="120" w:line="700" w:lineRule="exact"/>
        <w:ind w:left="0" w:firstLine="0"/>
        <w:jc w:val="center"/>
        <w:rPr>
          <w:rFonts w:ascii="Cambria Math" w:hAnsi="Cambria Math" w:eastAsia="Cambria Math"/>
          <w:b/>
          <w:color w:val="auto"/>
          <w:sz w:val="32"/>
          <w:highlight w:val="none"/>
        </w:rPr>
      </w:pPr>
      <w:r>
        <w:rPr>
          <w:rFonts w:hint="eastAsia" w:ascii="Cambria Math" w:hAnsi="Cambria Math" w:eastAsia="Cambria Math"/>
          <w:b/>
          <w:color w:val="auto"/>
          <w:sz w:val="32"/>
          <w:highlight w:val="none"/>
        </w:rPr>
        <w:t>第四部分、合同格式（仅供参考）</w:t>
      </w:r>
    </w:p>
    <w:p w14:paraId="455DAB37">
      <w:pPr>
        <w:wordWrap w:val="0"/>
        <w:overflowPunct w:val="0"/>
        <w:spacing w:line="360" w:lineRule="auto"/>
        <w:ind w:firstLine="422" w:firstLineChars="200"/>
        <w:jc w:val="right"/>
        <w:rPr>
          <w:rFonts w:hint="eastAsia" w:ascii="Arial" w:hAnsi="新宋体" w:eastAsia="新宋体" w:cs="Arial"/>
          <w:bCs w:val="0"/>
          <w:highlight w:val="none"/>
        </w:rPr>
      </w:pPr>
      <w:r>
        <w:rPr>
          <w:rFonts w:hint="eastAsia" w:ascii="Arial" w:hAnsi="新宋体" w:eastAsia="新宋体" w:cs="Arial"/>
          <w:bCs w:val="0"/>
          <w:highlight w:val="none"/>
        </w:rPr>
        <w:t xml:space="preserve">合同编号：       </w:t>
      </w:r>
    </w:p>
    <w:p w14:paraId="41364D41">
      <w:pPr>
        <w:widowControl/>
        <w:spacing w:line="360" w:lineRule="auto"/>
        <w:ind w:firstLine="440" w:firstLineChars="200"/>
        <w:jc w:val="left"/>
        <w:rPr>
          <w:rFonts w:hint="eastAsia" w:ascii="宋体" w:hAnsi="宋体" w:cs="宋体"/>
          <w:b w:val="0"/>
          <w:sz w:val="22"/>
          <w:szCs w:val="22"/>
          <w:highlight w:val="none"/>
        </w:rPr>
      </w:pPr>
      <w:bookmarkStart w:id="71" w:name="_Hlk107853675"/>
      <w:r>
        <w:rPr>
          <w:rFonts w:hint="eastAsia" w:ascii="宋体" w:hAnsi="宋体" w:cs="宋体"/>
          <w:b w:val="0"/>
          <w:sz w:val="22"/>
          <w:szCs w:val="22"/>
          <w:highlight w:val="none"/>
        </w:rPr>
        <w:t xml:space="preserve">注：该合同样本仅做参考，中标后，以采购人与供应商签订的正式合同为准。 </w:t>
      </w:r>
    </w:p>
    <w:p w14:paraId="5A6114FE">
      <w:pPr>
        <w:widowControl/>
        <w:spacing w:line="360" w:lineRule="auto"/>
        <w:ind w:firstLine="440" w:firstLineChars="200"/>
        <w:jc w:val="left"/>
        <w:rPr>
          <w:rFonts w:hint="eastAsia" w:ascii="宋体" w:hAnsi="宋体" w:cs="宋体"/>
          <w:b w:val="0"/>
          <w:sz w:val="22"/>
          <w:szCs w:val="22"/>
          <w:highlight w:val="none"/>
        </w:rPr>
      </w:pPr>
      <w:r>
        <w:rPr>
          <w:rFonts w:hint="eastAsia" w:ascii="宋体" w:hAnsi="宋体" w:cs="宋体"/>
          <w:b w:val="0"/>
          <w:sz w:val="22"/>
          <w:szCs w:val="22"/>
          <w:highlight w:val="none"/>
        </w:rPr>
        <w:t>采购人</w:t>
      </w:r>
      <w:r>
        <w:rPr>
          <w:rFonts w:hint="eastAsia" w:ascii="宋体" w:hAnsi="宋体" w:cs="宋体"/>
          <w:b w:val="0"/>
          <w:sz w:val="22"/>
          <w:szCs w:val="22"/>
          <w:highlight w:val="none"/>
          <w:u w:val="single"/>
        </w:rPr>
        <w:t>：                （</w:t>
      </w:r>
      <w:r>
        <w:rPr>
          <w:rFonts w:hint="eastAsia" w:ascii="宋体" w:hAnsi="宋体" w:cs="宋体"/>
          <w:b w:val="0"/>
          <w:sz w:val="22"/>
          <w:szCs w:val="22"/>
          <w:highlight w:val="none"/>
        </w:rPr>
        <w:t xml:space="preserve">甲方） </w:t>
      </w:r>
    </w:p>
    <w:p w14:paraId="2C23BF03">
      <w:pPr>
        <w:widowControl/>
        <w:spacing w:line="360" w:lineRule="auto"/>
        <w:ind w:firstLine="440" w:firstLineChars="200"/>
        <w:jc w:val="left"/>
        <w:rPr>
          <w:rFonts w:hint="eastAsia" w:ascii="宋体" w:hAnsi="宋体" w:cs="宋体"/>
          <w:b w:val="0"/>
          <w:sz w:val="22"/>
          <w:szCs w:val="22"/>
          <w:highlight w:val="none"/>
        </w:rPr>
      </w:pPr>
      <w:r>
        <w:rPr>
          <w:rFonts w:hint="eastAsia" w:ascii="宋体" w:hAnsi="宋体" w:cs="宋体"/>
          <w:b w:val="0"/>
          <w:sz w:val="22"/>
          <w:szCs w:val="22"/>
          <w:highlight w:val="none"/>
        </w:rPr>
        <w:t>中标供应商</w:t>
      </w:r>
      <w:r>
        <w:rPr>
          <w:rFonts w:hint="eastAsia" w:ascii="宋体" w:hAnsi="宋体" w:cs="宋体"/>
          <w:b w:val="0"/>
          <w:sz w:val="22"/>
          <w:szCs w:val="22"/>
          <w:highlight w:val="none"/>
          <w:u w:val="single"/>
        </w:rPr>
        <w:t>：                （</w:t>
      </w:r>
      <w:r>
        <w:rPr>
          <w:rFonts w:hint="eastAsia" w:ascii="宋体" w:hAnsi="宋体" w:cs="宋体"/>
          <w:b w:val="0"/>
          <w:sz w:val="22"/>
          <w:szCs w:val="22"/>
          <w:highlight w:val="none"/>
        </w:rPr>
        <w:t xml:space="preserve">乙方） </w:t>
      </w:r>
    </w:p>
    <w:p w14:paraId="462580FE">
      <w:pPr>
        <w:widowControl/>
        <w:spacing w:line="360" w:lineRule="auto"/>
        <w:ind w:firstLine="440" w:firstLineChars="200"/>
        <w:jc w:val="left"/>
        <w:rPr>
          <w:rFonts w:hint="eastAsia" w:ascii="宋体" w:hAnsi="宋体" w:cs="宋体"/>
          <w:b w:val="0"/>
          <w:sz w:val="22"/>
          <w:szCs w:val="22"/>
          <w:highlight w:val="none"/>
        </w:rPr>
      </w:pPr>
      <w:r>
        <w:rPr>
          <w:rFonts w:hint="eastAsia" w:ascii="宋体" w:hAnsi="宋体" w:cs="宋体"/>
          <w:b w:val="0"/>
          <w:sz w:val="22"/>
          <w:szCs w:val="22"/>
          <w:highlight w:val="none"/>
        </w:rPr>
        <w:t>根据      项目（项目编号：    ）的采购结果，及该项目的采购文件、投标文件及其投标中的承诺书等，甲乙双方订立合同，共同遵守。</w:t>
      </w:r>
    </w:p>
    <w:bookmarkEnd w:id="71"/>
    <w:p w14:paraId="66964C7F">
      <w:pPr>
        <w:widowControl/>
        <w:spacing w:line="360" w:lineRule="auto"/>
        <w:jc w:val="left"/>
        <w:rPr>
          <w:rFonts w:hint="eastAsia" w:ascii="宋体" w:hAnsi="宋体" w:cs="宋体"/>
          <w:b w:val="0"/>
          <w:bCs w:val="0"/>
          <w:sz w:val="22"/>
          <w:szCs w:val="22"/>
          <w:highlight w:val="none"/>
        </w:rPr>
      </w:pPr>
      <w:bookmarkStart w:id="72" w:name="_Toc1978"/>
      <w:bookmarkStart w:id="73" w:name="_Toc18775"/>
      <w:bookmarkStart w:id="74" w:name="_Toc2315"/>
      <w:bookmarkStart w:id="75" w:name="_Toc28251"/>
      <w:bookmarkStart w:id="76" w:name="_Toc15928"/>
      <w:bookmarkStart w:id="77" w:name="_Hlk107854715"/>
      <w:r>
        <w:rPr>
          <w:rFonts w:hint="eastAsia" w:ascii="宋体" w:hAnsi="宋体" w:cs="宋体"/>
          <w:b w:val="0"/>
          <w:bCs w:val="0"/>
          <w:sz w:val="22"/>
          <w:szCs w:val="22"/>
          <w:highlight w:val="none"/>
        </w:rPr>
        <w:t>一、本合同签订依据</w:t>
      </w:r>
      <w:bookmarkEnd w:id="72"/>
      <w:bookmarkEnd w:id="73"/>
      <w:bookmarkEnd w:id="74"/>
      <w:bookmarkEnd w:id="75"/>
      <w:bookmarkEnd w:id="76"/>
    </w:p>
    <w:p w14:paraId="7CC3044C">
      <w:pPr>
        <w:widowControl/>
        <w:spacing w:line="360" w:lineRule="auto"/>
        <w:ind w:firstLine="440" w:firstLineChars="200"/>
        <w:jc w:val="left"/>
        <w:rPr>
          <w:rFonts w:hint="eastAsia" w:ascii="宋体" w:hAnsi="宋体" w:cs="宋体"/>
          <w:b w:val="0"/>
          <w:sz w:val="22"/>
          <w:szCs w:val="22"/>
          <w:highlight w:val="none"/>
        </w:rPr>
      </w:pPr>
      <w:r>
        <w:rPr>
          <w:rFonts w:hint="eastAsia" w:ascii="宋体" w:hAnsi="宋体" w:cs="宋体"/>
          <w:b w:val="0"/>
          <w:sz w:val="22"/>
          <w:szCs w:val="22"/>
          <w:highlight w:val="none"/>
        </w:rPr>
        <w:t>《温州市市属国有企业采购管理办法（试行）》温国资委〔2020〕125号及《中华人民共和国民法典》等有关法律法规。</w:t>
      </w:r>
    </w:p>
    <w:p w14:paraId="768D3CC0">
      <w:pPr>
        <w:spacing w:line="360" w:lineRule="auto"/>
        <w:outlineLvl w:val="0"/>
        <w:rPr>
          <w:rFonts w:hint="eastAsia" w:ascii="宋体" w:hAnsi="宋体" w:cs="宋体"/>
          <w:b w:val="0"/>
          <w:sz w:val="22"/>
          <w:szCs w:val="22"/>
          <w:highlight w:val="none"/>
        </w:rPr>
      </w:pPr>
      <w:bookmarkStart w:id="78" w:name="_Toc30758"/>
      <w:bookmarkStart w:id="79" w:name="_Toc31996"/>
      <w:bookmarkStart w:id="80" w:name="_Toc32248"/>
      <w:bookmarkStart w:id="81" w:name="_Toc17184"/>
      <w:bookmarkStart w:id="82" w:name="_Toc20725"/>
      <w:r>
        <w:rPr>
          <w:rFonts w:hint="eastAsia" w:ascii="宋体" w:hAnsi="宋体" w:cs="宋体"/>
          <w:b w:val="0"/>
          <w:bCs w:val="0"/>
          <w:sz w:val="22"/>
          <w:szCs w:val="22"/>
          <w:highlight w:val="none"/>
        </w:rPr>
        <w:t>二、</w:t>
      </w:r>
      <w:bookmarkEnd w:id="78"/>
      <w:bookmarkEnd w:id="79"/>
      <w:bookmarkEnd w:id="80"/>
      <w:bookmarkEnd w:id="81"/>
      <w:bookmarkEnd w:id="82"/>
      <w:r>
        <w:rPr>
          <w:rFonts w:hint="eastAsia" w:ascii="宋体" w:hAnsi="宋体" w:cs="宋体"/>
          <w:b w:val="0"/>
          <w:sz w:val="22"/>
          <w:szCs w:val="22"/>
          <w:highlight w:val="none"/>
        </w:rPr>
        <w:t>价款</w:t>
      </w:r>
    </w:p>
    <w:p w14:paraId="4280C0E4">
      <w:pPr>
        <w:spacing w:line="360" w:lineRule="auto"/>
        <w:ind w:firstLine="440" w:firstLineChars="200"/>
        <w:rPr>
          <w:rFonts w:hint="eastAsia" w:ascii="宋体" w:hAnsi="宋体" w:cs="宋体"/>
          <w:b w:val="0"/>
          <w:sz w:val="22"/>
          <w:szCs w:val="22"/>
          <w:highlight w:val="none"/>
        </w:rPr>
      </w:pPr>
      <w:bookmarkStart w:id="83" w:name="_Toc14993"/>
      <w:bookmarkStart w:id="84" w:name="_Toc30506"/>
      <w:bookmarkStart w:id="85" w:name="_Toc26916"/>
      <w:bookmarkStart w:id="86" w:name="_Toc30158"/>
      <w:bookmarkStart w:id="87" w:name="_Toc3654"/>
      <w:r>
        <w:rPr>
          <w:rFonts w:hint="eastAsia" w:ascii="宋体" w:hAnsi="宋体" w:cs="宋体"/>
          <w:b w:val="0"/>
          <w:bCs w:val="0"/>
          <w:sz w:val="22"/>
          <w:szCs w:val="22"/>
          <w:highlight w:val="none"/>
        </w:rPr>
        <w:t>本项目为总价合同，本合同</w:t>
      </w:r>
      <w:bookmarkEnd w:id="83"/>
      <w:bookmarkEnd w:id="84"/>
      <w:bookmarkEnd w:id="85"/>
      <w:bookmarkEnd w:id="86"/>
      <w:bookmarkEnd w:id="87"/>
      <w:r>
        <w:rPr>
          <w:rFonts w:hint="eastAsia" w:ascii="宋体" w:hAnsi="宋体" w:cs="宋体"/>
          <w:b w:val="0"/>
          <w:sz w:val="22"/>
          <w:szCs w:val="22"/>
          <w:highlight w:val="none"/>
        </w:rPr>
        <w:t>合同金额（中标金额</w:t>
      </w:r>
      <w:r>
        <w:rPr>
          <w:rFonts w:hint="eastAsia" w:ascii="宋体" w:hAnsi="宋体" w:cs="宋体"/>
          <w:b w:val="0"/>
          <w:bCs w:val="0"/>
          <w:sz w:val="22"/>
          <w:szCs w:val="22"/>
          <w:highlight w:val="none"/>
        </w:rPr>
        <w:t>（含税）</w:t>
      </w:r>
      <w:r>
        <w:rPr>
          <w:rFonts w:hint="eastAsia" w:ascii="宋体" w:hAnsi="宋体" w:cs="宋体"/>
          <w:b w:val="0"/>
          <w:sz w:val="22"/>
          <w:szCs w:val="22"/>
          <w:highlight w:val="none"/>
        </w:rPr>
        <w:t>）：￥</w:t>
      </w:r>
      <w:r>
        <w:rPr>
          <w:rFonts w:hint="eastAsia" w:ascii="宋体" w:hAnsi="宋体" w:cs="宋体"/>
          <w:b w:val="0"/>
          <w:sz w:val="22"/>
          <w:szCs w:val="22"/>
          <w:highlight w:val="none"/>
          <w:u w:val="single"/>
        </w:rPr>
        <w:t xml:space="preserve">       </w:t>
      </w:r>
      <w:r>
        <w:rPr>
          <w:rFonts w:hint="eastAsia" w:ascii="宋体" w:hAnsi="宋体" w:cs="宋体"/>
          <w:b w:val="0"/>
          <w:sz w:val="22"/>
          <w:szCs w:val="22"/>
          <w:highlight w:val="none"/>
        </w:rPr>
        <w:t>元（大写：</w:t>
      </w:r>
      <w:r>
        <w:rPr>
          <w:rFonts w:hint="eastAsia" w:ascii="宋体" w:hAnsi="宋体" w:cs="宋体"/>
          <w:b w:val="0"/>
          <w:sz w:val="22"/>
          <w:szCs w:val="22"/>
          <w:highlight w:val="none"/>
          <w:u w:val="single"/>
        </w:rPr>
        <w:t xml:space="preserve">        </w:t>
      </w:r>
      <w:r>
        <w:rPr>
          <w:rFonts w:hint="eastAsia" w:ascii="宋体" w:hAnsi="宋体" w:cs="宋体"/>
          <w:b w:val="0"/>
          <w:sz w:val="22"/>
          <w:szCs w:val="22"/>
          <w:highlight w:val="none"/>
        </w:rPr>
        <w:t>元人民币）</w:t>
      </w:r>
      <w:r>
        <w:rPr>
          <w:rFonts w:hint="eastAsia" w:ascii="宋体" w:hAnsi="宋体" w:cs="宋体"/>
          <w:b w:val="0"/>
          <w:sz w:val="22"/>
          <w:szCs w:val="22"/>
          <w:highlight w:val="none"/>
          <w:lang w:val="zh-CN"/>
        </w:rPr>
        <w:t>。</w:t>
      </w:r>
    </w:p>
    <w:p w14:paraId="70740D66">
      <w:pPr>
        <w:widowControl/>
        <w:spacing w:line="360" w:lineRule="auto"/>
        <w:jc w:val="left"/>
        <w:rPr>
          <w:rFonts w:hint="eastAsia" w:ascii="宋体" w:hAnsi="宋体" w:cs="宋体"/>
          <w:b w:val="0"/>
          <w:bCs w:val="0"/>
          <w:sz w:val="22"/>
          <w:szCs w:val="22"/>
          <w:highlight w:val="none"/>
        </w:rPr>
      </w:pPr>
      <w:r>
        <w:rPr>
          <w:rFonts w:hint="eastAsia" w:ascii="宋体" w:hAnsi="宋体" w:cs="宋体"/>
          <w:b w:val="0"/>
          <w:bCs w:val="0"/>
          <w:sz w:val="22"/>
          <w:szCs w:val="22"/>
          <w:highlight w:val="none"/>
        </w:rPr>
        <w:t>三、服务内容</w:t>
      </w:r>
    </w:p>
    <w:p w14:paraId="62B96873">
      <w:pPr>
        <w:snapToGrid w:val="0"/>
        <w:spacing w:line="460" w:lineRule="exact"/>
        <w:ind w:firstLine="541" w:firstLineChars="246"/>
        <w:rPr>
          <w:rFonts w:ascii="宋体" w:hAnsi="宋体"/>
          <w:b w:val="0"/>
          <w:sz w:val="22"/>
          <w:szCs w:val="22"/>
          <w:highlight w:val="none"/>
          <w:lang w:val="en-US" w:eastAsia="zh-CN"/>
        </w:rPr>
      </w:pPr>
      <w:r>
        <w:rPr>
          <w:rFonts w:hint="eastAsia" w:ascii="宋体" w:hAnsi="宋体"/>
          <w:b w:val="0"/>
          <w:sz w:val="22"/>
          <w:szCs w:val="22"/>
          <w:highlight w:val="none"/>
          <w:lang w:val="en-US"/>
        </w:rPr>
        <w:t>1、</w:t>
      </w:r>
      <w:r>
        <w:rPr>
          <w:rFonts w:hint="eastAsia" w:ascii="宋体" w:hAnsi="宋体"/>
          <w:b w:val="0"/>
          <w:sz w:val="22"/>
          <w:szCs w:val="22"/>
          <w:highlight w:val="none"/>
          <w:lang w:val="en-US" w:eastAsia="zh-CN"/>
        </w:rPr>
        <w:t>被保险对象：供水范围内截至到投保月上期月末的在册居民阶梯用水客户，以及保期内新增居民阶梯用水客户。供水范围内截至到投保月上期月末的在册企业客户以及保期内新增企业客户。</w:t>
      </w:r>
      <w:r>
        <w:rPr>
          <w:rFonts w:ascii="宋体" w:hAnsi="宋体"/>
          <w:b w:val="0"/>
          <w:sz w:val="22"/>
          <w:szCs w:val="22"/>
          <w:highlight w:val="none"/>
          <w:lang w:val="en-US" w:eastAsia="zh-CN"/>
        </w:rPr>
        <w:t>居民用水：</w:t>
      </w:r>
      <w:r>
        <w:rPr>
          <w:rFonts w:hint="eastAsia" w:ascii="宋体" w:hAnsi="宋体"/>
          <w:b w:val="0"/>
          <w:sz w:val="22"/>
          <w:szCs w:val="22"/>
          <w:highlight w:val="none"/>
          <w:lang w:val="en-US" w:eastAsia="zh-CN"/>
        </w:rPr>
        <w:t>19万</w:t>
      </w:r>
      <w:r>
        <w:rPr>
          <w:rFonts w:ascii="宋体" w:hAnsi="宋体"/>
          <w:b w:val="0"/>
          <w:sz w:val="22"/>
          <w:szCs w:val="22"/>
          <w:highlight w:val="none"/>
          <w:lang w:val="en-US" w:eastAsia="zh-CN"/>
        </w:rPr>
        <w:t>户，非居民用水：</w:t>
      </w:r>
      <w:r>
        <w:rPr>
          <w:rFonts w:hint="eastAsia" w:ascii="宋体" w:hAnsi="宋体"/>
          <w:b w:val="0"/>
          <w:sz w:val="22"/>
          <w:szCs w:val="22"/>
          <w:highlight w:val="none"/>
          <w:lang w:val="en-US" w:eastAsia="zh-CN"/>
        </w:rPr>
        <w:t>4200</w:t>
      </w:r>
      <w:r>
        <w:rPr>
          <w:rFonts w:ascii="宋体" w:hAnsi="宋体"/>
          <w:b w:val="0"/>
          <w:sz w:val="22"/>
          <w:szCs w:val="22"/>
          <w:highlight w:val="none"/>
          <w:lang w:val="en-US" w:eastAsia="zh-CN"/>
        </w:rPr>
        <w:t>户</w:t>
      </w:r>
      <w:r>
        <w:rPr>
          <w:rFonts w:hint="eastAsia" w:ascii="宋体" w:hAnsi="宋体"/>
          <w:b w:val="0"/>
          <w:sz w:val="22"/>
          <w:szCs w:val="22"/>
          <w:highlight w:val="none"/>
          <w:lang w:val="en-US" w:eastAsia="zh-CN"/>
        </w:rPr>
        <w:t>。</w:t>
      </w:r>
    </w:p>
    <w:p w14:paraId="354B7468">
      <w:pPr>
        <w:snapToGrid w:val="0"/>
        <w:spacing w:line="460" w:lineRule="exact"/>
        <w:ind w:firstLine="541" w:firstLineChars="246"/>
        <w:rPr>
          <w:rFonts w:ascii="宋体" w:hAnsi="宋体"/>
          <w:b w:val="0"/>
          <w:sz w:val="22"/>
          <w:szCs w:val="22"/>
          <w:highlight w:val="none"/>
          <w:lang w:val="en-US" w:eastAsia="zh-CN"/>
        </w:rPr>
      </w:pPr>
      <w:r>
        <w:rPr>
          <w:rFonts w:hint="eastAsia" w:ascii="宋体" w:hAnsi="宋体"/>
          <w:b w:val="0"/>
          <w:sz w:val="22"/>
          <w:szCs w:val="22"/>
          <w:highlight w:val="none"/>
          <w:lang w:val="en-US"/>
        </w:rPr>
        <w:t>2、</w:t>
      </w:r>
      <w:r>
        <w:rPr>
          <w:rFonts w:hint="eastAsia" w:ascii="宋体" w:hAnsi="宋体"/>
          <w:b w:val="0"/>
          <w:sz w:val="22"/>
          <w:szCs w:val="22"/>
          <w:highlight w:val="none"/>
          <w:lang w:val="en-US" w:eastAsia="zh-CN"/>
        </w:rPr>
        <w:t>保险内容：龙港水务有限公司为被保险对象购买保险，用于居民阶梯用水对象因户内漏水等原因从而需支付超平常量的阶梯差额水费、污水处理费；用于企业客户因厂内漏水等原因从而需要支付超平常量的污水处理费。</w:t>
      </w:r>
    </w:p>
    <w:p w14:paraId="3F075850">
      <w:pPr>
        <w:snapToGrid w:val="0"/>
        <w:spacing w:line="460" w:lineRule="exact"/>
        <w:ind w:firstLine="541" w:firstLineChars="246"/>
        <w:rPr>
          <w:rFonts w:ascii="宋体" w:hAnsi="宋体"/>
          <w:b w:val="0"/>
          <w:sz w:val="22"/>
          <w:szCs w:val="22"/>
          <w:highlight w:val="none"/>
          <w:lang w:val="en-US" w:eastAsia="zh-CN"/>
        </w:rPr>
      </w:pPr>
      <w:r>
        <w:rPr>
          <w:rFonts w:hint="eastAsia" w:ascii="宋体" w:hAnsi="宋体"/>
          <w:b w:val="0"/>
          <w:sz w:val="22"/>
          <w:szCs w:val="22"/>
          <w:highlight w:val="none"/>
          <w:lang w:val="en-US"/>
        </w:rPr>
        <w:t>3、</w:t>
      </w:r>
      <w:r>
        <w:rPr>
          <w:rFonts w:hint="eastAsia" w:ascii="宋体" w:hAnsi="宋体"/>
          <w:b w:val="0"/>
          <w:sz w:val="22"/>
          <w:szCs w:val="22"/>
          <w:highlight w:val="none"/>
          <w:lang w:val="en-US" w:eastAsia="zh-CN"/>
        </w:rPr>
        <w:t>赔付方式：承保对象发生户内漏水事项后，按对应水价先向水务公司支付水费，再凭水费发票和水务公司出具的户内漏水确认单向投保保险公司索赔。</w:t>
      </w:r>
    </w:p>
    <w:p w14:paraId="71BA18AC">
      <w:pPr>
        <w:snapToGrid w:val="0"/>
        <w:spacing w:line="460" w:lineRule="exact"/>
        <w:ind w:firstLine="541" w:firstLineChars="246"/>
        <w:rPr>
          <w:rFonts w:ascii="宋体" w:hAnsi="宋体"/>
          <w:b w:val="0"/>
          <w:sz w:val="22"/>
          <w:szCs w:val="22"/>
          <w:highlight w:val="none"/>
          <w:lang w:val="en-US" w:eastAsia="zh-CN"/>
        </w:rPr>
      </w:pPr>
      <w:r>
        <w:rPr>
          <w:rFonts w:hint="eastAsia" w:ascii="宋体" w:hAnsi="宋体"/>
          <w:b w:val="0"/>
          <w:sz w:val="22"/>
          <w:szCs w:val="22"/>
          <w:highlight w:val="none"/>
          <w:lang w:val="en-US"/>
        </w:rPr>
        <w:t>4、</w:t>
      </w:r>
      <w:r>
        <w:rPr>
          <w:rFonts w:hint="eastAsia" w:ascii="宋体" w:hAnsi="宋体"/>
          <w:b w:val="0"/>
          <w:sz w:val="22"/>
          <w:szCs w:val="22"/>
          <w:highlight w:val="none"/>
          <w:lang w:val="en-US" w:eastAsia="zh-CN"/>
        </w:rPr>
        <w:t>赔付金额：用水客户索赔的赔付标的是因户内漏水计量的水量按居民阶梯水价的计价金额与计量水量按居民非阶梯水价计价金额的差额，每次事故绝对免赔50元人民币。企业客户因厂内漏水产生的全部污水费用免赔为50元。</w:t>
      </w:r>
    </w:p>
    <w:p w14:paraId="668A8331">
      <w:pPr>
        <w:snapToGrid w:val="0"/>
        <w:spacing w:line="460" w:lineRule="exact"/>
        <w:ind w:firstLine="541" w:firstLineChars="246"/>
        <w:rPr>
          <w:rFonts w:ascii="宋体" w:hAnsi="宋体"/>
          <w:b w:val="0"/>
          <w:sz w:val="22"/>
          <w:szCs w:val="22"/>
          <w:highlight w:val="none"/>
          <w:lang w:val="en-US" w:eastAsia="zh-CN"/>
        </w:rPr>
      </w:pPr>
      <w:r>
        <w:rPr>
          <w:rFonts w:hint="eastAsia" w:ascii="宋体" w:hAnsi="宋体"/>
          <w:b w:val="0"/>
          <w:sz w:val="22"/>
          <w:szCs w:val="22"/>
          <w:highlight w:val="none"/>
          <w:lang w:val="en-US" w:eastAsia="zh-CN"/>
        </w:rPr>
        <w:t>残疾军人、“三属”（指烈士遗属、因公牺牲军人遗属、病故军人遗属）、复员军人（指1954年10月31日之前入伍，后经批准从部队复员的人员）、带病回乡退伍军人、年龄在70周岁以上的老人、符合低保户要求的低保户，以上人群提供证明不受索赔起点限制。</w:t>
      </w:r>
    </w:p>
    <w:p w14:paraId="73BE7448">
      <w:pPr>
        <w:snapToGrid w:val="0"/>
        <w:spacing w:line="460" w:lineRule="exact"/>
        <w:ind w:firstLine="541" w:firstLineChars="246"/>
        <w:rPr>
          <w:rFonts w:ascii="宋体" w:hAnsi="宋体"/>
          <w:b w:val="0"/>
          <w:sz w:val="22"/>
          <w:szCs w:val="22"/>
          <w:highlight w:val="none"/>
          <w:lang w:val="en-US" w:eastAsia="zh-CN"/>
        </w:rPr>
      </w:pPr>
      <w:r>
        <w:rPr>
          <w:rFonts w:hint="eastAsia" w:ascii="宋体" w:hAnsi="宋体"/>
          <w:b w:val="0"/>
          <w:sz w:val="22"/>
          <w:szCs w:val="22"/>
          <w:highlight w:val="none"/>
          <w:lang w:val="en-US" w:eastAsia="zh-CN"/>
        </w:rPr>
        <w:t>5、赔付期限：投保合同签订之日起壹年，以水费销账日为依据是否在赔付期内。</w:t>
      </w:r>
    </w:p>
    <w:p w14:paraId="7FBE65EA">
      <w:pPr>
        <w:snapToGrid w:val="0"/>
        <w:spacing w:line="460" w:lineRule="exact"/>
        <w:ind w:firstLine="541" w:firstLineChars="246"/>
        <w:rPr>
          <w:rFonts w:hint="eastAsia" w:ascii="宋体" w:hAnsi="宋体"/>
          <w:b w:val="0"/>
          <w:sz w:val="22"/>
          <w:szCs w:val="22"/>
          <w:highlight w:val="none"/>
          <w:lang w:val="en-US" w:eastAsia="zh-CN"/>
        </w:rPr>
      </w:pPr>
      <w:r>
        <w:rPr>
          <w:rFonts w:hint="eastAsia" w:ascii="宋体" w:hAnsi="宋体"/>
          <w:b w:val="0"/>
          <w:sz w:val="22"/>
          <w:szCs w:val="22"/>
          <w:highlight w:val="none"/>
          <w:lang w:val="en-US" w:eastAsia="zh-CN"/>
        </w:rPr>
        <w:t>6、赔偿限额：保期内赔付限额为合同金额的110%。</w:t>
      </w:r>
    </w:p>
    <w:p w14:paraId="3A2EF739">
      <w:pPr>
        <w:snapToGrid w:val="0"/>
        <w:spacing w:line="460" w:lineRule="exact"/>
        <w:ind w:firstLine="541" w:firstLineChars="246"/>
        <w:rPr>
          <w:rFonts w:hint="eastAsia" w:ascii="宋体" w:hAnsi="宋体"/>
          <w:b w:val="0"/>
          <w:sz w:val="22"/>
          <w:szCs w:val="22"/>
          <w:highlight w:val="none"/>
          <w:lang w:val="en-US" w:eastAsia="zh-CN"/>
        </w:rPr>
      </w:pPr>
      <w:r>
        <w:rPr>
          <w:rFonts w:hint="eastAsia" w:ascii="宋体" w:hAnsi="宋体"/>
          <w:b w:val="0"/>
          <w:sz w:val="22"/>
          <w:szCs w:val="22"/>
          <w:highlight w:val="none"/>
          <w:lang w:val="en-US" w:eastAsia="zh-CN"/>
        </w:rPr>
        <w:t>7、乙方不定期组织开展保险相关教育，使相关人员充分了解保险重要性。</w:t>
      </w:r>
    </w:p>
    <w:p w14:paraId="37EAB511">
      <w:pPr>
        <w:snapToGrid w:val="0"/>
        <w:spacing w:line="460" w:lineRule="exact"/>
        <w:ind w:firstLine="541" w:firstLineChars="246"/>
        <w:rPr>
          <w:rFonts w:hint="eastAsia" w:ascii="宋体" w:hAnsi="宋体"/>
          <w:b w:val="0"/>
          <w:sz w:val="22"/>
          <w:szCs w:val="22"/>
          <w:highlight w:val="none"/>
          <w:lang w:val="en-US" w:eastAsia="zh-CN"/>
        </w:rPr>
      </w:pPr>
      <w:r>
        <w:rPr>
          <w:rFonts w:hint="eastAsia" w:ascii="宋体" w:hAnsi="宋体"/>
          <w:b w:val="0"/>
          <w:sz w:val="22"/>
          <w:szCs w:val="22"/>
          <w:highlight w:val="none"/>
          <w:lang w:val="en-US" w:eastAsia="zh-CN"/>
        </w:rPr>
        <w:t>8、团队设置：成立针对本次项目的专门团队负责本项目的保险服务。</w:t>
      </w:r>
    </w:p>
    <w:p w14:paraId="68275ECB">
      <w:pPr>
        <w:snapToGrid w:val="0"/>
        <w:spacing w:line="460" w:lineRule="exact"/>
        <w:ind w:firstLine="541" w:firstLineChars="246"/>
        <w:rPr>
          <w:rFonts w:hint="eastAsia" w:ascii="宋体" w:hAnsi="宋体"/>
          <w:b w:val="0"/>
          <w:sz w:val="22"/>
          <w:szCs w:val="22"/>
          <w:highlight w:val="none"/>
          <w:lang w:val="en-US"/>
        </w:rPr>
      </w:pPr>
      <w:r>
        <w:rPr>
          <w:rFonts w:hint="eastAsia" w:ascii="宋体" w:hAnsi="宋体"/>
          <w:b w:val="0"/>
          <w:sz w:val="22"/>
          <w:szCs w:val="22"/>
          <w:highlight w:val="none"/>
          <w:lang w:val="en-US" w:eastAsia="zh-CN"/>
        </w:rPr>
        <w:t>9、勘查时效：设立365天无休日，24小时报案、咨询受理电话服务。</w:t>
      </w:r>
    </w:p>
    <w:p w14:paraId="7AA1DB19">
      <w:pPr>
        <w:widowControl/>
        <w:spacing w:line="360" w:lineRule="auto"/>
        <w:jc w:val="left"/>
        <w:rPr>
          <w:rFonts w:hint="eastAsia" w:ascii="宋体" w:hAnsi="宋体" w:cs="宋体"/>
          <w:b w:val="0"/>
          <w:bCs w:val="0"/>
          <w:sz w:val="22"/>
          <w:szCs w:val="22"/>
          <w:highlight w:val="none"/>
        </w:rPr>
      </w:pPr>
      <w:r>
        <w:rPr>
          <w:rFonts w:hint="eastAsia" w:ascii="宋体" w:hAnsi="宋体" w:cs="宋体"/>
          <w:b w:val="0"/>
          <w:sz w:val="22"/>
          <w:szCs w:val="22"/>
          <w:highlight w:val="none"/>
        </w:rPr>
        <w:t>四、</w:t>
      </w:r>
      <w:r>
        <w:rPr>
          <w:rFonts w:hint="eastAsia" w:ascii="宋体" w:hAnsi="宋体" w:cs="宋体"/>
          <w:b w:val="0"/>
          <w:bCs w:val="0"/>
          <w:sz w:val="22"/>
          <w:szCs w:val="22"/>
          <w:highlight w:val="none"/>
        </w:rPr>
        <w:t>服务期限</w:t>
      </w:r>
    </w:p>
    <w:p w14:paraId="77BD5AAD">
      <w:pPr>
        <w:spacing w:line="360" w:lineRule="auto"/>
        <w:ind w:firstLine="440" w:firstLineChars="200"/>
        <w:rPr>
          <w:rFonts w:hint="eastAsia" w:ascii="宋体" w:hAnsi="宋体" w:cs="宋体"/>
          <w:b w:val="0"/>
          <w:sz w:val="22"/>
          <w:szCs w:val="22"/>
          <w:highlight w:val="none"/>
        </w:rPr>
      </w:pPr>
      <w:r>
        <w:rPr>
          <w:rFonts w:hint="eastAsia" w:ascii="宋体" w:hAnsi="宋体" w:cs="宋体"/>
          <w:b w:val="0"/>
          <w:bCs w:val="0"/>
          <w:sz w:val="22"/>
          <w:szCs w:val="22"/>
          <w:highlight w:val="none"/>
        </w:rPr>
        <w:t>项</w:t>
      </w:r>
      <w:r>
        <w:rPr>
          <w:rFonts w:hint="eastAsia" w:ascii="宋体" w:hAnsi="宋体" w:cs="宋体"/>
          <w:b w:val="0"/>
          <w:sz w:val="22"/>
          <w:szCs w:val="22"/>
          <w:highlight w:val="none"/>
        </w:rPr>
        <w:t>目服务期一年（202</w:t>
      </w:r>
      <w:r>
        <w:rPr>
          <w:rFonts w:hint="eastAsia" w:ascii="宋体" w:hAnsi="宋体" w:cs="宋体"/>
          <w:b w:val="0"/>
          <w:sz w:val="22"/>
          <w:szCs w:val="22"/>
          <w:highlight w:val="none"/>
          <w:lang w:val="en-US" w:eastAsia="zh-CN"/>
        </w:rPr>
        <w:t>5</w:t>
      </w:r>
      <w:r>
        <w:rPr>
          <w:rFonts w:hint="eastAsia" w:ascii="宋体" w:hAnsi="宋体" w:cs="宋体"/>
          <w:b w:val="0"/>
          <w:sz w:val="22"/>
          <w:szCs w:val="22"/>
          <w:highlight w:val="none"/>
        </w:rPr>
        <w:t>年   月   日至202</w:t>
      </w:r>
      <w:r>
        <w:rPr>
          <w:rFonts w:hint="eastAsia" w:ascii="宋体" w:hAnsi="宋体" w:cs="宋体"/>
          <w:b w:val="0"/>
          <w:sz w:val="22"/>
          <w:szCs w:val="22"/>
          <w:highlight w:val="none"/>
          <w:lang w:val="en-US" w:eastAsia="zh-CN"/>
        </w:rPr>
        <w:t>6</w:t>
      </w:r>
      <w:r>
        <w:rPr>
          <w:rFonts w:hint="eastAsia" w:ascii="宋体" w:hAnsi="宋体" w:cs="宋体"/>
          <w:b w:val="0"/>
          <w:sz w:val="22"/>
          <w:szCs w:val="22"/>
          <w:highlight w:val="none"/>
        </w:rPr>
        <w:t>年   月   日），采用1+1+1模式，合同到期后（也可视情况提前1-2月），经甲方与乙方双方同意可以续签，最多续签两次，续签合同的服务内容、要求和单价或单价计算规则不变。即使具备续签条件，甲方仍有权不续签。</w:t>
      </w:r>
    </w:p>
    <w:p w14:paraId="22E308BF">
      <w:pPr>
        <w:widowControl/>
        <w:spacing w:line="360" w:lineRule="auto"/>
        <w:jc w:val="left"/>
        <w:rPr>
          <w:rFonts w:hint="eastAsia" w:ascii="宋体" w:hAnsi="宋体" w:cs="宋体"/>
          <w:b w:val="0"/>
          <w:bCs w:val="0"/>
          <w:sz w:val="22"/>
          <w:szCs w:val="22"/>
          <w:highlight w:val="none"/>
        </w:rPr>
      </w:pPr>
      <w:bookmarkStart w:id="88" w:name="_Toc20797"/>
      <w:bookmarkStart w:id="89" w:name="_Toc4191"/>
      <w:bookmarkStart w:id="90" w:name="_Toc719"/>
      <w:bookmarkStart w:id="91" w:name="_Toc4180"/>
      <w:bookmarkStart w:id="92" w:name="_Toc28127"/>
      <w:r>
        <w:rPr>
          <w:rFonts w:hint="eastAsia" w:ascii="宋体" w:hAnsi="宋体" w:cs="宋体"/>
          <w:b w:val="0"/>
          <w:bCs w:val="0"/>
          <w:sz w:val="22"/>
          <w:szCs w:val="22"/>
          <w:highlight w:val="none"/>
        </w:rPr>
        <w:t>五、履约保证金及付款方式</w:t>
      </w:r>
      <w:bookmarkEnd w:id="88"/>
      <w:bookmarkEnd w:id="89"/>
      <w:bookmarkEnd w:id="90"/>
      <w:bookmarkEnd w:id="91"/>
      <w:bookmarkEnd w:id="92"/>
    </w:p>
    <w:p w14:paraId="01D41C3E">
      <w:pPr>
        <w:spacing w:line="360" w:lineRule="auto"/>
        <w:ind w:firstLine="440" w:firstLineChars="200"/>
        <w:rPr>
          <w:rFonts w:hint="eastAsia" w:ascii="宋体" w:hAnsi="宋体" w:cs="宋体"/>
          <w:b w:val="0"/>
          <w:bCs w:val="0"/>
          <w:sz w:val="22"/>
          <w:szCs w:val="22"/>
          <w:highlight w:val="none"/>
        </w:rPr>
      </w:pPr>
      <w:r>
        <w:rPr>
          <w:rFonts w:hint="eastAsia" w:ascii="宋体" w:hAnsi="宋体" w:cs="宋体"/>
          <w:b w:val="0"/>
          <w:bCs w:val="0"/>
          <w:sz w:val="22"/>
          <w:szCs w:val="22"/>
          <w:highlight w:val="none"/>
        </w:rPr>
        <w:t>5.1履约保证金</w:t>
      </w:r>
    </w:p>
    <w:p w14:paraId="70504162">
      <w:pPr>
        <w:spacing w:line="360" w:lineRule="auto"/>
        <w:ind w:left="640" w:leftChars="200" w:hanging="220" w:hangingChars="100"/>
        <w:rPr>
          <w:rFonts w:hint="eastAsia" w:ascii="宋体" w:hAnsi="宋体" w:cs="宋体"/>
          <w:b w:val="0"/>
          <w:bCs w:val="0"/>
          <w:sz w:val="22"/>
          <w:szCs w:val="22"/>
          <w:highlight w:val="none"/>
        </w:rPr>
      </w:pPr>
      <w:r>
        <w:rPr>
          <w:rFonts w:hint="eastAsia" w:ascii="宋体" w:hAnsi="宋体" w:cs="宋体"/>
          <w:b w:val="0"/>
          <w:bCs w:val="0"/>
          <w:sz w:val="22"/>
          <w:szCs w:val="22"/>
          <w:highlight w:val="none"/>
        </w:rPr>
        <w:t>签订合同后5个工作日内，乙方须以银行转账或银行保函或保险保函的方式向甲方提交人民币万元（小写：￥    元整）作为履约保证金。履约保证金在服务期终止后，扣除违约金(如果有)后一次性退还乙方。如续签合同的，则在续签合同服务期结束后退还。</w:t>
      </w:r>
    </w:p>
    <w:p w14:paraId="1C22F71E">
      <w:pPr>
        <w:pStyle w:val="124"/>
        <w:spacing w:line="360" w:lineRule="auto"/>
        <w:ind w:leftChars="0" w:firstLine="440" w:firstLineChars="200"/>
        <w:rPr>
          <w:rFonts w:hint="eastAsia" w:ascii="宋体" w:hAnsi="宋体" w:cs="宋体"/>
          <w:bCs/>
          <w:sz w:val="22"/>
          <w:szCs w:val="22"/>
          <w:highlight w:val="none"/>
        </w:rPr>
      </w:pPr>
      <w:r>
        <w:rPr>
          <w:rFonts w:hint="eastAsia" w:ascii="宋体" w:hAnsi="宋体" w:cs="宋体"/>
          <w:bCs/>
          <w:sz w:val="22"/>
          <w:szCs w:val="22"/>
          <w:highlight w:val="none"/>
        </w:rPr>
        <w:t>5.2付款方式</w:t>
      </w:r>
    </w:p>
    <w:p w14:paraId="1A44E0A0">
      <w:pPr>
        <w:spacing w:line="360" w:lineRule="auto"/>
        <w:ind w:firstLine="440" w:firstLineChars="200"/>
        <w:rPr>
          <w:rFonts w:hint="eastAsia" w:ascii="宋体" w:hAnsi="宋体" w:cs="宋体"/>
          <w:b w:val="0"/>
          <w:bCs w:val="0"/>
          <w:sz w:val="22"/>
          <w:szCs w:val="22"/>
          <w:highlight w:val="none"/>
          <w:lang w:val="zh-CN"/>
        </w:rPr>
      </w:pPr>
      <w:r>
        <w:rPr>
          <w:rFonts w:hint="eastAsia" w:ascii="宋体" w:hAnsi="宋体" w:cs="宋体"/>
          <w:b w:val="0"/>
          <w:bCs w:val="0"/>
          <w:sz w:val="22"/>
          <w:szCs w:val="22"/>
          <w:highlight w:val="none"/>
        </w:rPr>
        <w:t>合同签订后，甲方在收到乙方履约保证金和缴费通知书之后，甲方向乙方支付100%的合同款。</w:t>
      </w:r>
      <w:bookmarkStart w:id="93" w:name="_Toc17371"/>
      <w:bookmarkStart w:id="94" w:name="_Toc9971"/>
      <w:bookmarkStart w:id="95" w:name="_Toc20773"/>
      <w:bookmarkStart w:id="96" w:name="_Toc3251"/>
      <w:bookmarkStart w:id="97" w:name="_Toc13161"/>
      <w:r>
        <w:rPr>
          <w:rFonts w:hint="eastAsia" w:ascii="宋体" w:hAnsi="宋体" w:cs="宋体"/>
          <w:b w:val="0"/>
          <w:bCs w:val="0"/>
          <w:sz w:val="22"/>
          <w:szCs w:val="22"/>
          <w:highlight w:val="none"/>
        </w:rPr>
        <w:t>甲方</w:t>
      </w:r>
      <w:r>
        <w:rPr>
          <w:rFonts w:hint="eastAsia" w:ascii="宋体" w:hAnsi="宋体" w:cs="宋体"/>
          <w:b w:val="0"/>
          <w:bCs w:val="0"/>
          <w:sz w:val="22"/>
          <w:szCs w:val="22"/>
          <w:highlight w:val="none"/>
          <w:lang w:val="zh-CN"/>
        </w:rPr>
        <w:t>对于满足合同约定支付条件的，自收到相应金额的发票后</w:t>
      </w:r>
      <w:r>
        <w:rPr>
          <w:rFonts w:hint="eastAsia" w:ascii="宋体" w:hAnsi="宋体" w:cs="宋体"/>
          <w:b w:val="0"/>
          <w:bCs w:val="0"/>
          <w:sz w:val="22"/>
          <w:szCs w:val="22"/>
          <w:highlight w:val="none"/>
        </w:rPr>
        <w:t>15</w:t>
      </w:r>
      <w:r>
        <w:rPr>
          <w:rFonts w:hint="eastAsia" w:ascii="宋体" w:hAnsi="宋体" w:cs="宋体"/>
          <w:b w:val="0"/>
          <w:bCs w:val="0"/>
          <w:sz w:val="22"/>
          <w:szCs w:val="22"/>
          <w:highlight w:val="none"/>
          <w:lang w:val="zh-CN"/>
        </w:rPr>
        <w:t>个工作日内将资金支付到合同约定的</w:t>
      </w:r>
      <w:r>
        <w:rPr>
          <w:rFonts w:hint="eastAsia" w:ascii="宋体" w:hAnsi="宋体" w:cs="宋体"/>
          <w:b w:val="0"/>
          <w:bCs w:val="0"/>
          <w:sz w:val="22"/>
          <w:szCs w:val="22"/>
          <w:highlight w:val="none"/>
        </w:rPr>
        <w:t>乙方</w:t>
      </w:r>
      <w:r>
        <w:rPr>
          <w:rFonts w:hint="eastAsia" w:ascii="宋体" w:hAnsi="宋体" w:cs="宋体"/>
          <w:b w:val="0"/>
          <w:bCs w:val="0"/>
          <w:sz w:val="22"/>
          <w:szCs w:val="22"/>
          <w:highlight w:val="none"/>
          <w:lang w:val="zh-CN"/>
        </w:rPr>
        <w:t>账户。</w:t>
      </w:r>
    </w:p>
    <w:p w14:paraId="7CB01CE2">
      <w:pPr>
        <w:widowControl/>
        <w:spacing w:line="360" w:lineRule="auto"/>
        <w:jc w:val="left"/>
        <w:rPr>
          <w:rFonts w:hint="eastAsia" w:ascii="宋体" w:hAnsi="宋体" w:cs="宋体"/>
          <w:b w:val="0"/>
          <w:bCs w:val="0"/>
          <w:sz w:val="22"/>
          <w:szCs w:val="22"/>
          <w:highlight w:val="none"/>
        </w:rPr>
      </w:pPr>
      <w:r>
        <w:rPr>
          <w:rFonts w:hint="eastAsia" w:ascii="宋体" w:hAnsi="宋体" w:cs="宋体"/>
          <w:b w:val="0"/>
          <w:bCs w:val="0"/>
          <w:sz w:val="22"/>
          <w:szCs w:val="22"/>
          <w:highlight w:val="none"/>
        </w:rPr>
        <w:t>六、双方</w:t>
      </w:r>
      <w:bookmarkEnd w:id="93"/>
      <w:bookmarkEnd w:id="94"/>
      <w:bookmarkEnd w:id="95"/>
      <w:bookmarkEnd w:id="96"/>
      <w:bookmarkEnd w:id="97"/>
      <w:r>
        <w:rPr>
          <w:rFonts w:hint="eastAsia" w:ascii="宋体" w:hAnsi="宋体" w:cs="宋体"/>
          <w:b w:val="0"/>
          <w:sz w:val="22"/>
          <w:szCs w:val="22"/>
          <w:highlight w:val="none"/>
        </w:rPr>
        <w:t>责任和义务</w:t>
      </w:r>
    </w:p>
    <w:p w14:paraId="1F2C7197">
      <w:pPr>
        <w:spacing w:line="360" w:lineRule="auto"/>
        <w:ind w:firstLine="440" w:firstLineChars="200"/>
        <w:rPr>
          <w:rFonts w:hint="eastAsia" w:ascii="宋体" w:hAnsi="宋体" w:cs="宋体"/>
          <w:b w:val="0"/>
          <w:sz w:val="22"/>
          <w:szCs w:val="22"/>
          <w:highlight w:val="none"/>
        </w:rPr>
      </w:pPr>
      <w:r>
        <w:rPr>
          <w:rFonts w:hint="eastAsia" w:ascii="宋体" w:hAnsi="宋体" w:cs="宋体"/>
          <w:b w:val="0"/>
          <w:sz w:val="22"/>
          <w:szCs w:val="22"/>
          <w:highlight w:val="none"/>
        </w:rPr>
        <w:t>6.1甲方与乙方签订合同并开展投保工作，由甲方向乙方支付保费，乙方收到保费的次日向甲方提交生效的保险合同。</w:t>
      </w:r>
    </w:p>
    <w:p w14:paraId="4B4090DF">
      <w:pPr>
        <w:spacing w:line="360" w:lineRule="auto"/>
        <w:ind w:firstLine="440" w:firstLineChars="200"/>
        <w:rPr>
          <w:rFonts w:hint="eastAsia" w:ascii="宋体" w:hAnsi="宋体" w:cs="宋体"/>
          <w:b w:val="0"/>
          <w:sz w:val="22"/>
          <w:szCs w:val="22"/>
          <w:highlight w:val="none"/>
        </w:rPr>
      </w:pPr>
      <w:r>
        <w:rPr>
          <w:rFonts w:hint="eastAsia" w:ascii="宋体" w:hAnsi="宋体" w:cs="宋体"/>
          <w:b w:val="0"/>
          <w:sz w:val="22"/>
          <w:szCs w:val="22"/>
          <w:highlight w:val="none"/>
        </w:rPr>
        <w:t>6.2乙方应按合同约定提供承保、理赔服务。</w:t>
      </w:r>
    </w:p>
    <w:p w14:paraId="72BAFA76">
      <w:pPr>
        <w:spacing w:line="360" w:lineRule="auto"/>
        <w:ind w:firstLine="440" w:firstLineChars="200"/>
        <w:rPr>
          <w:rFonts w:hint="eastAsia" w:ascii="宋体" w:hAnsi="宋体" w:cs="宋体"/>
          <w:b w:val="0"/>
          <w:sz w:val="22"/>
          <w:szCs w:val="22"/>
          <w:highlight w:val="none"/>
        </w:rPr>
      </w:pPr>
      <w:r>
        <w:rPr>
          <w:rFonts w:hint="eastAsia" w:ascii="宋体" w:hAnsi="宋体" w:cs="宋体"/>
          <w:b w:val="0"/>
          <w:sz w:val="22"/>
          <w:szCs w:val="22"/>
          <w:highlight w:val="none"/>
        </w:rPr>
        <w:t>6.3合同生效后，甲、乙双方应按各自的职责，相互合作、紧密配合，积极推动本项目向健康、可持续方向发展。如乙方在实施中有违约、懈怠，影响到项目的整体开展，甲方提出后，仍未改进的，甲方可中止保险合作合同。</w:t>
      </w:r>
    </w:p>
    <w:p w14:paraId="35D4B09A">
      <w:pPr>
        <w:spacing w:line="360" w:lineRule="auto"/>
        <w:ind w:firstLine="440" w:firstLineChars="200"/>
        <w:rPr>
          <w:rFonts w:hint="eastAsia" w:ascii="宋体" w:hAnsi="宋体" w:cs="宋体"/>
          <w:b w:val="0"/>
          <w:sz w:val="22"/>
          <w:szCs w:val="22"/>
          <w:highlight w:val="none"/>
        </w:rPr>
      </w:pPr>
      <w:r>
        <w:rPr>
          <w:rFonts w:hint="eastAsia" w:ascii="宋体" w:hAnsi="宋体" w:cs="宋体"/>
          <w:b w:val="0"/>
          <w:sz w:val="22"/>
          <w:szCs w:val="22"/>
          <w:highlight w:val="none"/>
        </w:rPr>
        <w:t>6.4乙方向甲方委派的项目组人员应当固定，乙方保证项目组人员具备完成此次服务的相关资质、经验等条件，乙方更换人员必须经甲方书面同意。</w:t>
      </w:r>
    </w:p>
    <w:p w14:paraId="26A004A6">
      <w:pPr>
        <w:widowControl/>
        <w:numPr>
          <w:ilvl w:val="0"/>
          <w:numId w:val="1"/>
        </w:numPr>
        <w:spacing w:line="360" w:lineRule="auto"/>
        <w:jc w:val="left"/>
        <w:rPr>
          <w:rFonts w:hint="eastAsia" w:ascii="宋体" w:hAnsi="宋体" w:cs="宋体"/>
          <w:b w:val="0"/>
          <w:bCs w:val="0"/>
          <w:sz w:val="22"/>
          <w:szCs w:val="22"/>
          <w:highlight w:val="none"/>
        </w:rPr>
      </w:pPr>
      <w:bookmarkStart w:id="98" w:name="_Toc10830"/>
      <w:bookmarkStart w:id="99" w:name="_Toc622"/>
      <w:bookmarkStart w:id="100" w:name="_Toc16046"/>
      <w:bookmarkStart w:id="101" w:name="_Toc8287"/>
      <w:bookmarkStart w:id="102" w:name="_Toc30276"/>
      <w:r>
        <w:rPr>
          <w:rFonts w:hint="eastAsia" w:ascii="宋体" w:hAnsi="宋体" w:cs="宋体"/>
          <w:b w:val="0"/>
          <w:bCs w:val="0"/>
          <w:sz w:val="22"/>
          <w:szCs w:val="22"/>
          <w:highlight w:val="none"/>
        </w:rPr>
        <w:t>违约责任</w:t>
      </w:r>
      <w:bookmarkEnd w:id="98"/>
      <w:bookmarkEnd w:id="99"/>
      <w:bookmarkEnd w:id="100"/>
      <w:bookmarkEnd w:id="101"/>
      <w:bookmarkEnd w:id="102"/>
    </w:p>
    <w:p w14:paraId="2EAABE4C">
      <w:pPr>
        <w:widowControl/>
        <w:spacing w:line="360" w:lineRule="auto"/>
        <w:ind w:firstLine="440" w:firstLineChars="200"/>
        <w:rPr>
          <w:rFonts w:hint="eastAsia" w:ascii="宋体" w:hAnsi="宋体" w:cs="宋体"/>
          <w:b w:val="0"/>
          <w:sz w:val="22"/>
          <w:szCs w:val="22"/>
          <w:highlight w:val="none"/>
        </w:rPr>
      </w:pPr>
      <w:r>
        <w:rPr>
          <w:rFonts w:hint="eastAsia" w:ascii="宋体" w:hAnsi="宋体" w:cs="宋体"/>
          <w:b w:val="0"/>
          <w:sz w:val="22"/>
          <w:szCs w:val="22"/>
          <w:highlight w:val="none"/>
        </w:rPr>
        <w:t>7.1 除不可抗力外，如果乙方没有按照本合同约定的期限、地点和方式实施服务，那么甲方可要求乙方支付违约金，迟延履行违约金按每迟延履行一日的按1000元计算，最高限额为本合同总价的5%；迟延履行的违约金计算数额达到前述最高限额之日起，甲方有权在要求乙方支付违约金的同时，书面通知乙方终止本合同</w:t>
      </w:r>
      <w:r>
        <w:rPr>
          <w:rFonts w:hint="eastAsia"/>
          <w:b w:val="0"/>
          <w:highlight w:val="none"/>
        </w:rPr>
        <w:t>并退还已支付的合同金额</w:t>
      </w:r>
      <w:r>
        <w:rPr>
          <w:rFonts w:hint="eastAsia" w:ascii="宋体" w:hAnsi="宋体" w:cs="宋体"/>
          <w:b w:val="0"/>
          <w:sz w:val="22"/>
          <w:szCs w:val="22"/>
          <w:highlight w:val="none"/>
        </w:rPr>
        <w:t>；</w:t>
      </w:r>
    </w:p>
    <w:p w14:paraId="0ABD7D32">
      <w:pPr>
        <w:spacing w:line="360" w:lineRule="auto"/>
        <w:ind w:firstLine="440" w:firstLineChars="200"/>
        <w:rPr>
          <w:rFonts w:hint="eastAsia" w:ascii="宋体" w:hAnsi="宋体" w:cs="宋体"/>
          <w:b w:val="0"/>
          <w:sz w:val="22"/>
          <w:szCs w:val="22"/>
          <w:highlight w:val="none"/>
        </w:rPr>
      </w:pPr>
      <w:r>
        <w:rPr>
          <w:rFonts w:hint="eastAsia" w:ascii="宋体" w:hAnsi="宋体" w:cs="宋体"/>
          <w:b w:val="0"/>
          <w:sz w:val="22"/>
          <w:szCs w:val="22"/>
          <w:highlight w:val="none"/>
        </w:rPr>
        <w:t>7.4 除不可抗力外，任何一方未能履行本合同约定的其他主要义务，经催告后在合理期限内仍未履行的，或者任何一方有其他违约行为致使不能实现合同目的的，或者任何一方有腐败行为（即：提供或给予或接受或索取任何财物或其他好处或者采取其他不正当手段影响对方当事人在合同签订、履行过程中的行为）或者欺诈行为（即：以谎报事实或者隐瞒真相的方法来影响对方当事人在合同签订、履行过程中的行为）的，由有过错的一方依法承担违约责任，违约责任包括但不限于赔偿守约方的损失以及为了维权所支出的一切费用；如属各方当事人的过错，则根据各方当事人过错的实际情况，由各方当事人分别承担各自应负的违约责任。若发生违约情形，违约方依法依约承担其相应法律责任后，除非守约方书面通知违约方终止本合同的，本合同仍须继续履行；</w:t>
      </w:r>
    </w:p>
    <w:p w14:paraId="7BCAAE46">
      <w:pPr>
        <w:spacing w:line="360" w:lineRule="auto"/>
        <w:ind w:firstLine="440" w:firstLineChars="200"/>
        <w:rPr>
          <w:rFonts w:hint="eastAsia" w:ascii="宋体" w:hAnsi="宋体" w:cs="宋体"/>
          <w:b w:val="0"/>
          <w:sz w:val="22"/>
          <w:szCs w:val="22"/>
          <w:highlight w:val="none"/>
        </w:rPr>
      </w:pPr>
      <w:r>
        <w:rPr>
          <w:rFonts w:hint="eastAsia" w:ascii="宋体" w:hAnsi="宋体" w:cs="宋体"/>
          <w:b w:val="0"/>
          <w:sz w:val="22"/>
          <w:szCs w:val="22"/>
          <w:highlight w:val="none"/>
        </w:rPr>
        <w:t>7.5 除前述约定外，任何一方未能履行本合同约定的义务，对方当事人均有权要求继续履行、采取补救措施或者赔偿损失等，且对方当事人行使的任何权利救济方式均不视为其放弃了其他法定或者约定的权利救济方式；</w:t>
      </w:r>
    </w:p>
    <w:p w14:paraId="4B0A88A3">
      <w:pPr>
        <w:spacing w:line="360" w:lineRule="auto"/>
        <w:ind w:firstLine="440" w:firstLineChars="200"/>
        <w:rPr>
          <w:rFonts w:hint="eastAsia" w:ascii="宋体" w:hAnsi="宋体" w:cs="宋体"/>
          <w:b w:val="0"/>
          <w:sz w:val="22"/>
          <w:szCs w:val="22"/>
          <w:highlight w:val="none"/>
        </w:rPr>
      </w:pPr>
      <w:r>
        <w:rPr>
          <w:rFonts w:hint="eastAsia" w:ascii="宋体" w:hAnsi="宋体" w:cs="宋体"/>
          <w:b w:val="0"/>
          <w:sz w:val="22"/>
          <w:szCs w:val="22"/>
          <w:highlight w:val="none"/>
        </w:rPr>
        <w:t>7.6 以上违约金甲方可从履约保证金中扣罚，如合同履行过程中发生履约保证金扣罚情况，乙方必须在5个工作日内将扣罚部分金额补足，履约保证金总额保持不变。乙方未按要求补足履约保证金，甲方有权进一步采取措施直至单方面终止合同，相关责任由乙方承担；如违约方给甲方造成损失的，还应当负责赔偿。</w:t>
      </w:r>
    </w:p>
    <w:p w14:paraId="729A4C9C">
      <w:pPr>
        <w:spacing w:line="360" w:lineRule="auto"/>
        <w:ind w:firstLine="440" w:firstLineChars="200"/>
        <w:rPr>
          <w:rFonts w:hint="eastAsia" w:ascii="宋体" w:hAnsi="宋体" w:cs="宋体"/>
          <w:b w:val="0"/>
          <w:sz w:val="22"/>
          <w:szCs w:val="22"/>
          <w:highlight w:val="none"/>
        </w:rPr>
      </w:pPr>
      <w:r>
        <w:rPr>
          <w:rFonts w:hint="eastAsia" w:ascii="宋体" w:hAnsi="宋体" w:cs="宋体"/>
          <w:b w:val="0"/>
          <w:sz w:val="22"/>
          <w:szCs w:val="22"/>
          <w:highlight w:val="none"/>
        </w:rPr>
        <w:t>八、验收标准和方式</w:t>
      </w:r>
    </w:p>
    <w:p w14:paraId="193801AF">
      <w:pPr>
        <w:spacing w:line="360" w:lineRule="auto"/>
        <w:ind w:firstLine="440" w:firstLineChars="200"/>
        <w:rPr>
          <w:rFonts w:hint="eastAsia" w:ascii="宋体" w:hAnsi="宋体" w:cs="宋体"/>
          <w:b w:val="0"/>
          <w:sz w:val="22"/>
          <w:szCs w:val="22"/>
          <w:highlight w:val="none"/>
        </w:rPr>
      </w:pPr>
      <w:r>
        <w:rPr>
          <w:rFonts w:hint="eastAsia" w:ascii="宋体" w:hAnsi="宋体" w:cs="宋体"/>
          <w:b w:val="0"/>
          <w:sz w:val="22"/>
          <w:szCs w:val="22"/>
          <w:highlight w:val="none"/>
        </w:rPr>
        <w:t>8.1验收标准：按合同、采购文件要求的服务内容以及响应文件中乙方承诺的服务为标准。</w:t>
      </w:r>
    </w:p>
    <w:p w14:paraId="726945AB">
      <w:pPr>
        <w:spacing w:line="360" w:lineRule="auto"/>
        <w:ind w:firstLine="440" w:firstLineChars="200"/>
        <w:rPr>
          <w:rFonts w:hint="eastAsia" w:ascii="宋体" w:hAnsi="宋体" w:cs="宋体"/>
          <w:b w:val="0"/>
          <w:sz w:val="22"/>
          <w:szCs w:val="22"/>
          <w:highlight w:val="none"/>
        </w:rPr>
      </w:pPr>
      <w:r>
        <w:rPr>
          <w:rFonts w:hint="eastAsia" w:ascii="宋体" w:hAnsi="宋体" w:cs="宋体"/>
          <w:b w:val="0"/>
          <w:sz w:val="22"/>
          <w:szCs w:val="22"/>
          <w:highlight w:val="none"/>
        </w:rPr>
        <w:t>8.2验收方式：</w:t>
      </w:r>
    </w:p>
    <w:p w14:paraId="1503002F">
      <w:pPr>
        <w:spacing w:line="360" w:lineRule="auto"/>
        <w:ind w:firstLine="440" w:firstLineChars="200"/>
        <w:rPr>
          <w:rFonts w:hint="eastAsia" w:ascii="宋体" w:hAnsi="宋体" w:cs="宋体"/>
          <w:b w:val="0"/>
          <w:sz w:val="22"/>
          <w:szCs w:val="22"/>
          <w:highlight w:val="none"/>
        </w:rPr>
      </w:pPr>
      <w:r>
        <w:rPr>
          <w:rFonts w:hint="eastAsia" w:ascii="宋体" w:hAnsi="宋体" w:cs="宋体"/>
          <w:b w:val="0"/>
          <w:sz w:val="22"/>
          <w:szCs w:val="22"/>
          <w:highlight w:val="none"/>
        </w:rPr>
        <w:t>（1）保险服务期结束后，乙方根据验收标准为主要内容向甲方提出书面的验收申请，甲方需在乙方提出验收申请之日起30日内安排验收。</w:t>
      </w:r>
    </w:p>
    <w:p w14:paraId="36F288B7">
      <w:pPr>
        <w:spacing w:line="360" w:lineRule="auto"/>
        <w:ind w:firstLine="440" w:firstLineChars="200"/>
        <w:rPr>
          <w:rFonts w:hint="eastAsia" w:ascii="宋体" w:hAnsi="宋体" w:cs="宋体"/>
          <w:b w:val="0"/>
          <w:sz w:val="22"/>
          <w:szCs w:val="22"/>
          <w:highlight w:val="none"/>
        </w:rPr>
      </w:pPr>
      <w:r>
        <w:rPr>
          <w:rFonts w:hint="eastAsia" w:ascii="宋体" w:hAnsi="宋体" w:cs="宋体"/>
          <w:b w:val="0"/>
          <w:sz w:val="22"/>
          <w:szCs w:val="22"/>
          <w:highlight w:val="none"/>
        </w:rPr>
        <w:t>（2）甲方根据本合同约定对乙方保险服务项目进行验收，验收合格的由甲方出具验收证明。验收不合格的，乙方进行修改调整并达到合同及附件（采购文件、响应文件及评标过程中形成的文字资料、询标纪要）的约定。</w:t>
      </w:r>
    </w:p>
    <w:p w14:paraId="37853D72">
      <w:pPr>
        <w:spacing w:line="360" w:lineRule="auto"/>
        <w:ind w:firstLine="440" w:firstLineChars="200"/>
        <w:rPr>
          <w:rFonts w:hint="eastAsia" w:ascii="宋体" w:hAnsi="宋体" w:cs="宋体"/>
          <w:b w:val="0"/>
          <w:sz w:val="22"/>
          <w:szCs w:val="22"/>
          <w:highlight w:val="none"/>
        </w:rPr>
      </w:pPr>
      <w:r>
        <w:rPr>
          <w:rFonts w:hint="eastAsia" w:ascii="宋体" w:hAnsi="宋体" w:cs="宋体"/>
          <w:b w:val="0"/>
          <w:sz w:val="22"/>
          <w:szCs w:val="22"/>
          <w:highlight w:val="none"/>
        </w:rPr>
        <w:t>九、技术规范和知识产权</w:t>
      </w:r>
    </w:p>
    <w:p w14:paraId="22B1DD70">
      <w:pPr>
        <w:spacing w:line="360" w:lineRule="auto"/>
        <w:ind w:firstLine="440" w:firstLineChars="200"/>
        <w:rPr>
          <w:rFonts w:hint="eastAsia" w:ascii="宋体" w:hAnsi="宋体" w:cs="宋体"/>
          <w:b w:val="0"/>
          <w:sz w:val="22"/>
          <w:szCs w:val="22"/>
          <w:highlight w:val="none"/>
        </w:rPr>
      </w:pPr>
      <w:r>
        <w:rPr>
          <w:rFonts w:hint="eastAsia" w:ascii="宋体" w:hAnsi="宋体" w:cs="宋体"/>
          <w:b w:val="0"/>
          <w:sz w:val="22"/>
          <w:szCs w:val="22"/>
          <w:highlight w:val="none"/>
        </w:rPr>
        <w:t>服务所应遵守的技术规范应与采购文件规定的技术规范和技术规范附件(如果有的话)及其技术规范偏差表(如果被甲方接受的话)相一致；如果采购文件中没有技术规范的相应说明，那么应以国家有关部门最新颁布的相应标准和规范为准。</w:t>
      </w:r>
    </w:p>
    <w:p w14:paraId="0C415C67">
      <w:pPr>
        <w:widowControl/>
        <w:spacing w:line="360" w:lineRule="auto"/>
        <w:ind w:firstLine="440" w:firstLineChars="200"/>
        <w:jc w:val="left"/>
        <w:rPr>
          <w:rFonts w:hint="eastAsia" w:ascii="宋体" w:hAnsi="宋体" w:cs="宋体"/>
          <w:b w:val="0"/>
          <w:sz w:val="22"/>
          <w:szCs w:val="22"/>
          <w:highlight w:val="none"/>
        </w:rPr>
      </w:pPr>
      <w:bookmarkStart w:id="103" w:name="_Toc22718"/>
      <w:bookmarkStart w:id="104" w:name="_Toc11601"/>
      <w:bookmarkStart w:id="105" w:name="_Toc19408"/>
      <w:bookmarkStart w:id="106" w:name="_Toc6588"/>
      <w:bookmarkStart w:id="107" w:name="_Toc9955"/>
      <w:r>
        <w:rPr>
          <w:rFonts w:hint="eastAsia" w:ascii="宋体" w:hAnsi="宋体" w:cs="宋体"/>
          <w:b w:val="0"/>
          <w:sz w:val="22"/>
          <w:szCs w:val="22"/>
          <w:highlight w:val="none"/>
        </w:rPr>
        <w:t>乙方应保证其提供的服务不受任何第三方提出的侵犯其商标权等知识产权方面的起诉；如果任何第三方提出侵权指控，那么乙方须与该第三方交涉并承担由此发生的一切责任、费用和赔偿，乙方还应及时澄清相关信息，使甲方声誉免受损害，甲方保留追责的权利。</w:t>
      </w:r>
    </w:p>
    <w:p w14:paraId="2635A804">
      <w:pPr>
        <w:spacing w:line="360" w:lineRule="auto"/>
        <w:rPr>
          <w:rFonts w:hint="eastAsia" w:ascii="宋体" w:hAnsi="宋体" w:cs="宋体"/>
          <w:b w:val="0"/>
          <w:sz w:val="22"/>
          <w:szCs w:val="22"/>
          <w:highlight w:val="none"/>
        </w:rPr>
      </w:pPr>
      <w:r>
        <w:rPr>
          <w:rFonts w:hint="eastAsia" w:ascii="宋体" w:hAnsi="宋体" w:cs="宋体"/>
          <w:b w:val="0"/>
          <w:sz w:val="22"/>
          <w:szCs w:val="22"/>
          <w:highlight w:val="none"/>
        </w:rPr>
        <w:t>十、履约检查和问题反馈</w:t>
      </w:r>
    </w:p>
    <w:p w14:paraId="2D5C7777">
      <w:pPr>
        <w:spacing w:line="360" w:lineRule="auto"/>
        <w:ind w:firstLine="440" w:firstLineChars="200"/>
        <w:rPr>
          <w:rFonts w:hint="eastAsia" w:ascii="宋体" w:hAnsi="宋体" w:cs="宋体"/>
          <w:b w:val="0"/>
          <w:sz w:val="22"/>
          <w:szCs w:val="22"/>
          <w:highlight w:val="none"/>
        </w:rPr>
      </w:pPr>
      <w:r>
        <w:rPr>
          <w:rFonts w:hint="eastAsia" w:ascii="宋体" w:hAnsi="宋体" w:cs="宋体"/>
          <w:b w:val="0"/>
          <w:sz w:val="22"/>
          <w:szCs w:val="22"/>
          <w:highlight w:val="none"/>
        </w:rPr>
        <w:t>10.1甲方有权在其认为必要时，对乙方是否能够按照合同约定提供服务进行履约检查，以确保乙方所提供的服务能够依约满足甲方之项目需求，但不得因履约检查妨碍乙方的正常工作，乙方应予积极配合；</w:t>
      </w:r>
    </w:p>
    <w:p w14:paraId="7C50D067">
      <w:pPr>
        <w:spacing w:line="360" w:lineRule="auto"/>
        <w:ind w:firstLine="440" w:firstLineChars="200"/>
        <w:rPr>
          <w:rFonts w:hint="eastAsia" w:ascii="宋体" w:hAnsi="宋体" w:cs="宋体"/>
          <w:b w:val="0"/>
          <w:bCs w:val="0"/>
          <w:sz w:val="22"/>
          <w:szCs w:val="22"/>
          <w:highlight w:val="none"/>
        </w:rPr>
      </w:pPr>
      <w:r>
        <w:rPr>
          <w:rFonts w:hint="eastAsia" w:ascii="宋体" w:hAnsi="宋体" w:cs="宋体"/>
          <w:b w:val="0"/>
          <w:sz w:val="22"/>
          <w:szCs w:val="22"/>
          <w:highlight w:val="none"/>
        </w:rPr>
        <w:t>10.2 合同履行期间，甲方有权将履行过程中出现的问题反馈给乙方，双方当事人应以书面形式约定需要完善和改进的内容。</w:t>
      </w:r>
      <w:bookmarkEnd w:id="103"/>
      <w:bookmarkEnd w:id="104"/>
      <w:bookmarkEnd w:id="105"/>
      <w:bookmarkEnd w:id="106"/>
      <w:bookmarkEnd w:id="107"/>
      <w:bookmarkStart w:id="108" w:name="_Toc9474"/>
      <w:bookmarkStart w:id="109" w:name="_Toc388"/>
      <w:bookmarkStart w:id="110" w:name="_Toc27205"/>
      <w:bookmarkStart w:id="111" w:name="_Toc7593"/>
      <w:bookmarkStart w:id="112" w:name="_Toc25681"/>
    </w:p>
    <w:p w14:paraId="260D8D81">
      <w:pPr>
        <w:widowControl/>
        <w:spacing w:line="360" w:lineRule="auto"/>
        <w:jc w:val="left"/>
        <w:rPr>
          <w:rFonts w:hint="eastAsia" w:ascii="宋体" w:hAnsi="宋体" w:cs="宋体"/>
          <w:b w:val="0"/>
          <w:bCs w:val="0"/>
          <w:sz w:val="22"/>
          <w:szCs w:val="22"/>
          <w:highlight w:val="none"/>
        </w:rPr>
      </w:pPr>
      <w:r>
        <w:rPr>
          <w:rFonts w:hint="eastAsia" w:ascii="宋体" w:hAnsi="宋体" w:cs="宋体"/>
          <w:b w:val="0"/>
          <w:bCs w:val="0"/>
          <w:sz w:val="22"/>
          <w:szCs w:val="22"/>
          <w:highlight w:val="none"/>
        </w:rPr>
        <w:t>十一、技术资料和保密义务</w:t>
      </w:r>
      <w:bookmarkEnd w:id="108"/>
      <w:bookmarkEnd w:id="109"/>
      <w:bookmarkEnd w:id="110"/>
      <w:bookmarkEnd w:id="111"/>
      <w:bookmarkEnd w:id="112"/>
    </w:p>
    <w:p w14:paraId="627196A2">
      <w:pPr>
        <w:spacing w:line="360" w:lineRule="auto"/>
        <w:ind w:firstLine="440" w:firstLineChars="200"/>
        <w:rPr>
          <w:rFonts w:hint="eastAsia" w:ascii="宋体" w:hAnsi="宋体" w:cs="宋体"/>
          <w:b w:val="0"/>
          <w:sz w:val="22"/>
          <w:szCs w:val="22"/>
          <w:highlight w:val="none"/>
        </w:rPr>
      </w:pPr>
      <w:r>
        <w:rPr>
          <w:rFonts w:hint="eastAsia" w:ascii="宋体" w:hAnsi="宋体" w:cs="宋体"/>
          <w:b w:val="0"/>
          <w:sz w:val="22"/>
          <w:szCs w:val="22"/>
          <w:highlight w:val="none"/>
        </w:rPr>
        <w:t>11.1 乙方有权依据合同约定和项目需要，向甲方了解有关情况，调阅有关资料等，甲方应予积极配合；</w:t>
      </w:r>
    </w:p>
    <w:p w14:paraId="7D46943C">
      <w:pPr>
        <w:spacing w:line="360" w:lineRule="auto"/>
        <w:ind w:firstLine="440" w:firstLineChars="200"/>
        <w:rPr>
          <w:rFonts w:hint="eastAsia" w:ascii="宋体" w:hAnsi="宋体" w:cs="宋体"/>
          <w:b w:val="0"/>
          <w:sz w:val="22"/>
          <w:szCs w:val="22"/>
          <w:highlight w:val="none"/>
        </w:rPr>
      </w:pPr>
      <w:r>
        <w:rPr>
          <w:rFonts w:hint="eastAsia" w:ascii="宋体" w:hAnsi="宋体" w:cs="宋体"/>
          <w:b w:val="0"/>
          <w:sz w:val="22"/>
          <w:szCs w:val="22"/>
          <w:highlight w:val="none"/>
        </w:rPr>
        <w:t>11.2 乙方有义务妥善保管和保护由甲方提供的前款信息和资料等；</w:t>
      </w:r>
    </w:p>
    <w:p w14:paraId="226F3C5C">
      <w:pPr>
        <w:spacing w:line="360" w:lineRule="auto"/>
        <w:ind w:firstLine="440" w:firstLineChars="200"/>
        <w:rPr>
          <w:rFonts w:hint="eastAsia" w:ascii="宋体" w:hAnsi="宋体" w:cs="宋体"/>
          <w:b w:val="0"/>
          <w:sz w:val="22"/>
          <w:szCs w:val="22"/>
          <w:highlight w:val="none"/>
        </w:rPr>
      </w:pPr>
      <w:r>
        <w:rPr>
          <w:rFonts w:hint="eastAsia" w:ascii="宋体" w:hAnsi="宋体" w:cs="宋体"/>
          <w:b w:val="0"/>
          <w:sz w:val="22"/>
          <w:szCs w:val="22"/>
          <w:highlight w:val="none"/>
        </w:rPr>
        <w:t>11.3 除非依照法律规定或者对方当事人的书面同意，任何一方均应保证不向任何第三方提供或披露有关合同的或者履行合同过程中知悉的对方当事人任何未公开的信息和资料，包括但不限于技术情报、技术资料、商业秘密和商业信息等，并采取一切合理和必要措施和方式防止任何第三方接触到对方当事人的上述保密信息和资料。</w:t>
      </w:r>
    </w:p>
    <w:p w14:paraId="1992C5A9">
      <w:pPr>
        <w:spacing w:line="360" w:lineRule="auto"/>
        <w:outlineLvl w:val="0"/>
        <w:rPr>
          <w:rFonts w:hint="eastAsia" w:ascii="宋体" w:hAnsi="宋体" w:cs="宋体"/>
          <w:b w:val="0"/>
          <w:sz w:val="22"/>
          <w:szCs w:val="22"/>
          <w:highlight w:val="none"/>
        </w:rPr>
      </w:pPr>
      <w:bookmarkStart w:id="113" w:name="_Toc5917"/>
      <w:bookmarkStart w:id="114" w:name="_Toc19198"/>
      <w:bookmarkStart w:id="115" w:name="_Toc1634"/>
      <w:bookmarkStart w:id="116" w:name="_Toc26434"/>
      <w:bookmarkStart w:id="117" w:name="_Toc11501"/>
      <w:r>
        <w:rPr>
          <w:rFonts w:hint="eastAsia" w:ascii="宋体" w:hAnsi="宋体" w:cs="宋体"/>
          <w:b w:val="0"/>
          <w:bCs w:val="0"/>
          <w:sz w:val="22"/>
          <w:szCs w:val="22"/>
          <w:highlight w:val="none"/>
        </w:rPr>
        <w:t>十二、</w:t>
      </w:r>
      <w:bookmarkEnd w:id="113"/>
      <w:bookmarkEnd w:id="114"/>
      <w:bookmarkEnd w:id="115"/>
      <w:bookmarkEnd w:id="116"/>
      <w:bookmarkEnd w:id="117"/>
      <w:r>
        <w:rPr>
          <w:rFonts w:hint="eastAsia" w:ascii="宋体" w:hAnsi="宋体" w:cs="宋体"/>
          <w:b w:val="0"/>
          <w:sz w:val="22"/>
          <w:szCs w:val="22"/>
          <w:highlight w:val="none"/>
        </w:rPr>
        <w:t>质量保证</w:t>
      </w:r>
    </w:p>
    <w:p w14:paraId="3C868908">
      <w:pPr>
        <w:spacing w:line="360" w:lineRule="auto"/>
        <w:ind w:firstLine="440" w:firstLineChars="200"/>
        <w:rPr>
          <w:rFonts w:hint="eastAsia" w:ascii="宋体" w:hAnsi="宋体" w:cs="宋体"/>
          <w:b w:val="0"/>
          <w:sz w:val="22"/>
          <w:szCs w:val="22"/>
          <w:highlight w:val="none"/>
        </w:rPr>
      </w:pPr>
      <w:r>
        <w:rPr>
          <w:rFonts w:hint="eastAsia" w:ascii="宋体" w:hAnsi="宋体" w:cs="宋体"/>
          <w:b w:val="0"/>
          <w:sz w:val="22"/>
          <w:szCs w:val="22"/>
          <w:highlight w:val="none"/>
        </w:rPr>
        <w:t>12.1 乙方应建立和完善履行合同的内部质量保证体系，并提供相关内部规章制度给甲方，以便甲方进行监督检查；</w:t>
      </w:r>
    </w:p>
    <w:p w14:paraId="20EA27EA">
      <w:pPr>
        <w:spacing w:line="360" w:lineRule="auto"/>
        <w:ind w:firstLine="440" w:firstLineChars="200"/>
        <w:rPr>
          <w:rFonts w:hint="eastAsia" w:ascii="宋体" w:hAnsi="宋体" w:cs="宋体"/>
          <w:b w:val="0"/>
          <w:sz w:val="22"/>
          <w:szCs w:val="22"/>
          <w:highlight w:val="none"/>
        </w:rPr>
      </w:pPr>
      <w:r>
        <w:rPr>
          <w:rFonts w:hint="eastAsia" w:ascii="宋体" w:hAnsi="宋体" w:cs="宋体"/>
          <w:b w:val="0"/>
          <w:sz w:val="22"/>
          <w:szCs w:val="22"/>
          <w:highlight w:val="none"/>
        </w:rPr>
        <w:t>12.2 乙方应保证履行合同的人员数量和素质、软件和硬件设备的配置、场地、环境和设施等满足全面履行合同的要求，并应接受甲方的监督检查。</w:t>
      </w:r>
    </w:p>
    <w:p w14:paraId="503F3A07">
      <w:pPr>
        <w:spacing w:line="360" w:lineRule="auto"/>
        <w:outlineLvl w:val="0"/>
        <w:rPr>
          <w:rFonts w:hint="eastAsia" w:ascii="宋体" w:hAnsi="宋体" w:cs="宋体"/>
          <w:b w:val="0"/>
          <w:sz w:val="22"/>
          <w:szCs w:val="22"/>
          <w:highlight w:val="none"/>
        </w:rPr>
      </w:pPr>
      <w:bookmarkStart w:id="118" w:name="_Toc22267"/>
      <w:r>
        <w:rPr>
          <w:rFonts w:hint="eastAsia" w:ascii="宋体" w:hAnsi="宋体" w:cs="宋体"/>
          <w:b w:val="0"/>
          <w:sz w:val="22"/>
          <w:szCs w:val="22"/>
          <w:highlight w:val="none"/>
        </w:rPr>
        <w:t>十三、延迟履行</w:t>
      </w:r>
      <w:bookmarkEnd w:id="118"/>
    </w:p>
    <w:p w14:paraId="3E7E344D">
      <w:pPr>
        <w:spacing w:line="360" w:lineRule="auto"/>
        <w:ind w:firstLine="440" w:firstLineChars="200"/>
        <w:rPr>
          <w:rFonts w:hint="eastAsia" w:ascii="宋体" w:hAnsi="宋体" w:cs="宋体"/>
          <w:b w:val="0"/>
          <w:sz w:val="22"/>
          <w:szCs w:val="22"/>
          <w:highlight w:val="none"/>
        </w:rPr>
      </w:pPr>
      <w:r>
        <w:rPr>
          <w:rFonts w:hint="eastAsia" w:ascii="宋体" w:hAnsi="宋体" w:cs="宋体"/>
          <w:b w:val="0"/>
          <w:sz w:val="22"/>
          <w:szCs w:val="22"/>
          <w:highlight w:val="none"/>
        </w:rPr>
        <w:t>甲乙双方签订合同后，乙方应按照合同约定履行合同义务，除不可抗力外，乙方不得延迟履行。在合同履行过程中，如果因不可抗力，乙方遇到不能按时提供服务的情况，应及时以书面形式将不能按时提供服务的理由、预期延误时间通知甲方；甲方收到乙方通知后，认为其理由正当的，可以书面形式酌情同意乙方可以延长履行的具体时间。</w:t>
      </w:r>
    </w:p>
    <w:p w14:paraId="0D6DC7ED">
      <w:pPr>
        <w:spacing w:line="360" w:lineRule="auto"/>
        <w:outlineLvl w:val="0"/>
        <w:rPr>
          <w:rFonts w:hint="eastAsia" w:ascii="宋体" w:hAnsi="宋体" w:cs="宋体"/>
          <w:b w:val="0"/>
          <w:sz w:val="22"/>
          <w:szCs w:val="22"/>
          <w:highlight w:val="none"/>
        </w:rPr>
      </w:pPr>
      <w:bookmarkStart w:id="119" w:name="_Toc22033"/>
      <w:bookmarkStart w:id="120" w:name="_Toc23920"/>
      <w:bookmarkStart w:id="121" w:name="_Toc25941"/>
      <w:bookmarkStart w:id="122" w:name="_Toc16306"/>
      <w:bookmarkStart w:id="123" w:name="_Toc6344"/>
      <w:r>
        <w:rPr>
          <w:rFonts w:hint="eastAsia" w:ascii="宋体" w:hAnsi="宋体" w:cs="宋体"/>
          <w:b w:val="0"/>
          <w:sz w:val="22"/>
          <w:szCs w:val="22"/>
          <w:highlight w:val="none"/>
        </w:rPr>
        <w:t>十四、合同变更</w:t>
      </w:r>
    </w:p>
    <w:p w14:paraId="73A01970">
      <w:pPr>
        <w:spacing w:line="360" w:lineRule="auto"/>
        <w:ind w:firstLine="440" w:firstLineChars="200"/>
        <w:rPr>
          <w:rFonts w:hint="eastAsia" w:ascii="宋体" w:hAnsi="宋体" w:cs="宋体"/>
          <w:b w:val="0"/>
          <w:sz w:val="22"/>
          <w:szCs w:val="22"/>
          <w:highlight w:val="none"/>
        </w:rPr>
      </w:pPr>
      <w:r>
        <w:rPr>
          <w:rFonts w:hint="eastAsia" w:ascii="宋体" w:hAnsi="宋体" w:cs="宋体"/>
          <w:b w:val="0"/>
          <w:sz w:val="22"/>
          <w:szCs w:val="22"/>
          <w:highlight w:val="none"/>
        </w:rPr>
        <w:t>合同继续履行将损害国家利益和社会公共利益的，双方当事人应当以书面形式变更合同。有过错的一方应当承担赔偿责任，双方当事人都有过错的，各自承担相应的责任。</w:t>
      </w:r>
    </w:p>
    <w:p w14:paraId="43FBE9AE">
      <w:pPr>
        <w:spacing w:line="360" w:lineRule="auto"/>
        <w:outlineLvl w:val="0"/>
        <w:rPr>
          <w:rFonts w:hint="eastAsia" w:ascii="宋体" w:hAnsi="宋体" w:cs="宋体"/>
          <w:b w:val="0"/>
          <w:sz w:val="22"/>
          <w:szCs w:val="22"/>
          <w:highlight w:val="none"/>
        </w:rPr>
      </w:pPr>
      <w:bookmarkStart w:id="124" w:name="_Toc23368"/>
      <w:bookmarkStart w:id="125" w:name="_Toc21830"/>
      <w:bookmarkStart w:id="126" w:name="_Toc42"/>
      <w:bookmarkStart w:id="127" w:name="_Toc26689"/>
      <w:bookmarkStart w:id="128" w:name="_Toc10663"/>
      <w:r>
        <w:rPr>
          <w:rFonts w:hint="eastAsia" w:ascii="宋体" w:hAnsi="宋体" w:cs="宋体"/>
          <w:b w:val="0"/>
          <w:sz w:val="22"/>
          <w:szCs w:val="22"/>
          <w:highlight w:val="none"/>
        </w:rPr>
        <w:t>十五、合同转让和分包</w:t>
      </w:r>
      <w:bookmarkEnd w:id="124"/>
      <w:bookmarkEnd w:id="125"/>
      <w:bookmarkEnd w:id="126"/>
      <w:bookmarkEnd w:id="127"/>
      <w:bookmarkEnd w:id="128"/>
    </w:p>
    <w:p w14:paraId="16A09859">
      <w:pPr>
        <w:spacing w:line="360" w:lineRule="auto"/>
        <w:ind w:firstLine="440" w:firstLineChars="200"/>
        <w:rPr>
          <w:rFonts w:hint="eastAsia" w:ascii="宋体" w:hAnsi="宋体" w:cs="宋体"/>
          <w:b w:val="0"/>
          <w:sz w:val="22"/>
          <w:szCs w:val="22"/>
          <w:highlight w:val="none"/>
        </w:rPr>
      </w:pPr>
      <w:r>
        <w:rPr>
          <w:rFonts w:hint="eastAsia" w:ascii="宋体" w:hAnsi="宋体" w:cs="宋体"/>
          <w:b w:val="0"/>
          <w:sz w:val="22"/>
          <w:szCs w:val="22"/>
          <w:highlight w:val="none"/>
        </w:rPr>
        <w:t>合同的权利义务依法不得转让和分包。</w:t>
      </w:r>
    </w:p>
    <w:p w14:paraId="41499D81">
      <w:pPr>
        <w:widowControl/>
        <w:spacing w:line="360" w:lineRule="auto"/>
        <w:jc w:val="left"/>
        <w:rPr>
          <w:rFonts w:hint="eastAsia" w:ascii="宋体" w:hAnsi="宋体" w:cs="宋体"/>
          <w:b w:val="0"/>
          <w:bCs w:val="0"/>
          <w:sz w:val="22"/>
          <w:szCs w:val="22"/>
          <w:highlight w:val="none"/>
        </w:rPr>
      </w:pPr>
      <w:r>
        <w:rPr>
          <w:rFonts w:hint="eastAsia" w:ascii="宋体" w:hAnsi="宋体" w:cs="宋体"/>
          <w:b w:val="0"/>
          <w:bCs w:val="0"/>
          <w:sz w:val="22"/>
          <w:szCs w:val="22"/>
          <w:highlight w:val="none"/>
        </w:rPr>
        <w:t>十六、不可抗力</w:t>
      </w:r>
      <w:bookmarkEnd w:id="119"/>
      <w:bookmarkEnd w:id="120"/>
      <w:bookmarkEnd w:id="121"/>
      <w:bookmarkEnd w:id="122"/>
      <w:bookmarkEnd w:id="123"/>
    </w:p>
    <w:p w14:paraId="68E51329">
      <w:pPr>
        <w:spacing w:line="360" w:lineRule="auto"/>
        <w:ind w:firstLine="440" w:firstLineChars="200"/>
        <w:rPr>
          <w:rFonts w:hint="eastAsia" w:ascii="宋体" w:hAnsi="宋体" w:cs="宋体"/>
          <w:b w:val="0"/>
          <w:sz w:val="22"/>
          <w:szCs w:val="22"/>
          <w:highlight w:val="none"/>
        </w:rPr>
      </w:pPr>
      <w:r>
        <w:rPr>
          <w:rFonts w:hint="eastAsia" w:ascii="宋体" w:hAnsi="宋体" w:cs="宋体"/>
          <w:b w:val="0"/>
          <w:sz w:val="22"/>
          <w:szCs w:val="22"/>
          <w:highlight w:val="none"/>
        </w:rPr>
        <w:t>如果双方中任何一方由于战争、严重火灾、水灾、破坏性台风和地震以及其它经双方同意属不可抗力的事故，致使合同履行受阻时，经双方协商，履行合同期限可予延长，延长时限应相当于事故所影响的时间，或双方协商解决。</w:t>
      </w:r>
    </w:p>
    <w:p w14:paraId="4E2E21F1">
      <w:pPr>
        <w:widowControl/>
        <w:spacing w:line="360" w:lineRule="auto"/>
        <w:jc w:val="left"/>
        <w:rPr>
          <w:rFonts w:hint="eastAsia" w:ascii="宋体" w:hAnsi="宋体" w:cs="宋体"/>
          <w:b w:val="0"/>
          <w:bCs w:val="0"/>
          <w:sz w:val="22"/>
          <w:szCs w:val="22"/>
          <w:highlight w:val="none"/>
        </w:rPr>
      </w:pPr>
      <w:bookmarkStart w:id="129" w:name="_Toc16142"/>
      <w:bookmarkStart w:id="130" w:name="_Toc5959"/>
      <w:bookmarkStart w:id="131" w:name="_Toc14030"/>
      <w:bookmarkStart w:id="132" w:name="_Toc10278"/>
      <w:bookmarkStart w:id="133" w:name="_Toc386"/>
      <w:r>
        <w:rPr>
          <w:rFonts w:hint="eastAsia" w:ascii="宋体" w:hAnsi="宋体" w:cs="宋体"/>
          <w:b w:val="0"/>
          <w:bCs w:val="0"/>
          <w:sz w:val="22"/>
          <w:szCs w:val="22"/>
          <w:highlight w:val="none"/>
        </w:rPr>
        <w:t>十七、税费</w:t>
      </w:r>
      <w:bookmarkEnd w:id="129"/>
      <w:bookmarkEnd w:id="130"/>
      <w:bookmarkEnd w:id="131"/>
      <w:bookmarkEnd w:id="132"/>
      <w:bookmarkEnd w:id="133"/>
    </w:p>
    <w:p w14:paraId="066F9F2E">
      <w:pPr>
        <w:spacing w:line="360" w:lineRule="auto"/>
        <w:ind w:firstLine="440" w:firstLineChars="200"/>
        <w:rPr>
          <w:rFonts w:hint="eastAsia" w:ascii="宋体" w:hAnsi="宋体" w:cs="宋体"/>
          <w:b w:val="0"/>
          <w:sz w:val="22"/>
          <w:szCs w:val="22"/>
          <w:highlight w:val="none"/>
        </w:rPr>
      </w:pPr>
      <w:r>
        <w:rPr>
          <w:rFonts w:hint="eastAsia" w:ascii="宋体" w:hAnsi="宋体" w:cs="宋体"/>
          <w:b w:val="0"/>
          <w:sz w:val="22"/>
          <w:szCs w:val="22"/>
          <w:highlight w:val="none"/>
        </w:rPr>
        <w:t>与合同有关的一切税费，均按照中华人民共和国法律的相关规定。</w:t>
      </w:r>
    </w:p>
    <w:p w14:paraId="36CD1B8B">
      <w:pPr>
        <w:widowControl/>
        <w:spacing w:line="360" w:lineRule="auto"/>
        <w:jc w:val="left"/>
        <w:rPr>
          <w:rFonts w:hint="eastAsia" w:ascii="宋体" w:hAnsi="宋体" w:cs="宋体"/>
          <w:b w:val="0"/>
          <w:bCs w:val="0"/>
          <w:sz w:val="22"/>
          <w:szCs w:val="22"/>
          <w:highlight w:val="none"/>
        </w:rPr>
      </w:pPr>
      <w:bookmarkStart w:id="134" w:name="_Toc24018"/>
      <w:bookmarkStart w:id="135" w:name="_Toc12172"/>
      <w:bookmarkStart w:id="136" w:name="_Toc23153"/>
      <w:bookmarkStart w:id="137" w:name="_Toc23347"/>
      <w:bookmarkStart w:id="138" w:name="_Toc25781"/>
      <w:r>
        <w:rPr>
          <w:rFonts w:hint="eastAsia" w:ascii="宋体" w:hAnsi="宋体" w:cs="宋体"/>
          <w:b w:val="0"/>
          <w:bCs w:val="0"/>
          <w:sz w:val="22"/>
          <w:szCs w:val="22"/>
          <w:highlight w:val="none"/>
        </w:rPr>
        <w:t>十八、乙方破产</w:t>
      </w:r>
      <w:bookmarkEnd w:id="134"/>
      <w:bookmarkEnd w:id="135"/>
      <w:bookmarkEnd w:id="136"/>
      <w:bookmarkEnd w:id="137"/>
      <w:bookmarkEnd w:id="138"/>
    </w:p>
    <w:p w14:paraId="3D78FB7E">
      <w:pPr>
        <w:spacing w:line="360" w:lineRule="auto"/>
        <w:ind w:firstLine="440" w:firstLineChars="200"/>
        <w:rPr>
          <w:rFonts w:hint="eastAsia" w:ascii="宋体" w:hAnsi="宋体" w:cs="宋体"/>
          <w:b w:val="0"/>
          <w:sz w:val="22"/>
          <w:szCs w:val="22"/>
          <w:highlight w:val="none"/>
        </w:rPr>
      </w:pPr>
      <w:r>
        <w:rPr>
          <w:rFonts w:hint="eastAsia" w:ascii="宋体" w:hAnsi="宋体" w:cs="宋体"/>
          <w:b w:val="0"/>
          <w:sz w:val="22"/>
          <w:szCs w:val="22"/>
          <w:highlight w:val="none"/>
        </w:rPr>
        <w:t>如果乙方破产导致合同无法履行时，甲方可以书面形式通知乙方终止合同且不给予乙方任何补偿和赔偿，但合同的终止不损害或不影响甲方已经采取或将要采取的任何要求乙方支付违约金、赔偿损失等的行动或补救措施的权利。</w:t>
      </w:r>
    </w:p>
    <w:p w14:paraId="16EA8EEA">
      <w:pPr>
        <w:widowControl/>
        <w:spacing w:line="360" w:lineRule="auto"/>
        <w:jc w:val="left"/>
        <w:rPr>
          <w:rFonts w:hint="eastAsia" w:ascii="宋体" w:hAnsi="宋体" w:cs="宋体"/>
          <w:b w:val="0"/>
          <w:bCs w:val="0"/>
          <w:sz w:val="22"/>
          <w:szCs w:val="22"/>
          <w:highlight w:val="none"/>
        </w:rPr>
      </w:pPr>
      <w:bookmarkStart w:id="139" w:name="_Toc32186"/>
      <w:bookmarkStart w:id="140" w:name="_Toc5035"/>
      <w:bookmarkStart w:id="141" w:name="_Toc21398"/>
      <w:bookmarkStart w:id="142" w:name="_Toc6134"/>
      <w:bookmarkStart w:id="143" w:name="_Toc22679"/>
      <w:bookmarkStart w:id="144" w:name="_Toc29333"/>
      <w:bookmarkStart w:id="145" w:name="_Toc8620"/>
      <w:bookmarkStart w:id="146" w:name="_Toc15387"/>
      <w:r>
        <w:rPr>
          <w:rFonts w:hint="eastAsia" w:ascii="宋体" w:hAnsi="宋体" w:cs="宋体"/>
          <w:b w:val="0"/>
          <w:bCs w:val="0"/>
          <w:sz w:val="22"/>
          <w:szCs w:val="22"/>
          <w:highlight w:val="none"/>
        </w:rPr>
        <w:t>十九、合同中止、终止</w:t>
      </w:r>
      <w:bookmarkEnd w:id="139"/>
      <w:bookmarkEnd w:id="140"/>
      <w:bookmarkEnd w:id="141"/>
      <w:bookmarkEnd w:id="142"/>
      <w:bookmarkEnd w:id="143"/>
      <w:bookmarkEnd w:id="144"/>
      <w:bookmarkEnd w:id="145"/>
      <w:bookmarkEnd w:id="146"/>
    </w:p>
    <w:p w14:paraId="2CDDD2E3">
      <w:pPr>
        <w:spacing w:line="360" w:lineRule="auto"/>
        <w:ind w:firstLine="440" w:firstLineChars="200"/>
        <w:rPr>
          <w:rFonts w:hint="eastAsia" w:ascii="宋体" w:hAnsi="宋体" w:cs="宋体"/>
          <w:b w:val="0"/>
          <w:sz w:val="22"/>
          <w:szCs w:val="22"/>
          <w:highlight w:val="none"/>
        </w:rPr>
      </w:pPr>
      <w:r>
        <w:rPr>
          <w:rFonts w:hint="eastAsia" w:ascii="宋体" w:hAnsi="宋体" w:cs="宋体"/>
          <w:b w:val="0"/>
          <w:sz w:val="22"/>
          <w:szCs w:val="22"/>
          <w:highlight w:val="none"/>
        </w:rPr>
        <w:t>19.1 双方当事人不得擅自中止或者终止合同；</w:t>
      </w:r>
    </w:p>
    <w:p w14:paraId="5916D96D">
      <w:pPr>
        <w:spacing w:line="360" w:lineRule="auto"/>
        <w:ind w:firstLine="440" w:firstLineChars="200"/>
        <w:rPr>
          <w:rFonts w:hint="eastAsia" w:ascii="宋体" w:hAnsi="宋体" w:cs="宋体"/>
          <w:b w:val="0"/>
          <w:sz w:val="22"/>
          <w:szCs w:val="22"/>
          <w:highlight w:val="none"/>
        </w:rPr>
      </w:pPr>
      <w:r>
        <w:rPr>
          <w:rFonts w:hint="eastAsia" w:ascii="宋体" w:hAnsi="宋体" w:cs="宋体"/>
          <w:b w:val="0"/>
          <w:sz w:val="22"/>
          <w:szCs w:val="22"/>
          <w:highlight w:val="none"/>
        </w:rPr>
        <w:t>19.2 合同继续履行将损害国家利益和社会公共利益的，双方当事人应当中止或者终止合同。有过错的一方应当承担赔偿责任，双方当事人都有过错的，各自承担相应的责任。</w:t>
      </w:r>
    </w:p>
    <w:p w14:paraId="72084034">
      <w:pPr>
        <w:spacing w:line="360" w:lineRule="auto"/>
        <w:outlineLvl w:val="0"/>
        <w:rPr>
          <w:rFonts w:hint="eastAsia" w:ascii="宋体" w:hAnsi="宋体" w:cs="宋体"/>
          <w:b w:val="0"/>
          <w:sz w:val="22"/>
          <w:szCs w:val="22"/>
          <w:highlight w:val="none"/>
        </w:rPr>
      </w:pPr>
      <w:bookmarkStart w:id="147" w:name="_Toc15687"/>
      <w:bookmarkStart w:id="148" w:name="_Toc8632"/>
      <w:bookmarkStart w:id="149" w:name="_Toc25706"/>
      <w:bookmarkStart w:id="150" w:name="_Toc2751"/>
      <w:bookmarkStart w:id="151" w:name="_Toc8270"/>
      <w:r>
        <w:rPr>
          <w:rFonts w:hint="eastAsia" w:ascii="宋体" w:hAnsi="宋体" w:cs="宋体"/>
          <w:b w:val="0"/>
          <w:bCs w:val="0"/>
          <w:sz w:val="22"/>
          <w:szCs w:val="22"/>
          <w:highlight w:val="none"/>
        </w:rPr>
        <w:t>二十、</w:t>
      </w:r>
      <w:bookmarkEnd w:id="147"/>
      <w:bookmarkEnd w:id="148"/>
      <w:bookmarkEnd w:id="149"/>
      <w:bookmarkEnd w:id="150"/>
      <w:bookmarkEnd w:id="151"/>
      <w:bookmarkStart w:id="152" w:name="_Toc983"/>
      <w:bookmarkStart w:id="153" w:name="_Toc17590"/>
      <w:bookmarkStart w:id="154" w:name="_Toc16814"/>
      <w:bookmarkStart w:id="155" w:name="_Toc13471"/>
      <w:bookmarkStart w:id="156" w:name="_Toc8843"/>
      <w:r>
        <w:rPr>
          <w:rFonts w:hint="eastAsia" w:ascii="宋体" w:hAnsi="宋体" w:cs="宋体"/>
          <w:b w:val="0"/>
          <w:sz w:val="22"/>
          <w:szCs w:val="22"/>
          <w:highlight w:val="none"/>
        </w:rPr>
        <w:t>通知和送达</w:t>
      </w:r>
    </w:p>
    <w:p w14:paraId="2F29D214">
      <w:pPr>
        <w:spacing w:line="360" w:lineRule="auto"/>
        <w:ind w:firstLine="440" w:firstLineChars="200"/>
        <w:rPr>
          <w:rFonts w:hint="eastAsia" w:ascii="宋体" w:hAnsi="宋体" w:cs="宋体"/>
          <w:b w:val="0"/>
          <w:sz w:val="22"/>
          <w:szCs w:val="22"/>
          <w:highlight w:val="none"/>
        </w:rPr>
      </w:pPr>
      <w:bookmarkStart w:id="157" w:name="_Toc27674"/>
      <w:bookmarkStart w:id="158" w:name="_Toc18401"/>
      <w:r>
        <w:rPr>
          <w:rFonts w:hint="eastAsia" w:ascii="宋体" w:hAnsi="宋体" w:cs="宋体"/>
          <w:b w:val="0"/>
          <w:sz w:val="22"/>
          <w:szCs w:val="22"/>
          <w:highlight w:val="none"/>
        </w:rPr>
        <w:t>20.1任何一方因履行合同而以合同第一部分尾部所列明的传真或电子邮件发出的所有通知、文件、材料，均视为已向对方当事人送达；任何一方变更上述送达方式或者地址的，应于</w:t>
      </w:r>
      <w:r>
        <w:rPr>
          <w:rFonts w:hint="eastAsia" w:ascii="宋体" w:hAnsi="宋体" w:cs="宋体"/>
          <w:b w:val="0"/>
          <w:sz w:val="22"/>
          <w:szCs w:val="22"/>
          <w:highlight w:val="none"/>
          <w:u w:val="single"/>
        </w:rPr>
        <w:t>3</w:t>
      </w:r>
      <w:r>
        <w:rPr>
          <w:rFonts w:hint="eastAsia" w:ascii="宋体" w:hAnsi="宋体" w:cs="宋体"/>
          <w:b w:val="0"/>
          <w:sz w:val="22"/>
          <w:szCs w:val="22"/>
          <w:highlight w:val="none"/>
        </w:rPr>
        <w:t>个工作日内书面通知对方当事人，在对方当事人收到有关变更通知之前，变更前的约定送达方式或者地址仍视为有效。</w:t>
      </w:r>
    </w:p>
    <w:p w14:paraId="1F6D113F">
      <w:pPr>
        <w:spacing w:line="360" w:lineRule="auto"/>
        <w:ind w:firstLine="440" w:firstLineChars="200"/>
        <w:rPr>
          <w:rFonts w:hint="eastAsia" w:ascii="宋体" w:hAnsi="宋体" w:cs="宋体"/>
          <w:b w:val="0"/>
          <w:sz w:val="22"/>
          <w:szCs w:val="22"/>
          <w:highlight w:val="none"/>
        </w:rPr>
      </w:pPr>
      <w:r>
        <w:rPr>
          <w:rFonts w:hint="eastAsia" w:ascii="宋体" w:hAnsi="宋体" w:cs="宋体"/>
          <w:b w:val="0"/>
          <w:sz w:val="22"/>
          <w:szCs w:val="22"/>
          <w:highlight w:val="none"/>
        </w:rPr>
        <w:t>20.2以当面交付方式送达的，交付之时视为送达；以电子邮件方式送达的，发出电子邮件之时视为送达；以传真方式送达的，发出传真之时视为送达；以邮寄方式送达的，邮件挂号寄出或者交邮之日之次日视为送达。</w:t>
      </w:r>
      <w:bookmarkEnd w:id="157"/>
      <w:bookmarkEnd w:id="158"/>
    </w:p>
    <w:p w14:paraId="0F288921">
      <w:pPr>
        <w:spacing w:line="360" w:lineRule="auto"/>
        <w:outlineLvl w:val="0"/>
        <w:rPr>
          <w:rFonts w:hint="eastAsia" w:ascii="宋体" w:hAnsi="宋体" w:cs="宋体"/>
          <w:b w:val="0"/>
          <w:sz w:val="22"/>
          <w:szCs w:val="22"/>
          <w:highlight w:val="none"/>
        </w:rPr>
      </w:pPr>
      <w:bookmarkStart w:id="159" w:name="_Toc5063"/>
      <w:bookmarkStart w:id="160" w:name="_Toc27644"/>
      <w:bookmarkStart w:id="161" w:name="_Toc28906"/>
      <w:bookmarkStart w:id="162" w:name="_Toc20808"/>
      <w:bookmarkStart w:id="163" w:name="_Toc12254"/>
      <w:r>
        <w:rPr>
          <w:rFonts w:hint="eastAsia" w:ascii="宋体" w:hAnsi="宋体" w:cs="宋体"/>
          <w:b w:val="0"/>
          <w:sz w:val="22"/>
          <w:szCs w:val="22"/>
          <w:highlight w:val="none"/>
        </w:rPr>
        <w:t>二十一、合同使用的文字和适用的法律</w:t>
      </w:r>
      <w:bookmarkEnd w:id="159"/>
      <w:bookmarkEnd w:id="160"/>
      <w:bookmarkEnd w:id="161"/>
      <w:bookmarkEnd w:id="162"/>
      <w:bookmarkEnd w:id="163"/>
    </w:p>
    <w:p w14:paraId="1E323FD8">
      <w:pPr>
        <w:spacing w:line="360" w:lineRule="auto"/>
        <w:ind w:firstLine="440" w:firstLineChars="200"/>
        <w:rPr>
          <w:rFonts w:hint="eastAsia" w:ascii="宋体" w:hAnsi="宋体" w:cs="宋体"/>
          <w:b w:val="0"/>
          <w:sz w:val="22"/>
          <w:szCs w:val="22"/>
          <w:highlight w:val="none"/>
        </w:rPr>
      </w:pPr>
      <w:r>
        <w:rPr>
          <w:rFonts w:hint="eastAsia" w:ascii="宋体" w:hAnsi="宋体" w:cs="宋体"/>
          <w:b w:val="0"/>
          <w:sz w:val="22"/>
          <w:szCs w:val="22"/>
          <w:highlight w:val="none"/>
        </w:rPr>
        <w:t>21.1 合同使用汉语书就、变更和解释；</w:t>
      </w:r>
    </w:p>
    <w:p w14:paraId="3EBD75FF">
      <w:pPr>
        <w:spacing w:line="360" w:lineRule="auto"/>
        <w:ind w:firstLine="440" w:firstLineChars="200"/>
        <w:rPr>
          <w:rFonts w:hint="eastAsia" w:ascii="宋体" w:hAnsi="宋体" w:cs="宋体"/>
          <w:b w:val="0"/>
          <w:sz w:val="22"/>
          <w:szCs w:val="22"/>
          <w:highlight w:val="none"/>
        </w:rPr>
      </w:pPr>
      <w:r>
        <w:rPr>
          <w:rFonts w:hint="eastAsia" w:ascii="宋体" w:hAnsi="宋体" w:cs="宋体"/>
          <w:b w:val="0"/>
          <w:sz w:val="22"/>
          <w:szCs w:val="22"/>
          <w:highlight w:val="none"/>
        </w:rPr>
        <w:t>21.2 合同适用中华人民共和国法律。</w:t>
      </w:r>
    </w:p>
    <w:p w14:paraId="57CB2174">
      <w:pPr>
        <w:spacing w:line="360" w:lineRule="auto"/>
        <w:outlineLvl w:val="0"/>
        <w:rPr>
          <w:rFonts w:hint="eastAsia" w:ascii="宋体" w:hAnsi="宋体" w:cs="宋体"/>
          <w:b w:val="0"/>
          <w:sz w:val="22"/>
          <w:szCs w:val="22"/>
          <w:highlight w:val="none"/>
        </w:rPr>
      </w:pPr>
      <w:bookmarkStart w:id="164" w:name="_Toc18540"/>
      <w:bookmarkStart w:id="165" w:name="_Toc4355"/>
      <w:bookmarkStart w:id="166" w:name="_Toc30599"/>
      <w:r>
        <w:rPr>
          <w:rFonts w:hint="eastAsia" w:ascii="宋体" w:hAnsi="宋体" w:cs="宋体"/>
          <w:b w:val="0"/>
          <w:sz w:val="22"/>
          <w:szCs w:val="22"/>
          <w:highlight w:val="none"/>
        </w:rPr>
        <w:t>二十二、计量单位</w:t>
      </w:r>
      <w:bookmarkEnd w:id="164"/>
      <w:bookmarkEnd w:id="165"/>
      <w:bookmarkEnd w:id="166"/>
    </w:p>
    <w:p w14:paraId="77F89C33">
      <w:pPr>
        <w:spacing w:line="360" w:lineRule="auto"/>
        <w:ind w:firstLine="440" w:firstLineChars="200"/>
        <w:rPr>
          <w:rFonts w:hint="eastAsia" w:ascii="宋体" w:hAnsi="宋体" w:cs="宋体"/>
          <w:b w:val="0"/>
          <w:sz w:val="22"/>
          <w:szCs w:val="22"/>
          <w:highlight w:val="none"/>
        </w:rPr>
      </w:pPr>
      <w:r>
        <w:rPr>
          <w:rFonts w:hint="eastAsia" w:ascii="宋体" w:hAnsi="宋体" w:cs="宋体"/>
          <w:b w:val="0"/>
          <w:sz w:val="22"/>
          <w:szCs w:val="22"/>
          <w:highlight w:val="none"/>
        </w:rPr>
        <w:t>除技术规范中另有规定外，合同的计量单位均使用国家法定计量单位。</w:t>
      </w:r>
    </w:p>
    <w:p w14:paraId="18077D2D">
      <w:pPr>
        <w:widowControl/>
        <w:spacing w:line="360" w:lineRule="auto"/>
        <w:jc w:val="left"/>
        <w:rPr>
          <w:rFonts w:hint="eastAsia" w:ascii="宋体" w:hAnsi="宋体" w:cs="宋体"/>
          <w:b w:val="0"/>
          <w:bCs w:val="0"/>
          <w:sz w:val="22"/>
          <w:szCs w:val="22"/>
          <w:highlight w:val="none"/>
        </w:rPr>
      </w:pPr>
      <w:r>
        <w:rPr>
          <w:rFonts w:hint="eastAsia" w:ascii="宋体" w:hAnsi="宋体" w:cs="宋体"/>
          <w:b w:val="0"/>
          <w:sz w:val="22"/>
          <w:szCs w:val="22"/>
          <w:highlight w:val="none"/>
        </w:rPr>
        <w:t>二</w:t>
      </w:r>
      <w:r>
        <w:rPr>
          <w:rFonts w:hint="eastAsia" w:ascii="宋体" w:hAnsi="宋体" w:cs="宋体"/>
          <w:b w:val="0"/>
          <w:bCs w:val="0"/>
          <w:sz w:val="22"/>
          <w:szCs w:val="22"/>
          <w:highlight w:val="none"/>
        </w:rPr>
        <w:t>十</w:t>
      </w:r>
      <w:r>
        <w:rPr>
          <w:rFonts w:hint="eastAsia" w:ascii="宋体" w:hAnsi="宋体" w:cs="宋体"/>
          <w:b w:val="0"/>
          <w:sz w:val="22"/>
          <w:szCs w:val="22"/>
          <w:highlight w:val="none"/>
        </w:rPr>
        <w:t>三</w:t>
      </w:r>
      <w:r>
        <w:rPr>
          <w:rFonts w:hint="eastAsia" w:ascii="宋体" w:hAnsi="宋体" w:cs="宋体"/>
          <w:b w:val="0"/>
          <w:bCs w:val="0"/>
          <w:sz w:val="22"/>
          <w:szCs w:val="22"/>
          <w:highlight w:val="none"/>
        </w:rPr>
        <w:t>、争端的解决</w:t>
      </w:r>
      <w:bookmarkEnd w:id="152"/>
      <w:bookmarkEnd w:id="153"/>
      <w:bookmarkEnd w:id="154"/>
      <w:bookmarkEnd w:id="155"/>
      <w:bookmarkEnd w:id="156"/>
    </w:p>
    <w:p w14:paraId="4AE20CC4">
      <w:pPr>
        <w:spacing w:line="360" w:lineRule="auto"/>
        <w:ind w:firstLine="440" w:firstLineChars="200"/>
        <w:rPr>
          <w:rFonts w:hint="eastAsia" w:ascii="宋体" w:hAnsi="宋体" w:cs="宋体"/>
          <w:b w:val="0"/>
          <w:sz w:val="22"/>
          <w:szCs w:val="22"/>
          <w:highlight w:val="none"/>
        </w:rPr>
      </w:pPr>
      <w:r>
        <w:rPr>
          <w:rFonts w:hint="eastAsia" w:ascii="宋体" w:hAnsi="宋体" w:cs="宋体"/>
          <w:b w:val="0"/>
          <w:sz w:val="22"/>
          <w:szCs w:val="22"/>
          <w:highlight w:val="none"/>
        </w:rPr>
        <w:t>23.1 合同实施或与合同有关的一切争端，甲乙双方应通过友好协商解决，如果协商仍得不到解决，任何一方可向甲方所在地的法院提起诉讼。</w:t>
      </w:r>
    </w:p>
    <w:p w14:paraId="520EE8C7">
      <w:pPr>
        <w:spacing w:line="360" w:lineRule="auto"/>
        <w:ind w:firstLine="440" w:firstLineChars="200"/>
        <w:rPr>
          <w:rFonts w:hint="eastAsia" w:ascii="宋体" w:hAnsi="宋体" w:cs="宋体"/>
          <w:b w:val="0"/>
          <w:sz w:val="22"/>
          <w:szCs w:val="22"/>
          <w:highlight w:val="none"/>
        </w:rPr>
      </w:pPr>
      <w:r>
        <w:rPr>
          <w:rFonts w:hint="eastAsia" w:ascii="宋体" w:hAnsi="宋体" w:cs="宋体"/>
          <w:b w:val="0"/>
          <w:sz w:val="22"/>
          <w:szCs w:val="22"/>
          <w:highlight w:val="none"/>
        </w:rPr>
        <w:t>23.2 在诉讼期间，除正在执行诉讼的部分外，本合同的其他部分应继续执行。</w:t>
      </w:r>
    </w:p>
    <w:bookmarkEnd w:id="77"/>
    <w:p w14:paraId="16FE81BE">
      <w:pPr>
        <w:widowControl/>
        <w:spacing w:line="360" w:lineRule="auto"/>
        <w:jc w:val="left"/>
        <w:rPr>
          <w:rFonts w:hint="eastAsia" w:ascii="宋体" w:hAnsi="宋体" w:cs="宋体"/>
          <w:b w:val="0"/>
          <w:bCs w:val="0"/>
          <w:sz w:val="22"/>
          <w:szCs w:val="22"/>
          <w:highlight w:val="none"/>
        </w:rPr>
      </w:pPr>
      <w:bookmarkStart w:id="167" w:name="_Toc30383"/>
      <w:bookmarkStart w:id="168" w:name="_Toc7999"/>
      <w:bookmarkStart w:id="169" w:name="_Toc21702"/>
      <w:bookmarkStart w:id="170" w:name="_Toc23107"/>
      <w:bookmarkStart w:id="171" w:name="_Toc31773"/>
      <w:r>
        <w:rPr>
          <w:rFonts w:hint="eastAsia" w:ascii="宋体" w:hAnsi="宋体" w:cs="宋体"/>
          <w:b w:val="0"/>
          <w:bCs w:val="0"/>
          <w:sz w:val="22"/>
          <w:szCs w:val="22"/>
          <w:highlight w:val="none"/>
        </w:rPr>
        <w:t>二十四、合同生效</w:t>
      </w:r>
      <w:bookmarkEnd w:id="167"/>
      <w:bookmarkEnd w:id="168"/>
      <w:bookmarkEnd w:id="169"/>
      <w:bookmarkEnd w:id="170"/>
      <w:bookmarkEnd w:id="171"/>
    </w:p>
    <w:p w14:paraId="124E81BF">
      <w:pPr>
        <w:adjustRightInd w:val="0"/>
        <w:snapToGrid w:val="0"/>
        <w:spacing w:line="360" w:lineRule="auto"/>
        <w:ind w:firstLine="440" w:firstLineChars="200"/>
        <w:rPr>
          <w:rFonts w:hint="eastAsia" w:ascii="宋体" w:hAnsi="宋体" w:cs="宋体"/>
          <w:b w:val="0"/>
          <w:sz w:val="22"/>
          <w:szCs w:val="22"/>
          <w:highlight w:val="none"/>
        </w:rPr>
      </w:pPr>
      <w:r>
        <w:rPr>
          <w:rFonts w:hint="eastAsia" w:ascii="宋体" w:hAnsi="宋体" w:cs="宋体"/>
          <w:b w:val="0"/>
          <w:sz w:val="22"/>
          <w:szCs w:val="22"/>
          <w:highlight w:val="none"/>
        </w:rPr>
        <w:t>24.1 本合同经甲乙双方签字盖章之日起正式生效。</w:t>
      </w:r>
    </w:p>
    <w:p w14:paraId="3434892B">
      <w:pPr>
        <w:adjustRightInd w:val="0"/>
        <w:snapToGrid w:val="0"/>
        <w:spacing w:line="360" w:lineRule="auto"/>
        <w:ind w:firstLine="440" w:firstLineChars="200"/>
        <w:rPr>
          <w:rFonts w:hint="eastAsia" w:ascii="宋体" w:hAnsi="宋体" w:cs="宋体"/>
          <w:b w:val="0"/>
          <w:sz w:val="22"/>
          <w:szCs w:val="22"/>
          <w:highlight w:val="none"/>
        </w:rPr>
      </w:pPr>
      <w:r>
        <w:rPr>
          <w:rFonts w:hint="eastAsia" w:ascii="宋体" w:hAnsi="宋体" w:cs="宋体"/>
          <w:b w:val="0"/>
          <w:sz w:val="22"/>
          <w:szCs w:val="22"/>
          <w:highlight w:val="none"/>
        </w:rPr>
        <w:t>24.2 本合同一式柒份，甲方肆份、乙方贰份、代理公司壹份。</w:t>
      </w:r>
    </w:p>
    <w:p w14:paraId="595610D1">
      <w:pPr>
        <w:adjustRightInd w:val="0"/>
        <w:snapToGrid w:val="0"/>
        <w:spacing w:line="360" w:lineRule="auto"/>
        <w:ind w:firstLine="440" w:firstLineChars="200"/>
        <w:rPr>
          <w:rFonts w:hint="eastAsia" w:ascii="宋体" w:hAnsi="宋体" w:cs="宋体"/>
          <w:b w:val="0"/>
          <w:sz w:val="22"/>
          <w:szCs w:val="22"/>
          <w:highlight w:val="none"/>
        </w:rPr>
      </w:pPr>
      <w:r>
        <w:rPr>
          <w:rFonts w:hint="eastAsia" w:ascii="宋体" w:hAnsi="宋体" w:cs="宋体"/>
          <w:b w:val="0"/>
          <w:sz w:val="22"/>
          <w:szCs w:val="22"/>
          <w:highlight w:val="none"/>
        </w:rPr>
        <w:t>24.3 如需修改或补充合同内容，经协商，双方应签署书面修改或补充协议，该协议将作为本合同的一个组成部分。</w:t>
      </w:r>
    </w:p>
    <w:p w14:paraId="09548877">
      <w:pPr>
        <w:adjustRightInd w:val="0"/>
        <w:snapToGrid w:val="0"/>
        <w:spacing w:line="360" w:lineRule="auto"/>
        <w:ind w:firstLine="440" w:firstLineChars="200"/>
        <w:rPr>
          <w:rFonts w:hint="eastAsia" w:ascii="宋体" w:hAnsi="宋体" w:cs="宋体"/>
          <w:b w:val="0"/>
          <w:sz w:val="22"/>
          <w:szCs w:val="22"/>
          <w:highlight w:val="none"/>
        </w:rPr>
      </w:pPr>
      <w:r>
        <w:rPr>
          <w:rFonts w:hint="eastAsia" w:ascii="宋体" w:hAnsi="宋体" w:cs="宋体"/>
          <w:b w:val="0"/>
          <w:sz w:val="22"/>
          <w:szCs w:val="22"/>
          <w:highlight w:val="none"/>
        </w:rPr>
        <w:t>24.4 合同组成部分</w:t>
      </w:r>
    </w:p>
    <w:p w14:paraId="451EB903">
      <w:pPr>
        <w:spacing w:line="360" w:lineRule="auto"/>
        <w:ind w:firstLine="440" w:firstLineChars="200"/>
        <w:rPr>
          <w:rFonts w:hint="eastAsia" w:ascii="宋体" w:hAnsi="宋体" w:cs="宋体"/>
          <w:b w:val="0"/>
          <w:sz w:val="22"/>
          <w:szCs w:val="22"/>
          <w:highlight w:val="none"/>
        </w:rPr>
      </w:pPr>
      <w:r>
        <w:rPr>
          <w:rFonts w:hint="eastAsia" w:ascii="宋体" w:hAnsi="宋体" w:cs="宋体"/>
          <w:b w:val="0"/>
          <w:sz w:val="22"/>
          <w:szCs w:val="22"/>
          <w:highlight w:val="none"/>
        </w:rPr>
        <w:t>下列文件为本合同的组成部分，并构成一个整体，需综合解释、相互补充。如果下列文件内容出现不一致的情形，那么在保证按照采购文件确定的事项的前提下，组成本合同的多个文件的优先适用顺序如下：</w:t>
      </w:r>
    </w:p>
    <w:p w14:paraId="260BDF6D">
      <w:pPr>
        <w:numPr>
          <w:ilvl w:val="0"/>
          <w:numId w:val="2"/>
        </w:numPr>
        <w:spacing w:line="360" w:lineRule="auto"/>
        <w:ind w:left="0" w:firstLine="440" w:firstLineChars="200"/>
        <w:rPr>
          <w:rFonts w:hint="eastAsia" w:ascii="宋体" w:hAnsi="宋体" w:cs="宋体"/>
          <w:b w:val="0"/>
          <w:sz w:val="22"/>
          <w:szCs w:val="22"/>
          <w:highlight w:val="none"/>
        </w:rPr>
      </w:pPr>
      <w:r>
        <w:rPr>
          <w:rFonts w:hint="eastAsia" w:ascii="宋体" w:hAnsi="宋体" w:cs="宋体"/>
          <w:b w:val="0"/>
          <w:sz w:val="22"/>
          <w:szCs w:val="22"/>
          <w:highlight w:val="none"/>
        </w:rPr>
        <w:t>本合同及其补充合同、变更协议；</w:t>
      </w:r>
    </w:p>
    <w:p w14:paraId="01D4460C">
      <w:pPr>
        <w:numPr>
          <w:ilvl w:val="0"/>
          <w:numId w:val="2"/>
        </w:numPr>
        <w:spacing w:line="360" w:lineRule="auto"/>
        <w:ind w:left="0" w:firstLine="440" w:firstLineChars="200"/>
        <w:rPr>
          <w:rFonts w:hint="eastAsia" w:ascii="宋体" w:hAnsi="宋体" w:cs="宋体"/>
          <w:b w:val="0"/>
          <w:sz w:val="22"/>
          <w:szCs w:val="22"/>
          <w:highlight w:val="none"/>
        </w:rPr>
      </w:pPr>
      <w:r>
        <w:rPr>
          <w:rFonts w:hint="eastAsia" w:ascii="宋体" w:hAnsi="宋体" w:cs="宋体"/>
          <w:b w:val="0"/>
          <w:sz w:val="22"/>
          <w:szCs w:val="22"/>
          <w:highlight w:val="none"/>
        </w:rPr>
        <w:t>中标（成交）通知书；</w:t>
      </w:r>
    </w:p>
    <w:p w14:paraId="7E39B225">
      <w:pPr>
        <w:numPr>
          <w:ilvl w:val="0"/>
          <w:numId w:val="2"/>
        </w:numPr>
        <w:spacing w:line="360" w:lineRule="auto"/>
        <w:ind w:left="0" w:firstLine="440" w:firstLineChars="200"/>
        <w:rPr>
          <w:rFonts w:hint="eastAsia" w:ascii="宋体" w:hAnsi="宋体" w:cs="宋体"/>
          <w:b w:val="0"/>
          <w:sz w:val="22"/>
          <w:szCs w:val="22"/>
          <w:highlight w:val="none"/>
        </w:rPr>
      </w:pPr>
      <w:r>
        <w:rPr>
          <w:rFonts w:hint="eastAsia" w:ascii="宋体" w:hAnsi="宋体" w:cs="宋体"/>
          <w:b w:val="0"/>
          <w:sz w:val="22"/>
          <w:szCs w:val="22"/>
          <w:highlight w:val="none"/>
        </w:rPr>
        <w:t>乙方投标文件（含澄清或者说明文件）；</w:t>
      </w:r>
    </w:p>
    <w:p w14:paraId="67847846">
      <w:pPr>
        <w:numPr>
          <w:ilvl w:val="0"/>
          <w:numId w:val="2"/>
        </w:numPr>
        <w:spacing w:line="360" w:lineRule="auto"/>
        <w:ind w:left="0" w:firstLine="440" w:firstLineChars="200"/>
        <w:rPr>
          <w:rFonts w:hint="eastAsia" w:ascii="宋体" w:hAnsi="宋体" w:cs="宋体"/>
          <w:b w:val="0"/>
          <w:sz w:val="22"/>
          <w:szCs w:val="22"/>
          <w:highlight w:val="none"/>
        </w:rPr>
      </w:pPr>
      <w:r>
        <w:rPr>
          <w:rFonts w:hint="eastAsia" w:ascii="宋体" w:hAnsi="宋体" w:cs="宋体"/>
          <w:b w:val="0"/>
          <w:sz w:val="22"/>
          <w:szCs w:val="22"/>
          <w:highlight w:val="none"/>
        </w:rPr>
        <w:t>采购文件（含澄清或者修改文件）；</w:t>
      </w:r>
    </w:p>
    <w:p w14:paraId="4AA2A6EB">
      <w:pPr>
        <w:numPr>
          <w:ilvl w:val="0"/>
          <w:numId w:val="2"/>
        </w:numPr>
        <w:spacing w:line="360" w:lineRule="auto"/>
        <w:ind w:left="0" w:firstLine="440" w:firstLineChars="200"/>
        <w:rPr>
          <w:rFonts w:hint="eastAsia" w:ascii="宋体" w:hAnsi="宋体" w:cs="宋体"/>
          <w:b w:val="0"/>
          <w:sz w:val="22"/>
          <w:szCs w:val="22"/>
          <w:highlight w:val="none"/>
        </w:rPr>
      </w:pPr>
      <w:r>
        <w:rPr>
          <w:rFonts w:hint="eastAsia" w:ascii="宋体" w:hAnsi="宋体" w:cs="宋体"/>
          <w:b w:val="0"/>
          <w:sz w:val="22"/>
          <w:szCs w:val="22"/>
          <w:highlight w:val="none"/>
        </w:rPr>
        <w:t>其他相关文件。</w:t>
      </w:r>
    </w:p>
    <w:tbl>
      <w:tblPr>
        <w:tblStyle w:val="35"/>
        <w:tblW w:w="935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899"/>
        <w:gridCol w:w="4457"/>
      </w:tblGrid>
      <w:tr w14:paraId="370AB5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4899" w:type="dxa"/>
            <w:vAlign w:val="center"/>
          </w:tcPr>
          <w:p w14:paraId="3C7EFB1E">
            <w:pPr>
              <w:widowControl/>
              <w:adjustRightInd w:val="0"/>
              <w:snapToGrid w:val="0"/>
              <w:spacing w:line="360" w:lineRule="auto"/>
              <w:rPr>
                <w:rFonts w:hint="eastAsia" w:ascii="宋体" w:hAnsi="宋体" w:cs="宋体"/>
                <w:b w:val="0"/>
                <w:spacing w:val="-6"/>
                <w:sz w:val="22"/>
                <w:szCs w:val="22"/>
                <w:highlight w:val="none"/>
              </w:rPr>
            </w:pPr>
            <w:r>
              <w:rPr>
                <w:rFonts w:hint="eastAsia" w:ascii="宋体" w:hAnsi="宋体" w:cs="宋体"/>
                <w:b w:val="0"/>
                <w:sz w:val="22"/>
                <w:szCs w:val="22"/>
                <w:highlight w:val="none"/>
              </w:rPr>
              <w:br w:type="page"/>
            </w:r>
            <w:r>
              <w:rPr>
                <w:rFonts w:hint="eastAsia" w:ascii="宋体" w:hAnsi="宋体" w:cs="宋体"/>
                <w:b w:val="0"/>
                <w:spacing w:val="-6"/>
                <w:sz w:val="22"/>
                <w:szCs w:val="22"/>
                <w:highlight w:val="none"/>
              </w:rPr>
              <w:t>甲方（采购人）：（盖章）</w:t>
            </w:r>
          </w:p>
        </w:tc>
        <w:tc>
          <w:tcPr>
            <w:tcW w:w="4457" w:type="dxa"/>
            <w:vAlign w:val="center"/>
          </w:tcPr>
          <w:p w14:paraId="34D258C0">
            <w:pPr>
              <w:spacing w:line="360" w:lineRule="auto"/>
              <w:rPr>
                <w:rFonts w:hint="eastAsia" w:ascii="宋体" w:hAnsi="宋体" w:cs="宋体"/>
                <w:b w:val="0"/>
                <w:spacing w:val="-6"/>
                <w:sz w:val="22"/>
                <w:szCs w:val="22"/>
                <w:highlight w:val="none"/>
              </w:rPr>
            </w:pPr>
            <w:r>
              <w:rPr>
                <w:rFonts w:hint="eastAsia" w:ascii="宋体" w:hAnsi="宋体" w:cs="宋体"/>
                <w:b w:val="0"/>
                <w:spacing w:val="-6"/>
                <w:sz w:val="22"/>
                <w:szCs w:val="22"/>
                <w:highlight w:val="none"/>
              </w:rPr>
              <w:t>乙方（中标供应商）：（盖章）</w:t>
            </w:r>
          </w:p>
        </w:tc>
      </w:tr>
      <w:tr w14:paraId="6201ED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4899" w:type="dxa"/>
            <w:vAlign w:val="center"/>
          </w:tcPr>
          <w:p w14:paraId="082264DD">
            <w:pPr>
              <w:spacing w:line="360" w:lineRule="auto"/>
              <w:rPr>
                <w:rFonts w:hint="eastAsia" w:ascii="宋体" w:hAnsi="宋体" w:cs="宋体"/>
                <w:b w:val="0"/>
                <w:spacing w:val="-6"/>
                <w:sz w:val="22"/>
                <w:szCs w:val="22"/>
                <w:highlight w:val="none"/>
              </w:rPr>
            </w:pPr>
            <w:r>
              <w:rPr>
                <w:rFonts w:hint="eastAsia" w:ascii="宋体" w:hAnsi="宋体" w:cs="宋体"/>
                <w:b w:val="0"/>
                <w:spacing w:val="-6"/>
                <w:sz w:val="22"/>
                <w:szCs w:val="22"/>
                <w:highlight w:val="none"/>
              </w:rPr>
              <w:t>甲方代表：(签字）</w:t>
            </w:r>
          </w:p>
        </w:tc>
        <w:tc>
          <w:tcPr>
            <w:tcW w:w="4457" w:type="dxa"/>
            <w:vAlign w:val="center"/>
          </w:tcPr>
          <w:p w14:paraId="73CE1043">
            <w:pPr>
              <w:spacing w:line="360" w:lineRule="auto"/>
              <w:rPr>
                <w:rFonts w:hint="eastAsia" w:ascii="宋体" w:hAnsi="宋体" w:cs="宋体"/>
                <w:b w:val="0"/>
                <w:spacing w:val="-6"/>
                <w:sz w:val="22"/>
                <w:szCs w:val="22"/>
                <w:highlight w:val="none"/>
              </w:rPr>
            </w:pPr>
            <w:r>
              <w:rPr>
                <w:rFonts w:hint="eastAsia" w:ascii="宋体" w:hAnsi="宋体" w:cs="宋体"/>
                <w:b w:val="0"/>
                <w:spacing w:val="-6"/>
                <w:sz w:val="22"/>
                <w:szCs w:val="22"/>
                <w:highlight w:val="none"/>
              </w:rPr>
              <w:t>乙方代表：（签字）</w:t>
            </w:r>
          </w:p>
        </w:tc>
      </w:tr>
      <w:tr w14:paraId="6D22EE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4899" w:type="dxa"/>
            <w:vAlign w:val="center"/>
          </w:tcPr>
          <w:p w14:paraId="07BC9FE4">
            <w:pPr>
              <w:spacing w:line="360" w:lineRule="auto"/>
              <w:rPr>
                <w:rFonts w:hint="eastAsia" w:ascii="宋体" w:hAnsi="宋体" w:cs="宋体"/>
                <w:b w:val="0"/>
                <w:sz w:val="22"/>
                <w:szCs w:val="22"/>
                <w:highlight w:val="none"/>
              </w:rPr>
            </w:pPr>
            <w:r>
              <w:rPr>
                <w:rFonts w:hint="eastAsia" w:ascii="宋体" w:hAnsi="宋体" w:cs="宋体"/>
                <w:b w:val="0"/>
                <w:sz w:val="22"/>
                <w:szCs w:val="22"/>
                <w:highlight w:val="none"/>
              </w:rPr>
              <w:t>地址：</w:t>
            </w:r>
          </w:p>
        </w:tc>
        <w:tc>
          <w:tcPr>
            <w:tcW w:w="4457" w:type="dxa"/>
            <w:vAlign w:val="center"/>
          </w:tcPr>
          <w:p w14:paraId="0D3E386E">
            <w:pPr>
              <w:spacing w:line="360" w:lineRule="auto"/>
              <w:rPr>
                <w:rFonts w:hint="eastAsia" w:ascii="宋体" w:hAnsi="宋体" w:cs="宋体"/>
                <w:b w:val="0"/>
                <w:spacing w:val="-6"/>
                <w:sz w:val="22"/>
                <w:szCs w:val="22"/>
                <w:highlight w:val="none"/>
              </w:rPr>
            </w:pPr>
            <w:r>
              <w:rPr>
                <w:rFonts w:hint="eastAsia" w:ascii="宋体" w:hAnsi="宋体" w:cs="宋体"/>
                <w:b w:val="0"/>
                <w:spacing w:val="-6"/>
                <w:sz w:val="22"/>
                <w:szCs w:val="22"/>
                <w:highlight w:val="none"/>
              </w:rPr>
              <w:t>地址：</w:t>
            </w:r>
          </w:p>
        </w:tc>
      </w:tr>
      <w:tr w14:paraId="4DB9D0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4899" w:type="dxa"/>
            <w:vAlign w:val="center"/>
          </w:tcPr>
          <w:p w14:paraId="078A13E1">
            <w:pPr>
              <w:spacing w:line="360" w:lineRule="auto"/>
              <w:rPr>
                <w:rFonts w:hint="eastAsia" w:ascii="宋体" w:hAnsi="宋体" w:cs="宋体"/>
                <w:b w:val="0"/>
                <w:sz w:val="22"/>
                <w:szCs w:val="22"/>
                <w:highlight w:val="none"/>
              </w:rPr>
            </w:pPr>
            <w:r>
              <w:rPr>
                <w:rFonts w:hint="eastAsia" w:ascii="宋体" w:hAnsi="宋体" w:cs="宋体"/>
                <w:b w:val="0"/>
                <w:sz w:val="22"/>
                <w:szCs w:val="22"/>
                <w:highlight w:val="none"/>
              </w:rPr>
              <w:t>邮编：</w:t>
            </w:r>
          </w:p>
        </w:tc>
        <w:tc>
          <w:tcPr>
            <w:tcW w:w="4457" w:type="dxa"/>
            <w:vAlign w:val="center"/>
          </w:tcPr>
          <w:p w14:paraId="45ADB5B0">
            <w:pPr>
              <w:spacing w:line="360" w:lineRule="auto"/>
              <w:rPr>
                <w:rFonts w:hint="eastAsia" w:ascii="宋体" w:hAnsi="宋体" w:cs="宋体"/>
                <w:b w:val="0"/>
                <w:spacing w:val="-6"/>
                <w:sz w:val="22"/>
                <w:szCs w:val="22"/>
                <w:highlight w:val="none"/>
              </w:rPr>
            </w:pPr>
            <w:r>
              <w:rPr>
                <w:rFonts w:hint="eastAsia" w:ascii="宋体" w:hAnsi="宋体" w:cs="宋体"/>
                <w:b w:val="0"/>
                <w:spacing w:val="-6"/>
                <w:sz w:val="22"/>
                <w:szCs w:val="22"/>
                <w:highlight w:val="none"/>
              </w:rPr>
              <w:t>邮编：</w:t>
            </w:r>
          </w:p>
        </w:tc>
      </w:tr>
      <w:tr w14:paraId="062DB2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4899" w:type="dxa"/>
            <w:vAlign w:val="center"/>
          </w:tcPr>
          <w:p w14:paraId="6738549D">
            <w:pPr>
              <w:spacing w:line="360" w:lineRule="auto"/>
              <w:rPr>
                <w:rFonts w:hint="eastAsia" w:ascii="宋体" w:hAnsi="宋体" w:cs="宋体"/>
                <w:b w:val="0"/>
                <w:sz w:val="22"/>
                <w:szCs w:val="22"/>
                <w:highlight w:val="none"/>
              </w:rPr>
            </w:pPr>
            <w:r>
              <w:rPr>
                <w:rFonts w:hint="eastAsia" w:ascii="宋体" w:hAnsi="宋体" w:cs="宋体"/>
                <w:b w:val="0"/>
                <w:sz w:val="22"/>
                <w:szCs w:val="22"/>
                <w:highlight w:val="none"/>
              </w:rPr>
              <w:t>电话：</w:t>
            </w:r>
          </w:p>
        </w:tc>
        <w:tc>
          <w:tcPr>
            <w:tcW w:w="4457" w:type="dxa"/>
            <w:vAlign w:val="center"/>
          </w:tcPr>
          <w:p w14:paraId="605FCCFE">
            <w:pPr>
              <w:spacing w:line="360" w:lineRule="auto"/>
              <w:rPr>
                <w:rFonts w:hint="eastAsia" w:ascii="宋体" w:hAnsi="宋体" w:cs="宋体"/>
                <w:b w:val="0"/>
                <w:spacing w:val="-6"/>
                <w:sz w:val="22"/>
                <w:szCs w:val="22"/>
                <w:highlight w:val="none"/>
              </w:rPr>
            </w:pPr>
            <w:r>
              <w:rPr>
                <w:rFonts w:hint="eastAsia" w:ascii="宋体" w:hAnsi="宋体" w:cs="宋体"/>
                <w:b w:val="0"/>
                <w:spacing w:val="-6"/>
                <w:sz w:val="22"/>
                <w:szCs w:val="22"/>
                <w:highlight w:val="none"/>
              </w:rPr>
              <w:t>电话：</w:t>
            </w:r>
          </w:p>
        </w:tc>
      </w:tr>
      <w:tr w14:paraId="6CD321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4899" w:type="dxa"/>
            <w:vAlign w:val="center"/>
          </w:tcPr>
          <w:p w14:paraId="1C454708">
            <w:pPr>
              <w:spacing w:line="360" w:lineRule="auto"/>
              <w:rPr>
                <w:rFonts w:hint="eastAsia" w:ascii="宋体" w:hAnsi="宋体" w:cs="宋体"/>
                <w:b w:val="0"/>
                <w:sz w:val="22"/>
                <w:szCs w:val="22"/>
                <w:highlight w:val="none"/>
              </w:rPr>
            </w:pPr>
            <w:r>
              <w:rPr>
                <w:rFonts w:hint="eastAsia" w:ascii="宋体" w:hAnsi="宋体" w:cs="宋体"/>
                <w:b w:val="0"/>
                <w:sz w:val="22"/>
                <w:szCs w:val="22"/>
                <w:highlight w:val="none"/>
              </w:rPr>
              <w:t>传真：</w:t>
            </w:r>
          </w:p>
        </w:tc>
        <w:tc>
          <w:tcPr>
            <w:tcW w:w="4457" w:type="dxa"/>
            <w:vAlign w:val="center"/>
          </w:tcPr>
          <w:p w14:paraId="378CFBB6">
            <w:pPr>
              <w:spacing w:line="360" w:lineRule="auto"/>
              <w:rPr>
                <w:rFonts w:hint="eastAsia" w:ascii="宋体" w:hAnsi="宋体" w:cs="宋体"/>
                <w:b w:val="0"/>
                <w:spacing w:val="-6"/>
                <w:sz w:val="22"/>
                <w:szCs w:val="22"/>
                <w:highlight w:val="none"/>
              </w:rPr>
            </w:pPr>
            <w:r>
              <w:rPr>
                <w:rFonts w:hint="eastAsia" w:ascii="宋体" w:hAnsi="宋体" w:cs="宋体"/>
                <w:b w:val="0"/>
                <w:spacing w:val="-6"/>
                <w:sz w:val="22"/>
                <w:szCs w:val="22"/>
                <w:highlight w:val="none"/>
              </w:rPr>
              <w:t>传真：</w:t>
            </w:r>
          </w:p>
        </w:tc>
      </w:tr>
      <w:tr w14:paraId="760458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4899" w:type="dxa"/>
            <w:vAlign w:val="center"/>
          </w:tcPr>
          <w:p w14:paraId="4C66C290">
            <w:pPr>
              <w:spacing w:line="360" w:lineRule="auto"/>
              <w:rPr>
                <w:rFonts w:hint="eastAsia" w:ascii="宋体" w:hAnsi="宋体" w:cs="宋体"/>
                <w:b w:val="0"/>
                <w:sz w:val="22"/>
                <w:szCs w:val="22"/>
                <w:highlight w:val="none"/>
              </w:rPr>
            </w:pPr>
            <w:r>
              <w:rPr>
                <w:rFonts w:hint="eastAsia" w:ascii="宋体" w:hAnsi="宋体" w:cs="宋体"/>
                <w:b w:val="0"/>
                <w:sz w:val="22"/>
                <w:szCs w:val="22"/>
                <w:highlight w:val="none"/>
              </w:rPr>
              <w:t>开户银行：</w:t>
            </w:r>
          </w:p>
        </w:tc>
        <w:tc>
          <w:tcPr>
            <w:tcW w:w="4457" w:type="dxa"/>
            <w:vAlign w:val="center"/>
          </w:tcPr>
          <w:p w14:paraId="4423B78C">
            <w:pPr>
              <w:spacing w:line="360" w:lineRule="auto"/>
              <w:rPr>
                <w:rFonts w:hint="eastAsia" w:ascii="宋体" w:hAnsi="宋体" w:cs="宋体"/>
                <w:b w:val="0"/>
                <w:spacing w:val="-6"/>
                <w:sz w:val="22"/>
                <w:szCs w:val="22"/>
                <w:highlight w:val="none"/>
              </w:rPr>
            </w:pPr>
            <w:r>
              <w:rPr>
                <w:rFonts w:hint="eastAsia" w:ascii="宋体" w:hAnsi="宋体" w:cs="宋体"/>
                <w:b w:val="0"/>
                <w:spacing w:val="-6"/>
                <w:sz w:val="22"/>
                <w:szCs w:val="22"/>
                <w:highlight w:val="none"/>
              </w:rPr>
              <w:t>开户银行：</w:t>
            </w:r>
          </w:p>
        </w:tc>
      </w:tr>
      <w:tr w14:paraId="01576A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4899" w:type="dxa"/>
            <w:vAlign w:val="center"/>
          </w:tcPr>
          <w:p w14:paraId="7F9335F5">
            <w:pPr>
              <w:spacing w:line="360" w:lineRule="auto"/>
              <w:rPr>
                <w:rFonts w:hint="eastAsia" w:ascii="宋体" w:hAnsi="宋体" w:cs="宋体"/>
                <w:b w:val="0"/>
                <w:sz w:val="22"/>
                <w:szCs w:val="22"/>
                <w:highlight w:val="none"/>
              </w:rPr>
            </w:pPr>
            <w:r>
              <w:rPr>
                <w:rFonts w:hint="eastAsia" w:ascii="宋体" w:hAnsi="宋体" w:cs="宋体"/>
                <w:b w:val="0"/>
                <w:sz w:val="22"/>
                <w:szCs w:val="22"/>
                <w:highlight w:val="none"/>
              </w:rPr>
              <w:t>账号：</w:t>
            </w:r>
          </w:p>
        </w:tc>
        <w:tc>
          <w:tcPr>
            <w:tcW w:w="4457" w:type="dxa"/>
            <w:vAlign w:val="center"/>
          </w:tcPr>
          <w:p w14:paraId="4F889210">
            <w:pPr>
              <w:spacing w:line="360" w:lineRule="auto"/>
              <w:rPr>
                <w:rFonts w:hint="eastAsia" w:ascii="宋体" w:hAnsi="宋体" w:cs="宋体"/>
                <w:b w:val="0"/>
                <w:spacing w:val="-6"/>
                <w:sz w:val="22"/>
                <w:szCs w:val="22"/>
                <w:highlight w:val="none"/>
              </w:rPr>
            </w:pPr>
            <w:r>
              <w:rPr>
                <w:rFonts w:hint="eastAsia" w:ascii="宋体" w:hAnsi="宋体" w:cs="宋体"/>
                <w:b w:val="0"/>
                <w:spacing w:val="-6"/>
                <w:sz w:val="22"/>
                <w:szCs w:val="22"/>
                <w:highlight w:val="none"/>
              </w:rPr>
              <w:t>账号：</w:t>
            </w:r>
          </w:p>
        </w:tc>
      </w:tr>
      <w:tr w14:paraId="77A701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4899" w:type="dxa"/>
            <w:vAlign w:val="center"/>
          </w:tcPr>
          <w:p w14:paraId="47374D3D">
            <w:pPr>
              <w:spacing w:line="360" w:lineRule="auto"/>
              <w:rPr>
                <w:rFonts w:hint="eastAsia" w:ascii="宋体" w:hAnsi="宋体" w:cs="宋体"/>
                <w:b w:val="0"/>
                <w:spacing w:val="-6"/>
                <w:sz w:val="22"/>
                <w:szCs w:val="22"/>
                <w:highlight w:val="none"/>
              </w:rPr>
            </w:pPr>
            <w:r>
              <w:rPr>
                <w:rFonts w:hint="eastAsia" w:ascii="宋体" w:hAnsi="宋体" w:cs="宋体"/>
                <w:b w:val="0"/>
                <w:spacing w:val="-6"/>
                <w:sz w:val="22"/>
                <w:szCs w:val="22"/>
                <w:highlight w:val="none"/>
              </w:rPr>
              <w:t>签字日期：      年    月    日</w:t>
            </w:r>
          </w:p>
        </w:tc>
        <w:tc>
          <w:tcPr>
            <w:tcW w:w="4457" w:type="dxa"/>
            <w:vAlign w:val="center"/>
          </w:tcPr>
          <w:p w14:paraId="3ACC3540">
            <w:pPr>
              <w:spacing w:line="360" w:lineRule="auto"/>
              <w:rPr>
                <w:rFonts w:hint="eastAsia" w:ascii="宋体" w:hAnsi="宋体" w:cs="宋体"/>
                <w:b w:val="0"/>
                <w:spacing w:val="-6"/>
                <w:sz w:val="22"/>
                <w:szCs w:val="22"/>
                <w:highlight w:val="none"/>
              </w:rPr>
            </w:pPr>
            <w:r>
              <w:rPr>
                <w:rFonts w:hint="eastAsia" w:ascii="宋体" w:hAnsi="宋体" w:cs="宋体"/>
                <w:b w:val="0"/>
                <w:spacing w:val="-6"/>
                <w:sz w:val="22"/>
                <w:szCs w:val="22"/>
                <w:highlight w:val="none"/>
              </w:rPr>
              <w:t>签字日期：      年    月    日</w:t>
            </w:r>
          </w:p>
        </w:tc>
      </w:tr>
    </w:tbl>
    <w:p w14:paraId="7E5046D4">
      <w:pPr>
        <w:pStyle w:val="79"/>
        <w:tabs>
          <w:tab w:val="left" w:pos="699"/>
        </w:tabs>
        <w:spacing w:line="360" w:lineRule="auto"/>
        <w:ind w:right="537" w:firstLine="0" w:firstLineChars="0"/>
        <w:rPr>
          <w:rFonts w:ascii="Cambria Math" w:hAnsi="Cambria Math" w:eastAsiaTheme="minorEastAsia"/>
          <w:b/>
          <w:sz w:val="22"/>
          <w:szCs w:val="22"/>
          <w:highlight w:val="none"/>
        </w:rPr>
      </w:pPr>
    </w:p>
    <w:p w14:paraId="39C12997">
      <w:pPr>
        <w:pStyle w:val="79"/>
        <w:tabs>
          <w:tab w:val="left" w:pos="699"/>
        </w:tabs>
        <w:spacing w:line="360" w:lineRule="auto"/>
        <w:ind w:right="537" w:firstLine="0" w:firstLineChars="0"/>
        <w:jc w:val="both"/>
        <w:rPr>
          <w:rFonts w:ascii="Cambria Math" w:hAnsi="Cambria Math" w:eastAsia="Cambria Math"/>
          <w:b/>
          <w:sz w:val="22"/>
          <w:szCs w:val="22"/>
          <w:highlight w:val="none"/>
        </w:rPr>
      </w:pPr>
      <w:r>
        <w:rPr>
          <w:rFonts w:ascii="Cambria Math" w:hAnsi="Cambria Math" w:eastAsia="Cambria Math"/>
          <w:b/>
          <w:sz w:val="22"/>
          <w:szCs w:val="22"/>
          <w:highlight w:val="none"/>
        </w:rPr>
        <w:t xml:space="preserve"> </w:t>
      </w:r>
    </w:p>
    <w:p w14:paraId="09ECA247">
      <w:pPr>
        <w:pStyle w:val="4"/>
        <w:spacing w:before="0" w:after="120" w:line="700" w:lineRule="exact"/>
        <w:ind w:left="0" w:firstLine="0"/>
        <w:jc w:val="center"/>
        <w:rPr>
          <w:rFonts w:ascii="Cambria Math" w:hAnsi="Cambria Math" w:eastAsia="Cambria Math"/>
          <w:b/>
          <w:color w:val="auto"/>
          <w:sz w:val="44"/>
          <w:szCs w:val="44"/>
          <w:highlight w:val="none"/>
        </w:rPr>
      </w:pPr>
      <w:r>
        <w:rPr>
          <w:rFonts w:hint="eastAsia" w:ascii="Cambria Math" w:hAnsi="Cambria Math" w:eastAsia="Cambria Math"/>
          <w:b/>
          <w:color w:val="auto"/>
          <w:sz w:val="44"/>
          <w:szCs w:val="44"/>
          <w:highlight w:val="none"/>
        </w:rPr>
        <w:t>第五部分   投标文件格式</w:t>
      </w:r>
    </w:p>
    <w:p w14:paraId="70DE9198">
      <w:pPr>
        <w:pStyle w:val="4"/>
        <w:spacing w:before="0" w:after="120" w:line="700" w:lineRule="exact"/>
        <w:ind w:left="0" w:firstLine="0"/>
        <w:rPr>
          <w:rFonts w:ascii="Cambria Math" w:hAnsi="Cambria Math" w:eastAsia="Cambria Math"/>
          <w:b/>
          <w:color w:val="auto"/>
          <w:sz w:val="32"/>
          <w:highlight w:val="none"/>
        </w:rPr>
      </w:pPr>
      <w:r>
        <w:rPr>
          <w:rFonts w:hint="eastAsia" w:ascii="Cambria Math" w:hAnsi="Cambria Math" w:eastAsia="Cambria Math"/>
          <w:b/>
          <w:color w:val="auto"/>
          <w:sz w:val="32"/>
          <w:highlight w:val="none"/>
        </w:rPr>
        <w:t>商务部分</w:t>
      </w:r>
    </w:p>
    <w:p w14:paraId="649EA047">
      <w:pPr>
        <w:adjustRightInd w:val="0"/>
        <w:snapToGrid w:val="0"/>
        <w:spacing w:line="460" w:lineRule="atLeast"/>
        <w:ind w:left="360" w:hanging="360" w:hangingChars="100"/>
        <w:rPr>
          <w:rFonts w:ascii="Cambria Math" w:hAnsi="Cambria Math" w:eastAsia="Cambria Math"/>
          <w:b w:val="0"/>
          <w:color w:val="auto"/>
          <w:spacing w:val="20"/>
          <w:sz w:val="32"/>
          <w:szCs w:val="32"/>
          <w:highlight w:val="none"/>
        </w:rPr>
      </w:pPr>
      <w:r>
        <w:rPr>
          <w:rFonts w:hint="eastAsia" w:ascii="Cambria Math" w:hAnsi="Cambria Math" w:eastAsia="Cambria Math"/>
          <w:b w:val="0"/>
          <w:color w:val="auto"/>
          <w:spacing w:val="20"/>
          <w:sz w:val="32"/>
          <w:szCs w:val="32"/>
          <w:highlight w:val="none"/>
        </w:rPr>
        <w:t>（密封封面格式）（仅供参考）</w:t>
      </w:r>
    </w:p>
    <w:p w14:paraId="63182AF3">
      <w:pPr>
        <w:adjustRightInd w:val="0"/>
        <w:snapToGrid w:val="0"/>
        <w:spacing w:line="460" w:lineRule="atLeast"/>
        <w:ind w:left="360" w:hanging="360" w:hangingChars="100"/>
        <w:jc w:val="right"/>
        <w:rPr>
          <w:rFonts w:ascii="Cambria Math" w:hAnsi="Cambria Math"/>
          <w:b w:val="0"/>
          <w:color w:val="auto"/>
          <w:spacing w:val="20"/>
          <w:sz w:val="32"/>
          <w:szCs w:val="32"/>
          <w:highlight w:val="none"/>
        </w:rPr>
      </w:pPr>
      <w:r>
        <w:rPr>
          <w:rFonts w:hint="eastAsia" w:ascii="Cambria Math" w:hAnsi="Cambria Math" w:eastAsia="Cambria Math"/>
          <w:b w:val="0"/>
          <w:color w:val="FF0000"/>
          <w:spacing w:val="20"/>
          <w:sz w:val="32"/>
          <w:szCs w:val="32"/>
          <w:highlight w:val="none"/>
        </w:rPr>
        <w:t>正本</w:t>
      </w:r>
      <w:r>
        <w:rPr>
          <w:rFonts w:hint="eastAsia" w:ascii="Cambria Math" w:hAnsi="Cambria Math"/>
          <w:b w:val="0"/>
          <w:color w:val="auto"/>
          <w:spacing w:val="20"/>
          <w:sz w:val="32"/>
          <w:szCs w:val="32"/>
          <w:highlight w:val="none"/>
        </w:rPr>
        <w:t>/副本</w:t>
      </w:r>
    </w:p>
    <w:p w14:paraId="710AC5F6">
      <w:pPr>
        <w:adjustRightInd w:val="0"/>
        <w:snapToGrid w:val="0"/>
        <w:spacing w:line="460" w:lineRule="atLeast"/>
        <w:ind w:left="360" w:hanging="360" w:hangingChars="100"/>
        <w:rPr>
          <w:rFonts w:ascii="Cambria Math" w:hAnsi="Cambria Math" w:eastAsia="Cambria Math"/>
          <w:b w:val="0"/>
          <w:color w:val="auto"/>
          <w:spacing w:val="20"/>
          <w:sz w:val="32"/>
          <w:szCs w:val="32"/>
          <w:highlight w:val="none"/>
        </w:rPr>
      </w:pPr>
    </w:p>
    <w:p w14:paraId="653CD933">
      <w:pPr>
        <w:adjustRightInd w:val="0"/>
        <w:snapToGrid w:val="0"/>
        <w:spacing w:line="460" w:lineRule="atLeast"/>
        <w:rPr>
          <w:rFonts w:ascii="Cambria Math" w:hAnsi="Cambria Math" w:eastAsia="Cambria Math"/>
          <w:b w:val="0"/>
          <w:color w:val="auto"/>
          <w:spacing w:val="20"/>
          <w:sz w:val="36"/>
          <w:szCs w:val="36"/>
          <w:highlight w:val="none"/>
        </w:rPr>
      </w:pPr>
    </w:p>
    <w:p w14:paraId="6F5FA8EE">
      <w:pPr>
        <w:spacing w:line="360" w:lineRule="auto"/>
        <w:jc w:val="center"/>
        <w:rPr>
          <w:rFonts w:ascii="Cambria Math" w:hAnsi="Cambria Math" w:eastAsia="Cambria Math"/>
          <w:b w:val="0"/>
          <w:color w:val="auto"/>
          <w:sz w:val="96"/>
          <w:szCs w:val="22"/>
          <w:highlight w:val="none"/>
        </w:rPr>
      </w:pPr>
      <w:r>
        <w:rPr>
          <w:rFonts w:hint="eastAsia" w:ascii="Cambria Math" w:hAnsi="Cambria Math" w:eastAsia="Cambria Math"/>
          <w:b w:val="0"/>
          <w:color w:val="auto"/>
          <w:sz w:val="96"/>
          <w:szCs w:val="22"/>
          <w:highlight w:val="none"/>
        </w:rPr>
        <w:t>商务报价投标文件</w:t>
      </w:r>
    </w:p>
    <w:p w14:paraId="3326439F">
      <w:pPr>
        <w:spacing w:line="360" w:lineRule="auto"/>
        <w:jc w:val="center"/>
        <w:rPr>
          <w:rFonts w:ascii="Cambria Math" w:hAnsi="Cambria Math" w:eastAsia="Cambria Math"/>
          <w:b w:val="0"/>
          <w:color w:val="auto"/>
          <w:sz w:val="44"/>
          <w:szCs w:val="44"/>
          <w:highlight w:val="none"/>
        </w:rPr>
      </w:pPr>
      <w:r>
        <w:rPr>
          <w:rFonts w:hint="eastAsia" w:ascii="Cambria Math" w:hAnsi="Cambria Math" w:eastAsia="Cambria Math"/>
          <w:b w:val="0"/>
          <w:color w:val="auto"/>
          <w:sz w:val="44"/>
          <w:szCs w:val="44"/>
          <w:highlight w:val="none"/>
        </w:rPr>
        <w:t>开标时启封</w:t>
      </w:r>
    </w:p>
    <w:p w14:paraId="42FF6BBD">
      <w:pPr>
        <w:spacing w:line="360" w:lineRule="auto"/>
        <w:jc w:val="center"/>
        <w:rPr>
          <w:rFonts w:ascii="Cambria Math" w:hAnsi="Cambria Math" w:eastAsia="Cambria Math"/>
          <w:b w:val="0"/>
          <w:color w:val="auto"/>
          <w:sz w:val="44"/>
          <w:szCs w:val="44"/>
          <w:highlight w:val="none"/>
        </w:rPr>
      </w:pPr>
    </w:p>
    <w:p w14:paraId="1E20E087">
      <w:pPr>
        <w:spacing w:line="360" w:lineRule="auto"/>
        <w:ind w:firstLine="1271" w:firstLineChars="454"/>
        <w:rPr>
          <w:rFonts w:ascii="Cambria Math" w:hAnsi="Cambria Math" w:eastAsia="Cambria Math"/>
          <w:b w:val="0"/>
          <w:color w:val="auto"/>
          <w:sz w:val="36"/>
          <w:szCs w:val="22"/>
          <w:highlight w:val="none"/>
          <w:u w:val="single"/>
        </w:rPr>
      </w:pPr>
      <w:r>
        <w:rPr>
          <w:rFonts w:hint="eastAsia" w:ascii="Cambria Math" w:hAnsi="Cambria Math" w:eastAsia="Cambria Math"/>
          <w:b w:val="0"/>
          <w:color w:val="auto"/>
          <w:sz w:val="28"/>
          <w:szCs w:val="22"/>
          <w:highlight w:val="none"/>
        </w:rPr>
        <w:t>项目名称：</w:t>
      </w:r>
    </w:p>
    <w:p w14:paraId="23543962">
      <w:pPr>
        <w:spacing w:line="360" w:lineRule="auto"/>
        <w:ind w:firstLine="1271" w:firstLineChars="454"/>
        <w:rPr>
          <w:rFonts w:ascii="Cambria Math" w:hAnsi="Cambria Math" w:eastAsia="Cambria Math"/>
          <w:b w:val="0"/>
          <w:color w:val="auto"/>
          <w:sz w:val="28"/>
          <w:szCs w:val="22"/>
          <w:highlight w:val="none"/>
          <w:u w:val="single"/>
        </w:rPr>
      </w:pPr>
      <w:r>
        <w:rPr>
          <w:rFonts w:hint="eastAsia" w:ascii="Cambria Math" w:hAnsi="Cambria Math" w:eastAsia="Cambria Math"/>
          <w:b w:val="0"/>
          <w:color w:val="auto"/>
          <w:sz w:val="28"/>
          <w:szCs w:val="22"/>
          <w:highlight w:val="none"/>
        </w:rPr>
        <w:t>项目编号：</w:t>
      </w:r>
    </w:p>
    <w:p w14:paraId="631A1F65">
      <w:pPr>
        <w:spacing w:line="360" w:lineRule="auto"/>
        <w:ind w:firstLine="1271" w:firstLineChars="454"/>
        <w:rPr>
          <w:rFonts w:ascii="Cambria Math" w:hAnsi="Cambria Math" w:eastAsia="Cambria Math"/>
          <w:b w:val="0"/>
          <w:color w:val="auto"/>
          <w:sz w:val="28"/>
          <w:szCs w:val="22"/>
          <w:highlight w:val="none"/>
        </w:rPr>
      </w:pPr>
      <w:r>
        <w:rPr>
          <w:rFonts w:hint="eastAsia" w:ascii="Cambria Math" w:hAnsi="Cambria Math" w:eastAsia="Cambria Math"/>
          <w:b w:val="0"/>
          <w:color w:val="auto"/>
          <w:sz w:val="28"/>
          <w:szCs w:val="22"/>
          <w:highlight w:val="none"/>
        </w:rPr>
        <w:t>采 购 人：</w:t>
      </w:r>
    </w:p>
    <w:p w14:paraId="47912779">
      <w:pPr>
        <w:spacing w:line="360" w:lineRule="auto"/>
        <w:ind w:firstLine="1271" w:firstLineChars="454"/>
        <w:rPr>
          <w:rFonts w:ascii="Cambria Math" w:hAnsi="Cambria Math" w:eastAsia="Cambria Math"/>
          <w:b w:val="0"/>
          <w:color w:val="auto"/>
          <w:sz w:val="28"/>
          <w:szCs w:val="22"/>
          <w:highlight w:val="none"/>
          <w:u w:val="single"/>
        </w:rPr>
      </w:pPr>
      <w:r>
        <w:rPr>
          <w:rFonts w:hint="eastAsia" w:ascii="Cambria Math" w:hAnsi="Cambria Math" w:eastAsia="Cambria Math"/>
          <w:b w:val="0"/>
          <w:color w:val="auto"/>
          <w:sz w:val="28"/>
          <w:szCs w:val="22"/>
          <w:highlight w:val="none"/>
        </w:rPr>
        <w:t>投标单位（盖章）：</w:t>
      </w:r>
    </w:p>
    <w:p w14:paraId="446429FF">
      <w:pPr>
        <w:spacing w:line="360" w:lineRule="auto"/>
        <w:ind w:firstLine="1271" w:firstLineChars="454"/>
        <w:rPr>
          <w:rFonts w:ascii="Cambria Math" w:hAnsi="Cambria Math" w:eastAsia="Cambria Math"/>
          <w:b w:val="0"/>
          <w:color w:val="auto"/>
          <w:sz w:val="28"/>
          <w:szCs w:val="22"/>
          <w:highlight w:val="none"/>
          <w:u w:val="single"/>
        </w:rPr>
      </w:pPr>
      <w:r>
        <w:rPr>
          <w:rFonts w:hint="eastAsia" w:ascii="Cambria Math" w:hAnsi="Cambria Math" w:eastAsia="Cambria Math"/>
          <w:b w:val="0"/>
          <w:color w:val="auto"/>
          <w:sz w:val="28"/>
          <w:szCs w:val="22"/>
          <w:highlight w:val="none"/>
        </w:rPr>
        <w:t>投标人地址：</w:t>
      </w:r>
    </w:p>
    <w:p w14:paraId="53A179C9">
      <w:pPr>
        <w:spacing w:line="360" w:lineRule="auto"/>
        <w:ind w:firstLine="1271" w:firstLineChars="454"/>
        <w:rPr>
          <w:rFonts w:ascii="Cambria Math" w:hAnsi="Cambria Math" w:eastAsia="Cambria Math"/>
          <w:b w:val="0"/>
          <w:color w:val="auto"/>
          <w:sz w:val="28"/>
          <w:szCs w:val="22"/>
          <w:highlight w:val="none"/>
          <w:u w:val="single"/>
        </w:rPr>
      </w:pPr>
      <w:r>
        <w:rPr>
          <w:rFonts w:hint="eastAsia" w:ascii="Cambria Math" w:hAnsi="Cambria Math" w:eastAsia="Cambria Math"/>
          <w:b w:val="0"/>
          <w:color w:val="auto"/>
          <w:sz w:val="28"/>
          <w:szCs w:val="22"/>
          <w:highlight w:val="none"/>
        </w:rPr>
        <w:t>授权代表（签字或盖章）：</w:t>
      </w:r>
    </w:p>
    <w:p w14:paraId="4E5C7782">
      <w:pPr>
        <w:spacing w:line="360" w:lineRule="auto"/>
        <w:ind w:firstLine="1271" w:firstLineChars="454"/>
        <w:rPr>
          <w:rFonts w:ascii="Cambria Math" w:hAnsi="Cambria Math" w:eastAsia="Cambria Math"/>
          <w:b w:val="0"/>
          <w:color w:val="auto"/>
          <w:sz w:val="28"/>
          <w:szCs w:val="22"/>
          <w:highlight w:val="none"/>
          <w:u w:val="single"/>
        </w:rPr>
      </w:pPr>
      <w:r>
        <w:rPr>
          <w:rFonts w:hint="eastAsia" w:ascii="Cambria Math" w:hAnsi="Cambria Math" w:eastAsia="Cambria Math"/>
          <w:b w:val="0"/>
          <w:color w:val="auto"/>
          <w:sz w:val="28"/>
          <w:szCs w:val="22"/>
          <w:highlight w:val="none"/>
        </w:rPr>
        <w:t>日期：</w:t>
      </w:r>
    </w:p>
    <w:p w14:paraId="481D20A3">
      <w:pPr>
        <w:adjustRightInd w:val="0"/>
        <w:snapToGrid w:val="0"/>
        <w:spacing w:line="460" w:lineRule="atLeast"/>
        <w:rPr>
          <w:rFonts w:ascii="Cambria Math" w:hAnsi="Cambria Math" w:eastAsia="Cambria Math"/>
          <w:b w:val="0"/>
          <w:color w:val="auto"/>
          <w:spacing w:val="20"/>
          <w:sz w:val="36"/>
          <w:szCs w:val="36"/>
          <w:highlight w:val="none"/>
        </w:rPr>
      </w:pPr>
    </w:p>
    <w:p w14:paraId="33D1AA66">
      <w:pPr>
        <w:adjustRightInd w:val="0"/>
        <w:snapToGrid w:val="0"/>
        <w:spacing w:line="460" w:lineRule="atLeast"/>
        <w:rPr>
          <w:rFonts w:ascii="Cambria Math" w:hAnsi="Cambria Math" w:eastAsia="Cambria Math"/>
          <w:b w:val="0"/>
          <w:color w:val="auto"/>
          <w:spacing w:val="20"/>
          <w:sz w:val="36"/>
          <w:szCs w:val="36"/>
          <w:highlight w:val="none"/>
        </w:rPr>
      </w:pPr>
    </w:p>
    <w:p w14:paraId="0B3DF301">
      <w:pPr>
        <w:pStyle w:val="4"/>
        <w:spacing w:before="0" w:after="120" w:line="700" w:lineRule="exact"/>
        <w:ind w:left="0" w:firstLine="0"/>
        <w:rPr>
          <w:rFonts w:ascii="Cambria Math" w:hAnsi="Cambria Math" w:eastAsia="Cambria Math"/>
          <w:b/>
          <w:color w:val="auto"/>
          <w:sz w:val="32"/>
          <w:highlight w:val="none"/>
        </w:rPr>
      </w:pPr>
    </w:p>
    <w:p w14:paraId="69EC9251">
      <w:pPr>
        <w:pStyle w:val="5"/>
        <w:rPr>
          <w:highlight w:val="none"/>
        </w:rPr>
      </w:pPr>
    </w:p>
    <w:p w14:paraId="50AEE1EC">
      <w:pPr>
        <w:rPr>
          <w:rFonts w:ascii="Cambria Math" w:hAnsi="Cambria Math"/>
          <w:color w:val="auto"/>
          <w:sz w:val="32"/>
          <w:szCs w:val="32"/>
          <w:highlight w:val="none"/>
        </w:rPr>
      </w:pPr>
    </w:p>
    <w:p w14:paraId="5EAD04D1">
      <w:pPr>
        <w:rPr>
          <w:rFonts w:ascii="Cambria Math" w:hAnsi="Cambria Math" w:eastAsia="等线"/>
          <w:color w:val="auto"/>
          <w:sz w:val="32"/>
          <w:szCs w:val="32"/>
          <w:highlight w:val="none"/>
        </w:rPr>
      </w:pPr>
      <w:r>
        <w:rPr>
          <w:rFonts w:hint="eastAsia" w:ascii="Cambria Math" w:hAnsi="Cambria Math" w:eastAsia="Cambria Math"/>
          <w:color w:val="auto"/>
          <w:sz w:val="32"/>
          <w:szCs w:val="32"/>
          <w:highlight w:val="none"/>
        </w:rPr>
        <w:t>附件</w:t>
      </w:r>
      <w:r>
        <w:rPr>
          <w:rFonts w:hint="eastAsia" w:ascii="Cambria Math" w:hAnsi="Cambria Math" w:eastAsia="等线"/>
          <w:color w:val="auto"/>
          <w:sz w:val="32"/>
          <w:szCs w:val="32"/>
          <w:highlight w:val="none"/>
        </w:rPr>
        <w:t>1-</w:t>
      </w:r>
      <w:r>
        <w:rPr>
          <w:rFonts w:ascii="Cambria Math" w:hAnsi="Cambria Math" w:eastAsia="等线"/>
          <w:color w:val="auto"/>
          <w:sz w:val="32"/>
          <w:szCs w:val="32"/>
          <w:highlight w:val="none"/>
        </w:rPr>
        <w:t>1</w:t>
      </w:r>
    </w:p>
    <w:p w14:paraId="14229D92">
      <w:pPr>
        <w:autoSpaceDE w:val="0"/>
        <w:autoSpaceDN w:val="0"/>
        <w:adjustRightInd w:val="0"/>
        <w:jc w:val="center"/>
        <w:rPr>
          <w:rFonts w:ascii="Cambria Math" w:hAnsi="Cambria Math" w:eastAsia="Cambria Math"/>
          <w:b w:val="0"/>
          <w:bCs w:val="0"/>
          <w:color w:val="auto"/>
          <w:sz w:val="44"/>
          <w:szCs w:val="44"/>
          <w:highlight w:val="none"/>
          <w:lang w:val="zh-CN"/>
        </w:rPr>
      </w:pPr>
      <w:r>
        <w:rPr>
          <w:rFonts w:hint="eastAsia" w:ascii="Cambria Math" w:hAnsi="Cambria Math" w:eastAsia="Cambria Math"/>
          <w:b w:val="0"/>
          <w:bCs w:val="0"/>
          <w:color w:val="auto"/>
          <w:sz w:val="44"/>
          <w:szCs w:val="44"/>
          <w:highlight w:val="none"/>
          <w:lang w:val="zh-CN"/>
        </w:rPr>
        <w:t>开标一览表</w:t>
      </w:r>
    </w:p>
    <w:p w14:paraId="29426FCE">
      <w:pPr>
        <w:autoSpaceDE w:val="0"/>
        <w:autoSpaceDN w:val="0"/>
        <w:adjustRightInd w:val="0"/>
        <w:rPr>
          <w:rFonts w:ascii="Cambria Math" w:hAnsi="Cambria Math" w:eastAsia="Cambria Math"/>
          <w:b w:val="0"/>
          <w:color w:val="auto"/>
          <w:sz w:val="22"/>
          <w:szCs w:val="22"/>
          <w:highlight w:val="none"/>
          <w:lang w:val="zh-CN"/>
        </w:rPr>
      </w:pPr>
      <w:r>
        <w:rPr>
          <w:rFonts w:hint="eastAsia" w:ascii="Cambria Math" w:hAnsi="Cambria Math" w:eastAsia="Cambria Math"/>
          <w:b w:val="0"/>
          <w:color w:val="auto"/>
          <w:sz w:val="22"/>
          <w:szCs w:val="22"/>
          <w:highlight w:val="none"/>
          <w:lang w:val="zh-CN"/>
        </w:rPr>
        <w:t>项目名称：招标编号：报价单位：人民币元</w:t>
      </w:r>
    </w:p>
    <w:tbl>
      <w:tblPr>
        <w:tblStyle w:val="35"/>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062"/>
        <w:gridCol w:w="6347"/>
      </w:tblGrid>
      <w:tr w14:paraId="1F9A29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2" w:hRule="atLeast"/>
          <w:jc w:val="center"/>
        </w:trPr>
        <w:tc>
          <w:tcPr>
            <w:tcW w:w="3062" w:type="dxa"/>
            <w:vAlign w:val="center"/>
          </w:tcPr>
          <w:p w14:paraId="66E1B827">
            <w:pPr>
              <w:pStyle w:val="21"/>
              <w:snapToGrid w:val="0"/>
              <w:spacing w:line="460" w:lineRule="atLeast"/>
              <w:jc w:val="center"/>
              <w:rPr>
                <w:rFonts w:ascii="宋体" w:hAnsi="宋体" w:eastAsia="宋体" w:cs="Yu Mincho Light"/>
                <w:b w:val="0"/>
                <w:sz w:val="22"/>
                <w:szCs w:val="22"/>
                <w:highlight w:val="none"/>
              </w:rPr>
            </w:pPr>
            <w:r>
              <w:rPr>
                <w:rFonts w:hint="eastAsia" w:ascii="宋体" w:hAnsi="宋体" w:eastAsia="宋体" w:cs="Yu Mincho Light"/>
                <w:b w:val="0"/>
                <w:sz w:val="22"/>
                <w:szCs w:val="22"/>
                <w:highlight w:val="none"/>
              </w:rPr>
              <w:t>名称</w:t>
            </w:r>
          </w:p>
        </w:tc>
        <w:tc>
          <w:tcPr>
            <w:tcW w:w="6347" w:type="dxa"/>
            <w:vAlign w:val="center"/>
          </w:tcPr>
          <w:p w14:paraId="3C3EF08A">
            <w:pPr>
              <w:pStyle w:val="21"/>
              <w:snapToGrid w:val="0"/>
              <w:spacing w:line="460" w:lineRule="atLeast"/>
              <w:jc w:val="center"/>
              <w:rPr>
                <w:rFonts w:ascii="宋体" w:hAnsi="宋体" w:eastAsia="宋体" w:cs="Yu Mincho Light"/>
                <w:b w:val="0"/>
                <w:sz w:val="22"/>
                <w:szCs w:val="22"/>
                <w:highlight w:val="none"/>
              </w:rPr>
            </w:pPr>
            <w:bookmarkStart w:id="172" w:name="_Hlk33642857"/>
            <w:r>
              <w:rPr>
                <w:rFonts w:hint="eastAsia" w:ascii="宋体" w:hAnsi="宋体" w:eastAsia="宋体" w:cs="Yu Mincho Light"/>
                <w:b w:val="0"/>
                <w:sz w:val="22"/>
                <w:szCs w:val="22"/>
                <w:highlight w:val="none"/>
              </w:rPr>
              <w:t>投标</w:t>
            </w:r>
            <w:bookmarkEnd w:id="172"/>
            <w:r>
              <w:rPr>
                <w:rFonts w:hint="eastAsia" w:ascii="宋体" w:hAnsi="宋体" w:eastAsia="宋体" w:cs="Yu Mincho Light"/>
                <w:b w:val="0"/>
                <w:sz w:val="22"/>
                <w:szCs w:val="22"/>
                <w:highlight w:val="none"/>
              </w:rPr>
              <w:t>总价</w:t>
            </w:r>
          </w:p>
        </w:tc>
      </w:tr>
      <w:tr w14:paraId="28E6D7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840" w:hRule="atLeast"/>
          <w:jc w:val="center"/>
        </w:trPr>
        <w:tc>
          <w:tcPr>
            <w:tcW w:w="3062" w:type="dxa"/>
            <w:vAlign w:val="center"/>
          </w:tcPr>
          <w:p w14:paraId="04EBA580">
            <w:pPr>
              <w:pStyle w:val="21"/>
              <w:spacing w:line="460" w:lineRule="atLeast"/>
              <w:jc w:val="center"/>
              <w:rPr>
                <w:rFonts w:ascii="宋体" w:hAnsi="宋体" w:eastAsia="宋体" w:cs="Yu Mincho Light"/>
                <w:b w:val="0"/>
                <w:sz w:val="24"/>
                <w:szCs w:val="24"/>
                <w:highlight w:val="none"/>
              </w:rPr>
            </w:pPr>
            <w:r>
              <w:rPr>
                <w:rFonts w:hint="eastAsia" w:ascii="宋体" w:hAnsi="宋体" w:eastAsia="宋体" w:cs="Yu Mincho Light"/>
                <w:b w:val="0"/>
                <w:sz w:val="24"/>
                <w:szCs w:val="24"/>
                <w:highlight w:val="none"/>
                <w:lang w:eastAsia="zh-CN"/>
              </w:rPr>
              <w:t>龙港水务用水客户户内漏水保险服务项目（重招）</w:t>
            </w:r>
          </w:p>
        </w:tc>
        <w:tc>
          <w:tcPr>
            <w:tcW w:w="6347" w:type="dxa"/>
            <w:vAlign w:val="center"/>
          </w:tcPr>
          <w:p w14:paraId="4E570D7F">
            <w:pPr>
              <w:jc w:val="left"/>
              <w:rPr>
                <w:rFonts w:hint="eastAsia" w:ascii="新宋体" w:hAnsi="新宋体" w:eastAsia="新宋体"/>
                <w:b w:val="0"/>
                <w:sz w:val="24"/>
                <w:szCs w:val="22"/>
                <w:highlight w:val="none"/>
              </w:rPr>
            </w:pPr>
            <w:r>
              <w:rPr>
                <w:rFonts w:hint="eastAsia" w:ascii="新宋体" w:hAnsi="新宋体" w:eastAsia="新宋体"/>
                <w:b w:val="0"/>
                <w:sz w:val="24"/>
                <w:szCs w:val="22"/>
                <w:highlight w:val="none"/>
              </w:rPr>
              <w:t>(大写) :</w:t>
            </w:r>
            <w:r>
              <w:rPr>
                <w:rFonts w:hint="eastAsia" w:ascii="新宋体" w:hAnsi="新宋体" w:eastAsia="新宋体"/>
                <w:b w:val="0"/>
                <w:sz w:val="24"/>
                <w:szCs w:val="22"/>
                <w:highlight w:val="none"/>
                <w:u w:val="single"/>
              </w:rPr>
              <w:t xml:space="preserve">                  </w:t>
            </w:r>
          </w:p>
          <w:p w14:paraId="7F99B7A2">
            <w:pPr>
              <w:rPr>
                <w:rFonts w:hint="eastAsia" w:ascii="新宋体" w:hAnsi="新宋体" w:eastAsia="新宋体"/>
                <w:b w:val="0"/>
                <w:sz w:val="24"/>
                <w:szCs w:val="22"/>
                <w:highlight w:val="none"/>
              </w:rPr>
            </w:pPr>
          </w:p>
          <w:p w14:paraId="0E9DD2F8">
            <w:pPr>
              <w:pStyle w:val="21"/>
              <w:spacing w:line="460" w:lineRule="atLeast"/>
              <w:jc w:val="left"/>
              <w:rPr>
                <w:rFonts w:ascii="宋体" w:hAnsi="宋体" w:eastAsia="宋体" w:cs="Yu Mincho Light"/>
                <w:b w:val="0"/>
                <w:sz w:val="24"/>
                <w:szCs w:val="24"/>
                <w:highlight w:val="none"/>
                <w:u w:val="single"/>
              </w:rPr>
            </w:pPr>
            <w:r>
              <w:rPr>
                <w:rFonts w:hint="eastAsia" w:ascii="新宋体" w:hAnsi="新宋体" w:eastAsia="新宋体"/>
                <w:b w:val="0"/>
                <w:sz w:val="24"/>
                <w:szCs w:val="22"/>
                <w:highlight w:val="none"/>
              </w:rPr>
              <w:t>(</w:t>
            </w:r>
            <w:r>
              <w:rPr>
                <w:rFonts w:hint="eastAsia" w:ascii="新宋体" w:hAnsi="新宋体" w:eastAsia="新宋体"/>
                <w:b w:val="0"/>
                <w:sz w:val="24"/>
                <w:szCs w:val="22"/>
                <w:highlight w:val="none"/>
                <w:lang w:val="en-US" w:eastAsia="zh-CN"/>
              </w:rPr>
              <w:t>小</w:t>
            </w:r>
            <w:r>
              <w:rPr>
                <w:rFonts w:hint="eastAsia" w:ascii="新宋体" w:hAnsi="新宋体" w:eastAsia="新宋体"/>
                <w:b w:val="0"/>
                <w:sz w:val="24"/>
                <w:szCs w:val="22"/>
                <w:highlight w:val="none"/>
              </w:rPr>
              <w:t>写) :</w:t>
            </w:r>
            <w:r>
              <w:rPr>
                <w:rFonts w:hint="eastAsia" w:ascii="新宋体" w:hAnsi="新宋体" w:eastAsia="新宋体"/>
                <w:b w:val="0"/>
                <w:sz w:val="24"/>
                <w:szCs w:val="22"/>
                <w:highlight w:val="none"/>
                <w:u w:val="single"/>
              </w:rPr>
              <w:t xml:space="preserve">                </w:t>
            </w:r>
          </w:p>
        </w:tc>
      </w:tr>
      <w:tr w14:paraId="4FF378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80" w:hRule="atLeast"/>
          <w:jc w:val="center"/>
        </w:trPr>
        <w:tc>
          <w:tcPr>
            <w:tcW w:w="3062" w:type="dxa"/>
            <w:vAlign w:val="center"/>
          </w:tcPr>
          <w:p w14:paraId="5021CCD4">
            <w:pPr>
              <w:pStyle w:val="21"/>
              <w:spacing w:line="460" w:lineRule="atLeast"/>
              <w:jc w:val="center"/>
              <w:rPr>
                <w:rFonts w:ascii="宋体" w:hAnsi="宋体" w:eastAsia="宋体" w:cs="Yu Mincho Light"/>
                <w:b w:val="0"/>
                <w:sz w:val="24"/>
                <w:szCs w:val="24"/>
                <w:highlight w:val="none"/>
              </w:rPr>
            </w:pPr>
            <w:r>
              <w:rPr>
                <w:rFonts w:hint="eastAsia" w:ascii="宋体" w:hAnsi="宋体" w:eastAsia="宋体" w:cs="Yu Mincho Light"/>
                <w:b w:val="0"/>
                <w:sz w:val="24"/>
                <w:szCs w:val="24"/>
                <w:highlight w:val="none"/>
              </w:rPr>
              <w:t>服务期限</w:t>
            </w:r>
          </w:p>
        </w:tc>
        <w:tc>
          <w:tcPr>
            <w:tcW w:w="6347" w:type="dxa"/>
            <w:vAlign w:val="center"/>
          </w:tcPr>
          <w:p w14:paraId="7F9A965E">
            <w:pPr>
              <w:pStyle w:val="21"/>
              <w:spacing w:line="460" w:lineRule="atLeast"/>
              <w:jc w:val="center"/>
              <w:rPr>
                <w:rFonts w:ascii="宋体" w:hAnsi="宋体" w:eastAsia="宋体" w:cs="Yu Mincho Light"/>
                <w:b w:val="0"/>
                <w:sz w:val="22"/>
                <w:szCs w:val="22"/>
                <w:highlight w:val="none"/>
              </w:rPr>
            </w:pPr>
          </w:p>
        </w:tc>
      </w:tr>
      <w:tr w14:paraId="695089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80" w:hRule="atLeast"/>
          <w:jc w:val="center"/>
        </w:trPr>
        <w:tc>
          <w:tcPr>
            <w:tcW w:w="3062" w:type="dxa"/>
            <w:vAlign w:val="center"/>
          </w:tcPr>
          <w:p w14:paraId="03DC6897">
            <w:pPr>
              <w:pStyle w:val="21"/>
              <w:spacing w:line="460" w:lineRule="atLeast"/>
              <w:jc w:val="center"/>
              <w:rPr>
                <w:rFonts w:ascii="宋体" w:hAnsi="宋体" w:eastAsia="宋体" w:cs="Yu Mincho Light"/>
                <w:b w:val="0"/>
                <w:sz w:val="24"/>
                <w:szCs w:val="24"/>
                <w:highlight w:val="none"/>
              </w:rPr>
            </w:pPr>
            <w:r>
              <w:rPr>
                <w:rFonts w:hint="eastAsia" w:ascii="宋体" w:hAnsi="宋体" w:eastAsia="宋体" w:cs="Yu Mincho Light"/>
                <w:b w:val="0"/>
                <w:sz w:val="24"/>
                <w:szCs w:val="24"/>
                <w:highlight w:val="none"/>
              </w:rPr>
              <w:t>项目负责人</w:t>
            </w:r>
          </w:p>
        </w:tc>
        <w:tc>
          <w:tcPr>
            <w:tcW w:w="6347" w:type="dxa"/>
            <w:vAlign w:val="center"/>
          </w:tcPr>
          <w:p w14:paraId="41E7CDF3">
            <w:pPr>
              <w:pStyle w:val="21"/>
              <w:spacing w:line="460" w:lineRule="atLeast"/>
              <w:jc w:val="center"/>
              <w:rPr>
                <w:rFonts w:ascii="宋体" w:hAnsi="宋体" w:eastAsia="宋体" w:cs="Yu Mincho Light"/>
                <w:b w:val="0"/>
                <w:sz w:val="22"/>
                <w:szCs w:val="22"/>
                <w:highlight w:val="none"/>
              </w:rPr>
            </w:pPr>
          </w:p>
        </w:tc>
      </w:tr>
      <w:tr w14:paraId="13E5EF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80" w:hRule="atLeast"/>
          <w:jc w:val="center"/>
        </w:trPr>
        <w:tc>
          <w:tcPr>
            <w:tcW w:w="3062" w:type="dxa"/>
            <w:vAlign w:val="center"/>
          </w:tcPr>
          <w:p w14:paraId="0EDD8B94">
            <w:pPr>
              <w:pStyle w:val="21"/>
              <w:spacing w:line="460" w:lineRule="atLeast"/>
              <w:jc w:val="center"/>
              <w:rPr>
                <w:rFonts w:ascii="宋体" w:hAnsi="宋体" w:eastAsia="宋体" w:cs="Yu Mincho Light"/>
                <w:b w:val="0"/>
                <w:sz w:val="24"/>
                <w:szCs w:val="24"/>
                <w:highlight w:val="none"/>
              </w:rPr>
            </w:pPr>
            <w:r>
              <w:rPr>
                <w:rFonts w:hint="eastAsia" w:ascii="宋体" w:hAnsi="宋体" w:eastAsia="宋体" w:cs="Yu Mincho Light"/>
                <w:b w:val="0"/>
                <w:sz w:val="24"/>
                <w:szCs w:val="24"/>
                <w:highlight w:val="none"/>
              </w:rPr>
              <w:t>备注</w:t>
            </w:r>
          </w:p>
        </w:tc>
        <w:tc>
          <w:tcPr>
            <w:tcW w:w="6347" w:type="dxa"/>
            <w:vAlign w:val="center"/>
          </w:tcPr>
          <w:p w14:paraId="276288B9">
            <w:pPr>
              <w:pStyle w:val="21"/>
              <w:spacing w:line="460" w:lineRule="atLeast"/>
              <w:jc w:val="center"/>
              <w:rPr>
                <w:rFonts w:ascii="宋体" w:hAnsi="宋体" w:eastAsia="宋体" w:cs="Yu Mincho Light"/>
                <w:b w:val="0"/>
                <w:sz w:val="22"/>
                <w:szCs w:val="22"/>
                <w:highlight w:val="none"/>
              </w:rPr>
            </w:pPr>
          </w:p>
        </w:tc>
      </w:tr>
    </w:tbl>
    <w:p w14:paraId="34F22D5C">
      <w:pPr>
        <w:pStyle w:val="21"/>
        <w:spacing w:line="460" w:lineRule="atLeast"/>
        <w:rPr>
          <w:rFonts w:ascii="Cambria Math" w:hAnsi="Cambria Math" w:eastAsia="Cambria Math"/>
          <w:b w:val="0"/>
          <w:color w:val="auto"/>
          <w:sz w:val="22"/>
          <w:szCs w:val="22"/>
          <w:highlight w:val="none"/>
        </w:rPr>
      </w:pPr>
      <w:r>
        <w:rPr>
          <w:rFonts w:hint="eastAsia" w:ascii="Cambria Math" w:hAnsi="Cambria Math" w:eastAsia="Cambria Math"/>
          <w:b w:val="0"/>
          <w:color w:val="auto"/>
          <w:sz w:val="22"/>
          <w:szCs w:val="22"/>
          <w:highlight w:val="none"/>
        </w:rPr>
        <w:t>注：</w:t>
      </w:r>
      <w:r>
        <w:rPr>
          <w:rFonts w:hint="eastAsia" w:ascii="Cambria Math" w:hAnsi="Cambria Math" w:eastAsia="宋体"/>
          <w:b w:val="0"/>
          <w:color w:val="auto"/>
          <w:sz w:val="22"/>
          <w:szCs w:val="22"/>
          <w:highlight w:val="none"/>
        </w:rPr>
        <w:t>1、</w:t>
      </w:r>
      <w:r>
        <w:rPr>
          <w:rFonts w:hint="eastAsia" w:ascii="Cambria Math" w:hAnsi="Cambria Math" w:eastAsia="Cambria Math"/>
          <w:b w:val="0"/>
          <w:color w:val="auto"/>
          <w:sz w:val="22"/>
          <w:szCs w:val="22"/>
          <w:highlight w:val="none"/>
        </w:rPr>
        <w:t>开标一览表中投标价为符合招标文件要求的</w:t>
      </w:r>
      <w:r>
        <w:rPr>
          <w:rFonts w:hint="eastAsia" w:asciiTheme="minorEastAsia" w:hAnsiTheme="minorEastAsia" w:eastAsiaTheme="minorEastAsia"/>
          <w:b w:val="0"/>
          <w:color w:val="auto"/>
          <w:sz w:val="22"/>
          <w:szCs w:val="22"/>
          <w:highlight w:val="none"/>
        </w:rPr>
        <w:t>总</w:t>
      </w:r>
      <w:r>
        <w:rPr>
          <w:rFonts w:hint="eastAsia" w:ascii="Cambria Math" w:hAnsi="Cambria Math" w:eastAsia="Cambria Math"/>
          <w:b w:val="0"/>
          <w:color w:val="auto"/>
          <w:sz w:val="22"/>
          <w:szCs w:val="22"/>
          <w:highlight w:val="none"/>
        </w:rPr>
        <w:t>报价</w:t>
      </w:r>
      <w:r>
        <w:rPr>
          <w:rFonts w:hint="eastAsia" w:ascii="宋体" w:hAnsi="宋体" w:eastAsia="宋体" w:cs="宋体"/>
          <w:b w:val="0"/>
          <w:color w:val="auto"/>
          <w:sz w:val="22"/>
          <w:szCs w:val="22"/>
          <w:highlight w:val="none"/>
        </w:rPr>
        <w:t>，</w:t>
      </w:r>
      <w:r>
        <w:rPr>
          <w:rFonts w:hint="eastAsia" w:ascii="Cambria Math" w:hAnsi="Cambria Math" w:eastAsia="Cambria Math"/>
          <w:b w:val="0"/>
          <w:color w:val="auto"/>
          <w:sz w:val="22"/>
          <w:szCs w:val="22"/>
          <w:highlight w:val="none"/>
        </w:rPr>
        <w:t xml:space="preserve">包含项目实施全过程所涉及的全部费用以及合理的利润、税金、风险等其他一切费用。        </w:t>
      </w:r>
    </w:p>
    <w:p w14:paraId="3366B218">
      <w:pPr>
        <w:pStyle w:val="21"/>
        <w:spacing w:line="460" w:lineRule="atLeast"/>
        <w:rPr>
          <w:rFonts w:ascii="Cambria Math" w:hAnsi="Cambria Math" w:eastAsia="Cambria Math"/>
          <w:b w:val="0"/>
          <w:color w:val="auto"/>
          <w:sz w:val="22"/>
          <w:szCs w:val="22"/>
          <w:highlight w:val="none"/>
        </w:rPr>
      </w:pPr>
      <w:r>
        <w:rPr>
          <w:rFonts w:hint="eastAsia" w:ascii="Cambria Math" w:hAnsi="Cambria Math" w:eastAsia="宋体"/>
          <w:b w:val="0"/>
          <w:color w:val="auto"/>
          <w:sz w:val="22"/>
          <w:szCs w:val="22"/>
          <w:highlight w:val="none"/>
        </w:rPr>
        <w:t>2</w:t>
      </w:r>
      <w:r>
        <w:rPr>
          <w:rFonts w:hint="eastAsia" w:ascii="Cambria Math" w:hAnsi="Cambria Math" w:eastAsia="Cambria Math"/>
          <w:b w:val="0"/>
          <w:color w:val="auto"/>
          <w:sz w:val="22"/>
          <w:szCs w:val="22"/>
          <w:highlight w:val="none"/>
        </w:rPr>
        <w:t>、▲不提供此表格将被视为没有实质性响应招标文件，其投标文件将被拒绝。</w:t>
      </w:r>
    </w:p>
    <w:p w14:paraId="52B7AFC9">
      <w:pPr>
        <w:adjustRightInd w:val="0"/>
        <w:snapToGrid w:val="0"/>
        <w:spacing w:line="460" w:lineRule="atLeast"/>
        <w:rPr>
          <w:rFonts w:ascii="Cambria Math" w:hAnsi="Cambria Math" w:eastAsia="Cambria Math"/>
          <w:b w:val="0"/>
          <w:color w:val="auto"/>
          <w:sz w:val="22"/>
          <w:szCs w:val="22"/>
          <w:highlight w:val="none"/>
        </w:rPr>
      </w:pPr>
    </w:p>
    <w:p w14:paraId="237AD1AE">
      <w:pPr>
        <w:autoSpaceDE w:val="0"/>
        <w:autoSpaceDN w:val="0"/>
        <w:adjustRightInd w:val="0"/>
        <w:spacing w:line="460" w:lineRule="atLeast"/>
        <w:rPr>
          <w:rFonts w:ascii="Cambria Math" w:hAnsi="Cambria Math" w:eastAsia="Cambria Math"/>
          <w:b w:val="0"/>
          <w:color w:val="auto"/>
          <w:sz w:val="22"/>
          <w:szCs w:val="22"/>
          <w:highlight w:val="none"/>
          <w:lang w:val="zh-CN"/>
        </w:rPr>
      </w:pPr>
      <w:r>
        <w:rPr>
          <w:rFonts w:ascii="Cambria Math" w:hAnsi="Cambria Math" w:eastAsia="Cambria Math"/>
          <w:b w:val="0"/>
          <w:color w:val="auto"/>
          <w:sz w:val="22"/>
          <w:szCs w:val="22"/>
          <w:highlight w:val="none"/>
        </w:rPr>
        <w:t>投标单位</w:t>
      </w:r>
      <w:r>
        <w:rPr>
          <w:rFonts w:hint="eastAsia" w:ascii="Cambria Math" w:hAnsi="Cambria Math" w:eastAsia="Cambria Math"/>
          <w:b w:val="0"/>
          <w:color w:val="auto"/>
          <w:sz w:val="22"/>
          <w:szCs w:val="22"/>
          <w:highlight w:val="none"/>
          <w:lang w:val="zh-CN"/>
        </w:rPr>
        <w:t>（盖章）：</w:t>
      </w:r>
    </w:p>
    <w:p w14:paraId="21EEB00D">
      <w:pPr>
        <w:autoSpaceDE w:val="0"/>
        <w:autoSpaceDN w:val="0"/>
        <w:adjustRightInd w:val="0"/>
        <w:spacing w:line="460" w:lineRule="atLeast"/>
        <w:rPr>
          <w:rFonts w:ascii="Cambria Math" w:hAnsi="Cambria Math" w:eastAsia="Cambria Math"/>
          <w:b w:val="0"/>
          <w:color w:val="auto"/>
          <w:sz w:val="22"/>
          <w:szCs w:val="22"/>
          <w:highlight w:val="none"/>
          <w:lang w:val="zh-CN"/>
        </w:rPr>
      </w:pPr>
      <w:r>
        <w:rPr>
          <w:rFonts w:hint="eastAsia" w:ascii="Cambria Math" w:hAnsi="Cambria Math" w:eastAsia="Cambria Math"/>
          <w:b w:val="0"/>
          <w:color w:val="auto"/>
          <w:sz w:val="22"/>
          <w:szCs w:val="22"/>
          <w:highlight w:val="none"/>
        </w:rPr>
        <w:t>授权代表</w:t>
      </w:r>
      <w:r>
        <w:rPr>
          <w:rFonts w:hint="eastAsia" w:ascii="Cambria Math" w:hAnsi="Cambria Math" w:eastAsia="Cambria Math"/>
          <w:b w:val="0"/>
          <w:color w:val="auto"/>
          <w:sz w:val="22"/>
          <w:szCs w:val="22"/>
          <w:highlight w:val="none"/>
          <w:lang w:val="zh-CN"/>
        </w:rPr>
        <w:t>（签字）：</w:t>
      </w:r>
    </w:p>
    <w:p w14:paraId="0BD3AF7D">
      <w:pPr>
        <w:autoSpaceDE w:val="0"/>
        <w:autoSpaceDN w:val="0"/>
        <w:adjustRightInd w:val="0"/>
        <w:spacing w:line="460" w:lineRule="atLeast"/>
        <w:rPr>
          <w:rFonts w:ascii="Cambria Math" w:hAnsi="Cambria Math"/>
          <w:b w:val="0"/>
          <w:color w:val="auto"/>
          <w:sz w:val="22"/>
          <w:szCs w:val="22"/>
          <w:highlight w:val="none"/>
          <w:lang w:val="zh-CN"/>
        </w:rPr>
      </w:pPr>
      <w:r>
        <w:rPr>
          <w:rFonts w:hint="eastAsia" w:ascii="Cambria Math" w:hAnsi="Cambria Math" w:eastAsia="Cambria Math"/>
          <w:b w:val="0"/>
          <w:color w:val="auto"/>
          <w:sz w:val="22"/>
          <w:szCs w:val="22"/>
          <w:highlight w:val="none"/>
          <w:lang w:val="zh-CN"/>
        </w:rPr>
        <w:t>日期：</w:t>
      </w:r>
    </w:p>
    <w:p w14:paraId="1B278D43">
      <w:pPr>
        <w:autoSpaceDE w:val="0"/>
        <w:autoSpaceDN w:val="0"/>
        <w:adjustRightInd w:val="0"/>
        <w:spacing w:line="460" w:lineRule="atLeast"/>
        <w:rPr>
          <w:rFonts w:ascii="Cambria Math" w:hAnsi="Cambria Math"/>
          <w:b w:val="0"/>
          <w:color w:val="auto"/>
          <w:sz w:val="22"/>
          <w:szCs w:val="22"/>
          <w:highlight w:val="none"/>
          <w:lang w:val="zh-CN"/>
        </w:rPr>
      </w:pPr>
    </w:p>
    <w:p w14:paraId="6914045D">
      <w:pPr>
        <w:autoSpaceDE w:val="0"/>
        <w:autoSpaceDN w:val="0"/>
        <w:adjustRightInd w:val="0"/>
        <w:spacing w:line="460" w:lineRule="atLeast"/>
        <w:rPr>
          <w:rFonts w:ascii="Cambria Math" w:hAnsi="Cambria Math"/>
          <w:b w:val="0"/>
          <w:color w:val="auto"/>
          <w:sz w:val="22"/>
          <w:szCs w:val="22"/>
          <w:highlight w:val="none"/>
          <w:lang w:val="zh-CN"/>
        </w:rPr>
      </w:pPr>
    </w:p>
    <w:p w14:paraId="2A9C7D9F">
      <w:pPr>
        <w:autoSpaceDE w:val="0"/>
        <w:autoSpaceDN w:val="0"/>
        <w:adjustRightInd w:val="0"/>
        <w:spacing w:line="460" w:lineRule="atLeast"/>
        <w:rPr>
          <w:rFonts w:ascii="Cambria Math" w:hAnsi="Cambria Math"/>
          <w:b w:val="0"/>
          <w:color w:val="auto"/>
          <w:sz w:val="22"/>
          <w:szCs w:val="22"/>
          <w:highlight w:val="none"/>
          <w:lang w:val="zh-CN"/>
        </w:rPr>
      </w:pPr>
    </w:p>
    <w:p w14:paraId="752626E5">
      <w:pPr>
        <w:autoSpaceDE w:val="0"/>
        <w:autoSpaceDN w:val="0"/>
        <w:adjustRightInd w:val="0"/>
        <w:spacing w:line="460" w:lineRule="atLeast"/>
        <w:rPr>
          <w:rFonts w:ascii="Cambria Math" w:hAnsi="Cambria Math"/>
          <w:b w:val="0"/>
          <w:color w:val="auto"/>
          <w:sz w:val="22"/>
          <w:szCs w:val="22"/>
          <w:highlight w:val="none"/>
          <w:lang w:val="zh-CN"/>
        </w:rPr>
      </w:pPr>
    </w:p>
    <w:p w14:paraId="07FDA3A4">
      <w:pPr>
        <w:autoSpaceDE w:val="0"/>
        <w:autoSpaceDN w:val="0"/>
        <w:adjustRightInd w:val="0"/>
        <w:spacing w:line="460" w:lineRule="atLeast"/>
        <w:rPr>
          <w:rFonts w:ascii="Cambria Math" w:hAnsi="Cambria Math"/>
          <w:b w:val="0"/>
          <w:color w:val="auto"/>
          <w:sz w:val="22"/>
          <w:szCs w:val="22"/>
          <w:highlight w:val="none"/>
          <w:lang w:val="zh-CN"/>
        </w:rPr>
      </w:pPr>
    </w:p>
    <w:p w14:paraId="134B2CD2">
      <w:pPr>
        <w:autoSpaceDE w:val="0"/>
        <w:autoSpaceDN w:val="0"/>
        <w:adjustRightInd w:val="0"/>
        <w:spacing w:line="460" w:lineRule="atLeast"/>
        <w:rPr>
          <w:rFonts w:ascii="Cambria Math" w:hAnsi="Cambria Math"/>
          <w:b w:val="0"/>
          <w:color w:val="auto"/>
          <w:sz w:val="22"/>
          <w:szCs w:val="22"/>
          <w:highlight w:val="none"/>
          <w:lang w:val="zh-CN"/>
        </w:rPr>
      </w:pPr>
    </w:p>
    <w:p w14:paraId="3E9916CC">
      <w:pPr>
        <w:autoSpaceDE w:val="0"/>
        <w:autoSpaceDN w:val="0"/>
        <w:adjustRightInd w:val="0"/>
        <w:spacing w:line="460" w:lineRule="atLeast"/>
        <w:rPr>
          <w:rFonts w:ascii="Cambria Math" w:hAnsi="Cambria Math"/>
          <w:b w:val="0"/>
          <w:color w:val="auto"/>
          <w:sz w:val="22"/>
          <w:szCs w:val="22"/>
          <w:highlight w:val="none"/>
          <w:lang w:val="zh-CN"/>
        </w:rPr>
      </w:pPr>
    </w:p>
    <w:p w14:paraId="1C5C01F8">
      <w:pPr>
        <w:autoSpaceDE w:val="0"/>
        <w:autoSpaceDN w:val="0"/>
        <w:adjustRightInd w:val="0"/>
        <w:spacing w:line="460" w:lineRule="atLeast"/>
        <w:rPr>
          <w:rFonts w:ascii="Cambria Math" w:hAnsi="Cambria Math"/>
          <w:b w:val="0"/>
          <w:color w:val="auto"/>
          <w:sz w:val="22"/>
          <w:szCs w:val="22"/>
          <w:highlight w:val="none"/>
          <w:lang w:val="zh-CN"/>
        </w:rPr>
      </w:pPr>
    </w:p>
    <w:p w14:paraId="3D082780">
      <w:pPr>
        <w:autoSpaceDE w:val="0"/>
        <w:autoSpaceDN w:val="0"/>
        <w:adjustRightInd w:val="0"/>
        <w:spacing w:line="460" w:lineRule="atLeast"/>
        <w:rPr>
          <w:rFonts w:ascii="Cambria Math" w:hAnsi="Cambria Math"/>
          <w:b w:val="0"/>
          <w:color w:val="auto"/>
          <w:sz w:val="22"/>
          <w:szCs w:val="22"/>
          <w:highlight w:val="none"/>
          <w:lang w:val="zh-CN"/>
        </w:rPr>
      </w:pPr>
    </w:p>
    <w:p w14:paraId="28A6640F">
      <w:pPr>
        <w:autoSpaceDE w:val="0"/>
        <w:autoSpaceDN w:val="0"/>
        <w:adjustRightInd w:val="0"/>
        <w:spacing w:line="460" w:lineRule="atLeast"/>
        <w:rPr>
          <w:rFonts w:ascii="Cambria Math" w:hAnsi="Cambria Math"/>
          <w:b w:val="0"/>
          <w:color w:val="auto"/>
          <w:sz w:val="22"/>
          <w:szCs w:val="22"/>
          <w:highlight w:val="none"/>
          <w:lang w:val="zh-CN"/>
        </w:rPr>
      </w:pPr>
    </w:p>
    <w:p w14:paraId="6D60AF16">
      <w:pPr>
        <w:pStyle w:val="4"/>
        <w:spacing w:before="0" w:after="120" w:line="700" w:lineRule="exact"/>
        <w:ind w:left="0" w:firstLine="0"/>
        <w:rPr>
          <w:rFonts w:ascii="Cambria Math" w:hAnsi="Cambria Math" w:eastAsia="Cambria Math"/>
          <w:b/>
          <w:color w:val="auto"/>
          <w:sz w:val="32"/>
          <w:highlight w:val="none"/>
        </w:rPr>
      </w:pPr>
      <w:r>
        <w:rPr>
          <w:rFonts w:hint="eastAsia" w:ascii="Cambria Math" w:hAnsi="Cambria Math" w:eastAsia="Cambria Math"/>
          <w:b/>
          <w:color w:val="auto"/>
          <w:sz w:val="32"/>
          <w:highlight w:val="none"/>
        </w:rPr>
        <w:t>技术部分</w:t>
      </w:r>
    </w:p>
    <w:p w14:paraId="0462C083">
      <w:pPr>
        <w:adjustRightInd w:val="0"/>
        <w:snapToGrid w:val="0"/>
        <w:spacing w:line="460" w:lineRule="atLeast"/>
        <w:ind w:left="360" w:hanging="360" w:hangingChars="100"/>
        <w:rPr>
          <w:rFonts w:ascii="Cambria Math" w:hAnsi="Cambria Math" w:eastAsia="Cambria Math"/>
          <w:b w:val="0"/>
          <w:color w:val="auto"/>
          <w:spacing w:val="20"/>
          <w:sz w:val="32"/>
          <w:szCs w:val="32"/>
          <w:highlight w:val="none"/>
        </w:rPr>
      </w:pPr>
      <w:r>
        <w:rPr>
          <w:rFonts w:hint="eastAsia" w:ascii="Cambria Math" w:hAnsi="Cambria Math" w:eastAsia="Cambria Math"/>
          <w:b w:val="0"/>
          <w:color w:val="auto"/>
          <w:spacing w:val="20"/>
          <w:sz w:val="32"/>
          <w:szCs w:val="32"/>
          <w:highlight w:val="none"/>
        </w:rPr>
        <w:t>（密封封面格式）（仅供参考）</w:t>
      </w:r>
    </w:p>
    <w:p w14:paraId="7AEFAA8F">
      <w:pPr>
        <w:adjustRightInd w:val="0"/>
        <w:snapToGrid w:val="0"/>
        <w:spacing w:line="460" w:lineRule="atLeast"/>
        <w:ind w:left="360" w:hanging="360" w:hangingChars="100"/>
        <w:jc w:val="right"/>
        <w:rPr>
          <w:rFonts w:ascii="Cambria Math" w:hAnsi="Cambria Math"/>
          <w:b w:val="0"/>
          <w:color w:val="auto"/>
          <w:spacing w:val="20"/>
          <w:sz w:val="32"/>
          <w:szCs w:val="32"/>
          <w:highlight w:val="none"/>
        </w:rPr>
      </w:pPr>
      <w:r>
        <w:rPr>
          <w:rFonts w:hint="eastAsia" w:ascii="Cambria Math" w:hAnsi="Cambria Math" w:eastAsia="Cambria Math"/>
          <w:b w:val="0"/>
          <w:color w:val="FF0000"/>
          <w:spacing w:val="20"/>
          <w:sz w:val="32"/>
          <w:szCs w:val="32"/>
          <w:highlight w:val="none"/>
        </w:rPr>
        <w:t>正本</w:t>
      </w:r>
      <w:r>
        <w:rPr>
          <w:rFonts w:hint="eastAsia" w:ascii="Cambria Math" w:hAnsi="Cambria Math"/>
          <w:b w:val="0"/>
          <w:color w:val="auto"/>
          <w:spacing w:val="20"/>
          <w:sz w:val="32"/>
          <w:szCs w:val="32"/>
          <w:highlight w:val="none"/>
        </w:rPr>
        <w:t>/副本</w:t>
      </w:r>
    </w:p>
    <w:p w14:paraId="1BD0A5CA">
      <w:pPr>
        <w:adjustRightInd w:val="0"/>
        <w:snapToGrid w:val="0"/>
        <w:spacing w:line="460" w:lineRule="atLeast"/>
        <w:ind w:left="360" w:hanging="360" w:hangingChars="100"/>
        <w:rPr>
          <w:rFonts w:ascii="Cambria Math" w:hAnsi="Cambria Math" w:eastAsia="Cambria Math"/>
          <w:b w:val="0"/>
          <w:color w:val="auto"/>
          <w:spacing w:val="20"/>
          <w:sz w:val="32"/>
          <w:szCs w:val="32"/>
          <w:highlight w:val="none"/>
        </w:rPr>
      </w:pPr>
    </w:p>
    <w:p w14:paraId="76D28004">
      <w:pPr>
        <w:adjustRightInd w:val="0"/>
        <w:snapToGrid w:val="0"/>
        <w:spacing w:line="460" w:lineRule="atLeast"/>
        <w:ind w:left="400" w:hanging="400" w:hangingChars="100"/>
        <w:rPr>
          <w:rFonts w:ascii="Cambria Math" w:hAnsi="Cambria Math" w:eastAsia="Cambria Math"/>
          <w:b w:val="0"/>
          <w:color w:val="auto"/>
          <w:spacing w:val="20"/>
          <w:sz w:val="36"/>
          <w:szCs w:val="36"/>
          <w:highlight w:val="none"/>
        </w:rPr>
      </w:pPr>
    </w:p>
    <w:p w14:paraId="5CCCB809">
      <w:pPr>
        <w:spacing w:line="360" w:lineRule="auto"/>
        <w:jc w:val="center"/>
        <w:rPr>
          <w:rFonts w:ascii="Cambria Math" w:hAnsi="Cambria Math" w:eastAsia="Cambria Math"/>
          <w:b w:val="0"/>
          <w:color w:val="auto"/>
          <w:sz w:val="96"/>
          <w:szCs w:val="22"/>
          <w:highlight w:val="none"/>
        </w:rPr>
      </w:pPr>
      <w:r>
        <w:rPr>
          <w:rFonts w:hint="eastAsia" w:ascii="Cambria Math" w:hAnsi="Cambria Math" w:eastAsia="Cambria Math"/>
          <w:b w:val="0"/>
          <w:color w:val="auto"/>
          <w:sz w:val="96"/>
          <w:szCs w:val="22"/>
          <w:highlight w:val="none"/>
        </w:rPr>
        <w:t>技术资信投标文件</w:t>
      </w:r>
    </w:p>
    <w:p w14:paraId="5669B89D">
      <w:pPr>
        <w:spacing w:line="360" w:lineRule="auto"/>
        <w:jc w:val="center"/>
        <w:rPr>
          <w:rFonts w:ascii="Cambria Math" w:hAnsi="Cambria Math" w:eastAsia="Cambria Math"/>
          <w:b w:val="0"/>
          <w:color w:val="auto"/>
          <w:sz w:val="44"/>
          <w:szCs w:val="44"/>
          <w:highlight w:val="none"/>
        </w:rPr>
      </w:pPr>
      <w:r>
        <w:rPr>
          <w:rFonts w:hint="eastAsia" w:ascii="Cambria Math" w:hAnsi="Cambria Math" w:eastAsia="Cambria Math"/>
          <w:b w:val="0"/>
          <w:color w:val="auto"/>
          <w:sz w:val="44"/>
          <w:szCs w:val="44"/>
          <w:highlight w:val="none"/>
        </w:rPr>
        <w:t>开标时启封</w:t>
      </w:r>
    </w:p>
    <w:p w14:paraId="1C263C67">
      <w:pPr>
        <w:spacing w:line="360" w:lineRule="auto"/>
        <w:rPr>
          <w:rFonts w:ascii="Cambria Math" w:hAnsi="Cambria Math" w:eastAsia="Cambria Math"/>
          <w:b w:val="0"/>
          <w:color w:val="auto"/>
          <w:szCs w:val="22"/>
          <w:highlight w:val="none"/>
        </w:rPr>
      </w:pPr>
    </w:p>
    <w:p w14:paraId="1AABDC17">
      <w:pPr>
        <w:spacing w:line="360" w:lineRule="auto"/>
        <w:ind w:firstLine="1271" w:firstLineChars="454"/>
        <w:rPr>
          <w:rFonts w:ascii="Cambria Math" w:hAnsi="Cambria Math" w:eastAsia="Cambria Math"/>
          <w:b w:val="0"/>
          <w:color w:val="auto"/>
          <w:sz w:val="36"/>
          <w:szCs w:val="22"/>
          <w:highlight w:val="none"/>
          <w:u w:val="single"/>
        </w:rPr>
      </w:pPr>
      <w:r>
        <w:rPr>
          <w:rFonts w:hint="eastAsia" w:ascii="Cambria Math" w:hAnsi="Cambria Math" w:eastAsia="Cambria Math"/>
          <w:b w:val="0"/>
          <w:color w:val="auto"/>
          <w:sz w:val="28"/>
          <w:szCs w:val="22"/>
          <w:highlight w:val="none"/>
        </w:rPr>
        <w:t>项目名称：</w:t>
      </w:r>
    </w:p>
    <w:p w14:paraId="7F358A31">
      <w:pPr>
        <w:spacing w:line="360" w:lineRule="auto"/>
        <w:ind w:firstLine="1271" w:firstLineChars="454"/>
        <w:rPr>
          <w:rFonts w:ascii="Cambria Math" w:hAnsi="Cambria Math" w:eastAsia="Cambria Math"/>
          <w:b w:val="0"/>
          <w:color w:val="auto"/>
          <w:sz w:val="28"/>
          <w:szCs w:val="22"/>
          <w:highlight w:val="none"/>
          <w:u w:val="single"/>
        </w:rPr>
      </w:pPr>
      <w:r>
        <w:rPr>
          <w:rFonts w:hint="eastAsia" w:ascii="Cambria Math" w:hAnsi="Cambria Math" w:eastAsia="Cambria Math"/>
          <w:b w:val="0"/>
          <w:color w:val="auto"/>
          <w:sz w:val="28"/>
          <w:szCs w:val="22"/>
          <w:highlight w:val="none"/>
        </w:rPr>
        <w:t>项目编号：</w:t>
      </w:r>
    </w:p>
    <w:p w14:paraId="5B020574">
      <w:pPr>
        <w:spacing w:line="360" w:lineRule="auto"/>
        <w:ind w:firstLine="1271" w:firstLineChars="454"/>
        <w:rPr>
          <w:rFonts w:ascii="Cambria Math" w:hAnsi="Cambria Math" w:eastAsia="Cambria Math"/>
          <w:b w:val="0"/>
          <w:color w:val="auto"/>
          <w:sz w:val="28"/>
          <w:szCs w:val="22"/>
          <w:highlight w:val="none"/>
        </w:rPr>
      </w:pPr>
      <w:r>
        <w:rPr>
          <w:rFonts w:hint="eastAsia" w:ascii="Cambria Math" w:hAnsi="Cambria Math" w:eastAsia="Cambria Math"/>
          <w:b w:val="0"/>
          <w:color w:val="auto"/>
          <w:sz w:val="28"/>
          <w:szCs w:val="22"/>
          <w:highlight w:val="none"/>
        </w:rPr>
        <w:t>采 购 人：</w:t>
      </w:r>
    </w:p>
    <w:p w14:paraId="4766F69F">
      <w:pPr>
        <w:spacing w:line="360" w:lineRule="auto"/>
        <w:ind w:firstLine="1271" w:firstLineChars="454"/>
        <w:rPr>
          <w:rFonts w:ascii="Cambria Math" w:hAnsi="Cambria Math" w:eastAsia="Cambria Math"/>
          <w:b w:val="0"/>
          <w:color w:val="auto"/>
          <w:sz w:val="28"/>
          <w:szCs w:val="22"/>
          <w:highlight w:val="none"/>
          <w:u w:val="single"/>
        </w:rPr>
      </w:pPr>
      <w:r>
        <w:rPr>
          <w:rFonts w:hint="eastAsia" w:ascii="Cambria Math" w:hAnsi="Cambria Math" w:eastAsia="Cambria Math"/>
          <w:b w:val="0"/>
          <w:color w:val="auto"/>
          <w:sz w:val="28"/>
          <w:szCs w:val="22"/>
          <w:highlight w:val="none"/>
        </w:rPr>
        <w:t>投标单位（盖章）：</w:t>
      </w:r>
    </w:p>
    <w:p w14:paraId="7D533CEC">
      <w:pPr>
        <w:spacing w:line="360" w:lineRule="auto"/>
        <w:ind w:firstLine="1271" w:firstLineChars="454"/>
        <w:rPr>
          <w:rFonts w:ascii="Cambria Math" w:hAnsi="Cambria Math" w:eastAsia="Cambria Math"/>
          <w:b w:val="0"/>
          <w:color w:val="auto"/>
          <w:sz w:val="28"/>
          <w:szCs w:val="22"/>
          <w:highlight w:val="none"/>
          <w:u w:val="single"/>
        </w:rPr>
      </w:pPr>
      <w:r>
        <w:rPr>
          <w:rFonts w:hint="eastAsia" w:ascii="Cambria Math" w:hAnsi="Cambria Math" w:eastAsia="Cambria Math"/>
          <w:b w:val="0"/>
          <w:color w:val="auto"/>
          <w:sz w:val="28"/>
          <w:szCs w:val="22"/>
          <w:highlight w:val="none"/>
        </w:rPr>
        <w:t>投标人地址：</w:t>
      </w:r>
    </w:p>
    <w:p w14:paraId="22C4B4F1">
      <w:pPr>
        <w:spacing w:line="360" w:lineRule="auto"/>
        <w:ind w:firstLine="1271" w:firstLineChars="454"/>
        <w:rPr>
          <w:rFonts w:ascii="Cambria Math" w:hAnsi="Cambria Math" w:eastAsia="Cambria Math"/>
          <w:b w:val="0"/>
          <w:color w:val="auto"/>
          <w:sz w:val="28"/>
          <w:szCs w:val="22"/>
          <w:highlight w:val="none"/>
          <w:u w:val="single"/>
        </w:rPr>
      </w:pPr>
      <w:r>
        <w:rPr>
          <w:rFonts w:hint="eastAsia" w:ascii="Cambria Math" w:hAnsi="Cambria Math" w:eastAsia="Cambria Math"/>
          <w:b w:val="0"/>
          <w:color w:val="auto"/>
          <w:sz w:val="28"/>
          <w:szCs w:val="22"/>
          <w:highlight w:val="none"/>
        </w:rPr>
        <w:t>授权代表（签字或盖章）：</w:t>
      </w:r>
    </w:p>
    <w:p w14:paraId="0C935FCA">
      <w:pPr>
        <w:spacing w:line="360" w:lineRule="auto"/>
        <w:ind w:firstLine="1271" w:firstLineChars="454"/>
        <w:rPr>
          <w:rFonts w:ascii="Cambria Math" w:hAnsi="Cambria Math" w:eastAsia="Cambria Math"/>
          <w:b w:val="0"/>
          <w:color w:val="auto"/>
          <w:sz w:val="28"/>
          <w:szCs w:val="22"/>
          <w:highlight w:val="none"/>
          <w:u w:val="single"/>
        </w:rPr>
      </w:pPr>
      <w:r>
        <w:rPr>
          <w:rFonts w:hint="eastAsia" w:ascii="Cambria Math" w:hAnsi="Cambria Math" w:eastAsia="Cambria Math"/>
          <w:b w:val="0"/>
          <w:color w:val="auto"/>
          <w:sz w:val="28"/>
          <w:szCs w:val="22"/>
          <w:highlight w:val="none"/>
        </w:rPr>
        <w:t>日期：</w:t>
      </w:r>
    </w:p>
    <w:p w14:paraId="6CA8716F">
      <w:pPr>
        <w:adjustRightInd w:val="0"/>
        <w:snapToGrid w:val="0"/>
        <w:spacing w:line="460" w:lineRule="atLeast"/>
        <w:ind w:left="280" w:hanging="280" w:hangingChars="100"/>
        <w:rPr>
          <w:rFonts w:ascii="Cambria Math" w:hAnsi="Cambria Math" w:eastAsia="Cambria Math"/>
          <w:b w:val="0"/>
          <w:color w:val="auto"/>
          <w:sz w:val="28"/>
          <w:szCs w:val="22"/>
          <w:highlight w:val="none"/>
          <w:u w:val="single"/>
        </w:rPr>
      </w:pPr>
    </w:p>
    <w:p w14:paraId="351571C4">
      <w:pPr>
        <w:adjustRightInd w:val="0"/>
        <w:snapToGrid w:val="0"/>
        <w:spacing w:line="460" w:lineRule="atLeast"/>
        <w:ind w:left="400" w:hanging="400" w:hangingChars="100"/>
        <w:rPr>
          <w:rFonts w:ascii="Cambria Math" w:hAnsi="Cambria Math" w:eastAsia="Cambria Math"/>
          <w:b w:val="0"/>
          <w:color w:val="auto"/>
          <w:spacing w:val="20"/>
          <w:sz w:val="36"/>
          <w:szCs w:val="36"/>
          <w:highlight w:val="none"/>
        </w:rPr>
      </w:pPr>
    </w:p>
    <w:p w14:paraId="372EAAD5">
      <w:pPr>
        <w:adjustRightInd w:val="0"/>
        <w:snapToGrid w:val="0"/>
        <w:spacing w:line="460" w:lineRule="atLeast"/>
        <w:ind w:left="400" w:hanging="400" w:hangingChars="100"/>
        <w:rPr>
          <w:rFonts w:ascii="Cambria Math" w:hAnsi="Cambria Math" w:eastAsia="Cambria Math"/>
          <w:b w:val="0"/>
          <w:color w:val="auto"/>
          <w:spacing w:val="20"/>
          <w:sz w:val="36"/>
          <w:szCs w:val="36"/>
          <w:highlight w:val="none"/>
        </w:rPr>
      </w:pPr>
    </w:p>
    <w:p w14:paraId="0560277F">
      <w:pPr>
        <w:adjustRightInd w:val="0"/>
        <w:snapToGrid w:val="0"/>
        <w:spacing w:line="460" w:lineRule="atLeast"/>
        <w:rPr>
          <w:rFonts w:ascii="Cambria Math" w:hAnsi="Cambria Math" w:eastAsia="Cambria Math"/>
          <w:b w:val="0"/>
          <w:color w:val="auto"/>
          <w:spacing w:val="20"/>
          <w:sz w:val="36"/>
          <w:szCs w:val="36"/>
          <w:highlight w:val="none"/>
        </w:rPr>
      </w:pPr>
    </w:p>
    <w:p w14:paraId="58B14C0D">
      <w:pPr>
        <w:adjustRightInd w:val="0"/>
        <w:snapToGrid w:val="0"/>
        <w:spacing w:line="460" w:lineRule="atLeast"/>
        <w:rPr>
          <w:rFonts w:ascii="Cambria Math" w:hAnsi="Cambria Math" w:eastAsia="Cambria Math"/>
          <w:b w:val="0"/>
          <w:color w:val="auto"/>
          <w:spacing w:val="20"/>
          <w:sz w:val="36"/>
          <w:szCs w:val="36"/>
          <w:highlight w:val="none"/>
        </w:rPr>
      </w:pPr>
    </w:p>
    <w:p w14:paraId="437CA15A">
      <w:pPr>
        <w:rPr>
          <w:rFonts w:ascii="Cambria Math" w:hAnsi="Cambria Math" w:eastAsia="Cambria Math"/>
          <w:color w:val="auto"/>
          <w:highlight w:val="none"/>
        </w:rPr>
      </w:pPr>
    </w:p>
    <w:p w14:paraId="08B5BE86">
      <w:pPr>
        <w:rPr>
          <w:rFonts w:ascii="Cambria Math" w:hAnsi="Cambria Math" w:eastAsia="Cambria Math"/>
          <w:color w:val="auto"/>
          <w:highlight w:val="none"/>
        </w:rPr>
      </w:pPr>
    </w:p>
    <w:p w14:paraId="7CFC2DC3">
      <w:pPr>
        <w:rPr>
          <w:rFonts w:ascii="Cambria Math" w:hAnsi="Cambria Math" w:eastAsia="Cambria Math"/>
          <w:color w:val="auto"/>
          <w:highlight w:val="none"/>
        </w:rPr>
      </w:pPr>
    </w:p>
    <w:p w14:paraId="2E798FA4">
      <w:pPr>
        <w:rPr>
          <w:rFonts w:ascii="Cambria Math" w:hAnsi="Cambria Math" w:eastAsia="Cambria Math"/>
          <w:color w:val="auto"/>
          <w:highlight w:val="none"/>
        </w:rPr>
      </w:pPr>
    </w:p>
    <w:p w14:paraId="26EE5EC6">
      <w:pPr>
        <w:rPr>
          <w:rFonts w:ascii="Cambria Math" w:hAnsi="Cambria Math" w:eastAsia="Cambria Math"/>
          <w:color w:val="auto"/>
          <w:highlight w:val="none"/>
        </w:rPr>
      </w:pPr>
    </w:p>
    <w:p w14:paraId="3B658EE6">
      <w:pPr>
        <w:rPr>
          <w:rFonts w:ascii="Cambria Math" w:hAnsi="Cambria Math" w:eastAsia="Cambria Math"/>
          <w:color w:val="auto"/>
          <w:highlight w:val="none"/>
        </w:rPr>
      </w:pPr>
    </w:p>
    <w:p w14:paraId="337E4E2D">
      <w:pPr>
        <w:rPr>
          <w:rFonts w:ascii="Cambria Math" w:hAnsi="Cambria Math" w:eastAsia="Cambria Math"/>
          <w:color w:val="auto"/>
          <w:highlight w:val="none"/>
        </w:rPr>
      </w:pPr>
    </w:p>
    <w:p w14:paraId="14BC139A">
      <w:pPr>
        <w:rPr>
          <w:rFonts w:ascii="Cambria Math" w:hAnsi="Cambria Math" w:eastAsia="等线"/>
          <w:color w:val="auto"/>
          <w:sz w:val="32"/>
          <w:szCs w:val="32"/>
          <w:highlight w:val="none"/>
        </w:rPr>
      </w:pPr>
      <w:r>
        <w:rPr>
          <w:rFonts w:hint="eastAsia" w:ascii="Cambria Math" w:hAnsi="Cambria Math" w:eastAsia="Cambria Math"/>
          <w:color w:val="auto"/>
          <w:sz w:val="32"/>
          <w:szCs w:val="32"/>
          <w:highlight w:val="none"/>
        </w:rPr>
        <w:t>附件</w:t>
      </w:r>
      <w:r>
        <w:rPr>
          <w:rFonts w:hint="eastAsia" w:ascii="Cambria Math" w:hAnsi="Cambria Math" w:eastAsia="等线"/>
          <w:color w:val="auto"/>
          <w:sz w:val="32"/>
          <w:szCs w:val="32"/>
          <w:highlight w:val="none"/>
        </w:rPr>
        <w:t>2-</w:t>
      </w:r>
      <w:r>
        <w:rPr>
          <w:rFonts w:ascii="Cambria Math" w:hAnsi="Cambria Math" w:eastAsia="等线"/>
          <w:color w:val="auto"/>
          <w:sz w:val="32"/>
          <w:szCs w:val="32"/>
          <w:highlight w:val="none"/>
        </w:rPr>
        <w:t>1</w:t>
      </w:r>
    </w:p>
    <w:p w14:paraId="0422AB58">
      <w:pPr>
        <w:autoSpaceDE w:val="0"/>
        <w:autoSpaceDN w:val="0"/>
        <w:adjustRightInd w:val="0"/>
        <w:spacing w:line="440" w:lineRule="atLeast"/>
        <w:ind w:firstLine="3960" w:firstLineChars="1100"/>
        <w:rPr>
          <w:rFonts w:ascii="Cambria Math" w:hAnsi="Cambria Math" w:eastAsia="Cambria Math"/>
          <w:b w:val="0"/>
          <w:color w:val="auto"/>
          <w:sz w:val="36"/>
          <w:szCs w:val="36"/>
          <w:highlight w:val="none"/>
          <w:lang w:val="zh-CN"/>
        </w:rPr>
      </w:pPr>
      <w:r>
        <w:rPr>
          <w:rFonts w:hint="eastAsia" w:ascii="Cambria Math" w:hAnsi="Cambria Math" w:eastAsia="Cambria Math"/>
          <w:b w:val="0"/>
          <w:color w:val="auto"/>
          <w:sz w:val="36"/>
          <w:szCs w:val="36"/>
          <w:highlight w:val="none"/>
          <w:lang w:val="zh-CN"/>
        </w:rPr>
        <w:t>投标函</w:t>
      </w:r>
    </w:p>
    <w:p w14:paraId="761C9CEF">
      <w:pPr>
        <w:autoSpaceDE w:val="0"/>
        <w:autoSpaceDN w:val="0"/>
        <w:adjustRightInd w:val="0"/>
        <w:spacing w:line="440" w:lineRule="atLeast"/>
        <w:rPr>
          <w:rFonts w:ascii="Cambria Math" w:hAnsi="Cambria Math" w:eastAsia="Cambria Math"/>
          <w:b w:val="0"/>
          <w:color w:val="auto"/>
          <w:sz w:val="22"/>
          <w:szCs w:val="22"/>
          <w:highlight w:val="none"/>
        </w:rPr>
      </w:pPr>
      <w:r>
        <w:rPr>
          <w:rFonts w:hint="eastAsia" w:ascii="宋体" w:hAnsi="宋体" w:cs="宋体"/>
          <w:b w:val="0"/>
          <w:color w:val="auto"/>
          <w:sz w:val="22"/>
          <w:szCs w:val="22"/>
          <w:highlight w:val="none"/>
          <w:u w:val="single"/>
        </w:rPr>
        <w:t>温州公用事业发展集团龙港水务有限公司</w:t>
      </w:r>
      <w:r>
        <w:rPr>
          <w:rFonts w:hint="eastAsia" w:ascii="Cambria Math" w:hAnsi="Cambria Math" w:eastAsia="Cambria Math"/>
          <w:b w:val="0"/>
          <w:color w:val="auto"/>
          <w:sz w:val="22"/>
          <w:szCs w:val="22"/>
          <w:highlight w:val="none"/>
        </w:rPr>
        <w:t>：</w:t>
      </w:r>
    </w:p>
    <w:p w14:paraId="26671064">
      <w:pPr>
        <w:autoSpaceDE w:val="0"/>
        <w:autoSpaceDN w:val="0"/>
        <w:adjustRightInd w:val="0"/>
        <w:spacing w:line="440" w:lineRule="atLeast"/>
        <w:ind w:firstLine="440" w:firstLineChars="200"/>
        <w:rPr>
          <w:rFonts w:ascii="Cambria Math" w:hAnsi="Cambria Math" w:eastAsia="Cambria Math"/>
          <w:b w:val="0"/>
          <w:color w:val="auto"/>
          <w:sz w:val="22"/>
          <w:szCs w:val="22"/>
          <w:highlight w:val="none"/>
          <w:lang w:val="zh-CN"/>
        </w:rPr>
      </w:pPr>
      <w:r>
        <w:rPr>
          <w:rFonts w:hint="eastAsia" w:ascii="Cambria Math" w:hAnsi="Cambria Math" w:eastAsia="Cambria Math"/>
          <w:b w:val="0"/>
          <w:color w:val="auto"/>
          <w:sz w:val="22"/>
          <w:szCs w:val="22"/>
          <w:highlight w:val="none"/>
          <w:u w:val="single"/>
          <w:lang w:val="zh-CN"/>
        </w:rPr>
        <w:t>（供应商全称）</w:t>
      </w:r>
      <w:r>
        <w:rPr>
          <w:rFonts w:hint="eastAsia" w:ascii="Cambria Math" w:hAnsi="Cambria Math" w:eastAsia="Cambria Math"/>
          <w:b w:val="0"/>
          <w:color w:val="auto"/>
          <w:sz w:val="22"/>
          <w:szCs w:val="22"/>
          <w:highlight w:val="none"/>
          <w:lang w:val="zh-CN"/>
        </w:rPr>
        <w:t>授权（</w:t>
      </w:r>
      <w:r>
        <w:rPr>
          <w:rFonts w:hint="eastAsia" w:ascii="Cambria Math" w:hAnsi="Cambria Math" w:eastAsia="Cambria Math"/>
          <w:b w:val="0"/>
          <w:color w:val="auto"/>
          <w:sz w:val="22"/>
          <w:szCs w:val="22"/>
          <w:highlight w:val="none"/>
          <w:u w:val="single"/>
          <w:lang w:val="zh-CN"/>
        </w:rPr>
        <w:t>授权代表名称）（职务、职称）</w:t>
      </w:r>
      <w:r>
        <w:rPr>
          <w:rFonts w:hint="eastAsia" w:ascii="Cambria Math" w:hAnsi="Cambria Math" w:eastAsia="Cambria Math"/>
          <w:b w:val="0"/>
          <w:color w:val="auto"/>
          <w:sz w:val="22"/>
          <w:szCs w:val="22"/>
          <w:highlight w:val="none"/>
          <w:lang w:val="zh-CN"/>
        </w:rPr>
        <w:t>为授权代表，参加贵方组织的（</w:t>
      </w:r>
      <w:r>
        <w:rPr>
          <w:rFonts w:hint="eastAsia" w:ascii="Cambria Math" w:hAnsi="Cambria Math" w:eastAsia="Cambria Math"/>
          <w:b w:val="0"/>
          <w:color w:val="auto"/>
          <w:sz w:val="22"/>
          <w:szCs w:val="22"/>
          <w:highlight w:val="none"/>
          <w:u w:val="single"/>
          <w:lang w:val="zh-CN"/>
        </w:rPr>
        <w:t>招标项目名称）（括号内填投标编号）</w:t>
      </w:r>
      <w:r>
        <w:rPr>
          <w:rFonts w:hint="eastAsia" w:ascii="Cambria Math" w:hAnsi="Cambria Math" w:eastAsia="Cambria Math"/>
          <w:b w:val="0"/>
          <w:color w:val="auto"/>
          <w:sz w:val="22"/>
          <w:szCs w:val="22"/>
          <w:highlight w:val="none"/>
          <w:lang w:val="zh-CN"/>
        </w:rPr>
        <w:t>招标的有关活动，并对项目</w:t>
      </w:r>
      <w:r>
        <w:rPr>
          <w:rFonts w:hint="eastAsia" w:ascii="Cambria Math" w:hAnsi="Cambria Math" w:eastAsia="Cambria Math"/>
          <w:b w:val="0"/>
          <w:color w:val="auto"/>
          <w:sz w:val="22"/>
          <w:szCs w:val="22"/>
          <w:highlight w:val="none"/>
          <w:u w:val="single"/>
          <w:lang w:val="zh-CN"/>
        </w:rPr>
        <w:t>（招标项目名称）进</w:t>
      </w:r>
      <w:r>
        <w:rPr>
          <w:rFonts w:hint="eastAsia" w:ascii="Cambria Math" w:hAnsi="Cambria Math" w:eastAsia="Cambria Math"/>
          <w:b w:val="0"/>
          <w:color w:val="auto"/>
          <w:sz w:val="22"/>
          <w:szCs w:val="22"/>
          <w:highlight w:val="none"/>
          <w:lang w:val="zh-CN"/>
        </w:rPr>
        <w:t>行投标。为此：</w:t>
      </w:r>
    </w:p>
    <w:p w14:paraId="14A5D921">
      <w:pPr>
        <w:numPr>
          <w:ilvl w:val="0"/>
          <w:numId w:val="3"/>
        </w:numPr>
        <w:autoSpaceDE w:val="0"/>
        <w:autoSpaceDN w:val="0"/>
        <w:adjustRightInd w:val="0"/>
        <w:spacing w:line="440" w:lineRule="atLeast"/>
        <w:rPr>
          <w:rFonts w:ascii="Cambria Math" w:hAnsi="Cambria Math" w:eastAsia="Cambria Math"/>
          <w:b w:val="0"/>
          <w:color w:val="auto"/>
          <w:sz w:val="22"/>
          <w:szCs w:val="22"/>
          <w:highlight w:val="none"/>
          <w:lang w:val="zh-CN"/>
        </w:rPr>
      </w:pPr>
      <w:r>
        <w:rPr>
          <w:rFonts w:hint="eastAsia" w:ascii="Cambria Math" w:hAnsi="Cambria Math" w:eastAsia="Cambria Math"/>
          <w:b w:val="0"/>
          <w:color w:val="auto"/>
          <w:sz w:val="22"/>
          <w:szCs w:val="22"/>
          <w:highlight w:val="none"/>
          <w:lang w:val="zh-CN"/>
        </w:rPr>
        <w:t>提供供应商须知规定的全部投标文件：</w:t>
      </w:r>
    </w:p>
    <w:p w14:paraId="09E7AD1C">
      <w:pPr>
        <w:autoSpaceDE w:val="0"/>
        <w:autoSpaceDN w:val="0"/>
        <w:adjustRightInd w:val="0"/>
        <w:spacing w:line="440" w:lineRule="atLeast"/>
        <w:ind w:firstLine="450"/>
        <w:rPr>
          <w:rFonts w:ascii="Cambria Math" w:hAnsi="Cambria Math" w:eastAsia="Cambria Math"/>
          <w:b w:val="0"/>
          <w:color w:val="auto"/>
          <w:sz w:val="22"/>
          <w:szCs w:val="22"/>
          <w:highlight w:val="none"/>
          <w:lang w:val="zh-CN"/>
        </w:rPr>
      </w:pPr>
      <w:r>
        <w:rPr>
          <w:rFonts w:ascii="Cambria Math" w:hAnsi="Cambria Math" w:eastAsia="Cambria Math"/>
          <w:b w:val="0"/>
          <w:color w:val="auto"/>
          <w:sz w:val="22"/>
          <w:szCs w:val="22"/>
          <w:highlight w:val="none"/>
          <w:lang w:val="zh-CN"/>
        </w:rPr>
        <w:t>2</w:t>
      </w:r>
      <w:r>
        <w:rPr>
          <w:rFonts w:hint="eastAsia" w:ascii="Cambria Math" w:hAnsi="Cambria Math" w:eastAsia="Cambria Math"/>
          <w:b w:val="0"/>
          <w:color w:val="auto"/>
          <w:sz w:val="22"/>
          <w:szCs w:val="22"/>
          <w:highlight w:val="none"/>
          <w:lang w:val="zh-CN"/>
        </w:rPr>
        <w:t>、保证遵守招标文件中的有关规定和收费标准。</w:t>
      </w:r>
    </w:p>
    <w:p w14:paraId="1722A728">
      <w:pPr>
        <w:autoSpaceDE w:val="0"/>
        <w:autoSpaceDN w:val="0"/>
        <w:adjustRightInd w:val="0"/>
        <w:spacing w:line="440" w:lineRule="atLeast"/>
        <w:ind w:firstLine="465"/>
        <w:rPr>
          <w:rFonts w:ascii="Cambria Math" w:hAnsi="Cambria Math" w:eastAsia="Cambria Math"/>
          <w:b w:val="0"/>
          <w:color w:val="auto"/>
          <w:sz w:val="22"/>
          <w:szCs w:val="22"/>
          <w:highlight w:val="none"/>
          <w:lang w:val="zh-CN"/>
        </w:rPr>
      </w:pPr>
      <w:r>
        <w:rPr>
          <w:rFonts w:hint="eastAsia" w:ascii="Cambria Math" w:hAnsi="Cambria Math" w:eastAsia="Cambria Math"/>
          <w:b w:val="0"/>
          <w:color w:val="auto"/>
          <w:sz w:val="22"/>
          <w:szCs w:val="22"/>
          <w:highlight w:val="none"/>
          <w:lang w:val="zh-CN"/>
        </w:rPr>
        <w:t>3、保证忠实地执行采购人、中标人双方所签的合同，并承担合同规定的责任义务。</w:t>
      </w:r>
    </w:p>
    <w:p w14:paraId="7D9EE0E3">
      <w:pPr>
        <w:autoSpaceDE w:val="0"/>
        <w:autoSpaceDN w:val="0"/>
        <w:adjustRightInd w:val="0"/>
        <w:spacing w:line="440" w:lineRule="atLeast"/>
        <w:ind w:firstLine="465"/>
        <w:rPr>
          <w:rFonts w:ascii="Cambria Math" w:hAnsi="Cambria Math" w:eastAsia="Cambria Math"/>
          <w:b w:val="0"/>
          <w:color w:val="auto"/>
          <w:sz w:val="22"/>
          <w:szCs w:val="22"/>
          <w:highlight w:val="none"/>
          <w:lang w:val="zh-CN"/>
        </w:rPr>
      </w:pPr>
      <w:r>
        <w:rPr>
          <w:rFonts w:hint="eastAsia" w:ascii="Cambria Math" w:hAnsi="Cambria Math" w:eastAsia="Cambria Math"/>
          <w:b w:val="0"/>
          <w:color w:val="auto"/>
          <w:sz w:val="22"/>
          <w:szCs w:val="22"/>
          <w:highlight w:val="none"/>
          <w:lang w:val="zh-CN"/>
        </w:rPr>
        <w:t>4、</w:t>
      </w:r>
      <w:r>
        <w:rPr>
          <w:rFonts w:hint="eastAsia" w:ascii="Cambria Math" w:hAnsi="Cambria Math" w:eastAsia="Cambria Math"/>
          <w:b w:val="0"/>
          <w:color w:val="auto"/>
          <w:sz w:val="22"/>
          <w:szCs w:val="20"/>
          <w:highlight w:val="none"/>
        </w:rPr>
        <w:t>我方承诺在合同生效后</w:t>
      </w:r>
      <w:r>
        <w:rPr>
          <w:rFonts w:hint="eastAsia" w:ascii="Cambria Math" w:hAnsi="Cambria Math" w:eastAsia="Cambria Math"/>
          <w:b w:val="0"/>
          <w:color w:val="auto"/>
          <w:sz w:val="22"/>
          <w:szCs w:val="20"/>
          <w:highlight w:val="none"/>
          <w:lang w:val="zh-CN"/>
        </w:rPr>
        <w:t>接到采购人供货通知后按招标文件规定交货</w:t>
      </w:r>
      <w:r>
        <w:rPr>
          <w:rFonts w:hint="eastAsia" w:ascii="Cambria Math" w:hAnsi="Cambria Math" w:eastAsia="Cambria Math"/>
          <w:b w:val="0"/>
          <w:color w:val="auto"/>
          <w:sz w:val="22"/>
          <w:szCs w:val="20"/>
          <w:highlight w:val="none"/>
        </w:rPr>
        <w:t>。</w:t>
      </w:r>
    </w:p>
    <w:p w14:paraId="0BE1602A">
      <w:pPr>
        <w:autoSpaceDE w:val="0"/>
        <w:autoSpaceDN w:val="0"/>
        <w:adjustRightInd w:val="0"/>
        <w:spacing w:line="440" w:lineRule="atLeast"/>
        <w:ind w:firstLine="465"/>
        <w:rPr>
          <w:rFonts w:ascii="Cambria Math" w:hAnsi="Cambria Math" w:eastAsia="Cambria Math"/>
          <w:b w:val="0"/>
          <w:color w:val="auto"/>
          <w:sz w:val="22"/>
          <w:szCs w:val="22"/>
          <w:highlight w:val="none"/>
          <w:lang w:val="zh-CN"/>
        </w:rPr>
      </w:pPr>
      <w:r>
        <w:rPr>
          <w:rFonts w:hint="eastAsia" w:ascii="Cambria Math" w:hAnsi="Cambria Math" w:eastAsia="Cambria Math"/>
          <w:b w:val="0"/>
          <w:color w:val="auto"/>
          <w:sz w:val="22"/>
          <w:szCs w:val="22"/>
          <w:highlight w:val="none"/>
          <w:lang w:val="zh-CN"/>
        </w:rPr>
        <w:t>5、供应商已详细审查全部招标文件，包括招标文件补充文件（如果有的话）。我方完全理解并同意放弃对这方面有不明及误解的权力。如果招标文件有相互矛盾之处，我方同意按采购人的理解处理。</w:t>
      </w:r>
    </w:p>
    <w:p w14:paraId="2736BAB6">
      <w:pPr>
        <w:spacing w:line="340" w:lineRule="exact"/>
        <w:ind w:firstLine="495" w:firstLineChars="225"/>
        <w:rPr>
          <w:rFonts w:ascii="Cambria Math" w:hAnsi="Cambria Math" w:eastAsia="Cambria Math"/>
          <w:b w:val="0"/>
          <w:color w:val="auto"/>
          <w:sz w:val="22"/>
          <w:szCs w:val="22"/>
          <w:highlight w:val="none"/>
        </w:rPr>
      </w:pPr>
      <w:r>
        <w:rPr>
          <w:rFonts w:hint="eastAsia" w:ascii="Cambria Math" w:hAnsi="Cambria Math" w:eastAsia="Cambria Math"/>
          <w:b w:val="0"/>
          <w:color w:val="auto"/>
          <w:sz w:val="22"/>
          <w:szCs w:val="22"/>
          <w:highlight w:val="none"/>
        </w:rPr>
        <w:t>6、利益冲突：近三年内直至目前，我公司与本项目的采购人、招标代理机构没有任何的隶属关系。</w:t>
      </w:r>
    </w:p>
    <w:p w14:paraId="4C2920F0">
      <w:pPr>
        <w:autoSpaceDE w:val="0"/>
        <w:autoSpaceDN w:val="0"/>
        <w:adjustRightInd w:val="0"/>
        <w:spacing w:line="440" w:lineRule="atLeast"/>
        <w:ind w:firstLine="465"/>
        <w:rPr>
          <w:rFonts w:ascii="Cambria Math" w:hAnsi="Cambria Math" w:eastAsia="Cambria Math"/>
          <w:b w:val="0"/>
          <w:color w:val="auto"/>
          <w:sz w:val="22"/>
          <w:szCs w:val="22"/>
          <w:highlight w:val="none"/>
          <w:lang w:val="zh-CN"/>
        </w:rPr>
      </w:pPr>
      <w:r>
        <w:rPr>
          <w:rFonts w:hint="eastAsia" w:ascii="Cambria Math" w:hAnsi="Cambria Math" w:eastAsia="Cambria Math"/>
          <w:b w:val="0"/>
          <w:color w:val="auto"/>
          <w:sz w:val="22"/>
          <w:szCs w:val="22"/>
          <w:highlight w:val="none"/>
        </w:rPr>
        <w:t>7、</w:t>
      </w:r>
      <w:r>
        <w:rPr>
          <w:rFonts w:hint="eastAsia" w:ascii="Cambria Math" w:hAnsi="Cambria Math" w:eastAsia="Cambria Math"/>
          <w:b w:val="0"/>
          <w:bCs w:val="0"/>
          <w:color w:val="auto"/>
          <w:sz w:val="22"/>
          <w:szCs w:val="22"/>
          <w:highlight w:val="none"/>
        </w:rPr>
        <w:t>我公司没有被浙江省财政厅、温州市财政局及本项目所在地的采购管理部门限制参加投标。</w:t>
      </w:r>
    </w:p>
    <w:p w14:paraId="780B3704">
      <w:pPr>
        <w:autoSpaceDE w:val="0"/>
        <w:autoSpaceDN w:val="0"/>
        <w:adjustRightInd w:val="0"/>
        <w:spacing w:line="440" w:lineRule="atLeast"/>
        <w:ind w:firstLine="450"/>
        <w:rPr>
          <w:rFonts w:ascii="Cambria Math" w:hAnsi="Cambria Math" w:eastAsia="Cambria Math"/>
          <w:b w:val="0"/>
          <w:color w:val="auto"/>
          <w:sz w:val="22"/>
          <w:szCs w:val="22"/>
          <w:highlight w:val="none"/>
          <w:lang w:val="zh-CN"/>
        </w:rPr>
      </w:pPr>
      <w:r>
        <w:rPr>
          <w:rFonts w:hint="eastAsia" w:ascii="Cambria Math" w:hAnsi="Cambria Math" w:eastAsia="Cambria Math"/>
          <w:b w:val="0"/>
          <w:color w:val="auto"/>
          <w:sz w:val="22"/>
          <w:szCs w:val="22"/>
          <w:highlight w:val="none"/>
          <w:lang w:val="zh-CN"/>
        </w:rPr>
        <w:t>8、愿意向贵方提供任何与该项投标有关的数据、情况和技术资料，完全理解贵方不一定接受最低价的投标或收到的任何投标。</w:t>
      </w:r>
    </w:p>
    <w:p w14:paraId="4A1F0DF7">
      <w:pPr>
        <w:autoSpaceDE w:val="0"/>
        <w:autoSpaceDN w:val="0"/>
        <w:adjustRightInd w:val="0"/>
        <w:spacing w:line="440" w:lineRule="atLeast"/>
        <w:ind w:firstLine="450"/>
        <w:rPr>
          <w:rFonts w:ascii="Cambria Math" w:hAnsi="Cambria Math" w:eastAsia="Cambria Math"/>
          <w:b w:val="0"/>
          <w:color w:val="auto"/>
          <w:sz w:val="22"/>
          <w:szCs w:val="22"/>
          <w:highlight w:val="none"/>
          <w:lang w:val="zh-CN"/>
        </w:rPr>
      </w:pPr>
      <w:r>
        <w:rPr>
          <w:rFonts w:hint="eastAsia" w:ascii="Cambria Math" w:hAnsi="Cambria Math" w:eastAsia="Cambria Math"/>
          <w:b w:val="0"/>
          <w:color w:val="auto"/>
          <w:sz w:val="22"/>
          <w:szCs w:val="22"/>
          <w:highlight w:val="none"/>
          <w:lang w:val="zh-CN"/>
        </w:rPr>
        <w:t>9、本投标自开标之日起</w:t>
      </w:r>
      <w:r>
        <w:rPr>
          <w:rFonts w:hint="eastAsia" w:ascii="Cambria Math" w:hAnsi="Cambria Math"/>
          <w:b w:val="0"/>
          <w:color w:val="auto"/>
          <w:sz w:val="22"/>
          <w:szCs w:val="22"/>
          <w:highlight w:val="none"/>
          <w:lang w:val="en-US" w:eastAsia="zh-CN"/>
        </w:rPr>
        <w:t>90</w:t>
      </w:r>
      <w:r>
        <w:rPr>
          <w:rFonts w:hint="eastAsia" w:ascii="Cambria Math" w:hAnsi="Cambria Math" w:eastAsia="Cambria Math"/>
          <w:b w:val="0"/>
          <w:color w:val="auto"/>
          <w:sz w:val="22"/>
          <w:szCs w:val="22"/>
          <w:highlight w:val="none"/>
          <w:lang w:val="zh-CN"/>
        </w:rPr>
        <w:t>天内有效。</w:t>
      </w:r>
    </w:p>
    <w:p w14:paraId="44E86ABF">
      <w:pPr>
        <w:autoSpaceDE w:val="0"/>
        <w:autoSpaceDN w:val="0"/>
        <w:adjustRightInd w:val="0"/>
        <w:spacing w:line="440" w:lineRule="atLeast"/>
        <w:ind w:firstLine="450"/>
        <w:rPr>
          <w:rFonts w:ascii="Cambria Math" w:hAnsi="Cambria Math" w:eastAsia="Cambria Math"/>
          <w:b w:val="0"/>
          <w:color w:val="auto"/>
          <w:sz w:val="22"/>
          <w:szCs w:val="22"/>
          <w:highlight w:val="none"/>
          <w:lang w:val="zh-CN"/>
        </w:rPr>
      </w:pPr>
      <w:r>
        <w:rPr>
          <w:rFonts w:hint="eastAsia" w:ascii="Cambria Math" w:hAnsi="Cambria Math" w:eastAsia="Cambria Math"/>
          <w:b w:val="0"/>
          <w:color w:val="auto"/>
          <w:sz w:val="22"/>
          <w:szCs w:val="22"/>
          <w:highlight w:val="none"/>
          <w:lang w:val="zh-CN"/>
        </w:rPr>
        <w:t>10、与本投标有关的一切往来通讯请寄：</w:t>
      </w:r>
    </w:p>
    <w:p w14:paraId="35EAB959">
      <w:pPr>
        <w:autoSpaceDE w:val="0"/>
        <w:autoSpaceDN w:val="0"/>
        <w:adjustRightInd w:val="0"/>
        <w:spacing w:line="440" w:lineRule="atLeast"/>
        <w:ind w:firstLine="660" w:firstLineChars="300"/>
        <w:rPr>
          <w:rFonts w:ascii="Cambria Math" w:hAnsi="Cambria Math" w:eastAsia="Cambria Math"/>
          <w:b w:val="0"/>
          <w:color w:val="auto"/>
          <w:sz w:val="22"/>
          <w:szCs w:val="22"/>
          <w:highlight w:val="none"/>
          <w:lang w:val="zh-CN"/>
        </w:rPr>
      </w:pPr>
      <w:r>
        <w:rPr>
          <w:rFonts w:hint="eastAsia" w:ascii="Cambria Math" w:hAnsi="Cambria Math" w:eastAsia="Cambria Math"/>
          <w:b w:val="0"/>
          <w:color w:val="auto"/>
          <w:sz w:val="22"/>
          <w:szCs w:val="22"/>
          <w:highlight w:val="none"/>
          <w:lang w:val="zh-CN"/>
        </w:rPr>
        <w:t>地址：</w:t>
      </w:r>
    </w:p>
    <w:p w14:paraId="40A6A908">
      <w:pPr>
        <w:autoSpaceDE w:val="0"/>
        <w:autoSpaceDN w:val="0"/>
        <w:adjustRightInd w:val="0"/>
        <w:spacing w:line="440" w:lineRule="atLeast"/>
        <w:ind w:firstLine="660" w:firstLineChars="300"/>
        <w:rPr>
          <w:rFonts w:ascii="Cambria Math" w:hAnsi="Cambria Math" w:eastAsia="Cambria Math"/>
          <w:b w:val="0"/>
          <w:color w:val="auto"/>
          <w:sz w:val="22"/>
          <w:szCs w:val="22"/>
          <w:highlight w:val="none"/>
          <w:lang w:val="zh-CN"/>
        </w:rPr>
      </w:pPr>
      <w:r>
        <w:rPr>
          <w:rFonts w:hint="eastAsia" w:ascii="Cambria Math" w:hAnsi="Cambria Math" w:eastAsia="Cambria Math"/>
          <w:b w:val="0"/>
          <w:color w:val="auto"/>
          <w:sz w:val="22"/>
          <w:szCs w:val="22"/>
          <w:highlight w:val="none"/>
          <w:lang w:val="zh-CN"/>
        </w:rPr>
        <w:t>邮编：               电话：                   传真：</w:t>
      </w:r>
    </w:p>
    <w:p w14:paraId="1D6E3265">
      <w:pPr>
        <w:autoSpaceDE w:val="0"/>
        <w:autoSpaceDN w:val="0"/>
        <w:adjustRightInd w:val="0"/>
        <w:spacing w:line="440" w:lineRule="atLeast"/>
        <w:ind w:firstLine="1980" w:firstLineChars="900"/>
        <w:jc w:val="center"/>
        <w:rPr>
          <w:rFonts w:ascii="Cambria Math" w:hAnsi="Cambria Math" w:eastAsia="Cambria Math"/>
          <w:b w:val="0"/>
          <w:color w:val="auto"/>
          <w:sz w:val="22"/>
          <w:szCs w:val="22"/>
          <w:highlight w:val="none"/>
          <w:lang w:val="zh-CN"/>
        </w:rPr>
      </w:pPr>
    </w:p>
    <w:p w14:paraId="0E67F132">
      <w:pPr>
        <w:autoSpaceDE w:val="0"/>
        <w:autoSpaceDN w:val="0"/>
        <w:adjustRightInd w:val="0"/>
        <w:spacing w:line="440" w:lineRule="atLeast"/>
        <w:rPr>
          <w:rFonts w:ascii="Cambria Math" w:hAnsi="Cambria Math" w:eastAsia="Cambria Math"/>
          <w:b w:val="0"/>
          <w:color w:val="auto"/>
          <w:sz w:val="22"/>
          <w:szCs w:val="22"/>
          <w:highlight w:val="none"/>
          <w:lang w:val="zh-CN"/>
        </w:rPr>
      </w:pPr>
      <w:r>
        <w:rPr>
          <w:rFonts w:hint="eastAsia" w:ascii="Cambria Math" w:hAnsi="Cambria Math" w:eastAsia="Cambria Math"/>
          <w:b w:val="0"/>
          <w:color w:val="auto"/>
          <w:sz w:val="22"/>
          <w:szCs w:val="22"/>
          <w:highlight w:val="none"/>
          <w:lang w:val="zh-CN"/>
        </w:rPr>
        <w:t>投标单位（盖章）：</w:t>
      </w:r>
    </w:p>
    <w:p w14:paraId="1B1D9F01">
      <w:pPr>
        <w:autoSpaceDE w:val="0"/>
        <w:autoSpaceDN w:val="0"/>
        <w:adjustRightInd w:val="0"/>
        <w:spacing w:line="440" w:lineRule="atLeast"/>
        <w:rPr>
          <w:rFonts w:ascii="Cambria Math" w:hAnsi="Cambria Math" w:eastAsia="Cambria Math"/>
          <w:b w:val="0"/>
          <w:color w:val="auto"/>
          <w:sz w:val="22"/>
          <w:szCs w:val="22"/>
          <w:highlight w:val="none"/>
          <w:lang w:val="zh-CN"/>
        </w:rPr>
      </w:pPr>
      <w:r>
        <w:rPr>
          <w:rFonts w:hint="eastAsia" w:ascii="Cambria Math" w:hAnsi="Cambria Math" w:eastAsia="Cambria Math"/>
          <w:b w:val="0"/>
          <w:color w:val="auto"/>
          <w:sz w:val="22"/>
          <w:szCs w:val="22"/>
          <w:highlight w:val="none"/>
          <w:lang w:val="zh-CN"/>
        </w:rPr>
        <w:t>授权代表（签字）：</w:t>
      </w:r>
    </w:p>
    <w:p w14:paraId="3FC6CDAF">
      <w:pPr>
        <w:adjustRightInd w:val="0"/>
        <w:snapToGrid w:val="0"/>
        <w:spacing w:line="460" w:lineRule="atLeast"/>
        <w:ind w:left="220" w:hanging="220" w:hangingChars="100"/>
        <w:rPr>
          <w:rFonts w:ascii="Cambria Math" w:hAnsi="Cambria Math" w:eastAsia="Cambria Math"/>
          <w:b w:val="0"/>
          <w:color w:val="auto"/>
          <w:spacing w:val="20"/>
          <w:sz w:val="36"/>
          <w:szCs w:val="36"/>
          <w:highlight w:val="none"/>
        </w:rPr>
      </w:pPr>
      <w:r>
        <w:rPr>
          <w:rFonts w:hint="eastAsia" w:ascii="Cambria Math" w:hAnsi="Cambria Math" w:eastAsia="Cambria Math"/>
          <w:b w:val="0"/>
          <w:color w:val="auto"/>
          <w:sz w:val="22"/>
          <w:szCs w:val="22"/>
          <w:highlight w:val="none"/>
          <w:lang w:val="zh-CN"/>
        </w:rPr>
        <w:t>日期：</w:t>
      </w:r>
    </w:p>
    <w:p w14:paraId="0F5068C1">
      <w:pPr>
        <w:autoSpaceDE w:val="0"/>
        <w:autoSpaceDN w:val="0"/>
        <w:adjustRightInd w:val="0"/>
        <w:spacing w:line="440" w:lineRule="atLeast"/>
        <w:ind w:firstLine="1980" w:firstLineChars="900"/>
        <w:jc w:val="center"/>
        <w:rPr>
          <w:rFonts w:ascii="Cambria Math" w:hAnsi="Cambria Math" w:eastAsia="Cambria Math"/>
          <w:b w:val="0"/>
          <w:color w:val="auto"/>
          <w:sz w:val="22"/>
          <w:szCs w:val="22"/>
          <w:highlight w:val="none"/>
          <w:lang w:val="zh-CN"/>
        </w:rPr>
      </w:pPr>
    </w:p>
    <w:p w14:paraId="0DDA498E">
      <w:pPr>
        <w:autoSpaceDE w:val="0"/>
        <w:autoSpaceDN w:val="0"/>
        <w:adjustRightInd w:val="0"/>
        <w:spacing w:line="440" w:lineRule="atLeast"/>
        <w:ind w:firstLine="1980" w:firstLineChars="900"/>
        <w:jc w:val="center"/>
        <w:rPr>
          <w:rFonts w:ascii="Cambria Math" w:hAnsi="Cambria Math" w:eastAsia="Cambria Math"/>
          <w:b w:val="0"/>
          <w:color w:val="auto"/>
          <w:sz w:val="22"/>
          <w:szCs w:val="22"/>
          <w:highlight w:val="none"/>
          <w:lang w:val="zh-CN"/>
        </w:rPr>
      </w:pPr>
    </w:p>
    <w:p w14:paraId="7A014656">
      <w:pPr>
        <w:autoSpaceDE w:val="0"/>
        <w:autoSpaceDN w:val="0"/>
        <w:adjustRightInd w:val="0"/>
        <w:spacing w:line="440" w:lineRule="atLeast"/>
        <w:ind w:firstLine="1980" w:firstLineChars="900"/>
        <w:jc w:val="center"/>
        <w:rPr>
          <w:rFonts w:ascii="Cambria Math" w:hAnsi="Cambria Math" w:eastAsia="Cambria Math"/>
          <w:b w:val="0"/>
          <w:color w:val="auto"/>
          <w:sz w:val="22"/>
          <w:szCs w:val="22"/>
          <w:highlight w:val="none"/>
          <w:lang w:val="zh-CN"/>
        </w:rPr>
      </w:pPr>
    </w:p>
    <w:p w14:paraId="17070D0E">
      <w:pPr>
        <w:rPr>
          <w:rFonts w:ascii="Cambria Math" w:hAnsi="Cambria Math" w:eastAsia="Cambria Math"/>
          <w:color w:val="auto"/>
          <w:highlight w:val="none"/>
        </w:rPr>
      </w:pPr>
    </w:p>
    <w:p w14:paraId="57AE9149">
      <w:pPr>
        <w:rPr>
          <w:rFonts w:ascii="Cambria Math" w:hAnsi="Cambria Math" w:eastAsia="Cambria Math"/>
          <w:color w:val="auto"/>
          <w:highlight w:val="none"/>
        </w:rPr>
      </w:pPr>
    </w:p>
    <w:p w14:paraId="4022E7CA">
      <w:pPr>
        <w:rPr>
          <w:rFonts w:ascii="Cambria Math" w:hAnsi="Cambria Math" w:eastAsia="Cambria Math"/>
          <w:color w:val="auto"/>
          <w:highlight w:val="none"/>
        </w:rPr>
      </w:pPr>
    </w:p>
    <w:p w14:paraId="0B272A95">
      <w:pPr>
        <w:rPr>
          <w:rFonts w:ascii="Cambria Math" w:hAnsi="Cambria Math" w:eastAsia="等线"/>
          <w:color w:val="auto"/>
          <w:sz w:val="36"/>
          <w:szCs w:val="36"/>
          <w:highlight w:val="none"/>
        </w:rPr>
      </w:pPr>
      <w:r>
        <w:rPr>
          <w:rFonts w:hint="eastAsia" w:ascii="Cambria Math" w:hAnsi="Cambria Math" w:eastAsia="Cambria Math"/>
          <w:color w:val="auto"/>
          <w:sz w:val="36"/>
          <w:szCs w:val="36"/>
          <w:highlight w:val="none"/>
        </w:rPr>
        <w:t>附件</w:t>
      </w:r>
      <w:r>
        <w:rPr>
          <w:rFonts w:hint="eastAsia" w:ascii="Cambria Math" w:hAnsi="Cambria Math" w:eastAsia="等线"/>
          <w:color w:val="auto"/>
          <w:sz w:val="36"/>
          <w:szCs w:val="36"/>
          <w:highlight w:val="none"/>
        </w:rPr>
        <w:t>2-</w:t>
      </w:r>
      <w:r>
        <w:rPr>
          <w:rFonts w:ascii="Cambria Math" w:hAnsi="Cambria Math" w:eastAsia="等线"/>
          <w:color w:val="auto"/>
          <w:sz w:val="36"/>
          <w:szCs w:val="36"/>
          <w:highlight w:val="none"/>
        </w:rPr>
        <w:t>2</w:t>
      </w:r>
    </w:p>
    <w:p w14:paraId="3A61ABF6">
      <w:pPr>
        <w:tabs>
          <w:tab w:val="left" w:pos="1080"/>
        </w:tabs>
        <w:autoSpaceDE w:val="0"/>
        <w:autoSpaceDN w:val="0"/>
        <w:adjustRightInd w:val="0"/>
        <w:spacing w:line="440" w:lineRule="atLeast"/>
        <w:jc w:val="center"/>
        <w:rPr>
          <w:rFonts w:ascii="Cambria Math" w:hAnsi="Cambria Math" w:eastAsia="Cambria Math"/>
          <w:b w:val="0"/>
          <w:color w:val="auto"/>
          <w:sz w:val="36"/>
          <w:szCs w:val="36"/>
          <w:highlight w:val="none"/>
          <w:lang w:val="zh-CN"/>
        </w:rPr>
      </w:pPr>
      <w:r>
        <w:rPr>
          <w:rFonts w:hint="eastAsia" w:ascii="Cambria Math" w:hAnsi="Cambria Math" w:eastAsia="Cambria Math"/>
          <w:b w:val="0"/>
          <w:color w:val="auto"/>
          <w:sz w:val="36"/>
          <w:szCs w:val="36"/>
          <w:highlight w:val="none"/>
          <w:lang w:val="zh-CN"/>
        </w:rPr>
        <w:t>法定代表人授权书</w:t>
      </w:r>
    </w:p>
    <w:p w14:paraId="617352C9">
      <w:pPr>
        <w:spacing w:line="360" w:lineRule="auto"/>
        <w:rPr>
          <w:rFonts w:ascii="Cambria Math" w:hAnsi="Cambria Math" w:eastAsia="Cambria Math"/>
          <w:b w:val="0"/>
          <w:color w:val="auto"/>
          <w:sz w:val="22"/>
          <w:szCs w:val="22"/>
          <w:highlight w:val="none"/>
        </w:rPr>
      </w:pPr>
      <w:r>
        <w:rPr>
          <w:rFonts w:hint="eastAsia" w:ascii="Cambria Math" w:hAnsi="Cambria Math" w:eastAsia="Cambria Math"/>
          <w:b w:val="0"/>
          <w:color w:val="auto"/>
          <w:sz w:val="22"/>
          <w:szCs w:val="22"/>
          <w:highlight w:val="none"/>
          <w:u w:val="single"/>
        </w:rPr>
        <w:t>（采购人名称）</w:t>
      </w:r>
      <w:r>
        <w:rPr>
          <w:rFonts w:hint="eastAsia" w:ascii="Cambria Math" w:hAnsi="Cambria Math" w:eastAsia="Cambria Math"/>
          <w:b w:val="0"/>
          <w:color w:val="auto"/>
          <w:sz w:val="22"/>
          <w:szCs w:val="22"/>
          <w:highlight w:val="none"/>
          <w:lang w:val="zh-CN"/>
        </w:rPr>
        <w:t>：</w:t>
      </w:r>
    </w:p>
    <w:p w14:paraId="514F9A11">
      <w:pPr>
        <w:spacing w:line="360" w:lineRule="auto"/>
        <w:ind w:firstLine="440" w:firstLineChars="200"/>
        <w:rPr>
          <w:rFonts w:ascii="Cambria Math" w:hAnsi="Cambria Math" w:eastAsia="Cambria Math"/>
          <w:b w:val="0"/>
          <w:color w:val="auto"/>
          <w:sz w:val="22"/>
          <w:szCs w:val="22"/>
          <w:highlight w:val="none"/>
        </w:rPr>
      </w:pPr>
      <w:r>
        <w:rPr>
          <w:rFonts w:hint="eastAsia" w:ascii="Cambria Math" w:hAnsi="Cambria Math" w:eastAsia="Cambria Math"/>
          <w:b w:val="0"/>
          <w:color w:val="auto"/>
          <w:sz w:val="22"/>
          <w:szCs w:val="22"/>
          <w:highlight w:val="none"/>
        </w:rPr>
        <w:t>本授权委托书声明：我</w:t>
      </w:r>
      <w:r>
        <w:rPr>
          <w:rFonts w:hint="eastAsia" w:ascii="Cambria Math" w:hAnsi="Cambria Math" w:eastAsia="Cambria Math"/>
          <w:b w:val="0"/>
          <w:color w:val="auto"/>
          <w:sz w:val="22"/>
          <w:szCs w:val="22"/>
          <w:highlight w:val="none"/>
          <w:u w:val="single"/>
        </w:rPr>
        <w:t xml:space="preserve">   （法定代表人姓名）</w:t>
      </w:r>
      <w:r>
        <w:rPr>
          <w:rFonts w:hint="eastAsia" w:ascii="Cambria Math" w:hAnsi="Cambria Math" w:eastAsia="Cambria Math"/>
          <w:b w:val="0"/>
          <w:color w:val="auto"/>
          <w:sz w:val="22"/>
          <w:szCs w:val="22"/>
          <w:highlight w:val="none"/>
          <w:u w:val="single"/>
          <w:lang w:eastAsia="zh-CN"/>
        </w:rPr>
        <w:t>（</w:t>
      </w:r>
      <w:r>
        <w:rPr>
          <w:rFonts w:hint="eastAsia" w:ascii="Cambria Math" w:hAnsi="Cambria Math" w:eastAsia="Cambria Math"/>
          <w:b w:val="0"/>
          <w:color w:val="auto"/>
          <w:sz w:val="22"/>
          <w:szCs w:val="22"/>
          <w:highlight w:val="none"/>
          <w:u w:val="single"/>
          <w:lang w:val="en-US" w:eastAsia="zh-CN"/>
        </w:rPr>
        <w:t>分支机构为负责人</w:t>
      </w:r>
      <w:r>
        <w:rPr>
          <w:rFonts w:hint="eastAsia" w:ascii="Cambria Math" w:hAnsi="Cambria Math" w:eastAsia="Cambria Math"/>
          <w:b w:val="0"/>
          <w:color w:val="auto"/>
          <w:sz w:val="22"/>
          <w:szCs w:val="22"/>
          <w:highlight w:val="none"/>
          <w:u w:val="single"/>
          <w:lang w:eastAsia="zh-CN"/>
        </w:rPr>
        <w:t>）</w:t>
      </w:r>
      <w:r>
        <w:rPr>
          <w:rFonts w:hint="eastAsia" w:ascii="Cambria Math" w:hAnsi="Cambria Math" w:eastAsia="Cambria Math"/>
          <w:b w:val="0"/>
          <w:color w:val="auto"/>
          <w:sz w:val="22"/>
          <w:szCs w:val="22"/>
          <w:highlight w:val="none"/>
          <w:u w:val="single"/>
        </w:rPr>
        <w:t xml:space="preserve">   </w:t>
      </w:r>
      <w:r>
        <w:rPr>
          <w:rFonts w:hint="eastAsia" w:ascii="Cambria Math" w:hAnsi="Cambria Math" w:eastAsia="Cambria Math"/>
          <w:b w:val="0"/>
          <w:color w:val="auto"/>
          <w:sz w:val="22"/>
          <w:szCs w:val="22"/>
          <w:highlight w:val="none"/>
        </w:rPr>
        <w:t>系</w:t>
      </w:r>
      <w:r>
        <w:rPr>
          <w:rFonts w:hint="eastAsia" w:ascii="Cambria Math" w:hAnsi="Cambria Math" w:eastAsia="Cambria Math"/>
          <w:b w:val="0"/>
          <w:color w:val="auto"/>
          <w:sz w:val="22"/>
          <w:szCs w:val="22"/>
          <w:highlight w:val="none"/>
          <w:u w:val="single"/>
        </w:rPr>
        <w:t xml:space="preserve">   （供 应 商 名 称）  </w:t>
      </w:r>
      <w:r>
        <w:rPr>
          <w:rFonts w:hint="eastAsia" w:ascii="Cambria Math" w:hAnsi="Cambria Math" w:eastAsia="Cambria Math"/>
          <w:b w:val="0"/>
          <w:color w:val="auto"/>
          <w:sz w:val="22"/>
          <w:szCs w:val="22"/>
          <w:highlight w:val="none"/>
        </w:rPr>
        <w:t>的法定代表人，现授权委托</w:t>
      </w:r>
      <w:r>
        <w:rPr>
          <w:rFonts w:hint="eastAsia" w:ascii="Cambria Math" w:hAnsi="Cambria Math" w:eastAsia="Cambria Math"/>
          <w:b w:val="0"/>
          <w:color w:val="auto"/>
          <w:sz w:val="22"/>
          <w:szCs w:val="22"/>
          <w:highlight w:val="none"/>
          <w:u w:val="single"/>
        </w:rPr>
        <w:t xml:space="preserve">  （单 位 名 称）   </w:t>
      </w:r>
      <w:r>
        <w:rPr>
          <w:rFonts w:hint="eastAsia" w:ascii="Cambria Math" w:hAnsi="Cambria Math" w:eastAsia="Cambria Math"/>
          <w:b w:val="0"/>
          <w:color w:val="auto"/>
          <w:sz w:val="22"/>
          <w:szCs w:val="22"/>
          <w:highlight w:val="none"/>
        </w:rPr>
        <w:t>的</w:t>
      </w:r>
      <w:r>
        <w:rPr>
          <w:rFonts w:hint="eastAsia" w:ascii="Cambria Math" w:hAnsi="Cambria Math" w:eastAsia="Cambria Math"/>
          <w:b w:val="0"/>
          <w:color w:val="auto"/>
          <w:sz w:val="22"/>
          <w:szCs w:val="22"/>
          <w:highlight w:val="none"/>
          <w:u w:val="single"/>
        </w:rPr>
        <w:t xml:space="preserve">  （授权代表姓名）  </w:t>
      </w:r>
      <w:r>
        <w:rPr>
          <w:rFonts w:hint="eastAsia" w:ascii="Cambria Math" w:hAnsi="Cambria Math" w:eastAsia="Cambria Math"/>
          <w:b w:val="0"/>
          <w:color w:val="auto"/>
          <w:sz w:val="22"/>
          <w:szCs w:val="22"/>
          <w:highlight w:val="none"/>
        </w:rPr>
        <w:t>为我公司法定代表人授权代表，参加贵处组织的</w:t>
      </w:r>
      <w:r>
        <w:rPr>
          <w:rFonts w:hint="eastAsia" w:ascii="Cambria Math" w:hAnsi="Cambria Math" w:eastAsia="Cambria Math"/>
          <w:b w:val="0"/>
          <w:color w:val="auto"/>
          <w:sz w:val="22"/>
          <w:szCs w:val="22"/>
          <w:highlight w:val="none"/>
          <w:u w:val="single"/>
        </w:rPr>
        <w:t xml:space="preserve">  （招标项目名称，括号中填写项目编号）</w:t>
      </w:r>
      <w:r>
        <w:rPr>
          <w:rFonts w:hint="eastAsia" w:ascii="Cambria Math" w:hAnsi="Cambria Math" w:eastAsia="Cambria Math"/>
          <w:b w:val="0"/>
          <w:color w:val="auto"/>
          <w:sz w:val="22"/>
          <w:szCs w:val="22"/>
          <w:highlight w:val="none"/>
        </w:rPr>
        <w:t>投标，全权处理本次招投标活动中的一切事宜，我承认授权代表全权代表我所签署的本项目的投标文件的内容。</w:t>
      </w:r>
    </w:p>
    <w:p w14:paraId="7708827D">
      <w:pPr>
        <w:spacing w:line="360" w:lineRule="auto"/>
        <w:ind w:firstLine="440" w:firstLineChars="200"/>
        <w:rPr>
          <w:rFonts w:ascii="Cambria Math" w:hAnsi="Cambria Math" w:eastAsia="Cambria Math"/>
          <w:b w:val="0"/>
          <w:color w:val="auto"/>
          <w:sz w:val="22"/>
          <w:szCs w:val="22"/>
          <w:highlight w:val="none"/>
        </w:rPr>
      </w:pPr>
      <w:r>
        <w:rPr>
          <w:rFonts w:hint="eastAsia" w:ascii="Cambria Math" w:hAnsi="Cambria Math" w:eastAsia="Cambria Math"/>
          <w:b w:val="0"/>
          <w:color w:val="auto"/>
          <w:sz w:val="22"/>
          <w:szCs w:val="22"/>
          <w:highlight w:val="none"/>
        </w:rPr>
        <w:t>授权代表无转授权，特此授权</w:t>
      </w:r>
    </w:p>
    <w:p w14:paraId="23CFD1BC">
      <w:pPr>
        <w:spacing w:line="360" w:lineRule="auto"/>
        <w:ind w:left="1260"/>
        <w:rPr>
          <w:rFonts w:ascii="Cambria Math" w:hAnsi="Cambria Math" w:eastAsia="Cambria Math"/>
          <w:b w:val="0"/>
          <w:color w:val="auto"/>
          <w:sz w:val="22"/>
          <w:szCs w:val="22"/>
          <w:highlight w:val="none"/>
        </w:rPr>
      </w:pPr>
    </w:p>
    <w:p w14:paraId="2B5C2DE4">
      <w:pPr>
        <w:spacing w:line="360" w:lineRule="auto"/>
        <w:ind w:left="2100" w:right="440"/>
        <w:jc w:val="center"/>
        <w:rPr>
          <w:rFonts w:ascii="Cambria Math" w:hAnsi="Cambria Math" w:eastAsia="Cambria Math"/>
          <w:b w:val="0"/>
          <w:color w:val="auto"/>
          <w:sz w:val="22"/>
          <w:szCs w:val="22"/>
          <w:highlight w:val="none"/>
        </w:rPr>
      </w:pPr>
    </w:p>
    <w:p w14:paraId="1F444B37">
      <w:pPr>
        <w:spacing w:line="360" w:lineRule="auto"/>
        <w:ind w:left="2100" w:right="440"/>
        <w:jc w:val="center"/>
        <w:rPr>
          <w:rFonts w:ascii="Cambria Math" w:hAnsi="Cambria Math" w:eastAsia="Cambria Math"/>
          <w:b w:val="0"/>
          <w:color w:val="auto"/>
          <w:sz w:val="22"/>
          <w:szCs w:val="22"/>
          <w:highlight w:val="none"/>
        </w:rPr>
      </w:pPr>
    </w:p>
    <w:p w14:paraId="08B70CA5">
      <w:pPr>
        <w:spacing w:line="360" w:lineRule="auto"/>
        <w:ind w:left="2100" w:right="440"/>
        <w:jc w:val="center"/>
        <w:rPr>
          <w:rFonts w:ascii="Cambria Math" w:hAnsi="Cambria Math" w:eastAsia="Cambria Math"/>
          <w:b w:val="0"/>
          <w:color w:val="auto"/>
          <w:sz w:val="22"/>
          <w:szCs w:val="22"/>
          <w:highlight w:val="none"/>
        </w:rPr>
      </w:pPr>
    </w:p>
    <w:p w14:paraId="55591EF7">
      <w:pPr>
        <w:spacing w:line="360" w:lineRule="auto"/>
        <w:ind w:left="2100" w:right="440"/>
        <w:jc w:val="center"/>
        <w:rPr>
          <w:rFonts w:ascii="Cambria Math" w:hAnsi="Cambria Math" w:eastAsia="Cambria Math"/>
          <w:b w:val="0"/>
          <w:color w:val="auto"/>
          <w:sz w:val="22"/>
          <w:szCs w:val="22"/>
          <w:highlight w:val="none"/>
        </w:rPr>
      </w:pPr>
      <w:r>
        <w:rPr>
          <w:rFonts w:hint="eastAsia" w:ascii="Cambria Math" w:hAnsi="Cambria Math" w:eastAsia="Cambria Math"/>
          <w:b w:val="0"/>
          <w:color w:val="auto"/>
          <w:sz w:val="22"/>
          <w:szCs w:val="22"/>
          <w:highlight w:val="none"/>
        </w:rPr>
        <w:t xml:space="preserve">   投标单位：</w:t>
      </w:r>
      <w:r>
        <w:rPr>
          <w:rFonts w:hint="eastAsia" w:ascii="Cambria Math" w:hAnsi="Cambria Math" w:eastAsia="Cambria Math"/>
          <w:b w:val="0"/>
          <w:color w:val="auto"/>
          <w:sz w:val="22"/>
          <w:szCs w:val="22"/>
          <w:highlight w:val="none"/>
          <w:u w:val="single"/>
        </w:rPr>
        <w:t xml:space="preserve">                              （盖章）</w:t>
      </w:r>
    </w:p>
    <w:p w14:paraId="5176A9E0">
      <w:pPr>
        <w:spacing w:line="360" w:lineRule="auto"/>
        <w:ind w:right="440"/>
        <w:jc w:val="both"/>
        <w:rPr>
          <w:rFonts w:ascii="Cambria Math" w:hAnsi="Cambria Math" w:eastAsia="Cambria Math"/>
          <w:b w:val="0"/>
          <w:color w:val="auto"/>
          <w:sz w:val="22"/>
          <w:szCs w:val="22"/>
          <w:highlight w:val="none"/>
        </w:rPr>
      </w:pPr>
      <w:r>
        <w:rPr>
          <w:rFonts w:hint="eastAsia" w:ascii="Cambria Math" w:hAnsi="Cambria Math" w:eastAsia="Cambria Math"/>
          <w:b w:val="0"/>
          <w:color w:val="auto"/>
          <w:sz w:val="22"/>
          <w:szCs w:val="22"/>
          <w:highlight w:val="none"/>
        </w:rPr>
        <w:t>法定代表人</w:t>
      </w:r>
      <w:r>
        <w:rPr>
          <w:rFonts w:hint="eastAsia" w:ascii="Cambria Math" w:hAnsi="Cambria Math" w:eastAsia="Cambria Math"/>
          <w:b w:val="0"/>
          <w:color w:val="auto"/>
          <w:sz w:val="22"/>
          <w:szCs w:val="22"/>
          <w:highlight w:val="none"/>
          <w:lang w:eastAsia="zh-CN"/>
        </w:rPr>
        <w:t>（</w:t>
      </w:r>
      <w:r>
        <w:rPr>
          <w:rFonts w:hint="eastAsia" w:ascii="Cambria Math" w:hAnsi="Cambria Math" w:eastAsia="Cambria Math"/>
          <w:b w:val="0"/>
          <w:color w:val="auto"/>
          <w:sz w:val="22"/>
          <w:szCs w:val="22"/>
          <w:highlight w:val="none"/>
          <w:lang w:val="en-US" w:eastAsia="zh-CN"/>
        </w:rPr>
        <w:t>分支机构为负</w:t>
      </w:r>
      <w:bookmarkStart w:id="175" w:name="_GoBack"/>
      <w:bookmarkEnd w:id="175"/>
      <w:r>
        <w:rPr>
          <w:rFonts w:hint="eastAsia" w:ascii="Cambria Math" w:hAnsi="Cambria Math" w:eastAsia="Cambria Math"/>
          <w:b w:val="0"/>
          <w:color w:val="auto"/>
          <w:sz w:val="22"/>
          <w:szCs w:val="22"/>
          <w:highlight w:val="none"/>
          <w:lang w:val="en-US" w:eastAsia="zh-CN"/>
        </w:rPr>
        <w:t>责人</w:t>
      </w:r>
      <w:r>
        <w:rPr>
          <w:rFonts w:hint="eastAsia" w:ascii="Cambria Math" w:hAnsi="Cambria Math" w:eastAsia="Cambria Math"/>
          <w:b w:val="0"/>
          <w:color w:val="auto"/>
          <w:sz w:val="22"/>
          <w:szCs w:val="22"/>
          <w:highlight w:val="none"/>
          <w:lang w:eastAsia="zh-CN"/>
        </w:rPr>
        <w:t>）</w:t>
      </w:r>
      <w:r>
        <w:rPr>
          <w:rFonts w:hint="eastAsia" w:ascii="Cambria Math" w:hAnsi="Cambria Math" w:eastAsia="Cambria Math"/>
          <w:b w:val="0"/>
          <w:color w:val="auto"/>
          <w:sz w:val="22"/>
          <w:szCs w:val="22"/>
          <w:highlight w:val="none"/>
        </w:rPr>
        <w:t>：</w:t>
      </w:r>
      <w:r>
        <w:rPr>
          <w:rFonts w:hint="eastAsia" w:ascii="Cambria Math" w:hAnsi="Cambria Math" w:eastAsia="Cambria Math"/>
          <w:b w:val="0"/>
          <w:color w:val="auto"/>
          <w:sz w:val="22"/>
          <w:szCs w:val="22"/>
          <w:highlight w:val="none"/>
          <w:u w:val="single"/>
        </w:rPr>
        <w:t xml:space="preserve">                           （签字或盖章）</w:t>
      </w:r>
    </w:p>
    <w:p w14:paraId="41D10499">
      <w:pPr>
        <w:spacing w:line="360" w:lineRule="auto"/>
        <w:ind w:left="2833" w:leftChars="1349" w:firstLine="2200" w:firstLineChars="1000"/>
        <w:rPr>
          <w:rFonts w:ascii="Cambria Math" w:hAnsi="Cambria Math" w:eastAsia="Cambria Math"/>
          <w:b w:val="0"/>
          <w:color w:val="auto"/>
          <w:sz w:val="22"/>
          <w:szCs w:val="22"/>
          <w:highlight w:val="none"/>
        </w:rPr>
      </w:pPr>
    </w:p>
    <w:p w14:paraId="3C424536">
      <w:pPr>
        <w:spacing w:line="360" w:lineRule="auto"/>
        <w:ind w:right="330" w:firstLine="3300" w:firstLineChars="1500"/>
        <w:jc w:val="right"/>
        <w:rPr>
          <w:rFonts w:ascii="Cambria Math" w:hAnsi="Cambria Math" w:eastAsia="Cambria Math"/>
          <w:b w:val="0"/>
          <w:color w:val="auto"/>
          <w:sz w:val="22"/>
          <w:szCs w:val="22"/>
          <w:highlight w:val="none"/>
        </w:rPr>
      </w:pPr>
      <w:r>
        <w:rPr>
          <w:rFonts w:hint="eastAsia" w:ascii="Cambria Math" w:hAnsi="Cambria Math" w:eastAsia="Cambria Math"/>
          <w:b w:val="0"/>
          <w:color w:val="auto"/>
          <w:sz w:val="22"/>
          <w:szCs w:val="22"/>
          <w:highlight w:val="none"/>
        </w:rPr>
        <w:t>授权委托日期：年 月日</w:t>
      </w:r>
    </w:p>
    <w:tbl>
      <w:tblPr>
        <w:tblStyle w:val="35"/>
        <w:tblW w:w="864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647"/>
      </w:tblGrid>
      <w:tr w14:paraId="191F9C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97" w:hRule="atLeast"/>
          <w:jc w:val="center"/>
        </w:trPr>
        <w:tc>
          <w:tcPr>
            <w:tcW w:w="8647" w:type="dxa"/>
          </w:tcPr>
          <w:p w14:paraId="76F1EE68">
            <w:pPr>
              <w:pStyle w:val="21"/>
              <w:spacing w:line="440" w:lineRule="atLeast"/>
              <w:ind w:firstLine="440"/>
              <w:jc w:val="center"/>
              <w:rPr>
                <w:rFonts w:ascii="Cambria Math" w:hAnsi="Cambria Math" w:eastAsia="Cambria Math" w:cs="Yu Mincho Light"/>
                <w:b w:val="0"/>
                <w:color w:val="auto"/>
                <w:sz w:val="22"/>
                <w:szCs w:val="22"/>
                <w:highlight w:val="none"/>
              </w:rPr>
            </w:pPr>
            <w:r>
              <w:rPr>
                <w:rFonts w:hint="eastAsia" w:ascii="Cambria Math" w:hAnsi="Cambria Math" w:eastAsia="Cambria Math" w:cs="Yu Mincho Light"/>
                <w:b w:val="0"/>
                <w:color w:val="auto"/>
                <w:sz w:val="22"/>
                <w:szCs w:val="22"/>
                <w:highlight w:val="none"/>
              </w:rPr>
              <w:t>授权代表身份证影印件或复印件</w:t>
            </w:r>
          </w:p>
        </w:tc>
      </w:tr>
    </w:tbl>
    <w:p w14:paraId="68A472D9">
      <w:pPr>
        <w:snapToGrid w:val="0"/>
        <w:spacing w:line="360" w:lineRule="atLeast"/>
        <w:outlineLvl w:val="0"/>
        <w:rPr>
          <w:rFonts w:ascii="Cambria Math" w:hAnsi="Cambria Math" w:eastAsia="Cambria Math"/>
          <w:b w:val="0"/>
          <w:color w:val="auto"/>
          <w:sz w:val="36"/>
          <w:szCs w:val="36"/>
          <w:highlight w:val="none"/>
          <w:lang w:val="zh-CN"/>
        </w:rPr>
      </w:pPr>
    </w:p>
    <w:p w14:paraId="70CDA9F3">
      <w:pPr>
        <w:snapToGrid w:val="0"/>
        <w:spacing w:line="360" w:lineRule="atLeast"/>
        <w:outlineLvl w:val="0"/>
        <w:rPr>
          <w:rFonts w:ascii="Cambria Math" w:hAnsi="Cambria Math" w:eastAsia="Cambria Math"/>
          <w:b w:val="0"/>
          <w:color w:val="auto"/>
          <w:sz w:val="36"/>
          <w:szCs w:val="36"/>
          <w:highlight w:val="none"/>
          <w:lang w:val="zh-CN"/>
        </w:rPr>
      </w:pPr>
    </w:p>
    <w:p w14:paraId="2CE55ACF">
      <w:pPr>
        <w:snapToGrid w:val="0"/>
        <w:spacing w:line="360" w:lineRule="atLeast"/>
        <w:outlineLvl w:val="0"/>
        <w:rPr>
          <w:rFonts w:ascii="Cambria Math" w:hAnsi="Cambria Math" w:eastAsia="Cambria Math"/>
          <w:b w:val="0"/>
          <w:color w:val="auto"/>
          <w:sz w:val="36"/>
          <w:szCs w:val="36"/>
          <w:highlight w:val="none"/>
          <w:lang w:val="zh-CN"/>
        </w:rPr>
      </w:pPr>
    </w:p>
    <w:p w14:paraId="1476E427">
      <w:pPr>
        <w:snapToGrid w:val="0"/>
        <w:spacing w:line="360" w:lineRule="atLeast"/>
        <w:outlineLvl w:val="0"/>
        <w:rPr>
          <w:rFonts w:ascii="Cambria Math" w:hAnsi="Cambria Math" w:eastAsia="Cambria Math"/>
          <w:b w:val="0"/>
          <w:color w:val="auto"/>
          <w:sz w:val="36"/>
          <w:szCs w:val="36"/>
          <w:highlight w:val="none"/>
          <w:lang w:val="zh-CN"/>
        </w:rPr>
      </w:pPr>
    </w:p>
    <w:p w14:paraId="421600F5">
      <w:pPr>
        <w:pStyle w:val="4"/>
        <w:spacing w:before="0" w:after="120" w:line="700" w:lineRule="exact"/>
        <w:ind w:left="0" w:firstLine="0"/>
        <w:rPr>
          <w:rFonts w:ascii="Cambria Math" w:hAnsi="Cambria Math" w:eastAsia="等线"/>
          <w:b/>
          <w:color w:val="auto"/>
          <w:sz w:val="32"/>
          <w:highlight w:val="none"/>
        </w:rPr>
      </w:pPr>
      <w:r>
        <w:rPr>
          <w:rFonts w:hint="eastAsia" w:ascii="Cambria Math" w:hAnsi="Cambria Math" w:eastAsia="Cambria Math"/>
          <w:b/>
          <w:color w:val="auto"/>
          <w:sz w:val="32"/>
          <w:highlight w:val="none"/>
        </w:rPr>
        <w:t>附件</w:t>
      </w:r>
      <w:r>
        <w:rPr>
          <w:rFonts w:hint="eastAsia" w:ascii="Cambria Math" w:hAnsi="Cambria Math" w:eastAsia="等线"/>
          <w:b/>
          <w:color w:val="auto"/>
          <w:sz w:val="32"/>
          <w:highlight w:val="none"/>
        </w:rPr>
        <w:t>2-</w:t>
      </w:r>
      <w:r>
        <w:rPr>
          <w:rFonts w:ascii="Cambria Math" w:hAnsi="Cambria Math" w:eastAsia="等线"/>
          <w:b/>
          <w:color w:val="auto"/>
          <w:sz w:val="32"/>
          <w:highlight w:val="none"/>
        </w:rPr>
        <w:t>3</w:t>
      </w:r>
    </w:p>
    <w:p w14:paraId="3BAD4F45">
      <w:pPr>
        <w:autoSpaceDE w:val="0"/>
        <w:autoSpaceDN w:val="0"/>
        <w:adjustRightInd w:val="0"/>
        <w:spacing w:line="440" w:lineRule="atLeast"/>
        <w:jc w:val="center"/>
        <w:rPr>
          <w:rFonts w:ascii="Cambria Math" w:hAnsi="Cambria Math" w:eastAsia="Cambria Math"/>
          <w:b w:val="0"/>
          <w:color w:val="auto"/>
          <w:sz w:val="36"/>
          <w:szCs w:val="36"/>
          <w:highlight w:val="none"/>
          <w:lang w:val="zh-CN"/>
        </w:rPr>
      </w:pPr>
      <w:r>
        <w:rPr>
          <w:rFonts w:hint="eastAsia" w:ascii="Cambria Math" w:hAnsi="Cambria Math" w:eastAsia="Cambria Math"/>
          <w:b w:val="0"/>
          <w:color w:val="auto"/>
          <w:sz w:val="36"/>
          <w:szCs w:val="36"/>
          <w:highlight w:val="none"/>
          <w:lang w:val="zh-CN"/>
        </w:rPr>
        <w:t>供应商情况声明</w:t>
      </w:r>
    </w:p>
    <w:p w14:paraId="38A20D56">
      <w:pPr>
        <w:autoSpaceDE w:val="0"/>
        <w:autoSpaceDN w:val="0"/>
        <w:adjustRightInd w:val="0"/>
        <w:spacing w:line="440" w:lineRule="atLeast"/>
        <w:jc w:val="center"/>
        <w:rPr>
          <w:rFonts w:ascii="Cambria Math" w:hAnsi="Cambria Math" w:eastAsia="Cambria Math"/>
          <w:b w:val="0"/>
          <w:color w:val="auto"/>
          <w:sz w:val="36"/>
          <w:szCs w:val="36"/>
          <w:highlight w:val="none"/>
          <w:lang w:val="zh-CN"/>
        </w:rPr>
      </w:pPr>
    </w:p>
    <w:p w14:paraId="16975971">
      <w:pPr>
        <w:spacing w:line="360" w:lineRule="auto"/>
        <w:rPr>
          <w:rFonts w:ascii="Cambria Math" w:hAnsi="Cambria Math" w:eastAsia="Cambria Math"/>
          <w:b w:val="0"/>
          <w:color w:val="auto"/>
          <w:sz w:val="22"/>
          <w:szCs w:val="22"/>
          <w:highlight w:val="none"/>
        </w:rPr>
      </w:pPr>
      <w:r>
        <w:rPr>
          <w:rFonts w:ascii="Cambria Math" w:hAnsi="Cambria Math" w:eastAsia="Cambria Math"/>
          <w:b w:val="0"/>
          <w:color w:val="auto"/>
          <w:sz w:val="22"/>
          <w:szCs w:val="22"/>
          <w:highlight w:val="none"/>
        </w:rPr>
        <w:t>1、名称及概况：</w:t>
      </w:r>
    </w:p>
    <w:p w14:paraId="06B9BC96">
      <w:pPr>
        <w:spacing w:line="360" w:lineRule="auto"/>
        <w:rPr>
          <w:rFonts w:ascii="Cambria Math" w:hAnsi="Cambria Math" w:eastAsia="Cambria Math"/>
          <w:b w:val="0"/>
          <w:color w:val="auto"/>
          <w:sz w:val="22"/>
          <w:szCs w:val="22"/>
          <w:highlight w:val="none"/>
        </w:rPr>
      </w:pPr>
      <w:r>
        <w:rPr>
          <w:rFonts w:ascii="Cambria Math" w:hAnsi="Cambria Math" w:eastAsia="Cambria Math"/>
          <w:b w:val="0"/>
          <w:color w:val="auto"/>
          <w:sz w:val="22"/>
          <w:szCs w:val="22"/>
          <w:highlight w:val="none"/>
        </w:rPr>
        <w:t>（1）投标供应商名称：</w:t>
      </w:r>
    </w:p>
    <w:p w14:paraId="792AB5E8">
      <w:pPr>
        <w:spacing w:line="360" w:lineRule="auto"/>
        <w:rPr>
          <w:rFonts w:ascii="Cambria Math" w:hAnsi="Cambria Math" w:eastAsia="Cambria Math"/>
          <w:b w:val="0"/>
          <w:color w:val="auto"/>
          <w:sz w:val="22"/>
          <w:szCs w:val="22"/>
          <w:highlight w:val="none"/>
        </w:rPr>
      </w:pPr>
      <w:r>
        <w:rPr>
          <w:rFonts w:ascii="Cambria Math" w:hAnsi="Cambria Math" w:eastAsia="Cambria Math"/>
          <w:b w:val="0"/>
          <w:color w:val="auto"/>
          <w:sz w:val="22"/>
          <w:szCs w:val="22"/>
          <w:highlight w:val="none"/>
        </w:rPr>
        <w:t>（2）总部地址：</w:t>
      </w:r>
    </w:p>
    <w:p w14:paraId="29E313A4">
      <w:pPr>
        <w:spacing w:line="360" w:lineRule="auto"/>
        <w:rPr>
          <w:rFonts w:ascii="Cambria Math" w:hAnsi="Cambria Math" w:eastAsia="Cambria Math"/>
          <w:b w:val="0"/>
          <w:color w:val="auto"/>
          <w:sz w:val="22"/>
          <w:szCs w:val="22"/>
          <w:highlight w:val="none"/>
          <w:u w:val="single"/>
        </w:rPr>
      </w:pPr>
      <w:r>
        <w:rPr>
          <w:rFonts w:ascii="Cambria Math" w:hAnsi="Cambria Math" w:eastAsia="Cambria Math"/>
          <w:b w:val="0"/>
          <w:color w:val="auto"/>
          <w:sz w:val="22"/>
          <w:szCs w:val="22"/>
          <w:highlight w:val="none"/>
        </w:rPr>
        <w:t>传真/电话号码：</w:t>
      </w:r>
    </w:p>
    <w:p w14:paraId="68ADC4A5">
      <w:pPr>
        <w:spacing w:line="360" w:lineRule="auto"/>
        <w:rPr>
          <w:rFonts w:ascii="Cambria Math" w:hAnsi="Cambria Math" w:eastAsia="Cambria Math"/>
          <w:b w:val="0"/>
          <w:color w:val="auto"/>
          <w:sz w:val="22"/>
          <w:szCs w:val="22"/>
          <w:highlight w:val="none"/>
        </w:rPr>
      </w:pPr>
      <w:r>
        <w:rPr>
          <w:rFonts w:ascii="Cambria Math" w:hAnsi="Cambria Math" w:eastAsia="Cambria Math"/>
          <w:b w:val="0"/>
          <w:color w:val="auto"/>
          <w:sz w:val="22"/>
          <w:szCs w:val="22"/>
          <w:highlight w:val="none"/>
        </w:rPr>
        <w:t>（3）成立或注册日期：</w:t>
      </w:r>
    </w:p>
    <w:p w14:paraId="16B536A2">
      <w:pPr>
        <w:spacing w:line="360" w:lineRule="auto"/>
        <w:rPr>
          <w:rFonts w:ascii="Cambria Math" w:hAnsi="Cambria Math" w:eastAsia="Cambria Math"/>
          <w:b w:val="0"/>
          <w:color w:val="auto"/>
          <w:sz w:val="22"/>
          <w:szCs w:val="22"/>
          <w:highlight w:val="none"/>
          <w:u w:val="single"/>
        </w:rPr>
      </w:pPr>
      <w:r>
        <w:rPr>
          <w:rFonts w:ascii="Cambria Math" w:hAnsi="Cambria Math" w:eastAsia="Cambria Math"/>
          <w:b w:val="0"/>
          <w:color w:val="auto"/>
          <w:sz w:val="22"/>
          <w:szCs w:val="22"/>
          <w:highlight w:val="none"/>
        </w:rPr>
        <w:t>（4）实收资本：</w:t>
      </w:r>
    </w:p>
    <w:p w14:paraId="3C84546E">
      <w:pPr>
        <w:spacing w:line="360" w:lineRule="auto"/>
        <w:rPr>
          <w:rFonts w:ascii="Cambria Math" w:hAnsi="Cambria Math" w:eastAsia="Cambria Math"/>
          <w:b w:val="0"/>
          <w:color w:val="auto"/>
          <w:sz w:val="22"/>
          <w:szCs w:val="22"/>
          <w:highlight w:val="none"/>
        </w:rPr>
      </w:pPr>
      <w:r>
        <w:rPr>
          <w:rFonts w:ascii="Cambria Math" w:hAnsi="Cambria Math" w:eastAsia="Cambria Math"/>
          <w:b w:val="0"/>
          <w:color w:val="auto"/>
          <w:sz w:val="22"/>
          <w:szCs w:val="22"/>
          <w:highlight w:val="none"/>
        </w:rPr>
        <w:t>（5）近期资产负债表（</w:t>
      </w:r>
      <w:r>
        <w:rPr>
          <w:rFonts w:ascii="Cambria Math" w:hAnsi="Cambria Math" w:eastAsia="Cambria Math"/>
          <w:b w:val="0"/>
          <w:color w:val="auto"/>
          <w:sz w:val="22"/>
          <w:szCs w:val="22"/>
          <w:highlight w:val="none"/>
          <w:u w:val="single"/>
        </w:rPr>
        <w:t>到        年    月    日止</w:t>
      </w:r>
      <w:r>
        <w:rPr>
          <w:rFonts w:ascii="Cambria Math" w:hAnsi="Cambria Math" w:eastAsia="Cambria Math"/>
          <w:b w:val="0"/>
          <w:color w:val="auto"/>
          <w:sz w:val="22"/>
          <w:szCs w:val="22"/>
          <w:highlight w:val="none"/>
        </w:rPr>
        <w:t>）</w:t>
      </w:r>
    </w:p>
    <w:p w14:paraId="77737472">
      <w:pPr>
        <w:spacing w:line="360" w:lineRule="auto"/>
        <w:rPr>
          <w:rFonts w:ascii="Cambria Math" w:hAnsi="Cambria Math" w:eastAsia="Cambria Math"/>
          <w:b w:val="0"/>
          <w:color w:val="auto"/>
          <w:sz w:val="22"/>
          <w:szCs w:val="22"/>
          <w:highlight w:val="none"/>
        </w:rPr>
      </w:pPr>
      <w:r>
        <w:rPr>
          <w:rFonts w:ascii="Cambria Math" w:hAnsi="Cambria Math" w:eastAsia="Cambria Math"/>
          <w:b w:val="0"/>
          <w:color w:val="auto"/>
          <w:sz w:val="22"/>
          <w:szCs w:val="22"/>
          <w:highlight w:val="none"/>
        </w:rPr>
        <w:t>1）固定资产：</w:t>
      </w:r>
    </w:p>
    <w:p w14:paraId="20F9156C">
      <w:pPr>
        <w:spacing w:line="360" w:lineRule="auto"/>
        <w:rPr>
          <w:rFonts w:ascii="Cambria Math" w:hAnsi="Cambria Math" w:eastAsia="Cambria Math"/>
          <w:b w:val="0"/>
          <w:color w:val="auto"/>
          <w:sz w:val="22"/>
          <w:szCs w:val="22"/>
          <w:highlight w:val="none"/>
          <w:u w:val="single"/>
        </w:rPr>
      </w:pPr>
      <w:r>
        <w:rPr>
          <w:rFonts w:ascii="Cambria Math" w:hAnsi="Cambria Math" w:eastAsia="Cambria Math"/>
          <w:b w:val="0"/>
          <w:color w:val="auto"/>
          <w:sz w:val="22"/>
          <w:szCs w:val="22"/>
          <w:highlight w:val="none"/>
        </w:rPr>
        <w:t>2）流动资产：</w:t>
      </w:r>
    </w:p>
    <w:p w14:paraId="12D1F56F">
      <w:pPr>
        <w:spacing w:line="360" w:lineRule="auto"/>
        <w:rPr>
          <w:rFonts w:ascii="Cambria Math" w:hAnsi="Cambria Math" w:eastAsia="Cambria Math"/>
          <w:b w:val="0"/>
          <w:color w:val="auto"/>
          <w:sz w:val="22"/>
          <w:szCs w:val="22"/>
          <w:highlight w:val="none"/>
        </w:rPr>
      </w:pPr>
      <w:r>
        <w:rPr>
          <w:rFonts w:ascii="Cambria Math" w:hAnsi="Cambria Math" w:eastAsia="Cambria Math"/>
          <w:b w:val="0"/>
          <w:color w:val="auto"/>
          <w:sz w:val="22"/>
          <w:szCs w:val="22"/>
          <w:highlight w:val="none"/>
        </w:rPr>
        <w:t>3）长期负债：</w:t>
      </w:r>
    </w:p>
    <w:p w14:paraId="24767432">
      <w:pPr>
        <w:spacing w:line="360" w:lineRule="auto"/>
        <w:rPr>
          <w:rFonts w:ascii="Cambria Math" w:hAnsi="Cambria Math" w:eastAsia="Cambria Math"/>
          <w:b w:val="0"/>
          <w:color w:val="auto"/>
          <w:sz w:val="22"/>
          <w:szCs w:val="22"/>
          <w:highlight w:val="none"/>
        </w:rPr>
      </w:pPr>
      <w:r>
        <w:rPr>
          <w:rFonts w:ascii="Cambria Math" w:hAnsi="Cambria Math" w:eastAsia="Cambria Math"/>
          <w:b w:val="0"/>
          <w:color w:val="auto"/>
          <w:sz w:val="22"/>
          <w:szCs w:val="22"/>
          <w:highlight w:val="none"/>
        </w:rPr>
        <w:t>4）流动负债：</w:t>
      </w:r>
    </w:p>
    <w:p w14:paraId="7BCB3B55">
      <w:pPr>
        <w:spacing w:line="360" w:lineRule="auto"/>
        <w:rPr>
          <w:rFonts w:ascii="Cambria Math" w:hAnsi="Cambria Math" w:eastAsia="Cambria Math"/>
          <w:b w:val="0"/>
          <w:color w:val="auto"/>
          <w:sz w:val="22"/>
          <w:szCs w:val="22"/>
          <w:highlight w:val="none"/>
        </w:rPr>
      </w:pPr>
      <w:r>
        <w:rPr>
          <w:rFonts w:ascii="Cambria Math" w:hAnsi="Cambria Math" w:eastAsia="Cambria Math"/>
          <w:b w:val="0"/>
          <w:color w:val="auto"/>
          <w:sz w:val="22"/>
          <w:szCs w:val="22"/>
          <w:highlight w:val="none"/>
        </w:rPr>
        <w:t>5）净值：</w:t>
      </w:r>
    </w:p>
    <w:p w14:paraId="43E66298">
      <w:pPr>
        <w:spacing w:line="360" w:lineRule="auto"/>
        <w:rPr>
          <w:rFonts w:ascii="Cambria Math" w:hAnsi="Cambria Math" w:eastAsia="Cambria Math"/>
          <w:b w:val="0"/>
          <w:color w:val="auto"/>
          <w:sz w:val="22"/>
          <w:szCs w:val="22"/>
          <w:highlight w:val="none"/>
        </w:rPr>
      </w:pPr>
      <w:r>
        <w:rPr>
          <w:rFonts w:ascii="Cambria Math" w:hAnsi="Cambria Math" w:eastAsia="Cambria Math"/>
          <w:b w:val="0"/>
          <w:color w:val="auto"/>
          <w:sz w:val="22"/>
          <w:szCs w:val="22"/>
          <w:highlight w:val="none"/>
        </w:rPr>
        <w:t>6）主要负责人姓名：</w:t>
      </w:r>
    </w:p>
    <w:p w14:paraId="1083821B">
      <w:pPr>
        <w:spacing w:line="360" w:lineRule="auto"/>
        <w:rPr>
          <w:rFonts w:ascii="Cambria Math" w:hAnsi="Cambria Math" w:eastAsia="Cambria Math"/>
          <w:b w:val="0"/>
          <w:color w:val="auto"/>
          <w:sz w:val="22"/>
          <w:szCs w:val="22"/>
          <w:highlight w:val="none"/>
          <w:u w:val="single"/>
        </w:rPr>
      </w:pPr>
      <w:r>
        <w:rPr>
          <w:rFonts w:ascii="Cambria Math" w:hAnsi="Cambria Math" w:eastAsia="Cambria Math"/>
          <w:b w:val="0"/>
          <w:color w:val="auto"/>
          <w:sz w:val="22"/>
          <w:szCs w:val="22"/>
          <w:highlight w:val="none"/>
        </w:rPr>
        <w:t>2、企业生产设备及规模：</w:t>
      </w:r>
    </w:p>
    <w:p w14:paraId="1CBD3079">
      <w:pPr>
        <w:spacing w:line="360" w:lineRule="auto"/>
        <w:rPr>
          <w:rFonts w:ascii="Cambria Math" w:hAnsi="Cambria Math" w:eastAsia="Cambria Math"/>
          <w:b w:val="0"/>
          <w:color w:val="auto"/>
          <w:sz w:val="22"/>
          <w:szCs w:val="22"/>
          <w:highlight w:val="none"/>
        </w:rPr>
      </w:pPr>
      <w:r>
        <w:rPr>
          <w:rFonts w:ascii="Cambria Math" w:hAnsi="Cambria Math" w:eastAsia="Cambria Math"/>
          <w:b w:val="0"/>
          <w:color w:val="auto"/>
          <w:sz w:val="22"/>
          <w:szCs w:val="22"/>
          <w:highlight w:val="none"/>
        </w:rPr>
        <w:t>3、企业人员情况：职工（在职）人数人</w:t>
      </w:r>
    </w:p>
    <w:p w14:paraId="789E4F79">
      <w:pPr>
        <w:spacing w:line="360" w:lineRule="auto"/>
        <w:rPr>
          <w:rFonts w:ascii="Cambria Math" w:hAnsi="Cambria Math" w:eastAsia="Cambria Math"/>
          <w:b w:val="0"/>
          <w:color w:val="auto"/>
          <w:sz w:val="22"/>
          <w:szCs w:val="22"/>
          <w:highlight w:val="none"/>
        </w:rPr>
      </w:pPr>
      <w:r>
        <w:rPr>
          <w:rFonts w:ascii="Cambria Math" w:hAnsi="Cambria Math" w:eastAsia="Cambria Math"/>
          <w:b w:val="0"/>
          <w:color w:val="auto"/>
          <w:sz w:val="22"/>
          <w:szCs w:val="22"/>
          <w:highlight w:val="none"/>
        </w:rPr>
        <w:t xml:space="preserve">4、近三年的年营业总额                       </w:t>
      </w:r>
    </w:p>
    <w:p w14:paraId="28AC8D26">
      <w:pPr>
        <w:spacing w:line="360" w:lineRule="auto"/>
        <w:rPr>
          <w:rFonts w:ascii="Cambria Math" w:hAnsi="Cambria Math" w:eastAsia="Cambria Math"/>
          <w:b w:val="0"/>
          <w:color w:val="auto"/>
          <w:sz w:val="22"/>
          <w:szCs w:val="22"/>
          <w:highlight w:val="none"/>
        </w:rPr>
      </w:pPr>
      <w:r>
        <w:rPr>
          <w:rFonts w:ascii="Cambria Math" w:hAnsi="Cambria Math" w:eastAsia="Cambria Math"/>
          <w:b w:val="0"/>
          <w:color w:val="auto"/>
          <w:sz w:val="22"/>
          <w:szCs w:val="22"/>
          <w:highlight w:val="none"/>
        </w:rPr>
        <w:t>兹证明上述声明是真实、正确的、并提供了全部能提供的资料和数据，我们同意遵照贵方要求出示有关证明文件。</w:t>
      </w:r>
    </w:p>
    <w:p w14:paraId="5F8A9439">
      <w:pPr>
        <w:spacing w:line="360" w:lineRule="auto"/>
        <w:rPr>
          <w:rFonts w:ascii="Cambria Math" w:hAnsi="Cambria Math" w:eastAsia="Cambria Math"/>
          <w:b w:val="0"/>
          <w:color w:val="auto"/>
          <w:sz w:val="22"/>
          <w:szCs w:val="22"/>
          <w:highlight w:val="none"/>
        </w:rPr>
      </w:pPr>
      <w:r>
        <w:rPr>
          <w:rFonts w:ascii="Cambria Math" w:hAnsi="Cambria Math" w:eastAsia="Cambria Math"/>
          <w:b w:val="0"/>
          <w:color w:val="auto"/>
          <w:sz w:val="22"/>
          <w:szCs w:val="22"/>
          <w:highlight w:val="none"/>
        </w:rPr>
        <w:t>投标人名称</w:t>
      </w:r>
      <w:r>
        <w:rPr>
          <w:rFonts w:ascii="Cambria Math" w:hAnsi="Cambria Math" w:eastAsia="Cambria Math"/>
          <w:b w:val="0"/>
          <w:color w:val="auto"/>
          <w:sz w:val="22"/>
          <w:szCs w:val="22"/>
          <w:highlight w:val="none"/>
          <w:u w:val="single"/>
        </w:rPr>
        <w:t xml:space="preserve">                （盖章）</w:t>
      </w:r>
    </w:p>
    <w:p w14:paraId="043F15F2">
      <w:pPr>
        <w:spacing w:line="360" w:lineRule="auto"/>
        <w:rPr>
          <w:rFonts w:ascii="Cambria Math" w:hAnsi="Cambria Math" w:eastAsia="Cambria Math"/>
          <w:b w:val="0"/>
          <w:color w:val="auto"/>
          <w:sz w:val="22"/>
          <w:szCs w:val="22"/>
          <w:highlight w:val="none"/>
          <w:u w:val="single"/>
        </w:rPr>
      </w:pPr>
      <w:r>
        <w:rPr>
          <w:rFonts w:ascii="Cambria Math" w:hAnsi="Cambria Math" w:eastAsia="Cambria Math"/>
          <w:b w:val="0"/>
          <w:color w:val="auto"/>
          <w:sz w:val="22"/>
          <w:szCs w:val="22"/>
          <w:highlight w:val="none"/>
        </w:rPr>
        <w:t>法定代表人姓名和职务</w:t>
      </w:r>
    </w:p>
    <w:p w14:paraId="0C566016">
      <w:pPr>
        <w:spacing w:line="360" w:lineRule="auto"/>
        <w:rPr>
          <w:rFonts w:ascii="Cambria Math" w:hAnsi="Cambria Math" w:eastAsia="Cambria Math"/>
          <w:b w:val="0"/>
          <w:color w:val="auto"/>
          <w:sz w:val="22"/>
          <w:szCs w:val="22"/>
          <w:highlight w:val="none"/>
        </w:rPr>
      </w:pPr>
      <w:r>
        <w:rPr>
          <w:rFonts w:ascii="Cambria Math" w:hAnsi="Cambria Math" w:eastAsia="Cambria Math"/>
          <w:b w:val="0"/>
          <w:color w:val="auto"/>
          <w:sz w:val="22"/>
          <w:szCs w:val="22"/>
          <w:highlight w:val="none"/>
        </w:rPr>
        <w:t>授权代表人签字</w:t>
      </w:r>
    </w:p>
    <w:p w14:paraId="49BB16FA">
      <w:pPr>
        <w:spacing w:line="360" w:lineRule="auto"/>
        <w:rPr>
          <w:rFonts w:ascii="Cambria Math" w:hAnsi="Cambria Math" w:eastAsia="Cambria Math"/>
          <w:b w:val="0"/>
          <w:color w:val="auto"/>
          <w:sz w:val="22"/>
          <w:szCs w:val="22"/>
          <w:highlight w:val="none"/>
        </w:rPr>
      </w:pPr>
      <w:r>
        <w:rPr>
          <w:rFonts w:ascii="Cambria Math" w:hAnsi="Cambria Math" w:eastAsia="Cambria Math"/>
          <w:b w:val="0"/>
          <w:color w:val="auto"/>
          <w:sz w:val="22"/>
          <w:szCs w:val="22"/>
          <w:highlight w:val="none"/>
        </w:rPr>
        <w:t>签字日期</w:t>
      </w:r>
    </w:p>
    <w:p w14:paraId="721526F2">
      <w:pPr>
        <w:spacing w:line="360" w:lineRule="auto"/>
        <w:rPr>
          <w:rFonts w:ascii="Cambria Math" w:hAnsi="Cambria Math" w:eastAsia="Cambria Math"/>
          <w:color w:val="auto"/>
          <w:szCs w:val="22"/>
          <w:highlight w:val="none"/>
        </w:rPr>
      </w:pPr>
      <w:r>
        <w:rPr>
          <w:rFonts w:ascii="Cambria Math" w:hAnsi="Cambria Math" w:eastAsia="Cambria Math"/>
          <w:b w:val="0"/>
          <w:color w:val="auto"/>
          <w:sz w:val="22"/>
          <w:szCs w:val="22"/>
          <w:highlight w:val="none"/>
        </w:rPr>
        <w:t>电子邮件</w:t>
      </w:r>
    </w:p>
    <w:p w14:paraId="588135BC">
      <w:pPr>
        <w:spacing w:line="400" w:lineRule="exact"/>
        <w:rPr>
          <w:rFonts w:ascii="Cambria Math" w:hAnsi="Cambria Math" w:eastAsia="Cambria Math"/>
          <w:b w:val="0"/>
          <w:color w:val="auto"/>
          <w:sz w:val="22"/>
          <w:szCs w:val="22"/>
          <w:highlight w:val="none"/>
        </w:rPr>
      </w:pPr>
      <w:r>
        <w:rPr>
          <w:rFonts w:hint="eastAsia" w:ascii="Cambria Math" w:hAnsi="Cambria Math" w:eastAsia="Cambria Math"/>
          <w:b w:val="0"/>
          <w:color w:val="auto"/>
          <w:sz w:val="22"/>
          <w:szCs w:val="22"/>
          <w:highlight w:val="none"/>
        </w:rPr>
        <w:t xml:space="preserve">5.投标单位有效营业执照（或事业单位法人证书）副本和税务登记证或三（五）证合一证照（复印件，加盖单位公章） </w:t>
      </w:r>
    </w:p>
    <w:p w14:paraId="0525B5F2">
      <w:pPr>
        <w:snapToGrid w:val="0"/>
        <w:spacing w:line="360" w:lineRule="atLeast"/>
        <w:outlineLvl w:val="0"/>
        <w:rPr>
          <w:rFonts w:ascii="Cambria Math" w:hAnsi="Cambria Math" w:eastAsia="Cambria Math"/>
          <w:b w:val="0"/>
          <w:color w:val="auto"/>
          <w:sz w:val="22"/>
          <w:szCs w:val="22"/>
          <w:highlight w:val="none"/>
        </w:rPr>
      </w:pPr>
      <w:r>
        <w:rPr>
          <w:rFonts w:hint="eastAsia" w:ascii="Cambria Math" w:hAnsi="Cambria Math" w:eastAsia="Cambria Math"/>
          <w:b w:val="0"/>
          <w:color w:val="auto"/>
          <w:sz w:val="22"/>
          <w:szCs w:val="22"/>
          <w:highlight w:val="none"/>
        </w:rPr>
        <w:t>7．投标单位资格资质证书及招标文件要求提供的资格证明、证书（复印件加盖单位公章）</w:t>
      </w:r>
    </w:p>
    <w:p w14:paraId="09104215">
      <w:pPr>
        <w:snapToGrid w:val="0"/>
        <w:spacing w:line="360" w:lineRule="atLeast"/>
        <w:outlineLvl w:val="0"/>
        <w:rPr>
          <w:rFonts w:ascii="Cambria Math" w:hAnsi="Cambria Math" w:eastAsia="Cambria Math"/>
          <w:b w:val="0"/>
          <w:color w:val="auto"/>
          <w:sz w:val="22"/>
          <w:szCs w:val="22"/>
          <w:highlight w:val="none"/>
        </w:rPr>
      </w:pPr>
    </w:p>
    <w:p w14:paraId="08FB7D0B">
      <w:pPr>
        <w:pStyle w:val="4"/>
        <w:spacing w:before="0" w:after="120" w:line="700" w:lineRule="exact"/>
        <w:ind w:left="0" w:firstLine="0"/>
        <w:rPr>
          <w:rFonts w:ascii="Cambria Math" w:hAnsi="Cambria Math" w:eastAsia="等线"/>
          <w:b/>
          <w:color w:val="auto"/>
          <w:sz w:val="32"/>
          <w:highlight w:val="none"/>
        </w:rPr>
      </w:pPr>
      <w:r>
        <w:rPr>
          <w:rFonts w:hint="eastAsia" w:ascii="Cambria Math" w:hAnsi="Cambria Math" w:eastAsia="Cambria Math"/>
          <w:b/>
          <w:color w:val="auto"/>
          <w:sz w:val="32"/>
          <w:highlight w:val="none"/>
        </w:rPr>
        <w:t>附件</w:t>
      </w:r>
      <w:r>
        <w:rPr>
          <w:rFonts w:hint="eastAsia" w:ascii="Cambria Math" w:hAnsi="Cambria Math" w:eastAsia="等线"/>
          <w:b/>
          <w:color w:val="auto"/>
          <w:sz w:val="32"/>
          <w:highlight w:val="none"/>
        </w:rPr>
        <w:t>2-</w:t>
      </w:r>
      <w:r>
        <w:rPr>
          <w:rFonts w:ascii="Cambria Math" w:hAnsi="Cambria Math" w:eastAsia="等线"/>
          <w:b/>
          <w:color w:val="auto"/>
          <w:sz w:val="32"/>
          <w:highlight w:val="none"/>
        </w:rPr>
        <w:t>4</w:t>
      </w:r>
    </w:p>
    <w:p w14:paraId="129E77D6">
      <w:pPr>
        <w:spacing w:line="360" w:lineRule="auto"/>
        <w:rPr>
          <w:rFonts w:ascii="Cambria Math" w:hAnsi="Cambria Math" w:eastAsiaTheme="minorEastAsia"/>
          <w:b w:val="0"/>
          <w:color w:val="auto"/>
          <w:sz w:val="44"/>
          <w:szCs w:val="32"/>
          <w:highlight w:val="none"/>
        </w:rPr>
      </w:pPr>
    </w:p>
    <w:p w14:paraId="1AF85A46">
      <w:pPr>
        <w:pStyle w:val="23"/>
        <w:rPr>
          <w:highlight w:val="none"/>
        </w:rPr>
      </w:pPr>
    </w:p>
    <w:p w14:paraId="337765B9">
      <w:pPr>
        <w:spacing w:line="360" w:lineRule="auto"/>
        <w:jc w:val="center"/>
        <w:rPr>
          <w:rFonts w:ascii="Cambria Math" w:hAnsi="Cambria Math" w:eastAsia="Cambria Math"/>
          <w:b w:val="0"/>
          <w:color w:val="auto"/>
          <w:sz w:val="44"/>
          <w:szCs w:val="32"/>
          <w:highlight w:val="none"/>
        </w:rPr>
      </w:pPr>
      <w:r>
        <w:rPr>
          <w:rFonts w:hint="eastAsia" w:ascii="Cambria Math" w:hAnsi="Cambria Math" w:eastAsia="Cambria Math"/>
          <w:b w:val="0"/>
          <w:color w:val="auto"/>
          <w:sz w:val="44"/>
          <w:szCs w:val="32"/>
          <w:highlight w:val="none"/>
        </w:rPr>
        <w:t>近三年内在经营活动中没有重大违法记录的书面声明</w:t>
      </w:r>
    </w:p>
    <w:p w14:paraId="355A35AB">
      <w:pPr>
        <w:spacing w:line="360" w:lineRule="auto"/>
        <w:rPr>
          <w:rFonts w:hint="eastAsia" w:ascii="宋体" w:hAnsi="宋体" w:cs="宋体"/>
          <w:b w:val="0"/>
          <w:color w:val="auto"/>
          <w:sz w:val="28"/>
          <w:szCs w:val="28"/>
          <w:highlight w:val="none"/>
          <w:u w:val="single"/>
        </w:rPr>
      </w:pPr>
    </w:p>
    <w:p w14:paraId="4150DEF0">
      <w:pPr>
        <w:spacing w:line="360" w:lineRule="auto"/>
        <w:rPr>
          <w:rFonts w:hint="eastAsia" w:ascii="宋体" w:hAnsi="宋体" w:cs="宋体"/>
          <w:b w:val="0"/>
          <w:color w:val="auto"/>
          <w:sz w:val="28"/>
          <w:szCs w:val="28"/>
          <w:highlight w:val="none"/>
          <w:u w:val="single"/>
        </w:rPr>
      </w:pPr>
    </w:p>
    <w:p w14:paraId="68F4F8CC">
      <w:pPr>
        <w:spacing w:line="360" w:lineRule="auto"/>
        <w:rPr>
          <w:rFonts w:ascii="Cambria Math" w:hAnsi="Cambria Math" w:eastAsia="Cambria Math"/>
          <w:b w:val="0"/>
          <w:color w:val="auto"/>
          <w:sz w:val="28"/>
          <w:szCs w:val="28"/>
          <w:highlight w:val="none"/>
          <w:u w:val="single"/>
        </w:rPr>
      </w:pPr>
      <w:r>
        <w:rPr>
          <w:rFonts w:hint="eastAsia" w:ascii="宋体" w:hAnsi="宋体" w:cs="宋体"/>
          <w:b w:val="0"/>
          <w:color w:val="auto"/>
          <w:sz w:val="28"/>
          <w:szCs w:val="28"/>
          <w:highlight w:val="none"/>
          <w:u w:val="single"/>
        </w:rPr>
        <w:t>温州公用事业发展集团龙港水务有限公司</w:t>
      </w:r>
      <w:r>
        <w:rPr>
          <w:rFonts w:ascii="Cambria Math" w:hAnsi="Cambria Math" w:eastAsia="Cambria Math"/>
          <w:b w:val="0"/>
          <w:color w:val="auto"/>
          <w:sz w:val="28"/>
          <w:szCs w:val="28"/>
          <w:highlight w:val="none"/>
        </w:rPr>
        <w:t>：</w:t>
      </w:r>
    </w:p>
    <w:p w14:paraId="19C4D50E">
      <w:pPr>
        <w:spacing w:line="360" w:lineRule="auto"/>
        <w:ind w:firstLine="560" w:firstLineChars="200"/>
        <w:rPr>
          <w:rFonts w:ascii="Cambria Math" w:hAnsi="Cambria Math" w:eastAsia="Cambria Math"/>
          <w:b w:val="0"/>
          <w:color w:val="auto"/>
          <w:sz w:val="28"/>
          <w:szCs w:val="28"/>
          <w:highlight w:val="none"/>
        </w:rPr>
      </w:pPr>
    </w:p>
    <w:p w14:paraId="22A8D9BA">
      <w:pPr>
        <w:spacing w:line="360" w:lineRule="auto"/>
        <w:ind w:firstLine="560" w:firstLineChars="200"/>
        <w:rPr>
          <w:rFonts w:ascii="Cambria Math" w:hAnsi="Cambria Math" w:eastAsia="Cambria Math"/>
          <w:b w:val="0"/>
          <w:color w:val="auto"/>
          <w:sz w:val="28"/>
          <w:szCs w:val="28"/>
          <w:highlight w:val="none"/>
        </w:rPr>
      </w:pPr>
      <w:r>
        <w:rPr>
          <w:rFonts w:hint="eastAsia" w:ascii="Cambria Math" w:hAnsi="Cambria Math" w:eastAsia="Cambria Math"/>
          <w:b w:val="0"/>
          <w:color w:val="auto"/>
          <w:sz w:val="28"/>
          <w:szCs w:val="28"/>
          <w:highlight w:val="none"/>
        </w:rPr>
        <w:t>我公司参加本次采购活动前三年内在经营活动中没有重大违法记录</w:t>
      </w:r>
      <w:r>
        <w:rPr>
          <w:rFonts w:ascii="Cambria Math" w:hAnsi="Cambria Math" w:eastAsia="Cambria Math"/>
          <w:b w:val="0"/>
          <w:color w:val="auto"/>
          <w:sz w:val="28"/>
          <w:szCs w:val="28"/>
          <w:highlight w:val="none"/>
        </w:rPr>
        <w:t>,</w:t>
      </w:r>
      <w:r>
        <w:rPr>
          <w:rFonts w:hint="eastAsia" w:ascii="Cambria Math" w:hAnsi="Cambria Math" w:eastAsia="Cambria Math"/>
          <w:b w:val="0"/>
          <w:color w:val="auto"/>
          <w:sz w:val="28"/>
          <w:szCs w:val="28"/>
          <w:highlight w:val="none"/>
        </w:rPr>
        <w:t>特此声明。若在本次采购活动过程中发现我公司近三年内在经营活动中有重大违法记录</w:t>
      </w:r>
      <w:r>
        <w:rPr>
          <w:rFonts w:ascii="Cambria Math" w:hAnsi="Cambria Math" w:eastAsia="Cambria Math"/>
          <w:b w:val="0"/>
          <w:color w:val="auto"/>
          <w:sz w:val="28"/>
          <w:szCs w:val="28"/>
          <w:highlight w:val="none"/>
        </w:rPr>
        <w:t>,</w:t>
      </w:r>
      <w:r>
        <w:rPr>
          <w:rFonts w:hint="eastAsia" w:ascii="Cambria Math" w:hAnsi="Cambria Math" w:eastAsia="Cambria Math"/>
          <w:b w:val="0"/>
          <w:color w:val="auto"/>
          <w:sz w:val="28"/>
          <w:szCs w:val="28"/>
          <w:highlight w:val="none"/>
        </w:rPr>
        <w:t>我公司将无条件退出本项目的投标</w:t>
      </w:r>
      <w:r>
        <w:rPr>
          <w:rFonts w:ascii="Cambria Math" w:hAnsi="Cambria Math" w:eastAsia="Cambria Math"/>
          <w:b w:val="0"/>
          <w:color w:val="auto"/>
          <w:sz w:val="28"/>
          <w:szCs w:val="28"/>
          <w:highlight w:val="none"/>
        </w:rPr>
        <w:t>,</w:t>
      </w:r>
      <w:r>
        <w:rPr>
          <w:rFonts w:hint="eastAsia" w:ascii="Cambria Math" w:hAnsi="Cambria Math" w:eastAsia="Cambria Math"/>
          <w:b w:val="0"/>
          <w:color w:val="auto"/>
          <w:sz w:val="28"/>
          <w:szCs w:val="28"/>
          <w:highlight w:val="none"/>
        </w:rPr>
        <w:t>并承担因此引起的一切后果。</w:t>
      </w:r>
    </w:p>
    <w:p w14:paraId="00BB20E6">
      <w:pPr>
        <w:spacing w:line="360" w:lineRule="auto"/>
        <w:ind w:firstLine="420" w:firstLineChars="200"/>
        <w:rPr>
          <w:rFonts w:ascii="Cambria Math" w:hAnsi="Cambria Math" w:eastAsia="Cambria Math"/>
          <w:b w:val="0"/>
          <w:color w:val="auto"/>
          <w:szCs w:val="22"/>
          <w:highlight w:val="none"/>
        </w:rPr>
      </w:pPr>
    </w:p>
    <w:p w14:paraId="14B68A84">
      <w:pPr>
        <w:pStyle w:val="42"/>
        <w:rPr>
          <w:rFonts w:ascii="Cambria Math" w:hAnsi="Cambria Math" w:eastAsia="Cambria Math"/>
          <w:szCs w:val="22"/>
          <w:highlight w:val="none"/>
        </w:rPr>
      </w:pPr>
    </w:p>
    <w:p w14:paraId="69A48963">
      <w:pPr>
        <w:pStyle w:val="17"/>
        <w:rPr>
          <w:rFonts w:hint="eastAsia"/>
          <w:highlight w:val="none"/>
        </w:rPr>
      </w:pPr>
    </w:p>
    <w:p w14:paraId="05D15180">
      <w:pPr>
        <w:tabs>
          <w:tab w:val="left" w:pos="1410"/>
        </w:tabs>
        <w:spacing w:line="360" w:lineRule="auto"/>
        <w:ind w:firstLine="560" w:firstLineChars="200"/>
        <w:rPr>
          <w:rFonts w:ascii="Cambria Math" w:hAnsi="Cambria Math" w:eastAsia="Cambria Math"/>
          <w:color w:val="auto"/>
          <w:sz w:val="28"/>
          <w:szCs w:val="28"/>
          <w:highlight w:val="none"/>
          <w:u w:val="single"/>
        </w:rPr>
      </w:pPr>
      <w:r>
        <w:rPr>
          <w:rFonts w:hint="eastAsia" w:ascii="Cambria Math" w:hAnsi="Cambria Math" w:eastAsia="Cambria Math"/>
          <w:color w:val="auto"/>
          <w:sz w:val="28"/>
          <w:szCs w:val="28"/>
          <w:highlight w:val="none"/>
        </w:rPr>
        <w:t>投标单位（盖章）：</w:t>
      </w:r>
    </w:p>
    <w:p w14:paraId="35AA26AA">
      <w:pPr>
        <w:spacing w:line="360" w:lineRule="auto"/>
        <w:ind w:firstLine="560" w:firstLineChars="200"/>
        <w:rPr>
          <w:rFonts w:ascii="Cambria Math" w:hAnsi="Cambria Math" w:eastAsia="Cambria Math"/>
          <w:color w:val="auto"/>
          <w:sz w:val="28"/>
          <w:szCs w:val="28"/>
          <w:highlight w:val="none"/>
        </w:rPr>
      </w:pPr>
      <w:r>
        <w:rPr>
          <w:rFonts w:hint="eastAsia" w:ascii="Cambria Math" w:hAnsi="Cambria Math" w:eastAsia="Cambria Math"/>
          <w:color w:val="auto"/>
          <w:sz w:val="28"/>
          <w:szCs w:val="28"/>
          <w:highlight w:val="none"/>
        </w:rPr>
        <w:t xml:space="preserve">日     期：  </w:t>
      </w:r>
    </w:p>
    <w:p w14:paraId="2F70EA69">
      <w:pPr>
        <w:pStyle w:val="42"/>
        <w:rPr>
          <w:rFonts w:ascii="Cambria Math" w:hAnsi="Cambria Math" w:eastAsia="Cambria Math"/>
          <w:szCs w:val="22"/>
          <w:highlight w:val="none"/>
        </w:rPr>
      </w:pPr>
    </w:p>
    <w:p w14:paraId="57FC07AC">
      <w:pPr>
        <w:pStyle w:val="42"/>
        <w:rPr>
          <w:rFonts w:ascii="Cambria Math" w:hAnsi="Cambria Math" w:eastAsia="Cambria Math"/>
          <w:szCs w:val="22"/>
          <w:highlight w:val="none"/>
        </w:rPr>
      </w:pPr>
    </w:p>
    <w:p w14:paraId="05319BF8">
      <w:pPr>
        <w:pStyle w:val="42"/>
        <w:rPr>
          <w:rFonts w:ascii="Cambria Math" w:hAnsi="Cambria Math" w:eastAsia="Cambria Math"/>
          <w:szCs w:val="22"/>
          <w:highlight w:val="none"/>
        </w:rPr>
      </w:pPr>
    </w:p>
    <w:p w14:paraId="3B6140EC">
      <w:pPr>
        <w:pStyle w:val="42"/>
        <w:rPr>
          <w:rFonts w:ascii="Cambria Math" w:hAnsi="Cambria Math" w:eastAsia="Cambria Math"/>
          <w:szCs w:val="22"/>
          <w:highlight w:val="none"/>
        </w:rPr>
      </w:pPr>
    </w:p>
    <w:p w14:paraId="5CF551FC">
      <w:pPr>
        <w:pStyle w:val="42"/>
        <w:rPr>
          <w:rFonts w:ascii="Cambria Math" w:hAnsi="Cambria Math" w:eastAsiaTheme="minorEastAsia"/>
          <w:szCs w:val="22"/>
          <w:highlight w:val="none"/>
        </w:rPr>
      </w:pPr>
    </w:p>
    <w:p w14:paraId="29189E6E">
      <w:pPr>
        <w:pStyle w:val="17"/>
        <w:rPr>
          <w:rFonts w:hint="eastAsia" w:eastAsiaTheme="minorEastAsia"/>
          <w:highlight w:val="none"/>
        </w:rPr>
      </w:pPr>
    </w:p>
    <w:p w14:paraId="0FFF7FA6">
      <w:pPr>
        <w:pStyle w:val="34"/>
        <w:ind w:firstLine="211"/>
        <w:rPr>
          <w:rFonts w:hint="eastAsia"/>
          <w:highlight w:val="none"/>
        </w:rPr>
      </w:pPr>
    </w:p>
    <w:p w14:paraId="142A3E27">
      <w:pPr>
        <w:pStyle w:val="28"/>
        <w:rPr>
          <w:highlight w:val="none"/>
        </w:rPr>
      </w:pPr>
    </w:p>
    <w:p w14:paraId="4CE126B7">
      <w:pPr>
        <w:rPr>
          <w:highlight w:val="none"/>
        </w:rPr>
      </w:pPr>
    </w:p>
    <w:p w14:paraId="11076080">
      <w:pPr>
        <w:pStyle w:val="42"/>
        <w:rPr>
          <w:rFonts w:ascii="Cambria Math" w:hAnsi="Cambria Math" w:eastAsia="Cambria Math"/>
          <w:szCs w:val="22"/>
          <w:highlight w:val="none"/>
        </w:rPr>
      </w:pPr>
    </w:p>
    <w:p w14:paraId="5235DE3E">
      <w:pPr>
        <w:pStyle w:val="4"/>
        <w:spacing w:before="0" w:after="120" w:line="700" w:lineRule="exact"/>
        <w:ind w:left="0" w:firstLine="0"/>
        <w:rPr>
          <w:rFonts w:ascii="Cambria Math" w:hAnsi="Cambria Math" w:eastAsia="等线"/>
          <w:b/>
          <w:color w:val="auto"/>
          <w:sz w:val="32"/>
          <w:highlight w:val="none"/>
        </w:rPr>
      </w:pPr>
      <w:r>
        <w:rPr>
          <w:rFonts w:hint="eastAsia" w:ascii="Cambria Math" w:hAnsi="Cambria Math" w:eastAsia="Cambria Math"/>
          <w:b/>
          <w:color w:val="auto"/>
          <w:sz w:val="32"/>
          <w:highlight w:val="none"/>
        </w:rPr>
        <w:t>附件</w:t>
      </w:r>
      <w:r>
        <w:rPr>
          <w:rFonts w:hint="eastAsia" w:ascii="Cambria Math" w:hAnsi="Cambria Math" w:eastAsia="等线"/>
          <w:b/>
          <w:color w:val="auto"/>
          <w:sz w:val="32"/>
          <w:highlight w:val="none"/>
        </w:rPr>
        <w:t>2-</w:t>
      </w:r>
      <w:r>
        <w:rPr>
          <w:rFonts w:ascii="Cambria Math" w:hAnsi="Cambria Math" w:eastAsia="等线"/>
          <w:b/>
          <w:color w:val="auto"/>
          <w:sz w:val="32"/>
          <w:highlight w:val="none"/>
        </w:rPr>
        <w:t>5</w:t>
      </w:r>
    </w:p>
    <w:p w14:paraId="50906F81">
      <w:pPr>
        <w:snapToGrid w:val="0"/>
        <w:spacing w:line="360" w:lineRule="atLeast"/>
        <w:outlineLvl w:val="0"/>
        <w:rPr>
          <w:rFonts w:ascii="Cambria Math" w:hAnsi="Cambria Math" w:eastAsia="Cambria Math"/>
          <w:b w:val="0"/>
          <w:color w:val="auto"/>
          <w:sz w:val="36"/>
          <w:szCs w:val="36"/>
          <w:highlight w:val="none"/>
          <w:lang w:val="zh-CN"/>
        </w:rPr>
      </w:pPr>
    </w:p>
    <w:p w14:paraId="2BCE8C0F">
      <w:pPr>
        <w:jc w:val="center"/>
        <w:rPr>
          <w:rFonts w:ascii="Cambria Math" w:hAnsi="Cambria Math" w:eastAsia="Cambria Math"/>
          <w:color w:val="auto"/>
          <w:sz w:val="44"/>
          <w:szCs w:val="44"/>
          <w:highlight w:val="none"/>
        </w:rPr>
      </w:pPr>
      <w:r>
        <w:rPr>
          <w:rFonts w:hint="eastAsia" w:ascii="Cambria Math" w:hAnsi="Cambria Math" w:eastAsia="Cambria Math"/>
          <w:b w:val="0"/>
          <w:bCs w:val="0"/>
          <w:color w:val="auto"/>
          <w:spacing w:val="5"/>
          <w:w w:val="85"/>
          <w:sz w:val="44"/>
          <w:szCs w:val="44"/>
          <w:highlight w:val="none"/>
        </w:rPr>
        <w:t>供应商依法缴纳税收和社会保障金的书面声明</w:t>
      </w:r>
    </w:p>
    <w:p w14:paraId="020C987D">
      <w:pPr>
        <w:spacing w:before="9" w:line="430" w:lineRule="atLeast"/>
        <w:rPr>
          <w:rFonts w:ascii="Cambria Math" w:hAnsi="Cambria Math" w:eastAsia="Cambria Math"/>
          <w:color w:val="auto"/>
          <w:sz w:val="24"/>
          <w:szCs w:val="24"/>
          <w:highlight w:val="none"/>
        </w:rPr>
      </w:pPr>
    </w:p>
    <w:p w14:paraId="5A616EBB">
      <w:pPr>
        <w:spacing w:line="440" w:lineRule="atLeast"/>
        <w:rPr>
          <w:rFonts w:ascii="Cambria Math" w:hAnsi="Cambria Math" w:eastAsia="Cambria Math"/>
          <w:color w:val="auto"/>
          <w:sz w:val="25"/>
          <w:szCs w:val="25"/>
          <w:highlight w:val="none"/>
        </w:rPr>
      </w:pPr>
    </w:p>
    <w:p w14:paraId="1F47CAE6">
      <w:pPr>
        <w:ind w:left="140"/>
        <w:rPr>
          <w:rFonts w:ascii="Cambria Math" w:hAnsi="Cambria Math" w:eastAsia="Cambria Math"/>
          <w:color w:val="auto"/>
          <w:sz w:val="28"/>
          <w:szCs w:val="28"/>
          <w:highlight w:val="none"/>
        </w:rPr>
      </w:pPr>
      <w:r>
        <w:rPr>
          <w:rFonts w:hint="eastAsia" w:ascii="宋体" w:hAnsi="宋体" w:cs="宋体"/>
          <w:b w:val="0"/>
          <w:color w:val="auto"/>
          <w:sz w:val="28"/>
          <w:szCs w:val="28"/>
          <w:highlight w:val="none"/>
          <w:u w:val="single"/>
        </w:rPr>
        <w:t>温州公用事业发展集团龙港水务有限公司</w:t>
      </w:r>
      <w:r>
        <w:rPr>
          <w:rFonts w:hint="eastAsia" w:ascii="Cambria Math" w:hAnsi="Cambria Math" w:eastAsia="Cambria Math"/>
          <w:b w:val="0"/>
          <w:bCs w:val="0"/>
          <w:color w:val="auto"/>
          <w:sz w:val="28"/>
          <w:szCs w:val="28"/>
          <w:highlight w:val="none"/>
        </w:rPr>
        <w:t>：</w:t>
      </w:r>
    </w:p>
    <w:p w14:paraId="69265520">
      <w:pPr>
        <w:spacing w:before="4" w:line="190" w:lineRule="atLeast"/>
        <w:rPr>
          <w:rFonts w:ascii="Cambria Math" w:hAnsi="Cambria Math" w:eastAsia="Cambria Math"/>
          <w:color w:val="auto"/>
          <w:sz w:val="28"/>
          <w:szCs w:val="28"/>
          <w:highlight w:val="none"/>
        </w:rPr>
      </w:pPr>
    </w:p>
    <w:p w14:paraId="71A258D2">
      <w:pPr>
        <w:spacing w:line="200" w:lineRule="atLeast"/>
        <w:rPr>
          <w:rFonts w:ascii="Cambria Math" w:hAnsi="Cambria Math" w:eastAsia="Cambria Math"/>
          <w:color w:val="auto"/>
          <w:sz w:val="28"/>
          <w:szCs w:val="28"/>
          <w:highlight w:val="none"/>
        </w:rPr>
      </w:pPr>
    </w:p>
    <w:p w14:paraId="04B9A2E6">
      <w:pPr>
        <w:spacing w:before="26" w:line="357" w:lineRule="auto"/>
        <w:ind w:left="140" w:right="106" w:firstLine="479"/>
        <w:rPr>
          <w:rFonts w:ascii="Cambria Math" w:hAnsi="Cambria Math" w:eastAsia="Cambria Math"/>
          <w:color w:val="auto"/>
          <w:sz w:val="28"/>
          <w:szCs w:val="28"/>
          <w:highlight w:val="none"/>
        </w:rPr>
      </w:pPr>
      <w:r>
        <w:rPr>
          <w:rFonts w:hint="eastAsia" w:ascii="Cambria Math" w:hAnsi="Cambria Math" w:eastAsia="Cambria Math"/>
          <w:color w:val="auto"/>
          <w:spacing w:val="1"/>
          <w:sz w:val="28"/>
          <w:szCs w:val="28"/>
          <w:highlight w:val="none"/>
        </w:rPr>
        <w:t>我公司郑重声明，我公司严格依法缴纳税收和社会保障金，本文件中所提供的相</w:t>
      </w:r>
      <w:r>
        <w:rPr>
          <w:rFonts w:hint="eastAsia" w:ascii="Cambria Math" w:hAnsi="Cambria Math" w:eastAsia="Cambria Math"/>
          <w:color w:val="auto"/>
          <w:sz w:val="28"/>
          <w:szCs w:val="28"/>
          <w:highlight w:val="none"/>
        </w:rPr>
        <w:t>关材料均真实有效，不存在虚假、造假行为。如有违反，愿承担一切责任。</w:t>
      </w:r>
    </w:p>
    <w:p w14:paraId="2DC295BD">
      <w:pPr>
        <w:pStyle w:val="21"/>
        <w:spacing w:line="440" w:lineRule="atLeast"/>
        <w:rPr>
          <w:rFonts w:ascii="Cambria Math" w:hAnsi="Cambria Math" w:eastAsia="Cambria Math"/>
          <w:b w:val="0"/>
          <w:color w:val="auto"/>
          <w:sz w:val="22"/>
          <w:szCs w:val="22"/>
          <w:highlight w:val="none"/>
        </w:rPr>
      </w:pPr>
    </w:p>
    <w:p w14:paraId="34812D22">
      <w:pPr>
        <w:pStyle w:val="21"/>
        <w:spacing w:line="440" w:lineRule="atLeast"/>
        <w:rPr>
          <w:rFonts w:ascii="Cambria Math" w:hAnsi="Cambria Math" w:eastAsia="Cambria Math"/>
          <w:b w:val="0"/>
          <w:color w:val="auto"/>
          <w:sz w:val="22"/>
          <w:szCs w:val="22"/>
          <w:highlight w:val="none"/>
        </w:rPr>
      </w:pPr>
    </w:p>
    <w:p w14:paraId="1BBEF47F">
      <w:pPr>
        <w:pStyle w:val="21"/>
        <w:spacing w:line="440" w:lineRule="atLeast"/>
        <w:rPr>
          <w:rFonts w:ascii="Cambria Math" w:hAnsi="Cambria Math" w:eastAsia="Cambria Math"/>
          <w:b w:val="0"/>
          <w:color w:val="auto"/>
          <w:sz w:val="22"/>
          <w:szCs w:val="22"/>
          <w:highlight w:val="none"/>
        </w:rPr>
      </w:pPr>
    </w:p>
    <w:p w14:paraId="2F34194B">
      <w:pPr>
        <w:pStyle w:val="21"/>
        <w:spacing w:line="440" w:lineRule="atLeast"/>
        <w:rPr>
          <w:rFonts w:ascii="Cambria Math" w:hAnsi="Cambria Math" w:eastAsia="Cambria Math"/>
          <w:b w:val="0"/>
          <w:color w:val="auto"/>
          <w:sz w:val="22"/>
          <w:szCs w:val="22"/>
          <w:highlight w:val="none"/>
        </w:rPr>
      </w:pPr>
    </w:p>
    <w:p w14:paraId="1645BD56">
      <w:pPr>
        <w:spacing w:line="360" w:lineRule="auto"/>
        <w:rPr>
          <w:rFonts w:ascii="Cambria Math" w:hAnsi="Cambria Math" w:eastAsia="Cambria Math"/>
          <w:color w:val="auto"/>
          <w:sz w:val="28"/>
          <w:szCs w:val="28"/>
          <w:highlight w:val="none"/>
          <w:u w:val="single"/>
        </w:rPr>
      </w:pPr>
      <w:r>
        <w:rPr>
          <w:rFonts w:hint="eastAsia" w:ascii="Cambria Math" w:hAnsi="Cambria Math" w:eastAsia="Cambria Math"/>
          <w:color w:val="auto"/>
          <w:sz w:val="28"/>
          <w:szCs w:val="28"/>
          <w:highlight w:val="none"/>
        </w:rPr>
        <w:t>投标单位（盖章）：</w:t>
      </w:r>
    </w:p>
    <w:p w14:paraId="00720166">
      <w:pPr>
        <w:spacing w:line="360" w:lineRule="auto"/>
        <w:ind w:firstLine="560" w:firstLineChars="200"/>
        <w:rPr>
          <w:rFonts w:ascii="Cambria Math" w:hAnsi="Cambria Math" w:eastAsia="Cambria Math"/>
          <w:color w:val="auto"/>
          <w:sz w:val="28"/>
          <w:szCs w:val="28"/>
          <w:highlight w:val="none"/>
        </w:rPr>
      </w:pPr>
    </w:p>
    <w:p w14:paraId="765D79B8">
      <w:pPr>
        <w:spacing w:line="360" w:lineRule="auto"/>
        <w:rPr>
          <w:rFonts w:ascii="Cambria Math" w:hAnsi="Cambria Math" w:eastAsia="Cambria Math"/>
          <w:color w:val="auto"/>
          <w:sz w:val="28"/>
          <w:szCs w:val="28"/>
          <w:highlight w:val="none"/>
        </w:rPr>
      </w:pPr>
      <w:r>
        <w:rPr>
          <w:rFonts w:hint="eastAsia" w:ascii="Cambria Math" w:hAnsi="Cambria Math" w:eastAsia="Cambria Math"/>
          <w:color w:val="auto"/>
          <w:sz w:val="28"/>
          <w:szCs w:val="28"/>
          <w:highlight w:val="none"/>
        </w:rPr>
        <w:t>日   期： </w:t>
      </w:r>
    </w:p>
    <w:p w14:paraId="3E3B5D34">
      <w:pPr>
        <w:pStyle w:val="21"/>
        <w:spacing w:line="440" w:lineRule="atLeast"/>
        <w:rPr>
          <w:rFonts w:ascii="Cambria Math" w:hAnsi="Cambria Math" w:eastAsia="Cambria Math"/>
          <w:b w:val="0"/>
          <w:color w:val="auto"/>
          <w:sz w:val="22"/>
          <w:szCs w:val="22"/>
          <w:highlight w:val="none"/>
        </w:rPr>
      </w:pPr>
    </w:p>
    <w:p w14:paraId="560BEFB1">
      <w:pPr>
        <w:pStyle w:val="21"/>
        <w:spacing w:line="440" w:lineRule="atLeast"/>
        <w:rPr>
          <w:rFonts w:ascii="Cambria Math" w:hAnsi="Cambria Math" w:eastAsia="Cambria Math"/>
          <w:b w:val="0"/>
          <w:color w:val="auto"/>
          <w:sz w:val="22"/>
          <w:szCs w:val="22"/>
          <w:highlight w:val="none"/>
        </w:rPr>
      </w:pPr>
    </w:p>
    <w:p w14:paraId="599BCF07">
      <w:pPr>
        <w:snapToGrid w:val="0"/>
        <w:spacing w:line="360" w:lineRule="atLeast"/>
        <w:outlineLvl w:val="0"/>
        <w:rPr>
          <w:rFonts w:ascii="Cambria Math" w:hAnsi="Cambria Math" w:eastAsia="Cambria Math"/>
          <w:b w:val="0"/>
          <w:color w:val="auto"/>
          <w:sz w:val="28"/>
          <w:szCs w:val="28"/>
          <w:highlight w:val="none"/>
        </w:rPr>
      </w:pPr>
      <w:r>
        <w:rPr>
          <w:rFonts w:ascii="Cambria Math" w:hAnsi="Cambria Math" w:eastAsia="Cambria Math"/>
          <w:b w:val="0"/>
          <w:color w:val="auto"/>
          <w:sz w:val="28"/>
          <w:szCs w:val="28"/>
          <w:highlight w:val="none"/>
        </w:rPr>
        <w:t>附：依法缴纳税收（如依法免税的需提供依法免税证明）和社会保障金的证明材料（复印件加盖供应商公章）</w:t>
      </w:r>
    </w:p>
    <w:p w14:paraId="4F2E26D7">
      <w:pPr>
        <w:snapToGrid w:val="0"/>
        <w:spacing w:line="360" w:lineRule="atLeast"/>
        <w:outlineLvl w:val="0"/>
        <w:rPr>
          <w:rFonts w:ascii="Cambria Math" w:hAnsi="Cambria Math" w:eastAsia="Cambria Math"/>
          <w:b w:val="0"/>
          <w:color w:val="auto"/>
          <w:sz w:val="28"/>
          <w:szCs w:val="28"/>
          <w:highlight w:val="none"/>
        </w:rPr>
      </w:pPr>
    </w:p>
    <w:p w14:paraId="1A73F96D">
      <w:pPr>
        <w:snapToGrid w:val="0"/>
        <w:spacing w:line="360" w:lineRule="atLeast"/>
        <w:outlineLvl w:val="0"/>
        <w:rPr>
          <w:rFonts w:ascii="Cambria Math" w:hAnsi="Cambria Math" w:eastAsia="Cambria Math"/>
          <w:b w:val="0"/>
          <w:color w:val="auto"/>
          <w:sz w:val="28"/>
          <w:szCs w:val="28"/>
          <w:highlight w:val="none"/>
        </w:rPr>
      </w:pPr>
    </w:p>
    <w:p w14:paraId="10C9EB2B">
      <w:pPr>
        <w:snapToGrid w:val="0"/>
        <w:spacing w:line="360" w:lineRule="atLeast"/>
        <w:outlineLvl w:val="0"/>
        <w:rPr>
          <w:rFonts w:ascii="Cambria Math" w:hAnsi="Cambria Math" w:eastAsia="Cambria Math"/>
          <w:b w:val="0"/>
          <w:color w:val="auto"/>
          <w:sz w:val="28"/>
          <w:szCs w:val="28"/>
          <w:highlight w:val="none"/>
        </w:rPr>
      </w:pPr>
    </w:p>
    <w:p w14:paraId="44B9446A">
      <w:pPr>
        <w:snapToGrid w:val="0"/>
        <w:spacing w:line="360" w:lineRule="atLeast"/>
        <w:outlineLvl w:val="0"/>
        <w:rPr>
          <w:rFonts w:ascii="Cambria Math" w:hAnsi="Cambria Math" w:eastAsia="Cambria Math"/>
          <w:b w:val="0"/>
          <w:color w:val="auto"/>
          <w:sz w:val="28"/>
          <w:szCs w:val="28"/>
          <w:highlight w:val="none"/>
        </w:rPr>
      </w:pPr>
    </w:p>
    <w:p w14:paraId="32922403">
      <w:pPr>
        <w:pStyle w:val="42"/>
        <w:rPr>
          <w:rFonts w:ascii="Cambria Math" w:hAnsi="Cambria Math" w:eastAsia="Cambria Math"/>
          <w:sz w:val="28"/>
          <w:szCs w:val="28"/>
          <w:highlight w:val="none"/>
        </w:rPr>
      </w:pPr>
    </w:p>
    <w:p w14:paraId="0719193D">
      <w:pPr>
        <w:pStyle w:val="17"/>
        <w:rPr>
          <w:rFonts w:hint="eastAsia"/>
          <w:highlight w:val="none"/>
        </w:rPr>
      </w:pPr>
    </w:p>
    <w:p w14:paraId="2EA32EA6">
      <w:pPr>
        <w:snapToGrid w:val="0"/>
        <w:spacing w:line="360" w:lineRule="atLeast"/>
        <w:outlineLvl w:val="0"/>
        <w:rPr>
          <w:rFonts w:ascii="Cambria Math" w:hAnsi="Cambria Math" w:eastAsia="等线"/>
          <w:b w:val="0"/>
          <w:color w:val="auto"/>
          <w:sz w:val="28"/>
          <w:szCs w:val="28"/>
          <w:highlight w:val="none"/>
        </w:rPr>
      </w:pPr>
    </w:p>
    <w:p w14:paraId="1A79DAE9">
      <w:pPr>
        <w:snapToGrid w:val="0"/>
        <w:spacing w:line="360" w:lineRule="atLeast"/>
        <w:outlineLvl w:val="0"/>
        <w:rPr>
          <w:rFonts w:ascii="Cambria Math" w:hAnsi="Cambria Math" w:eastAsia="等线"/>
          <w:b w:val="0"/>
          <w:color w:val="auto"/>
          <w:sz w:val="28"/>
          <w:szCs w:val="28"/>
          <w:highlight w:val="none"/>
        </w:rPr>
      </w:pPr>
    </w:p>
    <w:p w14:paraId="6C80A07A">
      <w:pPr>
        <w:pStyle w:val="4"/>
        <w:spacing w:before="0" w:after="120" w:line="700" w:lineRule="exact"/>
        <w:ind w:left="0" w:firstLine="0"/>
        <w:rPr>
          <w:rFonts w:ascii="Cambria Math" w:hAnsi="Cambria Math" w:eastAsia="等线"/>
          <w:b/>
          <w:color w:val="auto"/>
          <w:sz w:val="32"/>
          <w:highlight w:val="none"/>
        </w:rPr>
      </w:pPr>
      <w:r>
        <w:rPr>
          <w:rFonts w:hint="eastAsia" w:ascii="Cambria Math" w:hAnsi="Cambria Math" w:eastAsia="Cambria Math"/>
          <w:b/>
          <w:color w:val="auto"/>
          <w:sz w:val="32"/>
          <w:highlight w:val="none"/>
        </w:rPr>
        <w:t>附件</w:t>
      </w:r>
      <w:r>
        <w:rPr>
          <w:rFonts w:hint="eastAsia" w:ascii="Cambria Math" w:hAnsi="Cambria Math" w:eastAsia="等线"/>
          <w:b/>
          <w:color w:val="auto"/>
          <w:sz w:val="32"/>
          <w:highlight w:val="none"/>
        </w:rPr>
        <w:t>2-</w:t>
      </w:r>
      <w:r>
        <w:rPr>
          <w:rFonts w:ascii="Cambria Math" w:hAnsi="Cambria Math" w:eastAsia="等线"/>
          <w:b/>
          <w:color w:val="auto"/>
          <w:sz w:val="32"/>
          <w:highlight w:val="none"/>
        </w:rPr>
        <w:t>6</w:t>
      </w:r>
    </w:p>
    <w:p w14:paraId="71D6AFDE">
      <w:pPr>
        <w:autoSpaceDE w:val="0"/>
        <w:autoSpaceDN w:val="0"/>
        <w:adjustRightInd w:val="0"/>
        <w:spacing w:line="440" w:lineRule="atLeast"/>
        <w:ind w:firstLine="3413"/>
        <w:rPr>
          <w:rFonts w:ascii="Cambria Math" w:hAnsi="Cambria Math" w:eastAsia="Cambria Math"/>
          <w:b w:val="0"/>
          <w:color w:val="auto"/>
          <w:sz w:val="36"/>
          <w:szCs w:val="36"/>
          <w:highlight w:val="none"/>
          <w:lang w:val="zh-CN"/>
        </w:rPr>
      </w:pPr>
      <w:r>
        <w:rPr>
          <w:rFonts w:hint="eastAsia" w:ascii="Cambria Math" w:hAnsi="Cambria Math" w:eastAsia="Cambria Math"/>
          <w:b w:val="0"/>
          <w:color w:val="auto"/>
          <w:sz w:val="36"/>
          <w:szCs w:val="36"/>
          <w:highlight w:val="none"/>
          <w:lang w:val="zh-CN"/>
        </w:rPr>
        <w:t>商务偏离表</w:t>
      </w:r>
    </w:p>
    <w:tbl>
      <w:tblPr>
        <w:tblStyle w:val="35"/>
        <w:tblW w:w="9039" w:type="dxa"/>
        <w:tblInd w:w="0" w:type="dxa"/>
        <w:tblLayout w:type="fixed"/>
        <w:tblCellMar>
          <w:top w:w="0" w:type="dxa"/>
          <w:left w:w="108" w:type="dxa"/>
          <w:bottom w:w="0" w:type="dxa"/>
          <w:right w:w="108" w:type="dxa"/>
        </w:tblCellMar>
      </w:tblPr>
      <w:tblGrid>
        <w:gridCol w:w="900"/>
        <w:gridCol w:w="1800"/>
        <w:gridCol w:w="2664"/>
        <w:gridCol w:w="2110"/>
        <w:gridCol w:w="1565"/>
      </w:tblGrid>
      <w:tr w14:paraId="4C580A83">
        <w:tblPrEx>
          <w:tblCellMar>
            <w:top w:w="0" w:type="dxa"/>
            <w:left w:w="108" w:type="dxa"/>
            <w:bottom w:w="0" w:type="dxa"/>
            <w:right w:w="108" w:type="dxa"/>
          </w:tblCellMar>
        </w:tblPrEx>
        <w:trPr>
          <w:trHeight w:val="936" w:hRule="atLeast"/>
        </w:trPr>
        <w:tc>
          <w:tcPr>
            <w:tcW w:w="900" w:type="dxa"/>
            <w:tcBorders>
              <w:top w:val="single" w:color="auto" w:sz="6" w:space="0"/>
              <w:left w:val="single" w:color="auto" w:sz="6" w:space="0"/>
              <w:bottom w:val="single" w:color="auto" w:sz="6" w:space="0"/>
              <w:right w:val="single" w:color="auto" w:sz="6" w:space="0"/>
            </w:tcBorders>
            <w:vAlign w:val="center"/>
          </w:tcPr>
          <w:p w14:paraId="3760A140">
            <w:pPr>
              <w:autoSpaceDE w:val="0"/>
              <w:autoSpaceDN w:val="0"/>
              <w:adjustRightInd w:val="0"/>
              <w:spacing w:line="440" w:lineRule="atLeast"/>
              <w:jc w:val="center"/>
              <w:rPr>
                <w:rFonts w:ascii="Cambria Math" w:hAnsi="Cambria Math" w:eastAsia="Cambria Math"/>
                <w:b w:val="0"/>
                <w:color w:val="auto"/>
                <w:sz w:val="22"/>
                <w:szCs w:val="22"/>
                <w:highlight w:val="none"/>
                <w:lang w:val="zh-CN"/>
              </w:rPr>
            </w:pPr>
            <w:r>
              <w:rPr>
                <w:rFonts w:hint="eastAsia" w:ascii="Cambria Math" w:hAnsi="Cambria Math" w:eastAsia="Cambria Math"/>
                <w:b w:val="0"/>
                <w:color w:val="auto"/>
                <w:sz w:val="22"/>
                <w:szCs w:val="22"/>
                <w:highlight w:val="none"/>
                <w:lang w:val="zh-CN"/>
              </w:rPr>
              <w:t>序号</w:t>
            </w:r>
          </w:p>
        </w:tc>
        <w:tc>
          <w:tcPr>
            <w:tcW w:w="1800" w:type="dxa"/>
            <w:tcBorders>
              <w:top w:val="single" w:color="auto" w:sz="6" w:space="0"/>
              <w:left w:val="single" w:color="auto" w:sz="6" w:space="0"/>
              <w:bottom w:val="single" w:color="auto" w:sz="6" w:space="0"/>
              <w:right w:val="single" w:color="auto" w:sz="6" w:space="0"/>
            </w:tcBorders>
            <w:vAlign w:val="center"/>
          </w:tcPr>
          <w:p w14:paraId="5ECBF358">
            <w:pPr>
              <w:autoSpaceDE w:val="0"/>
              <w:autoSpaceDN w:val="0"/>
              <w:adjustRightInd w:val="0"/>
              <w:spacing w:line="440" w:lineRule="atLeast"/>
              <w:jc w:val="center"/>
              <w:rPr>
                <w:rFonts w:ascii="Cambria Math" w:hAnsi="Cambria Math" w:eastAsia="Cambria Math"/>
                <w:b w:val="0"/>
                <w:color w:val="auto"/>
                <w:sz w:val="22"/>
                <w:szCs w:val="22"/>
                <w:highlight w:val="none"/>
                <w:lang w:val="zh-CN"/>
              </w:rPr>
            </w:pPr>
            <w:r>
              <w:rPr>
                <w:rFonts w:hint="eastAsia" w:ascii="Cambria Math" w:hAnsi="Cambria Math" w:eastAsia="Cambria Math"/>
                <w:b w:val="0"/>
                <w:color w:val="auto"/>
                <w:sz w:val="22"/>
                <w:szCs w:val="22"/>
                <w:highlight w:val="none"/>
                <w:lang w:val="zh-CN"/>
              </w:rPr>
              <w:t>内容</w:t>
            </w:r>
          </w:p>
        </w:tc>
        <w:tc>
          <w:tcPr>
            <w:tcW w:w="2664" w:type="dxa"/>
            <w:tcBorders>
              <w:top w:val="single" w:color="auto" w:sz="6" w:space="0"/>
              <w:left w:val="single" w:color="auto" w:sz="6" w:space="0"/>
              <w:bottom w:val="single" w:color="auto" w:sz="6" w:space="0"/>
              <w:right w:val="single" w:color="auto" w:sz="6" w:space="0"/>
            </w:tcBorders>
            <w:vAlign w:val="center"/>
          </w:tcPr>
          <w:p w14:paraId="234F5D1F">
            <w:pPr>
              <w:autoSpaceDE w:val="0"/>
              <w:autoSpaceDN w:val="0"/>
              <w:adjustRightInd w:val="0"/>
              <w:spacing w:line="440" w:lineRule="atLeast"/>
              <w:jc w:val="center"/>
              <w:rPr>
                <w:rFonts w:ascii="Cambria Math" w:hAnsi="Cambria Math" w:eastAsia="Cambria Math"/>
                <w:b w:val="0"/>
                <w:color w:val="auto"/>
                <w:sz w:val="22"/>
                <w:szCs w:val="22"/>
                <w:highlight w:val="none"/>
                <w:lang w:val="zh-CN"/>
              </w:rPr>
            </w:pPr>
            <w:r>
              <w:rPr>
                <w:rFonts w:hint="eastAsia" w:ascii="Cambria Math" w:hAnsi="Cambria Math" w:eastAsia="Cambria Math"/>
                <w:b w:val="0"/>
                <w:color w:val="auto"/>
                <w:sz w:val="22"/>
                <w:szCs w:val="22"/>
                <w:highlight w:val="none"/>
                <w:lang w:val="zh-CN"/>
              </w:rPr>
              <w:t>招标要求</w:t>
            </w:r>
          </w:p>
        </w:tc>
        <w:tc>
          <w:tcPr>
            <w:tcW w:w="2110" w:type="dxa"/>
            <w:tcBorders>
              <w:top w:val="single" w:color="auto" w:sz="6" w:space="0"/>
              <w:left w:val="single" w:color="auto" w:sz="6" w:space="0"/>
              <w:bottom w:val="single" w:color="auto" w:sz="6" w:space="0"/>
              <w:right w:val="single" w:color="auto" w:sz="6" w:space="0"/>
            </w:tcBorders>
            <w:vAlign w:val="center"/>
          </w:tcPr>
          <w:p w14:paraId="1A939EFF">
            <w:pPr>
              <w:autoSpaceDE w:val="0"/>
              <w:autoSpaceDN w:val="0"/>
              <w:adjustRightInd w:val="0"/>
              <w:spacing w:line="440" w:lineRule="atLeast"/>
              <w:jc w:val="center"/>
              <w:rPr>
                <w:rFonts w:ascii="Cambria Math" w:hAnsi="Cambria Math" w:eastAsia="Cambria Math"/>
                <w:b w:val="0"/>
                <w:color w:val="auto"/>
                <w:sz w:val="22"/>
                <w:szCs w:val="22"/>
                <w:highlight w:val="none"/>
                <w:lang w:val="zh-CN"/>
              </w:rPr>
            </w:pPr>
            <w:r>
              <w:rPr>
                <w:rFonts w:hint="eastAsia" w:ascii="Cambria Math" w:hAnsi="Cambria Math" w:eastAsia="Cambria Math"/>
                <w:b w:val="0"/>
                <w:color w:val="auto"/>
                <w:sz w:val="22"/>
                <w:szCs w:val="22"/>
                <w:highlight w:val="none"/>
                <w:lang w:val="zh-CN"/>
              </w:rPr>
              <w:t>投标响应</w:t>
            </w:r>
          </w:p>
        </w:tc>
        <w:tc>
          <w:tcPr>
            <w:tcW w:w="1565" w:type="dxa"/>
            <w:tcBorders>
              <w:top w:val="single" w:color="auto" w:sz="6" w:space="0"/>
              <w:left w:val="single" w:color="auto" w:sz="6" w:space="0"/>
              <w:bottom w:val="single" w:color="auto" w:sz="6" w:space="0"/>
              <w:right w:val="single" w:color="auto" w:sz="6" w:space="0"/>
            </w:tcBorders>
            <w:vAlign w:val="center"/>
          </w:tcPr>
          <w:p w14:paraId="20F8AC77">
            <w:pPr>
              <w:autoSpaceDE w:val="0"/>
              <w:autoSpaceDN w:val="0"/>
              <w:adjustRightInd w:val="0"/>
              <w:spacing w:line="440" w:lineRule="atLeast"/>
              <w:jc w:val="center"/>
              <w:rPr>
                <w:rFonts w:ascii="Cambria Math" w:hAnsi="Cambria Math" w:eastAsia="Cambria Math"/>
                <w:b w:val="0"/>
                <w:color w:val="auto"/>
                <w:sz w:val="22"/>
                <w:szCs w:val="22"/>
                <w:highlight w:val="none"/>
                <w:lang w:val="zh-CN"/>
              </w:rPr>
            </w:pPr>
            <w:r>
              <w:rPr>
                <w:rFonts w:hint="eastAsia" w:ascii="Cambria Math" w:hAnsi="Cambria Math" w:eastAsia="Cambria Math"/>
                <w:b w:val="0"/>
                <w:color w:val="auto"/>
                <w:sz w:val="22"/>
                <w:szCs w:val="22"/>
                <w:highlight w:val="none"/>
                <w:lang w:val="zh-CN"/>
              </w:rPr>
              <w:t>备注</w:t>
            </w:r>
          </w:p>
        </w:tc>
      </w:tr>
      <w:tr w14:paraId="4632BB80">
        <w:tblPrEx>
          <w:tblCellMar>
            <w:top w:w="0" w:type="dxa"/>
            <w:left w:w="108" w:type="dxa"/>
            <w:bottom w:w="0" w:type="dxa"/>
            <w:right w:w="108" w:type="dxa"/>
          </w:tblCellMar>
        </w:tblPrEx>
        <w:trPr>
          <w:trHeight w:val="424" w:hRule="atLeast"/>
        </w:trPr>
        <w:tc>
          <w:tcPr>
            <w:tcW w:w="900" w:type="dxa"/>
            <w:tcBorders>
              <w:top w:val="single" w:color="auto" w:sz="6" w:space="0"/>
              <w:left w:val="single" w:color="auto" w:sz="6" w:space="0"/>
              <w:bottom w:val="single" w:color="auto" w:sz="6" w:space="0"/>
              <w:right w:val="single" w:color="auto" w:sz="6" w:space="0"/>
            </w:tcBorders>
          </w:tcPr>
          <w:p w14:paraId="6C5ADF35">
            <w:pPr>
              <w:autoSpaceDE w:val="0"/>
              <w:autoSpaceDN w:val="0"/>
              <w:adjustRightInd w:val="0"/>
              <w:spacing w:line="440" w:lineRule="atLeast"/>
              <w:jc w:val="center"/>
              <w:rPr>
                <w:rFonts w:ascii="Cambria Math" w:hAnsi="Cambria Math" w:eastAsia="Cambria Math"/>
                <w:b w:val="0"/>
                <w:color w:val="auto"/>
                <w:sz w:val="22"/>
                <w:szCs w:val="22"/>
                <w:highlight w:val="none"/>
                <w:lang w:val="zh-CN"/>
              </w:rPr>
            </w:pPr>
          </w:p>
        </w:tc>
        <w:tc>
          <w:tcPr>
            <w:tcW w:w="1800" w:type="dxa"/>
            <w:tcBorders>
              <w:top w:val="single" w:color="auto" w:sz="6" w:space="0"/>
              <w:left w:val="single" w:color="auto" w:sz="6" w:space="0"/>
              <w:bottom w:val="single" w:color="auto" w:sz="6" w:space="0"/>
              <w:right w:val="single" w:color="auto" w:sz="6" w:space="0"/>
            </w:tcBorders>
          </w:tcPr>
          <w:p w14:paraId="1A398348">
            <w:pPr>
              <w:autoSpaceDE w:val="0"/>
              <w:autoSpaceDN w:val="0"/>
              <w:adjustRightInd w:val="0"/>
              <w:spacing w:line="440" w:lineRule="atLeast"/>
              <w:jc w:val="center"/>
              <w:rPr>
                <w:rFonts w:ascii="Cambria Math" w:hAnsi="Cambria Math" w:eastAsia="Cambria Math"/>
                <w:b w:val="0"/>
                <w:color w:val="auto"/>
                <w:sz w:val="22"/>
                <w:szCs w:val="22"/>
                <w:highlight w:val="none"/>
                <w:lang w:val="zh-CN"/>
              </w:rPr>
            </w:pPr>
          </w:p>
        </w:tc>
        <w:tc>
          <w:tcPr>
            <w:tcW w:w="2664" w:type="dxa"/>
            <w:tcBorders>
              <w:top w:val="single" w:color="auto" w:sz="6" w:space="0"/>
              <w:left w:val="single" w:color="auto" w:sz="6" w:space="0"/>
              <w:bottom w:val="single" w:color="auto" w:sz="6" w:space="0"/>
              <w:right w:val="single" w:color="auto" w:sz="6" w:space="0"/>
            </w:tcBorders>
          </w:tcPr>
          <w:p w14:paraId="28FB6B72">
            <w:pPr>
              <w:autoSpaceDE w:val="0"/>
              <w:autoSpaceDN w:val="0"/>
              <w:adjustRightInd w:val="0"/>
              <w:spacing w:line="440" w:lineRule="atLeast"/>
              <w:jc w:val="center"/>
              <w:rPr>
                <w:rFonts w:ascii="Cambria Math" w:hAnsi="Cambria Math" w:eastAsia="Cambria Math"/>
                <w:b w:val="0"/>
                <w:color w:val="auto"/>
                <w:sz w:val="22"/>
                <w:szCs w:val="22"/>
                <w:highlight w:val="none"/>
                <w:lang w:val="zh-CN"/>
              </w:rPr>
            </w:pPr>
          </w:p>
        </w:tc>
        <w:tc>
          <w:tcPr>
            <w:tcW w:w="2110" w:type="dxa"/>
            <w:tcBorders>
              <w:top w:val="single" w:color="auto" w:sz="6" w:space="0"/>
              <w:left w:val="single" w:color="auto" w:sz="6" w:space="0"/>
              <w:bottom w:val="single" w:color="auto" w:sz="6" w:space="0"/>
              <w:right w:val="single" w:color="auto" w:sz="6" w:space="0"/>
            </w:tcBorders>
          </w:tcPr>
          <w:p w14:paraId="5F01EC99">
            <w:pPr>
              <w:autoSpaceDE w:val="0"/>
              <w:autoSpaceDN w:val="0"/>
              <w:adjustRightInd w:val="0"/>
              <w:spacing w:line="440" w:lineRule="atLeast"/>
              <w:jc w:val="center"/>
              <w:rPr>
                <w:rFonts w:ascii="Cambria Math" w:hAnsi="Cambria Math" w:eastAsia="Cambria Math"/>
                <w:b w:val="0"/>
                <w:color w:val="auto"/>
                <w:sz w:val="22"/>
                <w:szCs w:val="22"/>
                <w:highlight w:val="none"/>
                <w:lang w:val="zh-CN"/>
              </w:rPr>
            </w:pPr>
          </w:p>
        </w:tc>
        <w:tc>
          <w:tcPr>
            <w:tcW w:w="1565" w:type="dxa"/>
            <w:tcBorders>
              <w:top w:val="single" w:color="auto" w:sz="6" w:space="0"/>
              <w:left w:val="single" w:color="auto" w:sz="6" w:space="0"/>
              <w:bottom w:val="single" w:color="auto" w:sz="6" w:space="0"/>
              <w:right w:val="single" w:color="auto" w:sz="6" w:space="0"/>
            </w:tcBorders>
          </w:tcPr>
          <w:p w14:paraId="54ABAF00">
            <w:pPr>
              <w:autoSpaceDE w:val="0"/>
              <w:autoSpaceDN w:val="0"/>
              <w:adjustRightInd w:val="0"/>
              <w:spacing w:line="440" w:lineRule="atLeast"/>
              <w:jc w:val="center"/>
              <w:rPr>
                <w:rFonts w:ascii="Cambria Math" w:hAnsi="Cambria Math" w:eastAsia="Cambria Math"/>
                <w:b w:val="0"/>
                <w:color w:val="auto"/>
                <w:sz w:val="22"/>
                <w:szCs w:val="22"/>
                <w:highlight w:val="none"/>
                <w:lang w:val="zh-CN"/>
              </w:rPr>
            </w:pPr>
          </w:p>
        </w:tc>
      </w:tr>
      <w:tr w14:paraId="005AC95D">
        <w:tblPrEx>
          <w:tblCellMar>
            <w:top w:w="0" w:type="dxa"/>
            <w:left w:w="108" w:type="dxa"/>
            <w:bottom w:w="0" w:type="dxa"/>
            <w:right w:w="108" w:type="dxa"/>
          </w:tblCellMar>
        </w:tblPrEx>
        <w:trPr>
          <w:trHeight w:val="424" w:hRule="atLeast"/>
        </w:trPr>
        <w:tc>
          <w:tcPr>
            <w:tcW w:w="900" w:type="dxa"/>
            <w:tcBorders>
              <w:top w:val="single" w:color="auto" w:sz="6" w:space="0"/>
              <w:left w:val="single" w:color="auto" w:sz="6" w:space="0"/>
              <w:bottom w:val="single" w:color="auto" w:sz="6" w:space="0"/>
              <w:right w:val="single" w:color="auto" w:sz="6" w:space="0"/>
            </w:tcBorders>
          </w:tcPr>
          <w:p w14:paraId="3F006D8C">
            <w:pPr>
              <w:autoSpaceDE w:val="0"/>
              <w:autoSpaceDN w:val="0"/>
              <w:adjustRightInd w:val="0"/>
              <w:spacing w:line="440" w:lineRule="atLeast"/>
              <w:jc w:val="center"/>
              <w:rPr>
                <w:rFonts w:ascii="Cambria Math" w:hAnsi="Cambria Math" w:eastAsia="Cambria Math"/>
                <w:b w:val="0"/>
                <w:color w:val="auto"/>
                <w:sz w:val="22"/>
                <w:szCs w:val="22"/>
                <w:highlight w:val="none"/>
                <w:lang w:val="zh-CN"/>
              </w:rPr>
            </w:pPr>
          </w:p>
        </w:tc>
        <w:tc>
          <w:tcPr>
            <w:tcW w:w="1800" w:type="dxa"/>
            <w:tcBorders>
              <w:top w:val="single" w:color="auto" w:sz="6" w:space="0"/>
              <w:left w:val="single" w:color="auto" w:sz="6" w:space="0"/>
              <w:bottom w:val="single" w:color="auto" w:sz="6" w:space="0"/>
              <w:right w:val="single" w:color="auto" w:sz="6" w:space="0"/>
            </w:tcBorders>
          </w:tcPr>
          <w:p w14:paraId="78BE5B5D">
            <w:pPr>
              <w:autoSpaceDE w:val="0"/>
              <w:autoSpaceDN w:val="0"/>
              <w:adjustRightInd w:val="0"/>
              <w:spacing w:line="440" w:lineRule="atLeast"/>
              <w:jc w:val="center"/>
              <w:rPr>
                <w:rFonts w:ascii="Cambria Math" w:hAnsi="Cambria Math" w:eastAsia="Cambria Math"/>
                <w:b w:val="0"/>
                <w:color w:val="auto"/>
                <w:sz w:val="22"/>
                <w:szCs w:val="22"/>
                <w:highlight w:val="none"/>
                <w:lang w:val="zh-CN"/>
              </w:rPr>
            </w:pPr>
          </w:p>
        </w:tc>
        <w:tc>
          <w:tcPr>
            <w:tcW w:w="2664" w:type="dxa"/>
            <w:tcBorders>
              <w:top w:val="single" w:color="auto" w:sz="6" w:space="0"/>
              <w:left w:val="single" w:color="auto" w:sz="6" w:space="0"/>
              <w:bottom w:val="single" w:color="auto" w:sz="6" w:space="0"/>
              <w:right w:val="single" w:color="auto" w:sz="6" w:space="0"/>
            </w:tcBorders>
          </w:tcPr>
          <w:p w14:paraId="5EE7F19C">
            <w:pPr>
              <w:autoSpaceDE w:val="0"/>
              <w:autoSpaceDN w:val="0"/>
              <w:adjustRightInd w:val="0"/>
              <w:spacing w:line="440" w:lineRule="atLeast"/>
              <w:jc w:val="center"/>
              <w:rPr>
                <w:rFonts w:ascii="Cambria Math" w:hAnsi="Cambria Math" w:eastAsia="Cambria Math"/>
                <w:b w:val="0"/>
                <w:color w:val="auto"/>
                <w:sz w:val="22"/>
                <w:szCs w:val="22"/>
                <w:highlight w:val="none"/>
                <w:lang w:val="zh-CN"/>
              </w:rPr>
            </w:pPr>
          </w:p>
        </w:tc>
        <w:tc>
          <w:tcPr>
            <w:tcW w:w="2110" w:type="dxa"/>
            <w:tcBorders>
              <w:top w:val="single" w:color="auto" w:sz="6" w:space="0"/>
              <w:left w:val="single" w:color="auto" w:sz="6" w:space="0"/>
              <w:bottom w:val="single" w:color="auto" w:sz="6" w:space="0"/>
              <w:right w:val="single" w:color="auto" w:sz="6" w:space="0"/>
            </w:tcBorders>
          </w:tcPr>
          <w:p w14:paraId="66B5B3C9">
            <w:pPr>
              <w:autoSpaceDE w:val="0"/>
              <w:autoSpaceDN w:val="0"/>
              <w:adjustRightInd w:val="0"/>
              <w:spacing w:line="440" w:lineRule="atLeast"/>
              <w:jc w:val="center"/>
              <w:rPr>
                <w:rFonts w:ascii="Cambria Math" w:hAnsi="Cambria Math" w:eastAsia="Cambria Math"/>
                <w:b w:val="0"/>
                <w:color w:val="auto"/>
                <w:sz w:val="22"/>
                <w:szCs w:val="22"/>
                <w:highlight w:val="none"/>
                <w:lang w:val="zh-CN"/>
              </w:rPr>
            </w:pPr>
          </w:p>
        </w:tc>
        <w:tc>
          <w:tcPr>
            <w:tcW w:w="1565" w:type="dxa"/>
            <w:tcBorders>
              <w:top w:val="single" w:color="auto" w:sz="6" w:space="0"/>
              <w:left w:val="single" w:color="auto" w:sz="6" w:space="0"/>
              <w:bottom w:val="single" w:color="auto" w:sz="6" w:space="0"/>
              <w:right w:val="single" w:color="auto" w:sz="6" w:space="0"/>
            </w:tcBorders>
          </w:tcPr>
          <w:p w14:paraId="2C67258F">
            <w:pPr>
              <w:autoSpaceDE w:val="0"/>
              <w:autoSpaceDN w:val="0"/>
              <w:adjustRightInd w:val="0"/>
              <w:spacing w:line="440" w:lineRule="atLeast"/>
              <w:jc w:val="center"/>
              <w:rPr>
                <w:rFonts w:ascii="Cambria Math" w:hAnsi="Cambria Math" w:eastAsia="Cambria Math"/>
                <w:b w:val="0"/>
                <w:color w:val="auto"/>
                <w:sz w:val="22"/>
                <w:szCs w:val="22"/>
                <w:highlight w:val="none"/>
                <w:lang w:val="zh-CN"/>
              </w:rPr>
            </w:pPr>
          </w:p>
        </w:tc>
      </w:tr>
      <w:tr w14:paraId="0DB43AD0">
        <w:tblPrEx>
          <w:tblCellMar>
            <w:top w:w="0" w:type="dxa"/>
            <w:left w:w="108" w:type="dxa"/>
            <w:bottom w:w="0" w:type="dxa"/>
            <w:right w:w="108" w:type="dxa"/>
          </w:tblCellMar>
        </w:tblPrEx>
        <w:trPr>
          <w:trHeight w:val="424" w:hRule="atLeast"/>
        </w:trPr>
        <w:tc>
          <w:tcPr>
            <w:tcW w:w="900" w:type="dxa"/>
            <w:tcBorders>
              <w:top w:val="single" w:color="auto" w:sz="6" w:space="0"/>
              <w:left w:val="single" w:color="auto" w:sz="6" w:space="0"/>
              <w:bottom w:val="single" w:color="auto" w:sz="6" w:space="0"/>
              <w:right w:val="single" w:color="auto" w:sz="6" w:space="0"/>
            </w:tcBorders>
          </w:tcPr>
          <w:p w14:paraId="3B217CE2">
            <w:pPr>
              <w:autoSpaceDE w:val="0"/>
              <w:autoSpaceDN w:val="0"/>
              <w:adjustRightInd w:val="0"/>
              <w:spacing w:line="440" w:lineRule="atLeast"/>
              <w:jc w:val="center"/>
              <w:rPr>
                <w:rFonts w:ascii="Cambria Math" w:hAnsi="Cambria Math" w:eastAsia="Cambria Math"/>
                <w:b w:val="0"/>
                <w:color w:val="auto"/>
                <w:sz w:val="22"/>
                <w:szCs w:val="22"/>
                <w:highlight w:val="none"/>
                <w:lang w:val="zh-CN"/>
              </w:rPr>
            </w:pPr>
          </w:p>
        </w:tc>
        <w:tc>
          <w:tcPr>
            <w:tcW w:w="1800" w:type="dxa"/>
            <w:tcBorders>
              <w:top w:val="single" w:color="auto" w:sz="6" w:space="0"/>
              <w:left w:val="single" w:color="auto" w:sz="6" w:space="0"/>
              <w:bottom w:val="single" w:color="auto" w:sz="6" w:space="0"/>
              <w:right w:val="single" w:color="auto" w:sz="6" w:space="0"/>
            </w:tcBorders>
          </w:tcPr>
          <w:p w14:paraId="2501F2BC">
            <w:pPr>
              <w:autoSpaceDE w:val="0"/>
              <w:autoSpaceDN w:val="0"/>
              <w:adjustRightInd w:val="0"/>
              <w:spacing w:line="440" w:lineRule="atLeast"/>
              <w:jc w:val="center"/>
              <w:rPr>
                <w:rFonts w:ascii="Cambria Math" w:hAnsi="Cambria Math" w:eastAsia="Cambria Math"/>
                <w:b w:val="0"/>
                <w:color w:val="auto"/>
                <w:sz w:val="22"/>
                <w:szCs w:val="22"/>
                <w:highlight w:val="none"/>
                <w:lang w:val="zh-CN"/>
              </w:rPr>
            </w:pPr>
          </w:p>
        </w:tc>
        <w:tc>
          <w:tcPr>
            <w:tcW w:w="2664" w:type="dxa"/>
            <w:tcBorders>
              <w:top w:val="single" w:color="auto" w:sz="6" w:space="0"/>
              <w:left w:val="single" w:color="auto" w:sz="6" w:space="0"/>
              <w:bottom w:val="single" w:color="auto" w:sz="6" w:space="0"/>
              <w:right w:val="single" w:color="auto" w:sz="6" w:space="0"/>
            </w:tcBorders>
          </w:tcPr>
          <w:p w14:paraId="53C8CD87">
            <w:pPr>
              <w:autoSpaceDE w:val="0"/>
              <w:autoSpaceDN w:val="0"/>
              <w:adjustRightInd w:val="0"/>
              <w:spacing w:line="440" w:lineRule="atLeast"/>
              <w:jc w:val="center"/>
              <w:rPr>
                <w:rFonts w:ascii="Cambria Math" w:hAnsi="Cambria Math" w:eastAsia="Cambria Math"/>
                <w:b w:val="0"/>
                <w:color w:val="auto"/>
                <w:sz w:val="22"/>
                <w:szCs w:val="22"/>
                <w:highlight w:val="none"/>
                <w:lang w:val="zh-CN"/>
              </w:rPr>
            </w:pPr>
          </w:p>
        </w:tc>
        <w:tc>
          <w:tcPr>
            <w:tcW w:w="2110" w:type="dxa"/>
            <w:tcBorders>
              <w:top w:val="single" w:color="auto" w:sz="6" w:space="0"/>
              <w:left w:val="single" w:color="auto" w:sz="6" w:space="0"/>
              <w:bottom w:val="single" w:color="auto" w:sz="6" w:space="0"/>
              <w:right w:val="single" w:color="auto" w:sz="6" w:space="0"/>
            </w:tcBorders>
          </w:tcPr>
          <w:p w14:paraId="1488A3A9">
            <w:pPr>
              <w:autoSpaceDE w:val="0"/>
              <w:autoSpaceDN w:val="0"/>
              <w:adjustRightInd w:val="0"/>
              <w:spacing w:line="440" w:lineRule="atLeast"/>
              <w:jc w:val="center"/>
              <w:rPr>
                <w:rFonts w:ascii="Cambria Math" w:hAnsi="Cambria Math" w:eastAsia="Cambria Math"/>
                <w:b w:val="0"/>
                <w:color w:val="auto"/>
                <w:sz w:val="22"/>
                <w:szCs w:val="22"/>
                <w:highlight w:val="none"/>
                <w:lang w:val="zh-CN"/>
              </w:rPr>
            </w:pPr>
          </w:p>
        </w:tc>
        <w:tc>
          <w:tcPr>
            <w:tcW w:w="1565" w:type="dxa"/>
            <w:tcBorders>
              <w:top w:val="single" w:color="auto" w:sz="6" w:space="0"/>
              <w:left w:val="single" w:color="auto" w:sz="6" w:space="0"/>
              <w:bottom w:val="single" w:color="auto" w:sz="6" w:space="0"/>
              <w:right w:val="single" w:color="auto" w:sz="6" w:space="0"/>
            </w:tcBorders>
          </w:tcPr>
          <w:p w14:paraId="66429528">
            <w:pPr>
              <w:autoSpaceDE w:val="0"/>
              <w:autoSpaceDN w:val="0"/>
              <w:adjustRightInd w:val="0"/>
              <w:spacing w:line="440" w:lineRule="atLeast"/>
              <w:jc w:val="center"/>
              <w:rPr>
                <w:rFonts w:ascii="Cambria Math" w:hAnsi="Cambria Math" w:eastAsia="Cambria Math"/>
                <w:b w:val="0"/>
                <w:color w:val="auto"/>
                <w:sz w:val="22"/>
                <w:szCs w:val="22"/>
                <w:highlight w:val="none"/>
                <w:lang w:val="zh-CN"/>
              </w:rPr>
            </w:pPr>
          </w:p>
        </w:tc>
      </w:tr>
      <w:tr w14:paraId="3C9DF719">
        <w:tblPrEx>
          <w:tblCellMar>
            <w:top w:w="0" w:type="dxa"/>
            <w:left w:w="108" w:type="dxa"/>
            <w:bottom w:w="0" w:type="dxa"/>
            <w:right w:w="108" w:type="dxa"/>
          </w:tblCellMar>
        </w:tblPrEx>
        <w:trPr>
          <w:trHeight w:val="436" w:hRule="atLeast"/>
        </w:trPr>
        <w:tc>
          <w:tcPr>
            <w:tcW w:w="900" w:type="dxa"/>
            <w:tcBorders>
              <w:top w:val="single" w:color="auto" w:sz="6" w:space="0"/>
              <w:left w:val="single" w:color="auto" w:sz="6" w:space="0"/>
              <w:bottom w:val="single" w:color="auto" w:sz="6" w:space="0"/>
              <w:right w:val="single" w:color="auto" w:sz="6" w:space="0"/>
            </w:tcBorders>
          </w:tcPr>
          <w:p w14:paraId="18F8AD6C">
            <w:pPr>
              <w:autoSpaceDE w:val="0"/>
              <w:autoSpaceDN w:val="0"/>
              <w:adjustRightInd w:val="0"/>
              <w:spacing w:line="440" w:lineRule="atLeast"/>
              <w:jc w:val="center"/>
              <w:rPr>
                <w:rFonts w:ascii="Cambria Math" w:hAnsi="Cambria Math" w:eastAsia="Cambria Math"/>
                <w:b w:val="0"/>
                <w:color w:val="auto"/>
                <w:sz w:val="22"/>
                <w:szCs w:val="22"/>
                <w:highlight w:val="none"/>
                <w:lang w:val="zh-CN"/>
              </w:rPr>
            </w:pPr>
          </w:p>
        </w:tc>
        <w:tc>
          <w:tcPr>
            <w:tcW w:w="1800" w:type="dxa"/>
            <w:tcBorders>
              <w:top w:val="single" w:color="auto" w:sz="6" w:space="0"/>
              <w:left w:val="single" w:color="auto" w:sz="6" w:space="0"/>
              <w:bottom w:val="single" w:color="auto" w:sz="6" w:space="0"/>
              <w:right w:val="single" w:color="auto" w:sz="6" w:space="0"/>
            </w:tcBorders>
          </w:tcPr>
          <w:p w14:paraId="07E3B6C9">
            <w:pPr>
              <w:autoSpaceDE w:val="0"/>
              <w:autoSpaceDN w:val="0"/>
              <w:adjustRightInd w:val="0"/>
              <w:spacing w:line="440" w:lineRule="atLeast"/>
              <w:jc w:val="center"/>
              <w:rPr>
                <w:rFonts w:ascii="Cambria Math" w:hAnsi="Cambria Math" w:eastAsia="Cambria Math"/>
                <w:b w:val="0"/>
                <w:color w:val="auto"/>
                <w:sz w:val="22"/>
                <w:szCs w:val="22"/>
                <w:highlight w:val="none"/>
                <w:lang w:val="zh-CN"/>
              </w:rPr>
            </w:pPr>
          </w:p>
        </w:tc>
        <w:tc>
          <w:tcPr>
            <w:tcW w:w="2664" w:type="dxa"/>
            <w:tcBorders>
              <w:top w:val="single" w:color="auto" w:sz="6" w:space="0"/>
              <w:left w:val="single" w:color="auto" w:sz="6" w:space="0"/>
              <w:bottom w:val="single" w:color="auto" w:sz="6" w:space="0"/>
              <w:right w:val="single" w:color="auto" w:sz="6" w:space="0"/>
            </w:tcBorders>
          </w:tcPr>
          <w:p w14:paraId="62E1C99C">
            <w:pPr>
              <w:autoSpaceDE w:val="0"/>
              <w:autoSpaceDN w:val="0"/>
              <w:adjustRightInd w:val="0"/>
              <w:spacing w:line="440" w:lineRule="atLeast"/>
              <w:jc w:val="center"/>
              <w:rPr>
                <w:rFonts w:ascii="Cambria Math" w:hAnsi="Cambria Math" w:eastAsia="Cambria Math"/>
                <w:b w:val="0"/>
                <w:color w:val="auto"/>
                <w:sz w:val="22"/>
                <w:szCs w:val="22"/>
                <w:highlight w:val="none"/>
                <w:lang w:val="zh-CN"/>
              </w:rPr>
            </w:pPr>
          </w:p>
        </w:tc>
        <w:tc>
          <w:tcPr>
            <w:tcW w:w="2110" w:type="dxa"/>
            <w:tcBorders>
              <w:top w:val="single" w:color="auto" w:sz="6" w:space="0"/>
              <w:left w:val="single" w:color="auto" w:sz="6" w:space="0"/>
              <w:bottom w:val="single" w:color="auto" w:sz="6" w:space="0"/>
              <w:right w:val="single" w:color="auto" w:sz="6" w:space="0"/>
            </w:tcBorders>
          </w:tcPr>
          <w:p w14:paraId="5B105A87">
            <w:pPr>
              <w:autoSpaceDE w:val="0"/>
              <w:autoSpaceDN w:val="0"/>
              <w:adjustRightInd w:val="0"/>
              <w:spacing w:line="440" w:lineRule="atLeast"/>
              <w:jc w:val="center"/>
              <w:rPr>
                <w:rFonts w:ascii="Cambria Math" w:hAnsi="Cambria Math" w:eastAsia="Cambria Math"/>
                <w:b w:val="0"/>
                <w:color w:val="auto"/>
                <w:sz w:val="22"/>
                <w:szCs w:val="22"/>
                <w:highlight w:val="none"/>
                <w:lang w:val="zh-CN"/>
              </w:rPr>
            </w:pPr>
          </w:p>
        </w:tc>
        <w:tc>
          <w:tcPr>
            <w:tcW w:w="1565" w:type="dxa"/>
            <w:tcBorders>
              <w:top w:val="single" w:color="auto" w:sz="6" w:space="0"/>
              <w:left w:val="single" w:color="auto" w:sz="6" w:space="0"/>
              <w:bottom w:val="single" w:color="auto" w:sz="6" w:space="0"/>
              <w:right w:val="single" w:color="auto" w:sz="6" w:space="0"/>
            </w:tcBorders>
          </w:tcPr>
          <w:p w14:paraId="2C78A38F">
            <w:pPr>
              <w:autoSpaceDE w:val="0"/>
              <w:autoSpaceDN w:val="0"/>
              <w:adjustRightInd w:val="0"/>
              <w:spacing w:line="440" w:lineRule="atLeast"/>
              <w:jc w:val="center"/>
              <w:rPr>
                <w:rFonts w:ascii="Cambria Math" w:hAnsi="Cambria Math" w:eastAsia="Cambria Math"/>
                <w:b w:val="0"/>
                <w:color w:val="auto"/>
                <w:sz w:val="22"/>
                <w:szCs w:val="22"/>
                <w:highlight w:val="none"/>
                <w:lang w:val="zh-CN"/>
              </w:rPr>
            </w:pPr>
          </w:p>
        </w:tc>
      </w:tr>
      <w:tr w14:paraId="6D9126DF">
        <w:tblPrEx>
          <w:tblCellMar>
            <w:top w:w="0" w:type="dxa"/>
            <w:left w:w="108" w:type="dxa"/>
            <w:bottom w:w="0" w:type="dxa"/>
            <w:right w:w="108" w:type="dxa"/>
          </w:tblCellMar>
        </w:tblPrEx>
        <w:trPr>
          <w:trHeight w:val="424" w:hRule="atLeast"/>
        </w:trPr>
        <w:tc>
          <w:tcPr>
            <w:tcW w:w="900" w:type="dxa"/>
            <w:tcBorders>
              <w:top w:val="single" w:color="auto" w:sz="6" w:space="0"/>
              <w:left w:val="single" w:color="auto" w:sz="6" w:space="0"/>
              <w:bottom w:val="single" w:color="auto" w:sz="6" w:space="0"/>
              <w:right w:val="single" w:color="auto" w:sz="6" w:space="0"/>
            </w:tcBorders>
          </w:tcPr>
          <w:p w14:paraId="242D8E1F">
            <w:pPr>
              <w:autoSpaceDE w:val="0"/>
              <w:autoSpaceDN w:val="0"/>
              <w:adjustRightInd w:val="0"/>
              <w:spacing w:line="440" w:lineRule="atLeast"/>
              <w:jc w:val="center"/>
              <w:rPr>
                <w:rFonts w:ascii="Cambria Math" w:hAnsi="Cambria Math" w:eastAsia="Cambria Math"/>
                <w:b w:val="0"/>
                <w:color w:val="auto"/>
                <w:sz w:val="22"/>
                <w:szCs w:val="22"/>
                <w:highlight w:val="none"/>
                <w:lang w:val="zh-CN"/>
              </w:rPr>
            </w:pPr>
          </w:p>
        </w:tc>
        <w:tc>
          <w:tcPr>
            <w:tcW w:w="1800" w:type="dxa"/>
            <w:tcBorders>
              <w:top w:val="single" w:color="auto" w:sz="6" w:space="0"/>
              <w:left w:val="single" w:color="auto" w:sz="6" w:space="0"/>
              <w:bottom w:val="single" w:color="auto" w:sz="6" w:space="0"/>
              <w:right w:val="single" w:color="auto" w:sz="6" w:space="0"/>
            </w:tcBorders>
          </w:tcPr>
          <w:p w14:paraId="0B8DDE9C">
            <w:pPr>
              <w:autoSpaceDE w:val="0"/>
              <w:autoSpaceDN w:val="0"/>
              <w:adjustRightInd w:val="0"/>
              <w:spacing w:line="440" w:lineRule="atLeast"/>
              <w:jc w:val="center"/>
              <w:rPr>
                <w:rFonts w:ascii="Cambria Math" w:hAnsi="Cambria Math" w:eastAsia="Cambria Math"/>
                <w:b w:val="0"/>
                <w:color w:val="auto"/>
                <w:sz w:val="22"/>
                <w:szCs w:val="22"/>
                <w:highlight w:val="none"/>
                <w:lang w:val="zh-CN"/>
              </w:rPr>
            </w:pPr>
          </w:p>
        </w:tc>
        <w:tc>
          <w:tcPr>
            <w:tcW w:w="2664" w:type="dxa"/>
            <w:tcBorders>
              <w:top w:val="single" w:color="auto" w:sz="6" w:space="0"/>
              <w:left w:val="single" w:color="auto" w:sz="6" w:space="0"/>
              <w:bottom w:val="single" w:color="auto" w:sz="6" w:space="0"/>
              <w:right w:val="single" w:color="auto" w:sz="6" w:space="0"/>
            </w:tcBorders>
          </w:tcPr>
          <w:p w14:paraId="45D4ED13">
            <w:pPr>
              <w:autoSpaceDE w:val="0"/>
              <w:autoSpaceDN w:val="0"/>
              <w:adjustRightInd w:val="0"/>
              <w:spacing w:line="440" w:lineRule="atLeast"/>
              <w:jc w:val="center"/>
              <w:rPr>
                <w:rFonts w:ascii="Cambria Math" w:hAnsi="Cambria Math" w:eastAsia="Cambria Math"/>
                <w:b w:val="0"/>
                <w:color w:val="auto"/>
                <w:sz w:val="22"/>
                <w:szCs w:val="22"/>
                <w:highlight w:val="none"/>
                <w:lang w:val="zh-CN"/>
              </w:rPr>
            </w:pPr>
          </w:p>
        </w:tc>
        <w:tc>
          <w:tcPr>
            <w:tcW w:w="2110" w:type="dxa"/>
            <w:tcBorders>
              <w:top w:val="single" w:color="auto" w:sz="6" w:space="0"/>
              <w:left w:val="single" w:color="auto" w:sz="6" w:space="0"/>
              <w:bottom w:val="single" w:color="auto" w:sz="6" w:space="0"/>
              <w:right w:val="single" w:color="auto" w:sz="6" w:space="0"/>
            </w:tcBorders>
          </w:tcPr>
          <w:p w14:paraId="2A9494DA">
            <w:pPr>
              <w:autoSpaceDE w:val="0"/>
              <w:autoSpaceDN w:val="0"/>
              <w:adjustRightInd w:val="0"/>
              <w:spacing w:line="440" w:lineRule="atLeast"/>
              <w:jc w:val="center"/>
              <w:rPr>
                <w:rFonts w:ascii="Cambria Math" w:hAnsi="Cambria Math" w:eastAsia="Cambria Math"/>
                <w:b w:val="0"/>
                <w:color w:val="auto"/>
                <w:sz w:val="22"/>
                <w:szCs w:val="22"/>
                <w:highlight w:val="none"/>
                <w:lang w:val="zh-CN"/>
              </w:rPr>
            </w:pPr>
          </w:p>
        </w:tc>
        <w:tc>
          <w:tcPr>
            <w:tcW w:w="1565" w:type="dxa"/>
            <w:tcBorders>
              <w:top w:val="single" w:color="auto" w:sz="6" w:space="0"/>
              <w:left w:val="single" w:color="auto" w:sz="6" w:space="0"/>
              <w:bottom w:val="single" w:color="auto" w:sz="6" w:space="0"/>
              <w:right w:val="single" w:color="auto" w:sz="6" w:space="0"/>
            </w:tcBorders>
          </w:tcPr>
          <w:p w14:paraId="6C6EB54A">
            <w:pPr>
              <w:autoSpaceDE w:val="0"/>
              <w:autoSpaceDN w:val="0"/>
              <w:adjustRightInd w:val="0"/>
              <w:spacing w:line="440" w:lineRule="atLeast"/>
              <w:jc w:val="center"/>
              <w:rPr>
                <w:rFonts w:ascii="Cambria Math" w:hAnsi="Cambria Math" w:eastAsia="Cambria Math"/>
                <w:b w:val="0"/>
                <w:color w:val="auto"/>
                <w:sz w:val="22"/>
                <w:szCs w:val="22"/>
                <w:highlight w:val="none"/>
                <w:lang w:val="zh-CN"/>
              </w:rPr>
            </w:pPr>
          </w:p>
        </w:tc>
      </w:tr>
      <w:tr w14:paraId="4CAE4CBD">
        <w:tblPrEx>
          <w:tblCellMar>
            <w:top w:w="0" w:type="dxa"/>
            <w:left w:w="108" w:type="dxa"/>
            <w:bottom w:w="0" w:type="dxa"/>
            <w:right w:w="108" w:type="dxa"/>
          </w:tblCellMar>
        </w:tblPrEx>
        <w:trPr>
          <w:trHeight w:val="424" w:hRule="atLeast"/>
        </w:trPr>
        <w:tc>
          <w:tcPr>
            <w:tcW w:w="900" w:type="dxa"/>
            <w:tcBorders>
              <w:top w:val="single" w:color="auto" w:sz="6" w:space="0"/>
              <w:left w:val="single" w:color="auto" w:sz="6" w:space="0"/>
              <w:bottom w:val="single" w:color="auto" w:sz="6" w:space="0"/>
              <w:right w:val="single" w:color="auto" w:sz="6" w:space="0"/>
            </w:tcBorders>
          </w:tcPr>
          <w:p w14:paraId="5DFE00A7">
            <w:pPr>
              <w:autoSpaceDE w:val="0"/>
              <w:autoSpaceDN w:val="0"/>
              <w:adjustRightInd w:val="0"/>
              <w:spacing w:line="440" w:lineRule="atLeast"/>
              <w:jc w:val="center"/>
              <w:rPr>
                <w:rFonts w:ascii="Cambria Math" w:hAnsi="Cambria Math" w:eastAsia="Cambria Math"/>
                <w:b w:val="0"/>
                <w:color w:val="auto"/>
                <w:sz w:val="22"/>
                <w:szCs w:val="22"/>
                <w:highlight w:val="none"/>
                <w:lang w:val="zh-CN"/>
              </w:rPr>
            </w:pPr>
          </w:p>
        </w:tc>
        <w:tc>
          <w:tcPr>
            <w:tcW w:w="1800" w:type="dxa"/>
            <w:tcBorders>
              <w:top w:val="single" w:color="auto" w:sz="6" w:space="0"/>
              <w:left w:val="single" w:color="auto" w:sz="6" w:space="0"/>
              <w:bottom w:val="single" w:color="auto" w:sz="6" w:space="0"/>
              <w:right w:val="single" w:color="auto" w:sz="6" w:space="0"/>
            </w:tcBorders>
          </w:tcPr>
          <w:p w14:paraId="0385E299">
            <w:pPr>
              <w:autoSpaceDE w:val="0"/>
              <w:autoSpaceDN w:val="0"/>
              <w:adjustRightInd w:val="0"/>
              <w:spacing w:line="440" w:lineRule="atLeast"/>
              <w:jc w:val="center"/>
              <w:rPr>
                <w:rFonts w:ascii="Cambria Math" w:hAnsi="Cambria Math" w:eastAsia="Cambria Math"/>
                <w:b w:val="0"/>
                <w:color w:val="auto"/>
                <w:sz w:val="22"/>
                <w:szCs w:val="22"/>
                <w:highlight w:val="none"/>
                <w:lang w:val="zh-CN"/>
              </w:rPr>
            </w:pPr>
          </w:p>
        </w:tc>
        <w:tc>
          <w:tcPr>
            <w:tcW w:w="2664" w:type="dxa"/>
            <w:tcBorders>
              <w:top w:val="single" w:color="auto" w:sz="6" w:space="0"/>
              <w:left w:val="single" w:color="auto" w:sz="6" w:space="0"/>
              <w:bottom w:val="single" w:color="auto" w:sz="6" w:space="0"/>
              <w:right w:val="single" w:color="auto" w:sz="6" w:space="0"/>
            </w:tcBorders>
          </w:tcPr>
          <w:p w14:paraId="43F5A6D9">
            <w:pPr>
              <w:autoSpaceDE w:val="0"/>
              <w:autoSpaceDN w:val="0"/>
              <w:adjustRightInd w:val="0"/>
              <w:spacing w:line="440" w:lineRule="atLeast"/>
              <w:jc w:val="center"/>
              <w:rPr>
                <w:rFonts w:ascii="Cambria Math" w:hAnsi="Cambria Math" w:eastAsia="Cambria Math"/>
                <w:b w:val="0"/>
                <w:color w:val="auto"/>
                <w:sz w:val="22"/>
                <w:szCs w:val="22"/>
                <w:highlight w:val="none"/>
                <w:lang w:val="zh-CN"/>
              </w:rPr>
            </w:pPr>
          </w:p>
        </w:tc>
        <w:tc>
          <w:tcPr>
            <w:tcW w:w="2110" w:type="dxa"/>
            <w:tcBorders>
              <w:top w:val="single" w:color="auto" w:sz="6" w:space="0"/>
              <w:left w:val="single" w:color="auto" w:sz="6" w:space="0"/>
              <w:bottom w:val="single" w:color="auto" w:sz="6" w:space="0"/>
              <w:right w:val="single" w:color="auto" w:sz="6" w:space="0"/>
            </w:tcBorders>
          </w:tcPr>
          <w:p w14:paraId="3AD675CD">
            <w:pPr>
              <w:autoSpaceDE w:val="0"/>
              <w:autoSpaceDN w:val="0"/>
              <w:adjustRightInd w:val="0"/>
              <w:spacing w:line="440" w:lineRule="atLeast"/>
              <w:jc w:val="center"/>
              <w:rPr>
                <w:rFonts w:ascii="Cambria Math" w:hAnsi="Cambria Math" w:eastAsia="Cambria Math"/>
                <w:b w:val="0"/>
                <w:color w:val="auto"/>
                <w:sz w:val="22"/>
                <w:szCs w:val="22"/>
                <w:highlight w:val="none"/>
                <w:lang w:val="zh-CN"/>
              </w:rPr>
            </w:pPr>
          </w:p>
        </w:tc>
        <w:tc>
          <w:tcPr>
            <w:tcW w:w="1565" w:type="dxa"/>
            <w:tcBorders>
              <w:top w:val="single" w:color="auto" w:sz="6" w:space="0"/>
              <w:left w:val="single" w:color="auto" w:sz="6" w:space="0"/>
              <w:bottom w:val="single" w:color="auto" w:sz="6" w:space="0"/>
              <w:right w:val="single" w:color="auto" w:sz="6" w:space="0"/>
            </w:tcBorders>
          </w:tcPr>
          <w:p w14:paraId="4A67208E">
            <w:pPr>
              <w:autoSpaceDE w:val="0"/>
              <w:autoSpaceDN w:val="0"/>
              <w:adjustRightInd w:val="0"/>
              <w:spacing w:line="440" w:lineRule="atLeast"/>
              <w:jc w:val="center"/>
              <w:rPr>
                <w:rFonts w:ascii="Cambria Math" w:hAnsi="Cambria Math" w:eastAsia="Cambria Math"/>
                <w:b w:val="0"/>
                <w:color w:val="auto"/>
                <w:sz w:val="22"/>
                <w:szCs w:val="22"/>
                <w:highlight w:val="none"/>
                <w:lang w:val="zh-CN"/>
              </w:rPr>
            </w:pPr>
          </w:p>
        </w:tc>
      </w:tr>
      <w:tr w14:paraId="23A5B27D">
        <w:tblPrEx>
          <w:tblCellMar>
            <w:top w:w="0" w:type="dxa"/>
            <w:left w:w="108" w:type="dxa"/>
            <w:bottom w:w="0" w:type="dxa"/>
            <w:right w:w="108" w:type="dxa"/>
          </w:tblCellMar>
        </w:tblPrEx>
        <w:trPr>
          <w:trHeight w:val="424" w:hRule="atLeast"/>
        </w:trPr>
        <w:tc>
          <w:tcPr>
            <w:tcW w:w="900" w:type="dxa"/>
            <w:tcBorders>
              <w:top w:val="single" w:color="auto" w:sz="6" w:space="0"/>
              <w:left w:val="single" w:color="auto" w:sz="6" w:space="0"/>
              <w:bottom w:val="single" w:color="auto" w:sz="6" w:space="0"/>
              <w:right w:val="single" w:color="auto" w:sz="6" w:space="0"/>
            </w:tcBorders>
          </w:tcPr>
          <w:p w14:paraId="723163C9">
            <w:pPr>
              <w:autoSpaceDE w:val="0"/>
              <w:autoSpaceDN w:val="0"/>
              <w:adjustRightInd w:val="0"/>
              <w:spacing w:line="440" w:lineRule="atLeast"/>
              <w:jc w:val="center"/>
              <w:rPr>
                <w:rFonts w:ascii="Cambria Math" w:hAnsi="Cambria Math" w:eastAsia="Cambria Math"/>
                <w:b w:val="0"/>
                <w:color w:val="auto"/>
                <w:sz w:val="22"/>
                <w:szCs w:val="22"/>
                <w:highlight w:val="none"/>
                <w:lang w:val="zh-CN"/>
              </w:rPr>
            </w:pPr>
          </w:p>
        </w:tc>
        <w:tc>
          <w:tcPr>
            <w:tcW w:w="1800" w:type="dxa"/>
            <w:tcBorders>
              <w:top w:val="single" w:color="auto" w:sz="6" w:space="0"/>
              <w:left w:val="single" w:color="auto" w:sz="6" w:space="0"/>
              <w:bottom w:val="single" w:color="auto" w:sz="6" w:space="0"/>
              <w:right w:val="single" w:color="auto" w:sz="6" w:space="0"/>
            </w:tcBorders>
          </w:tcPr>
          <w:p w14:paraId="273F9353">
            <w:pPr>
              <w:autoSpaceDE w:val="0"/>
              <w:autoSpaceDN w:val="0"/>
              <w:adjustRightInd w:val="0"/>
              <w:spacing w:line="440" w:lineRule="atLeast"/>
              <w:jc w:val="center"/>
              <w:rPr>
                <w:rFonts w:ascii="Cambria Math" w:hAnsi="Cambria Math" w:eastAsia="Cambria Math"/>
                <w:b w:val="0"/>
                <w:color w:val="auto"/>
                <w:sz w:val="22"/>
                <w:szCs w:val="22"/>
                <w:highlight w:val="none"/>
                <w:lang w:val="zh-CN"/>
              </w:rPr>
            </w:pPr>
          </w:p>
        </w:tc>
        <w:tc>
          <w:tcPr>
            <w:tcW w:w="2664" w:type="dxa"/>
            <w:tcBorders>
              <w:top w:val="single" w:color="auto" w:sz="6" w:space="0"/>
              <w:left w:val="single" w:color="auto" w:sz="6" w:space="0"/>
              <w:bottom w:val="single" w:color="auto" w:sz="6" w:space="0"/>
              <w:right w:val="single" w:color="auto" w:sz="6" w:space="0"/>
            </w:tcBorders>
          </w:tcPr>
          <w:p w14:paraId="6B51731D">
            <w:pPr>
              <w:autoSpaceDE w:val="0"/>
              <w:autoSpaceDN w:val="0"/>
              <w:adjustRightInd w:val="0"/>
              <w:spacing w:line="440" w:lineRule="atLeast"/>
              <w:jc w:val="center"/>
              <w:rPr>
                <w:rFonts w:ascii="Cambria Math" w:hAnsi="Cambria Math" w:eastAsia="Cambria Math"/>
                <w:b w:val="0"/>
                <w:color w:val="auto"/>
                <w:sz w:val="22"/>
                <w:szCs w:val="22"/>
                <w:highlight w:val="none"/>
                <w:lang w:val="zh-CN"/>
              </w:rPr>
            </w:pPr>
          </w:p>
        </w:tc>
        <w:tc>
          <w:tcPr>
            <w:tcW w:w="2110" w:type="dxa"/>
            <w:tcBorders>
              <w:top w:val="single" w:color="auto" w:sz="6" w:space="0"/>
              <w:left w:val="single" w:color="auto" w:sz="6" w:space="0"/>
              <w:bottom w:val="single" w:color="auto" w:sz="6" w:space="0"/>
              <w:right w:val="single" w:color="auto" w:sz="6" w:space="0"/>
            </w:tcBorders>
          </w:tcPr>
          <w:p w14:paraId="5AE78A69">
            <w:pPr>
              <w:autoSpaceDE w:val="0"/>
              <w:autoSpaceDN w:val="0"/>
              <w:adjustRightInd w:val="0"/>
              <w:spacing w:line="440" w:lineRule="atLeast"/>
              <w:jc w:val="center"/>
              <w:rPr>
                <w:rFonts w:ascii="Cambria Math" w:hAnsi="Cambria Math" w:eastAsia="Cambria Math"/>
                <w:b w:val="0"/>
                <w:color w:val="auto"/>
                <w:sz w:val="22"/>
                <w:szCs w:val="22"/>
                <w:highlight w:val="none"/>
                <w:lang w:val="zh-CN"/>
              </w:rPr>
            </w:pPr>
          </w:p>
        </w:tc>
        <w:tc>
          <w:tcPr>
            <w:tcW w:w="1565" w:type="dxa"/>
            <w:tcBorders>
              <w:top w:val="single" w:color="auto" w:sz="6" w:space="0"/>
              <w:left w:val="single" w:color="auto" w:sz="6" w:space="0"/>
              <w:bottom w:val="single" w:color="auto" w:sz="6" w:space="0"/>
              <w:right w:val="single" w:color="auto" w:sz="6" w:space="0"/>
            </w:tcBorders>
          </w:tcPr>
          <w:p w14:paraId="4320E17A">
            <w:pPr>
              <w:autoSpaceDE w:val="0"/>
              <w:autoSpaceDN w:val="0"/>
              <w:adjustRightInd w:val="0"/>
              <w:spacing w:line="440" w:lineRule="atLeast"/>
              <w:jc w:val="center"/>
              <w:rPr>
                <w:rFonts w:ascii="Cambria Math" w:hAnsi="Cambria Math" w:eastAsia="Cambria Math"/>
                <w:b w:val="0"/>
                <w:color w:val="auto"/>
                <w:sz w:val="22"/>
                <w:szCs w:val="22"/>
                <w:highlight w:val="none"/>
                <w:lang w:val="zh-CN"/>
              </w:rPr>
            </w:pPr>
          </w:p>
        </w:tc>
      </w:tr>
      <w:tr w14:paraId="07D0290A">
        <w:tblPrEx>
          <w:tblCellMar>
            <w:top w:w="0" w:type="dxa"/>
            <w:left w:w="108" w:type="dxa"/>
            <w:bottom w:w="0" w:type="dxa"/>
            <w:right w:w="108" w:type="dxa"/>
          </w:tblCellMar>
        </w:tblPrEx>
        <w:trPr>
          <w:trHeight w:val="436" w:hRule="atLeast"/>
        </w:trPr>
        <w:tc>
          <w:tcPr>
            <w:tcW w:w="900" w:type="dxa"/>
            <w:tcBorders>
              <w:top w:val="single" w:color="auto" w:sz="6" w:space="0"/>
              <w:left w:val="single" w:color="auto" w:sz="6" w:space="0"/>
              <w:bottom w:val="single" w:color="auto" w:sz="6" w:space="0"/>
              <w:right w:val="single" w:color="auto" w:sz="6" w:space="0"/>
            </w:tcBorders>
          </w:tcPr>
          <w:p w14:paraId="52BE882E">
            <w:pPr>
              <w:autoSpaceDE w:val="0"/>
              <w:autoSpaceDN w:val="0"/>
              <w:adjustRightInd w:val="0"/>
              <w:spacing w:line="440" w:lineRule="atLeast"/>
              <w:jc w:val="center"/>
              <w:rPr>
                <w:rFonts w:ascii="Cambria Math" w:hAnsi="Cambria Math" w:eastAsia="Cambria Math"/>
                <w:b w:val="0"/>
                <w:color w:val="auto"/>
                <w:sz w:val="22"/>
                <w:szCs w:val="22"/>
                <w:highlight w:val="none"/>
                <w:lang w:val="zh-CN"/>
              </w:rPr>
            </w:pPr>
          </w:p>
        </w:tc>
        <w:tc>
          <w:tcPr>
            <w:tcW w:w="1800" w:type="dxa"/>
            <w:tcBorders>
              <w:top w:val="single" w:color="auto" w:sz="6" w:space="0"/>
              <w:left w:val="single" w:color="auto" w:sz="6" w:space="0"/>
              <w:bottom w:val="single" w:color="auto" w:sz="6" w:space="0"/>
              <w:right w:val="single" w:color="auto" w:sz="6" w:space="0"/>
            </w:tcBorders>
          </w:tcPr>
          <w:p w14:paraId="334CFB55">
            <w:pPr>
              <w:autoSpaceDE w:val="0"/>
              <w:autoSpaceDN w:val="0"/>
              <w:adjustRightInd w:val="0"/>
              <w:spacing w:line="440" w:lineRule="atLeast"/>
              <w:jc w:val="center"/>
              <w:rPr>
                <w:rFonts w:ascii="Cambria Math" w:hAnsi="Cambria Math" w:eastAsia="Cambria Math"/>
                <w:b w:val="0"/>
                <w:color w:val="auto"/>
                <w:sz w:val="22"/>
                <w:szCs w:val="22"/>
                <w:highlight w:val="none"/>
                <w:lang w:val="zh-CN"/>
              </w:rPr>
            </w:pPr>
          </w:p>
        </w:tc>
        <w:tc>
          <w:tcPr>
            <w:tcW w:w="2664" w:type="dxa"/>
            <w:tcBorders>
              <w:top w:val="single" w:color="auto" w:sz="6" w:space="0"/>
              <w:left w:val="single" w:color="auto" w:sz="6" w:space="0"/>
              <w:bottom w:val="single" w:color="auto" w:sz="6" w:space="0"/>
              <w:right w:val="single" w:color="auto" w:sz="6" w:space="0"/>
            </w:tcBorders>
          </w:tcPr>
          <w:p w14:paraId="6B07E1B7">
            <w:pPr>
              <w:autoSpaceDE w:val="0"/>
              <w:autoSpaceDN w:val="0"/>
              <w:adjustRightInd w:val="0"/>
              <w:spacing w:line="440" w:lineRule="atLeast"/>
              <w:jc w:val="center"/>
              <w:rPr>
                <w:rFonts w:ascii="Cambria Math" w:hAnsi="Cambria Math" w:eastAsia="Cambria Math"/>
                <w:b w:val="0"/>
                <w:color w:val="auto"/>
                <w:sz w:val="22"/>
                <w:szCs w:val="22"/>
                <w:highlight w:val="none"/>
                <w:lang w:val="zh-CN"/>
              </w:rPr>
            </w:pPr>
          </w:p>
        </w:tc>
        <w:tc>
          <w:tcPr>
            <w:tcW w:w="2110" w:type="dxa"/>
            <w:tcBorders>
              <w:top w:val="single" w:color="auto" w:sz="6" w:space="0"/>
              <w:left w:val="single" w:color="auto" w:sz="6" w:space="0"/>
              <w:bottom w:val="single" w:color="auto" w:sz="6" w:space="0"/>
              <w:right w:val="single" w:color="auto" w:sz="6" w:space="0"/>
            </w:tcBorders>
          </w:tcPr>
          <w:p w14:paraId="1D296CA5">
            <w:pPr>
              <w:autoSpaceDE w:val="0"/>
              <w:autoSpaceDN w:val="0"/>
              <w:adjustRightInd w:val="0"/>
              <w:spacing w:line="440" w:lineRule="atLeast"/>
              <w:jc w:val="center"/>
              <w:rPr>
                <w:rFonts w:ascii="Cambria Math" w:hAnsi="Cambria Math" w:eastAsia="Cambria Math"/>
                <w:b w:val="0"/>
                <w:color w:val="auto"/>
                <w:sz w:val="22"/>
                <w:szCs w:val="22"/>
                <w:highlight w:val="none"/>
                <w:lang w:val="zh-CN"/>
              </w:rPr>
            </w:pPr>
          </w:p>
        </w:tc>
        <w:tc>
          <w:tcPr>
            <w:tcW w:w="1565" w:type="dxa"/>
            <w:tcBorders>
              <w:top w:val="single" w:color="auto" w:sz="6" w:space="0"/>
              <w:left w:val="single" w:color="auto" w:sz="6" w:space="0"/>
              <w:bottom w:val="single" w:color="auto" w:sz="6" w:space="0"/>
              <w:right w:val="single" w:color="auto" w:sz="6" w:space="0"/>
            </w:tcBorders>
          </w:tcPr>
          <w:p w14:paraId="6C2C599D">
            <w:pPr>
              <w:autoSpaceDE w:val="0"/>
              <w:autoSpaceDN w:val="0"/>
              <w:adjustRightInd w:val="0"/>
              <w:spacing w:line="440" w:lineRule="atLeast"/>
              <w:jc w:val="center"/>
              <w:rPr>
                <w:rFonts w:ascii="Cambria Math" w:hAnsi="Cambria Math" w:eastAsia="Cambria Math"/>
                <w:b w:val="0"/>
                <w:color w:val="auto"/>
                <w:sz w:val="22"/>
                <w:szCs w:val="22"/>
                <w:highlight w:val="none"/>
                <w:lang w:val="zh-CN"/>
              </w:rPr>
            </w:pPr>
          </w:p>
        </w:tc>
      </w:tr>
      <w:tr w14:paraId="7CFEA259">
        <w:tblPrEx>
          <w:tblCellMar>
            <w:top w:w="0" w:type="dxa"/>
            <w:left w:w="108" w:type="dxa"/>
            <w:bottom w:w="0" w:type="dxa"/>
            <w:right w:w="108" w:type="dxa"/>
          </w:tblCellMar>
        </w:tblPrEx>
        <w:trPr>
          <w:trHeight w:val="424" w:hRule="atLeast"/>
        </w:trPr>
        <w:tc>
          <w:tcPr>
            <w:tcW w:w="900" w:type="dxa"/>
            <w:tcBorders>
              <w:top w:val="single" w:color="auto" w:sz="6" w:space="0"/>
              <w:left w:val="single" w:color="auto" w:sz="6" w:space="0"/>
              <w:bottom w:val="single" w:color="auto" w:sz="6" w:space="0"/>
              <w:right w:val="single" w:color="auto" w:sz="6" w:space="0"/>
            </w:tcBorders>
          </w:tcPr>
          <w:p w14:paraId="3B5FCE2E">
            <w:pPr>
              <w:autoSpaceDE w:val="0"/>
              <w:autoSpaceDN w:val="0"/>
              <w:adjustRightInd w:val="0"/>
              <w:spacing w:line="440" w:lineRule="atLeast"/>
              <w:jc w:val="center"/>
              <w:rPr>
                <w:rFonts w:ascii="Cambria Math" w:hAnsi="Cambria Math" w:eastAsia="Cambria Math"/>
                <w:b w:val="0"/>
                <w:color w:val="auto"/>
                <w:sz w:val="22"/>
                <w:szCs w:val="22"/>
                <w:highlight w:val="none"/>
                <w:lang w:val="zh-CN"/>
              </w:rPr>
            </w:pPr>
          </w:p>
        </w:tc>
        <w:tc>
          <w:tcPr>
            <w:tcW w:w="1800" w:type="dxa"/>
            <w:tcBorders>
              <w:top w:val="single" w:color="auto" w:sz="6" w:space="0"/>
              <w:left w:val="single" w:color="auto" w:sz="6" w:space="0"/>
              <w:bottom w:val="single" w:color="auto" w:sz="6" w:space="0"/>
              <w:right w:val="single" w:color="auto" w:sz="6" w:space="0"/>
            </w:tcBorders>
          </w:tcPr>
          <w:p w14:paraId="5CE2B5E1">
            <w:pPr>
              <w:autoSpaceDE w:val="0"/>
              <w:autoSpaceDN w:val="0"/>
              <w:adjustRightInd w:val="0"/>
              <w:spacing w:line="440" w:lineRule="atLeast"/>
              <w:jc w:val="center"/>
              <w:rPr>
                <w:rFonts w:ascii="Cambria Math" w:hAnsi="Cambria Math" w:eastAsia="Cambria Math"/>
                <w:b w:val="0"/>
                <w:color w:val="auto"/>
                <w:sz w:val="22"/>
                <w:szCs w:val="22"/>
                <w:highlight w:val="none"/>
                <w:lang w:val="zh-CN"/>
              </w:rPr>
            </w:pPr>
          </w:p>
        </w:tc>
        <w:tc>
          <w:tcPr>
            <w:tcW w:w="2664" w:type="dxa"/>
            <w:tcBorders>
              <w:top w:val="single" w:color="auto" w:sz="6" w:space="0"/>
              <w:left w:val="single" w:color="auto" w:sz="6" w:space="0"/>
              <w:bottom w:val="single" w:color="auto" w:sz="6" w:space="0"/>
              <w:right w:val="single" w:color="auto" w:sz="6" w:space="0"/>
            </w:tcBorders>
          </w:tcPr>
          <w:p w14:paraId="66FFB8CC">
            <w:pPr>
              <w:autoSpaceDE w:val="0"/>
              <w:autoSpaceDN w:val="0"/>
              <w:adjustRightInd w:val="0"/>
              <w:spacing w:line="440" w:lineRule="atLeast"/>
              <w:jc w:val="center"/>
              <w:rPr>
                <w:rFonts w:ascii="Cambria Math" w:hAnsi="Cambria Math" w:eastAsia="Cambria Math"/>
                <w:b w:val="0"/>
                <w:color w:val="auto"/>
                <w:sz w:val="22"/>
                <w:szCs w:val="22"/>
                <w:highlight w:val="none"/>
                <w:lang w:val="zh-CN"/>
              </w:rPr>
            </w:pPr>
          </w:p>
        </w:tc>
        <w:tc>
          <w:tcPr>
            <w:tcW w:w="2110" w:type="dxa"/>
            <w:tcBorders>
              <w:top w:val="single" w:color="auto" w:sz="6" w:space="0"/>
              <w:left w:val="single" w:color="auto" w:sz="6" w:space="0"/>
              <w:bottom w:val="single" w:color="auto" w:sz="6" w:space="0"/>
              <w:right w:val="single" w:color="auto" w:sz="6" w:space="0"/>
            </w:tcBorders>
          </w:tcPr>
          <w:p w14:paraId="4741DF3C">
            <w:pPr>
              <w:autoSpaceDE w:val="0"/>
              <w:autoSpaceDN w:val="0"/>
              <w:adjustRightInd w:val="0"/>
              <w:spacing w:line="440" w:lineRule="atLeast"/>
              <w:jc w:val="center"/>
              <w:rPr>
                <w:rFonts w:ascii="Cambria Math" w:hAnsi="Cambria Math" w:eastAsia="Cambria Math"/>
                <w:b w:val="0"/>
                <w:color w:val="auto"/>
                <w:sz w:val="22"/>
                <w:szCs w:val="22"/>
                <w:highlight w:val="none"/>
                <w:lang w:val="zh-CN"/>
              </w:rPr>
            </w:pPr>
          </w:p>
        </w:tc>
        <w:tc>
          <w:tcPr>
            <w:tcW w:w="1565" w:type="dxa"/>
            <w:tcBorders>
              <w:top w:val="single" w:color="auto" w:sz="6" w:space="0"/>
              <w:left w:val="single" w:color="auto" w:sz="6" w:space="0"/>
              <w:bottom w:val="single" w:color="auto" w:sz="6" w:space="0"/>
              <w:right w:val="single" w:color="auto" w:sz="6" w:space="0"/>
            </w:tcBorders>
          </w:tcPr>
          <w:p w14:paraId="7511A504">
            <w:pPr>
              <w:autoSpaceDE w:val="0"/>
              <w:autoSpaceDN w:val="0"/>
              <w:adjustRightInd w:val="0"/>
              <w:spacing w:line="440" w:lineRule="atLeast"/>
              <w:jc w:val="center"/>
              <w:rPr>
                <w:rFonts w:ascii="Cambria Math" w:hAnsi="Cambria Math" w:eastAsia="Cambria Math"/>
                <w:b w:val="0"/>
                <w:color w:val="auto"/>
                <w:sz w:val="22"/>
                <w:szCs w:val="22"/>
                <w:highlight w:val="none"/>
                <w:lang w:val="zh-CN"/>
              </w:rPr>
            </w:pPr>
          </w:p>
        </w:tc>
      </w:tr>
      <w:tr w14:paraId="38E2796C">
        <w:tblPrEx>
          <w:tblCellMar>
            <w:top w:w="0" w:type="dxa"/>
            <w:left w:w="108" w:type="dxa"/>
            <w:bottom w:w="0" w:type="dxa"/>
            <w:right w:w="108" w:type="dxa"/>
          </w:tblCellMar>
        </w:tblPrEx>
        <w:trPr>
          <w:trHeight w:val="424" w:hRule="atLeast"/>
        </w:trPr>
        <w:tc>
          <w:tcPr>
            <w:tcW w:w="900" w:type="dxa"/>
            <w:tcBorders>
              <w:top w:val="single" w:color="auto" w:sz="6" w:space="0"/>
              <w:left w:val="single" w:color="auto" w:sz="6" w:space="0"/>
              <w:bottom w:val="single" w:color="auto" w:sz="6" w:space="0"/>
              <w:right w:val="single" w:color="auto" w:sz="6" w:space="0"/>
            </w:tcBorders>
          </w:tcPr>
          <w:p w14:paraId="7CC9A251">
            <w:pPr>
              <w:autoSpaceDE w:val="0"/>
              <w:autoSpaceDN w:val="0"/>
              <w:adjustRightInd w:val="0"/>
              <w:spacing w:line="440" w:lineRule="atLeast"/>
              <w:jc w:val="center"/>
              <w:rPr>
                <w:rFonts w:ascii="Cambria Math" w:hAnsi="Cambria Math" w:eastAsia="Cambria Math"/>
                <w:b w:val="0"/>
                <w:color w:val="auto"/>
                <w:sz w:val="22"/>
                <w:szCs w:val="22"/>
                <w:highlight w:val="none"/>
                <w:lang w:val="zh-CN"/>
              </w:rPr>
            </w:pPr>
          </w:p>
        </w:tc>
        <w:tc>
          <w:tcPr>
            <w:tcW w:w="1800" w:type="dxa"/>
            <w:tcBorders>
              <w:top w:val="single" w:color="auto" w:sz="6" w:space="0"/>
              <w:left w:val="single" w:color="auto" w:sz="6" w:space="0"/>
              <w:bottom w:val="single" w:color="auto" w:sz="6" w:space="0"/>
              <w:right w:val="single" w:color="auto" w:sz="6" w:space="0"/>
            </w:tcBorders>
          </w:tcPr>
          <w:p w14:paraId="4D22D039">
            <w:pPr>
              <w:autoSpaceDE w:val="0"/>
              <w:autoSpaceDN w:val="0"/>
              <w:adjustRightInd w:val="0"/>
              <w:spacing w:line="440" w:lineRule="atLeast"/>
              <w:jc w:val="center"/>
              <w:rPr>
                <w:rFonts w:ascii="Cambria Math" w:hAnsi="Cambria Math" w:eastAsia="Cambria Math"/>
                <w:b w:val="0"/>
                <w:color w:val="auto"/>
                <w:sz w:val="22"/>
                <w:szCs w:val="22"/>
                <w:highlight w:val="none"/>
                <w:lang w:val="zh-CN"/>
              </w:rPr>
            </w:pPr>
          </w:p>
        </w:tc>
        <w:tc>
          <w:tcPr>
            <w:tcW w:w="2664" w:type="dxa"/>
            <w:tcBorders>
              <w:top w:val="single" w:color="auto" w:sz="6" w:space="0"/>
              <w:left w:val="single" w:color="auto" w:sz="6" w:space="0"/>
              <w:bottom w:val="single" w:color="auto" w:sz="6" w:space="0"/>
              <w:right w:val="single" w:color="auto" w:sz="6" w:space="0"/>
            </w:tcBorders>
          </w:tcPr>
          <w:p w14:paraId="59FF8852">
            <w:pPr>
              <w:autoSpaceDE w:val="0"/>
              <w:autoSpaceDN w:val="0"/>
              <w:adjustRightInd w:val="0"/>
              <w:spacing w:line="440" w:lineRule="atLeast"/>
              <w:jc w:val="center"/>
              <w:rPr>
                <w:rFonts w:ascii="Cambria Math" w:hAnsi="Cambria Math" w:eastAsia="Cambria Math"/>
                <w:b w:val="0"/>
                <w:color w:val="auto"/>
                <w:sz w:val="22"/>
                <w:szCs w:val="22"/>
                <w:highlight w:val="none"/>
                <w:lang w:val="zh-CN"/>
              </w:rPr>
            </w:pPr>
          </w:p>
        </w:tc>
        <w:tc>
          <w:tcPr>
            <w:tcW w:w="2110" w:type="dxa"/>
            <w:tcBorders>
              <w:top w:val="single" w:color="auto" w:sz="6" w:space="0"/>
              <w:left w:val="single" w:color="auto" w:sz="6" w:space="0"/>
              <w:bottom w:val="single" w:color="auto" w:sz="6" w:space="0"/>
              <w:right w:val="single" w:color="auto" w:sz="6" w:space="0"/>
            </w:tcBorders>
          </w:tcPr>
          <w:p w14:paraId="7761F1BD">
            <w:pPr>
              <w:autoSpaceDE w:val="0"/>
              <w:autoSpaceDN w:val="0"/>
              <w:adjustRightInd w:val="0"/>
              <w:spacing w:line="440" w:lineRule="atLeast"/>
              <w:jc w:val="center"/>
              <w:rPr>
                <w:rFonts w:ascii="Cambria Math" w:hAnsi="Cambria Math" w:eastAsia="Cambria Math"/>
                <w:b w:val="0"/>
                <w:color w:val="auto"/>
                <w:sz w:val="22"/>
                <w:szCs w:val="22"/>
                <w:highlight w:val="none"/>
                <w:lang w:val="zh-CN"/>
              </w:rPr>
            </w:pPr>
          </w:p>
        </w:tc>
        <w:tc>
          <w:tcPr>
            <w:tcW w:w="1565" w:type="dxa"/>
            <w:tcBorders>
              <w:top w:val="single" w:color="auto" w:sz="6" w:space="0"/>
              <w:left w:val="single" w:color="auto" w:sz="6" w:space="0"/>
              <w:bottom w:val="single" w:color="auto" w:sz="6" w:space="0"/>
              <w:right w:val="single" w:color="auto" w:sz="6" w:space="0"/>
            </w:tcBorders>
          </w:tcPr>
          <w:p w14:paraId="66A62B8A">
            <w:pPr>
              <w:autoSpaceDE w:val="0"/>
              <w:autoSpaceDN w:val="0"/>
              <w:adjustRightInd w:val="0"/>
              <w:spacing w:line="440" w:lineRule="atLeast"/>
              <w:jc w:val="center"/>
              <w:rPr>
                <w:rFonts w:ascii="Cambria Math" w:hAnsi="Cambria Math" w:eastAsia="Cambria Math"/>
                <w:b w:val="0"/>
                <w:color w:val="auto"/>
                <w:sz w:val="22"/>
                <w:szCs w:val="22"/>
                <w:highlight w:val="none"/>
                <w:lang w:val="zh-CN"/>
              </w:rPr>
            </w:pPr>
          </w:p>
        </w:tc>
      </w:tr>
      <w:tr w14:paraId="67A567D9">
        <w:tblPrEx>
          <w:tblCellMar>
            <w:top w:w="0" w:type="dxa"/>
            <w:left w:w="108" w:type="dxa"/>
            <w:bottom w:w="0" w:type="dxa"/>
            <w:right w:w="108" w:type="dxa"/>
          </w:tblCellMar>
        </w:tblPrEx>
        <w:trPr>
          <w:trHeight w:val="424" w:hRule="atLeast"/>
        </w:trPr>
        <w:tc>
          <w:tcPr>
            <w:tcW w:w="900" w:type="dxa"/>
            <w:tcBorders>
              <w:top w:val="single" w:color="auto" w:sz="6" w:space="0"/>
              <w:left w:val="single" w:color="auto" w:sz="6" w:space="0"/>
              <w:bottom w:val="single" w:color="auto" w:sz="6" w:space="0"/>
              <w:right w:val="single" w:color="auto" w:sz="6" w:space="0"/>
            </w:tcBorders>
          </w:tcPr>
          <w:p w14:paraId="11E435A8">
            <w:pPr>
              <w:autoSpaceDE w:val="0"/>
              <w:autoSpaceDN w:val="0"/>
              <w:adjustRightInd w:val="0"/>
              <w:spacing w:line="440" w:lineRule="atLeast"/>
              <w:jc w:val="center"/>
              <w:rPr>
                <w:rFonts w:ascii="Cambria Math" w:hAnsi="Cambria Math" w:eastAsia="Cambria Math"/>
                <w:b w:val="0"/>
                <w:color w:val="auto"/>
                <w:sz w:val="22"/>
                <w:szCs w:val="22"/>
                <w:highlight w:val="none"/>
                <w:lang w:val="zh-CN"/>
              </w:rPr>
            </w:pPr>
          </w:p>
        </w:tc>
        <w:tc>
          <w:tcPr>
            <w:tcW w:w="1800" w:type="dxa"/>
            <w:tcBorders>
              <w:top w:val="single" w:color="auto" w:sz="6" w:space="0"/>
              <w:left w:val="single" w:color="auto" w:sz="6" w:space="0"/>
              <w:bottom w:val="single" w:color="auto" w:sz="6" w:space="0"/>
              <w:right w:val="single" w:color="auto" w:sz="6" w:space="0"/>
            </w:tcBorders>
          </w:tcPr>
          <w:p w14:paraId="346AB3CC">
            <w:pPr>
              <w:autoSpaceDE w:val="0"/>
              <w:autoSpaceDN w:val="0"/>
              <w:adjustRightInd w:val="0"/>
              <w:spacing w:line="440" w:lineRule="atLeast"/>
              <w:jc w:val="center"/>
              <w:rPr>
                <w:rFonts w:ascii="Cambria Math" w:hAnsi="Cambria Math" w:eastAsia="Cambria Math"/>
                <w:b w:val="0"/>
                <w:color w:val="auto"/>
                <w:sz w:val="22"/>
                <w:szCs w:val="22"/>
                <w:highlight w:val="none"/>
                <w:lang w:val="zh-CN"/>
              </w:rPr>
            </w:pPr>
          </w:p>
        </w:tc>
        <w:tc>
          <w:tcPr>
            <w:tcW w:w="2664" w:type="dxa"/>
            <w:tcBorders>
              <w:top w:val="single" w:color="auto" w:sz="6" w:space="0"/>
              <w:left w:val="single" w:color="auto" w:sz="6" w:space="0"/>
              <w:bottom w:val="single" w:color="auto" w:sz="6" w:space="0"/>
              <w:right w:val="single" w:color="auto" w:sz="6" w:space="0"/>
            </w:tcBorders>
          </w:tcPr>
          <w:p w14:paraId="0B6103BF">
            <w:pPr>
              <w:autoSpaceDE w:val="0"/>
              <w:autoSpaceDN w:val="0"/>
              <w:adjustRightInd w:val="0"/>
              <w:spacing w:line="440" w:lineRule="atLeast"/>
              <w:jc w:val="center"/>
              <w:rPr>
                <w:rFonts w:ascii="Cambria Math" w:hAnsi="Cambria Math" w:eastAsia="Cambria Math"/>
                <w:b w:val="0"/>
                <w:color w:val="auto"/>
                <w:sz w:val="22"/>
                <w:szCs w:val="22"/>
                <w:highlight w:val="none"/>
                <w:lang w:val="zh-CN"/>
              </w:rPr>
            </w:pPr>
          </w:p>
        </w:tc>
        <w:tc>
          <w:tcPr>
            <w:tcW w:w="2110" w:type="dxa"/>
            <w:tcBorders>
              <w:top w:val="single" w:color="auto" w:sz="6" w:space="0"/>
              <w:left w:val="single" w:color="auto" w:sz="6" w:space="0"/>
              <w:bottom w:val="single" w:color="auto" w:sz="6" w:space="0"/>
              <w:right w:val="single" w:color="auto" w:sz="6" w:space="0"/>
            </w:tcBorders>
          </w:tcPr>
          <w:p w14:paraId="0EA1D48B">
            <w:pPr>
              <w:autoSpaceDE w:val="0"/>
              <w:autoSpaceDN w:val="0"/>
              <w:adjustRightInd w:val="0"/>
              <w:spacing w:line="440" w:lineRule="atLeast"/>
              <w:jc w:val="center"/>
              <w:rPr>
                <w:rFonts w:ascii="Cambria Math" w:hAnsi="Cambria Math" w:eastAsia="Cambria Math"/>
                <w:b w:val="0"/>
                <w:color w:val="auto"/>
                <w:sz w:val="22"/>
                <w:szCs w:val="22"/>
                <w:highlight w:val="none"/>
                <w:lang w:val="zh-CN"/>
              </w:rPr>
            </w:pPr>
          </w:p>
        </w:tc>
        <w:tc>
          <w:tcPr>
            <w:tcW w:w="1565" w:type="dxa"/>
            <w:tcBorders>
              <w:top w:val="single" w:color="auto" w:sz="6" w:space="0"/>
              <w:left w:val="single" w:color="auto" w:sz="6" w:space="0"/>
              <w:bottom w:val="single" w:color="auto" w:sz="6" w:space="0"/>
              <w:right w:val="single" w:color="auto" w:sz="6" w:space="0"/>
            </w:tcBorders>
          </w:tcPr>
          <w:p w14:paraId="50331386">
            <w:pPr>
              <w:autoSpaceDE w:val="0"/>
              <w:autoSpaceDN w:val="0"/>
              <w:adjustRightInd w:val="0"/>
              <w:spacing w:line="440" w:lineRule="atLeast"/>
              <w:jc w:val="center"/>
              <w:rPr>
                <w:rFonts w:ascii="Cambria Math" w:hAnsi="Cambria Math" w:eastAsia="Cambria Math"/>
                <w:b w:val="0"/>
                <w:color w:val="auto"/>
                <w:sz w:val="22"/>
                <w:szCs w:val="22"/>
                <w:highlight w:val="none"/>
                <w:lang w:val="zh-CN"/>
              </w:rPr>
            </w:pPr>
          </w:p>
        </w:tc>
      </w:tr>
      <w:tr w14:paraId="43AFC40E">
        <w:tblPrEx>
          <w:tblCellMar>
            <w:top w:w="0" w:type="dxa"/>
            <w:left w:w="108" w:type="dxa"/>
            <w:bottom w:w="0" w:type="dxa"/>
            <w:right w:w="108" w:type="dxa"/>
          </w:tblCellMar>
        </w:tblPrEx>
        <w:trPr>
          <w:trHeight w:val="424" w:hRule="atLeast"/>
        </w:trPr>
        <w:tc>
          <w:tcPr>
            <w:tcW w:w="900" w:type="dxa"/>
            <w:tcBorders>
              <w:top w:val="single" w:color="auto" w:sz="6" w:space="0"/>
              <w:left w:val="single" w:color="auto" w:sz="6" w:space="0"/>
              <w:bottom w:val="single" w:color="auto" w:sz="6" w:space="0"/>
              <w:right w:val="single" w:color="auto" w:sz="6" w:space="0"/>
            </w:tcBorders>
          </w:tcPr>
          <w:p w14:paraId="3BE59416">
            <w:pPr>
              <w:autoSpaceDE w:val="0"/>
              <w:autoSpaceDN w:val="0"/>
              <w:adjustRightInd w:val="0"/>
              <w:spacing w:line="440" w:lineRule="atLeast"/>
              <w:jc w:val="center"/>
              <w:rPr>
                <w:rFonts w:ascii="Cambria Math" w:hAnsi="Cambria Math" w:eastAsia="Cambria Math"/>
                <w:b w:val="0"/>
                <w:color w:val="auto"/>
                <w:sz w:val="22"/>
                <w:szCs w:val="22"/>
                <w:highlight w:val="none"/>
                <w:lang w:val="zh-CN"/>
              </w:rPr>
            </w:pPr>
          </w:p>
        </w:tc>
        <w:tc>
          <w:tcPr>
            <w:tcW w:w="1800" w:type="dxa"/>
            <w:tcBorders>
              <w:top w:val="single" w:color="auto" w:sz="6" w:space="0"/>
              <w:left w:val="single" w:color="auto" w:sz="6" w:space="0"/>
              <w:bottom w:val="single" w:color="auto" w:sz="6" w:space="0"/>
              <w:right w:val="single" w:color="auto" w:sz="6" w:space="0"/>
            </w:tcBorders>
          </w:tcPr>
          <w:p w14:paraId="504588BA">
            <w:pPr>
              <w:autoSpaceDE w:val="0"/>
              <w:autoSpaceDN w:val="0"/>
              <w:adjustRightInd w:val="0"/>
              <w:spacing w:line="440" w:lineRule="atLeast"/>
              <w:jc w:val="center"/>
              <w:rPr>
                <w:rFonts w:ascii="Cambria Math" w:hAnsi="Cambria Math" w:eastAsia="Cambria Math"/>
                <w:b w:val="0"/>
                <w:color w:val="auto"/>
                <w:sz w:val="22"/>
                <w:szCs w:val="22"/>
                <w:highlight w:val="none"/>
                <w:lang w:val="zh-CN"/>
              </w:rPr>
            </w:pPr>
          </w:p>
        </w:tc>
        <w:tc>
          <w:tcPr>
            <w:tcW w:w="2664" w:type="dxa"/>
            <w:tcBorders>
              <w:top w:val="single" w:color="auto" w:sz="6" w:space="0"/>
              <w:left w:val="single" w:color="auto" w:sz="6" w:space="0"/>
              <w:bottom w:val="single" w:color="auto" w:sz="6" w:space="0"/>
              <w:right w:val="single" w:color="auto" w:sz="6" w:space="0"/>
            </w:tcBorders>
          </w:tcPr>
          <w:p w14:paraId="4FC2DAB3">
            <w:pPr>
              <w:autoSpaceDE w:val="0"/>
              <w:autoSpaceDN w:val="0"/>
              <w:adjustRightInd w:val="0"/>
              <w:spacing w:line="440" w:lineRule="atLeast"/>
              <w:jc w:val="center"/>
              <w:rPr>
                <w:rFonts w:ascii="Cambria Math" w:hAnsi="Cambria Math" w:eastAsia="Cambria Math"/>
                <w:b w:val="0"/>
                <w:color w:val="auto"/>
                <w:sz w:val="22"/>
                <w:szCs w:val="22"/>
                <w:highlight w:val="none"/>
                <w:lang w:val="zh-CN"/>
              </w:rPr>
            </w:pPr>
          </w:p>
        </w:tc>
        <w:tc>
          <w:tcPr>
            <w:tcW w:w="2110" w:type="dxa"/>
            <w:tcBorders>
              <w:top w:val="single" w:color="auto" w:sz="6" w:space="0"/>
              <w:left w:val="single" w:color="auto" w:sz="6" w:space="0"/>
              <w:bottom w:val="single" w:color="auto" w:sz="6" w:space="0"/>
              <w:right w:val="single" w:color="auto" w:sz="6" w:space="0"/>
            </w:tcBorders>
          </w:tcPr>
          <w:p w14:paraId="705E608A">
            <w:pPr>
              <w:autoSpaceDE w:val="0"/>
              <w:autoSpaceDN w:val="0"/>
              <w:adjustRightInd w:val="0"/>
              <w:spacing w:line="440" w:lineRule="atLeast"/>
              <w:jc w:val="center"/>
              <w:rPr>
                <w:rFonts w:ascii="Cambria Math" w:hAnsi="Cambria Math" w:eastAsia="Cambria Math"/>
                <w:b w:val="0"/>
                <w:color w:val="auto"/>
                <w:sz w:val="22"/>
                <w:szCs w:val="22"/>
                <w:highlight w:val="none"/>
                <w:lang w:val="zh-CN"/>
              </w:rPr>
            </w:pPr>
          </w:p>
        </w:tc>
        <w:tc>
          <w:tcPr>
            <w:tcW w:w="1565" w:type="dxa"/>
            <w:tcBorders>
              <w:top w:val="single" w:color="auto" w:sz="6" w:space="0"/>
              <w:left w:val="single" w:color="auto" w:sz="6" w:space="0"/>
              <w:bottom w:val="single" w:color="auto" w:sz="6" w:space="0"/>
              <w:right w:val="single" w:color="auto" w:sz="6" w:space="0"/>
            </w:tcBorders>
          </w:tcPr>
          <w:p w14:paraId="7D2E5EBF">
            <w:pPr>
              <w:autoSpaceDE w:val="0"/>
              <w:autoSpaceDN w:val="0"/>
              <w:adjustRightInd w:val="0"/>
              <w:spacing w:line="440" w:lineRule="atLeast"/>
              <w:jc w:val="center"/>
              <w:rPr>
                <w:rFonts w:ascii="Cambria Math" w:hAnsi="Cambria Math" w:eastAsia="Cambria Math"/>
                <w:b w:val="0"/>
                <w:color w:val="auto"/>
                <w:sz w:val="22"/>
                <w:szCs w:val="22"/>
                <w:highlight w:val="none"/>
                <w:lang w:val="zh-CN"/>
              </w:rPr>
            </w:pPr>
          </w:p>
        </w:tc>
      </w:tr>
      <w:tr w14:paraId="1C80311A">
        <w:tblPrEx>
          <w:tblCellMar>
            <w:top w:w="0" w:type="dxa"/>
            <w:left w:w="108" w:type="dxa"/>
            <w:bottom w:w="0" w:type="dxa"/>
            <w:right w:w="108" w:type="dxa"/>
          </w:tblCellMar>
        </w:tblPrEx>
        <w:trPr>
          <w:trHeight w:val="424" w:hRule="atLeast"/>
        </w:trPr>
        <w:tc>
          <w:tcPr>
            <w:tcW w:w="900" w:type="dxa"/>
            <w:tcBorders>
              <w:top w:val="single" w:color="auto" w:sz="6" w:space="0"/>
              <w:left w:val="single" w:color="auto" w:sz="6" w:space="0"/>
              <w:bottom w:val="single" w:color="auto" w:sz="6" w:space="0"/>
              <w:right w:val="single" w:color="auto" w:sz="6" w:space="0"/>
            </w:tcBorders>
          </w:tcPr>
          <w:p w14:paraId="6AE4A1BC">
            <w:pPr>
              <w:autoSpaceDE w:val="0"/>
              <w:autoSpaceDN w:val="0"/>
              <w:adjustRightInd w:val="0"/>
              <w:spacing w:line="440" w:lineRule="atLeast"/>
              <w:jc w:val="center"/>
              <w:rPr>
                <w:rFonts w:ascii="Cambria Math" w:hAnsi="Cambria Math" w:eastAsia="Cambria Math"/>
                <w:b w:val="0"/>
                <w:color w:val="auto"/>
                <w:sz w:val="22"/>
                <w:szCs w:val="22"/>
                <w:highlight w:val="none"/>
                <w:lang w:val="zh-CN"/>
              </w:rPr>
            </w:pPr>
          </w:p>
        </w:tc>
        <w:tc>
          <w:tcPr>
            <w:tcW w:w="1800" w:type="dxa"/>
            <w:tcBorders>
              <w:top w:val="single" w:color="auto" w:sz="6" w:space="0"/>
              <w:left w:val="single" w:color="auto" w:sz="6" w:space="0"/>
              <w:bottom w:val="single" w:color="auto" w:sz="6" w:space="0"/>
              <w:right w:val="single" w:color="auto" w:sz="6" w:space="0"/>
            </w:tcBorders>
          </w:tcPr>
          <w:p w14:paraId="7E77C292">
            <w:pPr>
              <w:autoSpaceDE w:val="0"/>
              <w:autoSpaceDN w:val="0"/>
              <w:adjustRightInd w:val="0"/>
              <w:spacing w:line="440" w:lineRule="atLeast"/>
              <w:jc w:val="center"/>
              <w:rPr>
                <w:rFonts w:ascii="Cambria Math" w:hAnsi="Cambria Math" w:eastAsia="Cambria Math"/>
                <w:b w:val="0"/>
                <w:color w:val="auto"/>
                <w:sz w:val="22"/>
                <w:szCs w:val="22"/>
                <w:highlight w:val="none"/>
                <w:lang w:val="zh-CN"/>
              </w:rPr>
            </w:pPr>
          </w:p>
        </w:tc>
        <w:tc>
          <w:tcPr>
            <w:tcW w:w="2664" w:type="dxa"/>
            <w:tcBorders>
              <w:top w:val="single" w:color="auto" w:sz="6" w:space="0"/>
              <w:left w:val="single" w:color="auto" w:sz="6" w:space="0"/>
              <w:bottom w:val="single" w:color="auto" w:sz="6" w:space="0"/>
              <w:right w:val="single" w:color="auto" w:sz="6" w:space="0"/>
            </w:tcBorders>
          </w:tcPr>
          <w:p w14:paraId="53686F33">
            <w:pPr>
              <w:autoSpaceDE w:val="0"/>
              <w:autoSpaceDN w:val="0"/>
              <w:adjustRightInd w:val="0"/>
              <w:spacing w:line="440" w:lineRule="atLeast"/>
              <w:jc w:val="center"/>
              <w:rPr>
                <w:rFonts w:ascii="Cambria Math" w:hAnsi="Cambria Math" w:eastAsia="Cambria Math"/>
                <w:b w:val="0"/>
                <w:color w:val="auto"/>
                <w:sz w:val="22"/>
                <w:szCs w:val="22"/>
                <w:highlight w:val="none"/>
                <w:lang w:val="zh-CN"/>
              </w:rPr>
            </w:pPr>
          </w:p>
        </w:tc>
        <w:tc>
          <w:tcPr>
            <w:tcW w:w="2110" w:type="dxa"/>
            <w:tcBorders>
              <w:top w:val="single" w:color="auto" w:sz="6" w:space="0"/>
              <w:left w:val="single" w:color="auto" w:sz="6" w:space="0"/>
              <w:bottom w:val="single" w:color="auto" w:sz="6" w:space="0"/>
              <w:right w:val="single" w:color="auto" w:sz="6" w:space="0"/>
            </w:tcBorders>
          </w:tcPr>
          <w:p w14:paraId="615902E4">
            <w:pPr>
              <w:autoSpaceDE w:val="0"/>
              <w:autoSpaceDN w:val="0"/>
              <w:adjustRightInd w:val="0"/>
              <w:spacing w:line="440" w:lineRule="atLeast"/>
              <w:jc w:val="center"/>
              <w:rPr>
                <w:rFonts w:ascii="Cambria Math" w:hAnsi="Cambria Math" w:eastAsia="Cambria Math"/>
                <w:b w:val="0"/>
                <w:color w:val="auto"/>
                <w:sz w:val="22"/>
                <w:szCs w:val="22"/>
                <w:highlight w:val="none"/>
                <w:lang w:val="zh-CN"/>
              </w:rPr>
            </w:pPr>
          </w:p>
        </w:tc>
        <w:tc>
          <w:tcPr>
            <w:tcW w:w="1565" w:type="dxa"/>
            <w:tcBorders>
              <w:top w:val="single" w:color="auto" w:sz="6" w:space="0"/>
              <w:left w:val="single" w:color="auto" w:sz="6" w:space="0"/>
              <w:bottom w:val="single" w:color="auto" w:sz="6" w:space="0"/>
              <w:right w:val="single" w:color="auto" w:sz="6" w:space="0"/>
            </w:tcBorders>
          </w:tcPr>
          <w:p w14:paraId="7685379B">
            <w:pPr>
              <w:autoSpaceDE w:val="0"/>
              <w:autoSpaceDN w:val="0"/>
              <w:adjustRightInd w:val="0"/>
              <w:spacing w:line="440" w:lineRule="atLeast"/>
              <w:jc w:val="center"/>
              <w:rPr>
                <w:rFonts w:ascii="Cambria Math" w:hAnsi="Cambria Math" w:eastAsia="Cambria Math"/>
                <w:b w:val="0"/>
                <w:color w:val="auto"/>
                <w:sz w:val="22"/>
                <w:szCs w:val="22"/>
                <w:highlight w:val="none"/>
                <w:lang w:val="zh-CN"/>
              </w:rPr>
            </w:pPr>
          </w:p>
        </w:tc>
      </w:tr>
      <w:tr w14:paraId="43827DD3">
        <w:tblPrEx>
          <w:tblCellMar>
            <w:top w:w="0" w:type="dxa"/>
            <w:left w:w="108" w:type="dxa"/>
            <w:bottom w:w="0" w:type="dxa"/>
            <w:right w:w="108" w:type="dxa"/>
          </w:tblCellMar>
        </w:tblPrEx>
        <w:trPr>
          <w:trHeight w:val="424" w:hRule="atLeast"/>
        </w:trPr>
        <w:tc>
          <w:tcPr>
            <w:tcW w:w="900" w:type="dxa"/>
            <w:tcBorders>
              <w:top w:val="single" w:color="auto" w:sz="6" w:space="0"/>
              <w:left w:val="single" w:color="auto" w:sz="6" w:space="0"/>
              <w:bottom w:val="single" w:color="auto" w:sz="6" w:space="0"/>
              <w:right w:val="single" w:color="auto" w:sz="6" w:space="0"/>
            </w:tcBorders>
          </w:tcPr>
          <w:p w14:paraId="0E31D47E">
            <w:pPr>
              <w:autoSpaceDE w:val="0"/>
              <w:autoSpaceDN w:val="0"/>
              <w:adjustRightInd w:val="0"/>
              <w:spacing w:line="440" w:lineRule="atLeast"/>
              <w:jc w:val="center"/>
              <w:rPr>
                <w:rFonts w:ascii="Cambria Math" w:hAnsi="Cambria Math" w:eastAsia="Cambria Math"/>
                <w:b w:val="0"/>
                <w:color w:val="auto"/>
                <w:sz w:val="22"/>
                <w:szCs w:val="22"/>
                <w:highlight w:val="none"/>
                <w:lang w:val="zh-CN"/>
              </w:rPr>
            </w:pPr>
          </w:p>
        </w:tc>
        <w:tc>
          <w:tcPr>
            <w:tcW w:w="1800" w:type="dxa"/>
            <w:tcBorders>
              <w:top w:val="single" w:color="auto" w:sz="6" w:space="0"/>
              <w:left w:val="single" w:color="auto" w:sz="6" w:space="0"/>
              <w:bottom w:val="single" w:color="auto" w:sz="6" w:space="0"/>
              <w:right w:val="single" w:color="auto" w:sz="6" w:space="0"/>
            </w:tcBorders>
          </w:tcPr>
          <w:p w14:paraId="30B86336">
            <w:pPr>
              <w:autoSpaceDE w:val="0"/>
              <w:autoSpaceDN w:val="0"/>
              <w:adjustRightInd w:val="0"/>
              <w:spacing w:line="440" w:lineRule="atLeast"/>
              <w:jc w:val="center"/>
              <w:rPr>
                <w:rFonts w:ascii="Cambria Math" w:hAnsi="Cambria Math" w:eastAsia="Cambria Math"/>
                <w:b w:val="0"/>
                <w:color w:val="auto"/>
                <w:sz w:val="22"/>
                <w:szCs w:val="22"/>
                <w:highlight w:val="none"/>
                <w:lang w:val="zh-CN"/>
              </w:rPr>
            </w:pPr>
          </w:p>
        </w:tc>
        <w:tc>
          <w:tcPr>
            <w:tcW w:w="2664" w:type="dxa"/>
            <w:tcBorders>
              <w:top w:val="single" w:color="auto" w:sz="6" w:space="0"/>
              <w:left w:val="single" w:color="auto" w:sz="6" w:space="0"/>
              <w:bottom w:val="single" w:color="auto" w:sz="6" w:space="0"/>
              <w:right w:val="single" w:color="auto" w:sz="6" w:space="0"/>
            </w:tcBorders>
          </w:tcPr>
          <w:p w14:paraId="304DAE41">
            <w:pPr>
              <w:autoSpaceDE w:val="0"/>
              <w:autoSpaceDN w:val="0"/>
              <w:adjustRightInd w:val="0"/>
              <w:spacing w:line="440" w:lineRule="atLeast"/>
              <w:jc w:val="center"/>
              <w:rPr>
                <w:rFonts w:ascii="Cambria Math" w:hAnsi="Cambria Math" w:eastAsia="Cambria Math"/>
                <w:b w:val="0"/>
                <w:color w:val="auto"/>
                <w:sz w:val="22"/>
                <w:szCs w:val="22"/>
                <w:highlight w:val="none"/>
                <w:lang w:val="zh-CN"/>
              </w:rPr>
            </w:pPr>
          </w:p>
        </w:tc>
        <w:tc>
          <w:tcPr>
            <w:tcW w:w="2110" w:type="dxa"/>
            <w:tcBorders>
              <w:top w:val="single" w:color="auto" w:sz="6" w:space="0"/>
              <w:left w:val="single" w:color="auto" w:sz="6" w:space="0"/>
              <w:bottom w:val="single" w:color="auto" w:sz="6" w:space="0"/>
              <w:right w:val="single" w:color="auto" w:sz="6" w:space="0"/>
            </w:tcBorders>
          </w:tcPr>
          <w:p w14:paraId="07F0789D">
            <w:pPr>
              <w:autoSpaceDE w:val="0"/>
              <w:autoSpaceDN w:val="0"/>
              <w:adjustRightInd w:val="0"/>
              <w:spacing w:line="440" w:lineRule="atLeast"/>
              <w:jc w:val="center"/>
              <w:rPr>
                <w:rFonts w:ascii="Cambria Math" w:hAnsi="Cambria Math" w:eastAsia="Cambria Math"/>
                <w:b w:val="0"/>
                <w:color w:val="auto"/>
                <w:sz w:val="22"/>
                <w:szCs w:val="22"/>
                <w:highlight w:val="none"/>
                <w:lang w:val="zh-CN"/>
              </w:rPr>
            </w:pPr>
          </w:p>
        </w:tc>
        <w:tc>
          <w:tcPr>
            <w:tcW w:w="1565" w:type="dxa"/>
            <w:tcBorders>
              <w:top w:val="single" w:color="auto" w:sz="6" w:space="0"/>
              <w:left w:val="single" w:color="auto" w:sz="6" w:space="0"/>
              <w:bottom w:val="single" w:color="auto" w:sz="6" w:space="0"/>
              <w:right w:val="single" w:color="auto" w:sz="6" w:space="0"/>
            </w:tcBorders>
          </w:tcPr>
          <w:p w14:paraId="4D8302CB">
            <w:pPr>
              <w:autoSpaceDE w:val="0"/>
              <w:autoSpaceDN w:val="0"/>
              <w:adjustRightInd w:val="0"/>
              <w:spacing w:line="440" w:lineRule="atLeast"/>
              <w:jc w:val="center"/>
              <w:rPr>
                <w:rFonts w:ascii="Cambria Math" w:hAnsi="Cambria Math" w:eastAsia="Cambria Math"/>
                <w:b w:val="0"/>
                <w:color w:val="auto"/>
                <w:sz w:val="22"/>
                <w:szCs w:val="22"/>
                <w:highlight w:val="none"/>
                <w:lang w:val="zh-CN"/>
              </w:rPr>
            </w:pPr>
          </w:p>
        </w:tc>
      </w:tr>
      <w:tr w14:paraId="738E6B13">
        <w:tblPrEx>
          <w:tblCellMar>
            <w:top w:w="0" w:type="dxa"/>
            <w:left w:w="108" w:type="dxa"/>
            <w:bottom w:w="0" w:type="dxa"/>
            <w:right w:w="108" w:type="dxa"/>
          </w:tblCellMar>
        </w:tblPrEx>
        <w:trPr>
          <w:trHeight w:val="424" w:hRule="atLeast"/>
        </w:trPr>
        <w:tc>
          <w:tcPr>
            <w:tcW w:w="900" w:type="dxa"/>
            <w:tcBorders>
              <w:top w:val="single" w:color="auto" w:sz="6" w:space="0"/>
              <w:left w:val="single" w:color="auto" w:sz="6" w:space="0"/>
              <w:bottom w:val="single" w:color="auto" w:sz="6" w:space="0"/>
              <w:right w:val="single" w:color="auto" w:sz="6" w:space="0"/>
            </w:tcBorders>
          </w:tcPr>
          <w:p w14:paraId="4361D152">
            <w:pPr>
              <w:autoSpaceDE w:val="0"/>
              <w:autoSpaceDN w:val="0"/>
              <w:adjustRightInd w:val="0"/>
              <w:spacing w:line="440" w:lineRule="atLeast"/>
              <w:jc w:val="center"/>
              <w:rPr>
                <w:rFonts w:ascii="Cambria Math" w:hAnsi="Cambria Math" w:eastAsia="Cambria Math"/>
                <w:b w:val="0"/>
                <w:color w:val="auto"/>
                <w:sz w:val="22"/>
                <w:szCs w:val="22"/>
                <w:highlight w:val="none"/>
                <w:lang w:val="zh-CN"/>
              </w:rPr>
            </w:pPr>
          </w:p>
        </w:tc>
        <w:tc>
          <w:tcPr>
            <w:tcW w:w="1800" w:type="dxa"/>
            <w:tcBorders>
              <w:top w:val="single" w:color="auto" w:sz="6" w:space="0"/>
              <w:left w:val="single" w:color="auto" w:sz="6" w:space="0"/>
              <w:bottom w:val="single" w:color="auto" w:sz="6" w:space="0"/>
              <w:right w:val="single" w:color="auto" w:sz="6" w:space="0"/>
            </w:tcBorders>
          </w:tcPr>
          <w:p w14:paraId="197D90EB">
            <w:pPr>
              <w:autoSpaceDE w:val="0"/>
              <w:autoSpaceDN w:val="0"/>
              <w:adjustRightInd w:val="0"/>
              <w:spacing w:line="440" w:lineRule="atLeast"/>
              <w:jc w:val="center"/>
              <w:rPr>
                <w:rFonts w:ascii="Cambria Math" w:hAnsi="Cambria Math" w:eastAsia="Cambria Math"/>
                <w:b w:val="0"/>
                <w:color w:val="auto"/>
                <w:sz w:val="22"/>
                <w:szCs w:val="22"/>
                <w:highlight w:val="none"/>
                <w:lang w:val="zh-CN"/>
              </w:rPr>
            </w:pPr>
          </w:p>
        </w:tc>
        <w:tc>
          <w:tcPr>
            <w:tcW w:w="2664" w:type="dxa"/>
            <w:tcBorders>
              <w:top w:val="single" w:color="auto" w:sz="6" w:space="0"/>
              <w:left w:val="single" w:color="auto" w:sz="6" w:space="0"/>
              <w:bottom w:val="single" w:color="auto" w:sz="6" w:space="0"/>
              <w:right w:val="single" w:color="auto" w:sz="6" w:space="0"/>
            </w:tcBorders>
          </w:tcPr>
          <w:p w14:paraId="272EADD5">
            <w:pPr>
              <w:autoSpaceDE w:val="0"/>
              <w:autoSpaceDN w:val="0"/>
              <w:adjustRightInd w:val="0"/>
              <w:spacing w:line="440" w:lineRule="atLeast"/>
              <w:jc w:val="center"/>
              <w:rPr>
                <w:rFonts w:ascii="Cambria Math" w:hAnsi="Cambria Math" w:eastAsia="Cambria Math"/>
                <w:b w:val="0"/>
                <w:color w:val="auto"/>
                <w:sz w:val="22"/>
                <w:szCs w:val="22"/>
                <w:highlight w:val="none"/>
                <w:lang w:val="zh-CN"/>
              </w:rPr>
            </w:pPr>
          </w:p>
        </w:tc>
        <w:tc>
          <w:tcPr>
            <w:tcW w:w="2110" w:type="dxa"/>
            <w:tcBorders>
              <w:top w:val="single" w:color="auto" w:sz="6" w:space="0"/>
              <w:left w:val="single" w:color="auto" w:sz="6" w:space="0"/>
              <w:bottom w:val="single" w:color="auto" w:sz="6" w:space="0"/>
              <w:right w:val="single" w:color="auto" w:sz="6" w:space="0"/>
            </w:tcBorders>
          </w:tcPr>
          <w:p w14:paraId="5BE84555">
            <w:pPr>
              <w:autoSpaceDE w:val="0"/>
              <w:autoSpaceDN w:val="0"/>
              <w:adjustRightInd w:val="0"/>
              <w:spacing w:line="440" w:lineRule="atLeast"/>
              <w:jc w:val="center"/>
              <w:rPr>
                <w:rFonts w:ascii="Cambria Math" w:hAnsi="Cambria Math" w:eastAsia="Cambria Math"/>
                <w:b w:val="0"/>
                <w:color w:val="auto"/>
                <w:sz w:val="22"/>
                <w:szCs w:val="22"/>
                <w:highlight w:val="none"/>
                <w:lang w:val="zh-CN"/>
              </w:rPr>
            </w:pPr>
          </w:p>
        </w:tc>
        <w:tc>
          <w:tcPr>
            <w:tcW w:w="1565" w:type="dxa"/>
            <w:tcBorders>
              <w:top w:val="single" w:color="auto" w:sz="6" w:space="0"/>
              <w:left w:val="single" w:color="auto" w:sz="6" w:space="0"/>
              <w:bottom w:val="single" w:color="auto" w:sz="6" w:space="0"/>
              <w:right w:val="single" w:color="auto" w:sz="6" w:space="0"/>
            </w:tcBorders>
          </w:tcPr>
          <w:p w14:paraId="7FDFF377">
            <w:pPr>
              <w:autoSpaceDE w:val="0"/>
              <w:autoSpaceDN w:val="0"/>
              <w:adjustRightInd w:val="0"/>
              <w:spacing w:line="440" w:lineRule="atLeast"/>
              <w:jc w:val="center"/>
              <w:rPr>
                <w:rFonts w:ascii="Cambria Math" w:hAnsi="Cambria Math" w:eastAsia="Cambria Math"/>
                <w:b w:val="0"/>
                <w:color w:val="auto"/>
                <w:sz w:val="22"/>
                <w:szCs w:val="22"/>
                <w:highlight w:val="none"/>
                <w:lang w:val="zh-CN"/>
              </w:rPr>
            </w:pPr>
          </w:p>
        </w:tc>
      </w:tr>
      <w:tr w14:paraId="5D127037">
        <w:tblPrEx>
          <w:tblCellMar>
            <w:top w:w="0" w:type="dxa"/>
            <w:left w:w="108" w:type="dxa"/>
            <w:bottom w:w="0" w:type="dxa"/>
            <w:right w:w="108" w:type="dxa"/>
          </w:tblCellMar>
        </w:tblPrEx>
        <w:trPr>
          <w:trHeight w:val="424" w:hRule="atLeast"/>
        </w:trPr>
        <w:tc>
          <w:tcPr>
            <w:tcW w:w="900" w:type="dxa"/>
            <w:tcBorders>
              <w:top w:val="single" w:color="auto" w:sz="6" w:space="0"/>
              <w:left w:val="single" w:color="auto" w:sz="6" w:space="0"/>
              <w:bottom w:val="single" w:color="auto" w:sz="6" w:space="0"/>
              <w:right w:val="single" w:color="auto" w:sz="6" w:space="0"/>
            </w:tcBorders>
          </w:tcPr>
          <w:p w14:paraId="4796F107">
            <w:pPr>
              <w:autoSpaceDE w:val="0"/>
              <w:autoSpaceDN w:val="0"/>
              <w:adjustRightInd w:val="0"/>
              <w:spacing w:line="440" w:lineRule="atLeast"/>
              <w:jc w:val="center"/>
              <w:rPr>
                <w:rFonts w:ascii="Cambria Math" w:hAnsi="Cambria Math" w:eastAsia="Cambria Math"/>
                <w:b w:val="0"/>
                <w:color w:val="auto"/>
                <w:sz w:val="22"/>
                <w:szCs w:val="22"/>
                <w:highlight w:val="none"/>
                <w:lang w:val="zh-CN"/>
              </w:rPr>
            </w:pPr>
          </w:p>
        </w:tc>
        <w:tc>
          <w:tcPr>
            <w:tcW w:w="1800" w:type="dxa"/>
            <w:tcBorders>
              <w:top w:val="single" w:color="auto" w:sz="6" w:space="0"/>
              <w:left w:val="single" w:color="auto" w:sz="6" w:space="0"/>
              <w:bottom w:val="single" w:color="auto" w:sz="6" w:space="0"/>
              <w:right w:val="single" w:color="auto" w:sz="6" w:space="0"/>
            </w:tcBorders>
          </w:tcPr>
          <w:p w14:paraId="3F730831">
            <w:pPr>
              <w:autoSpaceDE w:val="0"/>
              <w:autoSpaceDN w:val="0"/>
              <w:adjustRightInd w:val="0"/>
              <w:spacing w:line="440" w:lineRule="atLeast"/>
              <w:jc w:val="center"/>
              <w:rPr>
                <w:rFonts w:ascii="Cambria Math" w:hAnsi="Cambria Math" w:eastAsia="Cambria Math"/>
                <w:b w:val="0"/>
                <w:color w:val="auto"/>
                <w:sz w:val="22"/>
                <w:szCs w:val="22"/>
                <w:highlight w:val="none"/>
                <w:lang w:val="zh-CN"/>
              </w:rPr>
            </w:pPr>
          </w:p>
        </w:tc>
        <w:tc>
          <w:tcPr>
            <w:tcW w:w="2664" w:type="dxa"/>
            <w:tcBorders>
              <w:top w:val="single" w:color="auto" w:sz="6" w:space="0"/>
              <w:left w:val="single" w:color="auto" w:sz="6" w:space="0"/>
              <w:bottom w:val="single" w:color="auto" w:sz="6" w:space="0"/>
              <w:right w:val="single" w:color="auto" w:sz="6" w:space="0"/>
            </w:tcBorders>
          </w:tcPr>
          <w:p w14:paraId="551BB59D">
            <w:pPr>
              <w:autoSpaceDE w:val="0"/>
              <w:autoSpaceDN w:val="0"/>
              <w:adjustRightInd w:val="0"/>
              <w:spacing w:line="440" w:lineRule="atLeast"/>
              <w:jc w:val="center"/>
              <w:rPr>
                <w:rFonts w:ascii="Cambria Math" w:hAnsi="Cambria Math" w:eastAsia="Cambria Math"/>
                <w:b w:val="0"/>
                <w:color w:val="auto"/>
                <w:sz w:val="22"/>
                <w:szCs w:val="22"/>
                <w:highlight w:val="none"/>
                <w:lang w:val="zh-CN"/>
              </w:rPr>
            </w:pPr>
          </w:p>
        </w:tc>
        <w:tc>
          <w:tcPr>
            <w:tcW w:w="2110" w:type="dxa"/>
            <w:tcBorders>
              <w:top w:val="single" w:color="auto" w:sz="6" w:space="0"/>
              <w:left w:val="single" w:color="auto" w:sz="6" w:space="0"/>
              <w:bottom w:val="single" w:color="auto" w:sz="6" w:space="0"/>
              <w:right w:val="single" w:color="auto" w:sz="6" w:space="0"/>
            </w:tcBorders>
          </w:tcPr>
          <w:p w14:paraId="556560F9">
            <w:pPr>
              <w:autoSpaceDE w:val="0"/>
              <w:autoSpaceDN w:val="0"/>
              <w:adjustRightInd w:val="0"/>
              <w:spacing w:line="440" w:lineRule="atLeast"/>
              <w:jc w:val="center"/>
              <w:rPr>
                <w:rFonts w:ascii="Cambria Math" w:hAnsi="Cambria Math" w:eastAsia="Cambria Math"/>
                <w:b w:val="0"/>
                <w:color w:val="auto"/>
                <w:sz w:val="22"/>
                <w:szCs w:val="22"/>
                <w:highlight w:val="none"/>
                <w:lang w:val="zh-CN"/>
              </w:rPr>
            </w:pPr>
          </w:p>
        </w:tc>
        <w:tc>
          <w:tcPr>
            <w:tcW w:w="1565" w:type="dxa"/>
            <w:tcBorders>
              <w:top w:val="single" w:color="auto" w:sz="6" w:space="0"/>
              <w:left w:val="single" w:color="auto" w:sz="6" w:space="0"/>
              <w:bottom w:val="single" w:color="auto" w:sz="6" w:space="0"/>
              <w:right w:val="single" w:color="auto" w:sz="6" w:space="0"/>
            </w:tcBorders>
          </w:tcPr>
          <w:p w14:paraId="43CE3A9C">
            <w:pPr>
              <w:autoSpaceDE w:val="0"/>
              <w:autoSpaceDN w:val="0"/>
              <w:adjustRightInd w:val="0"/>
              <w:spacing w:line="440" w:lineRule="atLeast"/>
              <w:jc w:val="center"/>
              <w:rPr>
                <w:rFonts w:ascii="Cambria Math" w:hAnsi="Cambria Math" w:eastAsia="Cambria Math"/>
                <w:b w:val="0"/>
                <w:color w:val="auto"/>
                <w:sz w:val="22"/>
                <w:szCs w:val="22"/>
                <w:highlight w:val="none"/>
                <w:lang w:val="zh-CN"/>
              </w:rPr>
            </w:pPr>
          </w:p>
        </w:tc>
      </w:tr>
      <w:tr w14:paraId="0DAFBC38">
        <w:tblPrEx>
          <w:tblCellMar>
            <w:top w:w="0" w:type="dxa"/>
            <w:left w:w="108" w:type="dxa"/>
            <w:bottom w:w="0" w:type="dxa"/>
            <w:right w:w="108" w:type="dxa"/>
          </w:tblCellMar>
        </w:tblPrEx>
        <w:trPr>
          <w:trHeight w:val="424" w:hRule="atLeast"/>
        </w:trPr>
        <w:tc>
          <w:tcPr>
            <w:tcW w:w="900" w:type="dxa"/>
            <w:tcBorders>
              <w:top w:val="single" w:color="auto" w:sz="6" w:space="0"/>
              <w:left w:val="single" w:color="auto" w:sz="6" w:space="0"/>
              <w:bottom w:val="single" w:color="auto" w:sz="6" w:space="0"/>
              <w:right w:val="single" w:color="auto" w:sz="6" w:space="0"/>
            </w:tcBorders>
          </w:tcPr>
          <w:p w14:paraId="6567DF23">
            <w:pPr>
              <w:autoSpaceDE w:val="0"/>
              <w:autoSpaceDN w:val="0"/>
              <w:adjustRightInd w:val="0"/>
              <w:spacing w:line="440" w:lineRule="atLeast"/>
              <w:jc w:val="center"/>
              <w:rPr>
                <w:rFonts w:ascii="Cambria Math" w:hAnsi="Cambria Math" w:eastAsia="Cambria Math"/>
                <w:b w:val="0"/>
                <w:color w:val="auto"/>
                <w:sz w:val="22"/>
                <w:szCs w:val="22"/>
                <w:highlight w:val="none"/>
                <w:lang w:val="zh-CN"/>
              </w:rPr>
            </w:pPr>
          </w:p>
        </w:tc>
        <w:tc>
          <w:tcPr>
            <w:tcW w:w="1800" w:type="dxa"/>
            <w:tcBorders>
              <w:top w:val="single" w:color="auto" w:sz="6" w:space="0"/>
              <w:left w:val="single" w:color="auto" w:sz="6" w:space="0"/>
              <w:bottom w:val="single" w:color="auto" w:sz="6" w:space="0"/>
              <w:right w:val="single" w:color="auto" w:sz="6" w:space="0"/>
            </w:tcBorders>
          </w:tcPr>
          <w:p w14:paraId="5E3A56AE">
            <w:pPr>
              <w:autoSpaceDE w:val="0"/>
              <w:autoSpaceDN w:val="0"/>
              <w:adjustRightInd w:val="0"/>
              <w:spacing w:line="440" w:lineRule="atLeast"/>
              <w:jc w:val="center"/>
              <w:rPr>
                <w:rFonts w:ascii="Cambria Math" w:hAnsi="Cambria Math" w:eastAsia="Cambria Math"/>
                <w:b w:val="0"/>
                <w:color w:val="auto"/>
                <w:sz w:val="22"/>
                <w:szCs w:val="22"/>
                <w:highlight w:val="none"/>
                <w:lang w:val="zh-CN"/>
              </w:rPr>
            </w:pPr>
          </w:p>
        </w:tc>
        <w:tc>
          <w:tcPr>
            <w:tcW w:w="2664" w:type="dxa"/>
            <w:tcBorders>
              <w:top w:val="single" w:color="auto" w:sz="6" w:space="0"/>
              <w:left w:val="single" w:color="auto" w:sz="6" w:space="0"/>
              <w:bottom w:val="single" w:color="auto" w:sz="6" w:space="0"/>
              <w:right w:val="single" w:color="auto" w:sz="6" w:space="0"/>
            </w:tcBorders>
          </w:tcPr>
          <w:p w14:paraId="4FC42B83">
            <w:pPr>
              <w:autoSpaceDE w:val="0"/>
              <w:autoSpaceDN w:val="0"/>
              <w:adjustRightInd w:val="0"/>
              <w:spacing w:line="440" w:lineRule="atLeast"/>
              <w:jc w:val="center"/>
              <w:rPr>
                <w:rFonts w:ascii="Cambria Math" w:hAnsi="Cambria Math" w:eastAsia="Cambria Math"/>
                <w:b w:val="0"/>
                <w:color w:val="auto"/>
                <w:sz w:val="22"/>
                <w:szCs w:val="22"/>
                <w:highlight w:val="none"/>
                <w:lang w:val="zh-CN"/>
              </w:rPr>
            </w:pPr>
          </w:p>
        </w:tc>
        <w:tc>
          <w:tcPr>
            <w:tcW w:w="2110" w:type="dxa"/>
            <w:tcBorders>
              <w:top w:val="single" w:color="auto" w:sz="6" w:space="0"/>
              <w:left w:val="single" w:color="auto" w:sz="6" w:space="0"/>
              <w:bottom w:val="single" w:color="auto" w:sz="6" w:space="0"/>
              <w:right w:val="single" w:color="auto" w:sz="6" w:space="0"/>
            </w:tcBorders>
          </w:tcPr>
          <w:p w14:paraId="440FC54D">
            <w:pPr>
              <w:autoSpaceDE w:val="0"/>
              <w:autoSpaceDN w:val="0"/>
              <w:adjustRightInd w:val="0"/>
              <w:spacing w:line="440" w:lineRule="atLeast"/>
              <w:jc w:val="center"/>
              <w:rPr>
                <w:rFonts w:ascii="Cambria Math" w:hAnsi="Cambria Math" w:eastAsia="Cambria Math"/>
                <w:b w:val="0"/>
                <w:color w:val="auto"/>
                <w:sz w:val="22"/>
                <w:szCs w:val="22"/>
                <w:highlight w:val="none"/>
                <w:lang w:val="zh-CN"/>
              </w:rPr>
            </w:pPr>
          </w:p>
        </w:tc>
        <w:tc>
          <w:tcPr>
            <w:tcW w:w="1565" w:type="dxa"/>
            <w:tcBorders>
              <w:top w:val="single" w:color="auto" w:sz="6" w:space="0"/>
              <w:left w:val="single" w:color="auto" w:sz="6" w:space="0"/>
              <w:bottom w:val="single" w:color="auto" w:sz="6" w:space="0"/>
              <w:right w:val="single" w:color="auto" w:sz="6" w:space="0"/>
            </w:tcBorders>
          </w:tcPr>
          <w:p w14:paraId="4D5B3E79">
            <w:pPr>
              <w:autoSpaceDE w:val="0"/>
              <w:autoSpaceDN w:val="0"/>
              <w:adjustRightInd w:val="0"/>
              <w:spacing w:line="440" w:lineRule="atLeast"/>
              <w:jc w:val="center"/>
              <w:rPr>
                <w:rFonts w:ascii="Cambria Math" w:hAnsi="Cambria Math" w:eastAsia="Cambria Math"/>
                <w:b w:val="0"/>
                <w:color w:val="auto"/>
                <w:sz w:val="22"/>
                <w:szCs w:val="22"/>
                <w:highlight w:val="none"/>
                <w:lang w:val="zh-CN"/>
              </w:rPr>
            </w:pPr>
          </w:p>
        </w:tc>
      </w:tr>
    </w:tbl>
    <w:p w14:paraId="4BACDA2C">
      <w:pPr>
        <w:autoSpaceDE w:val="0"/>
        <w:autoSpaceDN w:val="0"/>
        <w:adjustRightInd w:val="0"/>
        <w:spacing w:line="440" w:lineRule="atLeast"/>
        <w:rPr>
          <w:rFonts w:ascii="Cambria Math" w:hAnsi="Cambria Math" w:eastAsia="Cambria Math"/>
          <w:b w:val="0"/>
          <w:color w:val="auto"/>
          <w:sz w:val="22"/>
          <w:szCs w:val="22"/>
          <w:highlight w:val="none"/>
        </w:rPr>
      </w:pPr>
      <w:r>
        <w:rPr>
          <w:rFonts w:hint="eastAsia" w:ascii="Cambria Math" w:hAnsi="Cambria Math" w:eastAsia="Cambria Math"/>
          <w:b w:val="0"/>
          <w:color w:val="auto"/>
          <w:sz w:val="22"/>
          <w:szCs w:val="22"/>
          <w:highlight w:val="none"/>
          <w:lang w:val="zh-CN"/>
        </w:rPr>
        <w:t>注：1、</w:t>
      </w:r>
      <w:r>
        <w:rPr>
          <w:rFonts w:hint="eastAsia" w:ascii="Cambria Math" w:hAnsi="Cambria Math" w:eastAsia="Cambria Math"/>
          <w:b w:val="0"/>
          <w:color w:val="auto"/>
          <w:sz w:val="22"/>
          <w:szCs w:val="22"/>
          <w:highlight w:val="none"/>
        </w:rPr>
        <w:t>如不填写，则视为完全响应采购文件的要求。</w:t>
      </w:r>
    </w:p>
    <w:p w14:paraId="401E6803">
      <w:pPr>
        <w:autoSpaceDE w:val="0"/>
        <w:autoSpaceDN w:val="0"/>
        <w:adjustRightInd w:val="0"/>
        <w:spacing w:line="440" w:lineRule="atLeast"/>
        <w:rPr>
          <w:rFonts w:ascii="Cambria Math" w:hAnsi="Cambria Math" w:eastAsia="Cambria Math"/>
          <w:b w:val="0"/>
          <w:color w:val="auto"/>
          <w:sz w:val="22"/>
          <w:szCs w:val="22"/>
          <w:highlight w:val="none"/>
          <w:lang w:val="zh-CN"/>
        </w:rPr>
      </w:pPr>
    </w:p>
    <w:p w14:paraId="0CF41325">
      <w:pPr>
        <w:autoSpaceDE w:val="0"/>
        <w:autoSpaceDN w:val="0"/>
        <w:adjustRightInd w:val="0"/>
        <w:spacing w:line="440" w:lineRule="atLeast"/>
        <w:rPr>
          <w:rFonts w:ascii="Cambria Math" w:hAnsi="Cambria Math" w:eastAsia="Cambria Math"/>
          <w:b w:val="0"/>
          <w:color w:val="auto"/>
          <w:sz w:val="22"/>
          <w:szCs w:val="22"/>
          <w:highlight w:val="none"/>
          <w:lang w:val="zh-CN"/>
        </w:rPr>
      </w:pPr>
    </w:p>
    <w:p w14:paraId="51858994">
      <w:pPr>
        <w:autoSpaceDE w:val="0"/>
        <w:autoSpaceDN w:val="0"/>
        <w:adjustRightInd w:val="0"/>
        <w:spacing w:line="440" w:lineRule="atLeast"/>
        <w:rPr>
          <w:rFonts w:ascii="Cambria Math" w:hAnsi="Cambria Math" w:eastAsia="Cambria Math"/>
          <w:b w:val="0"/>
          <w:color w:val="auto"/>
          <w:sz w:val="22"/>
          <w:szCs w:val="22"/>
          <w:highlight w:val="none"/>
          <w:lang w:val="zh-CN"/>
        </w:rPr>
      </w:pPr>
      <w:r>
        <w:rPr>
          <w:rFonts w:hint="eastAsia" w:ascii="Cambria Math" w:hAnsi="Cambria Math" w:eastAsia="Cambria Math"/>
          <w:b w:val="0"/>
          <w:color w:val="auto"/>
          <w:sz w:val="22"/>
          <w:szCs w:val="22"/>
          <w:highlight w:val="none"/>
          <w:lang w:val="zh-CN"/>
        </w:rPr>
        <w:t>投标单位（盖章）：</w:t>
      </w:r>
    </w:p>
    <w:p w14:paraId="7BB4DC85">
      <w:pPr>
        <w:autoSpaceDE w:val="0"/>
        <w:autoSpaceDN w:val="0"/>
        <w:adjustRightInd w:val="0"/>
        <w:spacing w:line="440" w:lineRule="atLeast"/>
        <w:rPr>
          <w:rFonts w:ascii="Cambria Math" w:hAnsi="Cambria Math" w:eastAsia="Cambria Math"/>
          <w:b w:val="0"/>
          <w:bCs w:val="0"/>
          <w:color w:val="auto"/>
          <w:sz w:val="32"/>
          <w:szCs w:val="32"/>
          <w:highlight w:val="none"/>
          <w:lang w:val="zh-CN"/>
        </w:rPr>
      </w:pPr>
    </w:p>
    <w:p w14:paraId="158CFD4A">
      <w:pPr>
        <w:snapToGrid w:val="0"/>
        <w:spacing w:line="360" w:lineRule="atLeast"/>
        <w:outlineLvl w:val="0"/>
        <w:rPr>
          <w:rFonts w:ascii="Cambria Math" w:hAnsi="Cambria Math" w:eastAsia="Cambria Math"/>
          <w:b w:val="0"/>
          <w:color w:val="auto"/>
          <w:sz w:val="36"/>
          <w:szCs w:val="36"/>
          <w:highlight w:val="none"/>
          <w:lang w:val="zh-CN"/>
        </w:rPr>
      </w:pPr>
    </w:p>
    <w:p w14:paraId="1AB73D98">
      <w:pPr>
        <w:snapToGrid w:val="0"/>
        <w:spacing w:line="360" w:lineRule="atLeast"/>
        <w:outlineLvl w:val="0"/>
        <w:rPr>
          <w:rFonts w:ascii="Cambria Math" w:hAnsi="Cambria Math" w:eastAsia="Cambria Math"/>
          <w:b w:val="0"/>
          <w:color w:val="auto"/>
          <w:sz w:val="36"/>
          <w:szCs w:val="36"/>
          <w:highlight w:val="none"/>
          <w:lang w:val="zh-CN"/>
        </w:rPr>
      </w:pPr>
    </w:p>
    <w:p w14:paraId="173B0CBA">
      <w:pPr>
        <w:snapToGrid w:val="0"/>
        <w:spacing w:line="360" w:lineRule="atLeast"/>
        <w:outlineLvl w:val="0"/>
        <w:rPr>
          <w:rFonts w:ascii="Cambria Math" w:hAnsi="Cambria Math" w:eastAsia="Cambria Math"/>
          <w:b w:val="0"/>
          <w:color w:val="auto"/>
          <w:sz w:val="36"/>
          <w:szCs w:val="36"/>
          <w:highlight w:val="none"/>
          <w:lang w:val="zh-CN"/>
        </w:rPr>
      </w:pPr>
    </w:p>
    <w:p w14:paraId="2DA90F9F">
      <w:pPr>
        <w:pStyle w:val="4"/>
        <w:spacing w:before="0" w:after="120" w:line="700" w:lineRule="exact"/>
        <w:ind w:left="0" w:firstLine="0"/>
        <w:rPr>
          <w:rFonts w:ascii="Cambria Math" w:hAnsi="Cambria Math" w:eastAsia="等线"/>
          <w:b/>
          <w:color w:val="auto"/>
          <w:sz w:val="32"/>
          <w:highlight w:val="none"/>
        </w:rPr>
      </w:pPr>
      <w:r>
        <w:rPr>
          <w:rFonts w:hint="eastAsia" w:ascii="Cambria Math" w:hAnsi="Cambria Math" w:eastAsia="Cambria Math"/>
          <w:b/>
          <w:color w:val="auto"/>
          <w:sz w:val="32"/>
          <w:highlight w:val="none"/>
        </w:rPr>
        <w:t>附件</w:t>
      </w:r>
      <w:r>
        <w:rPr>
          <w:rFonts w:hint="eastAsia" w:ascii="Cambria Math" w:hAnsi="Cambria Math" w:eastAsia="等线"/>
          <w:b/>
          <w:color w:val="auto"/>
          <w:sz w:val="32"/>
          <w:highlight w:val="none"/>
        </w:rPr>
        <w:t>2-</w:t>
      </w:r>
      <w:r>
        <w:rPr>
          <w:rFonts w:ascii="Cambria Math" w:hAnsi="Cambria Math" w:eastAsia="等线"/>
          <w:b/>
          <w:color w:val="auto"/>
          <w:sz w:val="32"/>
          <w:highlight w:val="none"/>
        </w:rPr>
        <w:t>7</w:t>
      </w:r>
    </w:p>
    <w:p w14:paraId="3346D66D">
      <w:pPr>
        <w:autoSpaceDE w:val="0"/>
        <w:autoSpaceDN w:val="0"/>
        <w:adjustRightInd w:val="0"/>
        <w:spacing w:line="440" w:lineRule="atLeast"/>
        <w:ind w:firstLine="3600" w:firstLineChars="1000"/>
        <w:rPr>
          <w:rFonts w:ascii="Cambria Math" w:hAnsi="Cambria Math" w:eastAsia="Cambria Math"/>
          <w:b w:val="0"/>
          <w:color w:val="auto"/>
          <w:sz w:val="36"/>
          <w:szCs w:val="36"/>
          <w:highlight w:val="none"/>
          <w:lang w:val="zh-CN"/>
        </w:rPr>
      </w:pPr>
      <w:r>
        <w:rPr>
          <w:rFonts w:hint="eastAsia" w:ascii="Cambria Math" w:hAnsi="Cambria Math" w:eastAsia="Cambria Math"/>
          <w:b w:val="0"/>
          <w:color w:val="auto"/>
          <w:sz w:val="36"/>
          <w:szCs w:val="36"/>
          <w:highlight w:val="none"/>
          <w:lang w:val="zh-CN"/>
        </w:rPr>
        <w:t>技术偏离表</w:t>
      </w:r>
    </w:p>
    <w:tbl>
      <w:tblPr>
        <w:tblStyle w:val="35"/>
        <w:tblW w:w="8805" w:type="dxa"/>
        <w:tblInd w:w="-192"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900"/>
        <w:gridCol w:w="1800"/>
        <w:gridCol w:w="2300"/>
        <w:gridCol w:w="2000"/>
        <w:gridCol w:w="1805"/>
      </w:tblGrid>
      <w:tr w14:paraId="6E49083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918" w:hRule="atLeast"/>
        </w:trPr>
        <w:tc>
          <w:tcPr>
            <w:tcW w:w="900" w:type="dxa"/>
            <w:vAlign w:val="center"/>
          </w:tcPr>
          <w:p w14:paraId="0870907A">
            <w:pPr>
              <w:autoSpaceDE w:val="0"/>
              <w:autoSpaceDN w:val="0"/>
              <w:adjustRightInd w:val="0"/>
              <w:spacing w:line="440" w:lineRule="atLeast"/>
              <w:jc w:val="center"/>
              <w:rPr>
                <w:rFonts w:ascii="Cambria Math" w:hAnsi="Cambria Math" w:eastAsia="Cambria Math"/>
                <w:b w:val="0"/>
                <w:color w:val="auto"/>
                <w:sz w:val="22"/>
                <w:szCs w:val="22"/>
                <w:highlight w:val="none"/>
                <w:lang w:val="zh-CN"/>
              </w:rPr>
            </w:pPr>
            <w:r>
              <w:rPr>
                <w:rFonts w:hint="eastAsia" w:ascii="Cambria Math" w:hAnsi="Cambria Math" w:eastAsia="Cambria Math"/>
                <w:b w:val="0"/>
                <w:color w:val="auto"/>
                <w:sz w:val="22"/>
                <w:szCs w:val="22"/>
                <w:highlight w:val="none"/>
                <w:lang w:val="zh-CN"/>
              </w:rPr>
              <w:t>序号</w:t>
            </w:r>
          </w:p>
        </w:tc>
        <w:tc>
          <w:tcPr>
            <w:tcW w:w="1800" w:type="dxa"/>
            <w:vAlign w:val="center"/>
          </w:tcPr>
          <w:p w14:paraId="47BF90F1">
            <w:pPr>
              <w:autoSpaceDE w:val="0"/>
              <w:autoSpaceDN w:val="0"/>
              <w:adjustRightInd w:val="0"/>
              <w:spacing w:line="440" w:lineRule="atLeast"/>
              <w:jc w:val="center"/>
              <w:rPr>
                <w:rFonts w:ascii="Cambria Math" w:hAnsi="Cambria Math" w:eastAsia="Cambria Math"/>
                <w:b w:val="0"/>
                <w:color w:val="auto"/>
                <w:sz w:val="22"/>
                <w:szCs w:val="22"/>
                <w:highlight w:val="none"/>
                <w:lang w:val="zh-CN"/>
              </w:rPr>
            </w:pPr>
            <w:r>
              <w:rPr>
                <w:rFonts w:hint="eastAsia" w:ascii="Cambria Math" w:hAnsi="Cambria Math" w:eastAsia="Cambria Math"/>
                <w:b w:val="0"/>
                <w:color w:val="auto"/>
                <w:sz w:val="22"/>
                <w:szCs w:val="22"/>
                <w:highlight w:val="none"/>
                <w:lang w:val="zh-CN"/>
              </w:rPr>
              <w:t>内容</w:t>
            </w:r>
          </w:p>
        </w:tc>
        <w:tc>
          <w:tcPr>
            <w:tcW w:w="2300" w:type="dxa"/>
            <w:vAlign w:val="center"/>
          </w:tcPr>
          <w:p w14:paraId="75F73DB9">
            <w:pPr>
              <w:autoSpaceDE w:val="0"/>
              <w:autoSpaceDN w:val="0"/>
              <w:adjustRightInd w:val="0"/>
              <w:spacing w:line="440" w:lineRule="atLeast"/>
              <w:jc w:val="center"/>
              <w:rPr>
                <w:rFonts w:ascii="Cambria Math" w:hAnsi="Cambria Math" w:eastAsia="Cambria Math"/>
                <w:b w:val="0"/>
                <w:color w:val="auto"/>
                <w:sz w:val="22"/>
                <w:szCs w:val="22"/>
                <w:highlight w:val="none"/>
                <w:lang w:val="zh-CN"/>
              </w:rPr>
            </w:pPr>
            <w:r>
              <w:rPr>
                <w:rFonts w:hint="eastAsia" w:ascii="Cambria Math" w:hAnsi="Cambria Math" w:eastAsia="Cambria Math"/>
                <w:b w:val="0"/>
                <w:color w:val="auto"/>
                <w:sz w:val="22"/>
                <w:szCs w:val="22"/>
                <w:highlight w:val="none"/>
                <w:lang w:val="zh-CN"/>
              </w:rPr>
              <w:t>招标要求</w:t>
            </w:r>
          </w:p>
        </w:tc>
        <w:tc>
          <w:tcPr>
            <w:tcW w:w="2000" w:type="dxa"/>
            <w:vAlign w:val="center"/>
          </w:tcPr>
          <w:p w14:paraId="6C8389EC">
            <w:pPr>
              <w:autoSpaceDE w:val="0"/>
              <w:autoSpaceDN w:val="0"/>
              <w:adjustRightInd w:val="0"/>
              <w:spacing w:line="440" w:lineRule="atLeast"/>
              <w:jc w:val="center"/>
              <w:rPr>
                <w:rFonts w:ascii="Cambria Math" w:hAnsi="Cambria Math" w:eastAsia="Cambria Math"/>
                <w:b w:val="0"/>
                <w:color w:val="auto"/>
                <w:sz w:val="22"/>
                <w:szCs w:val="22"/>
                <w:highlight w:val="none"/>
                <w:lang w:val="zh-CN"/>
              </w:rPr>
            </w:pPr>
            <w:r>
              <w:rPr>
                <w:rFonts w:hint="eastAsia" w:ascii="Cambria Math" w:hAnsi="Cambria Math" w:eastAsia="Cambria Math"/>
                <w:b w:val="0"/>
                <w:color w:val="auto"/>
                <w:sz w:val="22"/>
                <w:szCs w:val="22"/>
                <w:highlight w:val="none"/>
                <w:lang w:val="zh-CN"/>
              </w:rPr>
              <w:t>投标响应</w:t>
            </w:r>
          </w:p>
        </w:tc>
        <w:tc>
          <w:tcPr>
            <w:tcW w:w="1805" w:type="dxa"/>
            <w:vAlign w:val="center"/>
          </w:tcPr>
          <w:p w14:paraId="4CEE732B">
            <w:pPr>
              <w:autoSpaceDE w:val="0"/>
              <w:autoSpaceDN w:val="0"/>
              <w:adjustRightInd w:val="0"/>
              <w:spacing w:line="440" w:lineRule="atLeast"/>
              <w:jc w:val="center"/>
              <w:rPr>
                <w:rFonts w:ascii="Cambria Math" w:hAnsi="Cambria Math" w:eastAsia="Cambria Math"/>
                <w:b w:val="0"/>
                <w:color w:val="auto"/>
                <w:sz w:val="22"/>
                <w:szCs w:val="22"/>
                <w:highlight w:val="none"/>
                <w:lang w:val="zh-CN"/>
              </w:rPr>
            </w:pPr>
            <w:r>
              <w:rPr>
                <w:rFonts w:hint="eastAsia" w:ascii="Cambria Math" w:hAnsi="Cambria Math" w:eastAsia="Cambria Math"/>
                <w:b w:val="0"/>
                <w:color w:val="auto"/>
                <w:sz w:val="22"/>
                <w:szCs w:val="22"/>
                <w:highlight w:val="none"/>
                <w:lang w:val="zh-CN"/>
              </w:rPr>
              <w:t>备注</w:t>
            </w:r>
          </w:p>
        </w:tc>
      </w:tr>
      <w:tr w14:paraId="1DD4670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c>
          <w:tcPr>
            <w:tcW w:w="900" w:type="dxa"/>
          </w:tcPr>
          <w:p w14:paraId="239B166F">
            <w:pPr>
              <w:autoSpaceDE w:val="0"/>
              <w:autoSpaceDN w:val="0"/>
              <w:adjustRightInd w:val="0"/>
              <w:spacing w:line="440" w:lineRule="atLeast"/>
              <w:jc w:val="center"/>
              <w:rPr>
                <w:rFonts w:ascii="Cambria Math" w:hAnsi="Cambria Math" w:eastAsia="Cambria Math"/>
                <w:b w:val="0"/>
                <w:color w:val="auto"/>
                <w:sz w:val="22"/>
                <w:szCs w:val="22"/>
                <w:highlight w:val="none"/>
                <w:lang w:val="zh-CN"/>
              </w:rPr>
            </w:pPr>
          </w:p>
        </w:tc>
        <w:tc>
          <w:tcPr>
            <w:tcW w:w="1800" w:type="dxa"/>
          </w:tcPr>
          <w:p w14:paraId="17D76365">
            <w:pPr>
              <w:autoSpaceDE w:val="0"/>
              <w:autoSpaceDN w:val="0"/>
              <w:adjustRightInd w:val="0"/>
              <w:spacing w:line="440" w:lineRule="atLeast"/>
              <w:jc w:val="center"/>
              <w:rPr>
                <w:rFonts w:ascii="Cambria Math" w:hAnsi="Cambria Math" w:eastAsia="Cambria Math"/>
                <w:b w:val="0"/>
                <w:color w:val="auto"/>
                <w:sz w:val="22"/>
                <w:szCs w:val="22"/>
                <w:highlight w:val="none"/>
                <w:lang w:val="zh-CN"/>
              </w:rPr>
            </w:pPr>
          </w:p>
        </w:tc>
        <w:tc>
          <w:tcPr>
            <w:tcW w:w="2300" w:type="dxa"/>
          </w:tcPr>
          <w:p w14:paraId="4CA2713F">
            <w:pPr>
              <w:autoSpaceDE w:val="0"/>
              <w:autoSpaceDN w:val="0"/>
              <w:adjustRightInd w:val="0"/>
              <w:spacing w:line="440" w:lineRule="atLeast"/>
              <w:jc w:val="center"/>
              <w:rPr>
                <w:rFonts w:ascii="Cambria Math" w:hAnsi="Cambria Math" w:eastAsia="Cambria Math"/>
                <w:b w:val="0"/>
                <w:color w:val="auto"/>
                <w:sz w:val="22"/>
                <w:szCs w:val="22"/>
                <w:highlight w:val="none"/>
                <w:lang w:val="zh-CN"/>
              </w:rPr>
            </w:pPr>
          </w:p>
        </w:tc>
        <w:tc>
          <w:tcPr>
            <w:tcW w:w="2000" w:type="dxa"/>
          </w:tcPr>
          <w:p w14:paraId="33F8FAEB">
            <w:pPr>
              <w:autoSpaceDE w:val="0"/>
              <w:autoSpaceDN w:val="0"/>
              <w:adjustRightInd w:val="0"/>
              <w:spacing w:line="440" w:lineRule="atLeast"/>
              <w:jc w:val="center"/>
              <w:rPr>
                <w:rFonts w:ascii="Cambria Math" w:hAnsi="Cambria Math" w:eastAsia="Cambria Math"/>
                <w:b w:val="0"/>
                <w:color w:val="auto"/>
                <w:sz w:val="22"/>
                <w:szCs w:val="22"/>
                <w:highlight w:val="none"/>
                <w:lang w:val="zh-CN"/>
              </w:rPr>
            </w:pPr>
          </w:p>
        </w:tc>
        <w:tc>
          <w:tcPr>
            <w:tcW w:w="1805" w:type="dxa"/>
          </w:tcPr>
          <w:p w14:paraId="76BD2647">
            <w:pPr>
              <w:autoSpaceDE w:val="0"/>
              <w:autoSpaceDN w:val="0"/>
              <w:adjustRightInd w:val="0"/>
              <w:spacing w:line="440" w:lineRule="atLeast"/>
              <w:jc w:val="center"/>
              <w:rPr>
                <w:rFonts w:ascii="Cambria Math" w:hAnsi="Cambria Math" w:eastAsia="Cambria Math"/>
                <w:b w:val="0"/>
                <w:color w:val="auto"/>
                <w:sz w:val="22"/>
                <w:szCs w:val="22"/>
                <w:highlight w:val="none"/>
                <w:lang w:val="zh-CN"/>
              </w:rPr>
            </w:pPr>
          </w:p>
        </w:tc>
      </w:tr>
      <w:tr w14:paraId="009251B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c>
          <w:tcPr>
            <w:tcW w:w="900" w:type="dxa"/>
          </w:tcPr>
          <w:p w14:paraId="4B8A2239">
            <w:pPr>
              <w:autoSpaceDE w:val="0"/>
              <w:autoSpaceDN w:val="0"/>
              <w:adjustRightInd w:val="0"/>
              <w:spacing w:line="440" w:lineRule="atLeast"/>
              <w:jc w:val="center"/>
              <w:rPr>
                <w:rFonts w:ascii="Cambria Math" w:hAnsi="Cambria Math" w:eastAsia="Cambria Math"/>
                <w:b w:val="0"/>
                <w:color w:val="auto"/>
                <w:sz w:val="22"/>
                <w:szCs w:val="22"/>
                <w:highlight w:val="none"/>
                <w:lang w:val="zh-CN"/>
              </w:rPr>
            </w:pPr>
          </w:p>
        </w:tc>
        <w:tc>
          <w:tcPr>
            <w:tcW w:w="1800" w:type="dxa"/>
          </w:tcPr>
          <w:p w14:paraId="48B2D26C">
            <w:pPr>
              <w:autoSpaceDE w:val="0"/>
              <w:autoSpaceDN w:val="0"/>
              <w:adjustRightInd w:val="0"/>
              <w:spacing w:line="440" w:lineRule="atLeast"/>
              <w:jc w:val="center"/>
              <w:rPr>
                <w:rFonts w:ascii="Cambria Math" w:hAnsi="Cambria Math" w:eastAsia="Cambria Math"/>
                <w:b w:val="0"/>
                <w:color w:val="auto"/>
                <w:sz w:val="22"/>
                <w:szCs w:val="22"/>
                <w:highlight w:val="none"/>
                <w:lang w:val="zh-CN"/>
              </w:rPr>
            </w:pPr>
          </w:p>
        </w:tc>
        <w:tc>
          <w:tcPr>
            <w:tcW w:w="2300" w:type="dxa"/>
          </w:tcPr>
          <w:p w14:paraId="2BA0C26B">
            <w:pPr>
              <w:autoSpaceDE w:val="0"/>
              <w:autoSpaceDN w:val="0"/>
              <w:adjustRightInd w:val="0"/>
              <w:spacing w:line="440" w:lineRule="atLeast"/>
              <w:jc w:val="center"/>
              <w:rPr>
                <w:rFonts w:ascii="Cambria Math" w:hAnsi="Cambria Math" w:eastAsia="Cambria Math"/>
                <w:b w:val="0"/>
                <w:color w:val="auto"/>
                <w:sz w:val="22"/>
                <w:szCs w:val="22"/>
                <w:highlight w:val="none"/>
                <w:lang w:val="zh-CN"/>
              </w:rPr>
            </w:pPr>
          </w:p>
        </w:tc>
        <w:tc>
          <w:tcPr>
            <w:tcW w:w="2000" w:type="dxa"/>
          </w:tcPr>
          <w:p w14:paraId="31D87CAF">
            <w:pPr>
              <w:autoSpaceDE w:val="0"/>
              <w:autoSpaceDN w:val="0"/>
              <w:adjustRightInd w:val="0"/>
              <w:spacing w:line="440" w:lineRule="atLeast"/>
              <w:jc w:val="center"/>
              <w:rPr>
                <w:rFonts w:ascii="Cambria Math" w:hAnsi="Cambria Math" w:eastAsia="Cambria Math"/>
                <w:b w:val="0"/>
                <w:color w:val="auto"/>
                <w:sz w:val="22"/>
                <w:szCs w:val="22"/>
                <w:highlight w:val="none"/>
                <w:lang w:val="zh-CN"/>
              </w:rPr>
            </w:pPr>
          </w:p>
        </w:tc>
        <w:tc>
          <w:tcPr>
            <w:tcW w:w="1805" w:type="dxa"/>
          </w:tcPr>
          <w:p w14:paraId="4C968399">
            <w:pPr>
              <w:autoSpaceDE w:val="0"/>
              <w:autoSpaceDN w:val="0"/>
              <w:adjustRightInd w:val="0"/>
              <w:spacing w:line="440" w:lineRule="atLeast"/>
              <w:jc w:val="center"/>
              <w:rPr>
                <w:rFonts w:ascii="Cambria Math" w:hAnsi="Cambria Math" w:eastAsia="Cambria Math"/>
                <w:b w:val="0"/>
                <w:color w:val="auto"/>
                <w:sz w:val="22"/>
                <w:szCs w:val="22"/>
                <w:highlight w:val="none"/>
                <w:lang w:val="zh-CN"/>
              </w:rPr>
            </w:pPr>
          </w:p>
        </w:tc>
      </w:tr>
      <w:tr w14:paraId="453527F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c>
          <w:tcPr>
            <w:tcW w:w="900" w:type="dxa"/>
          </w:tcPr>
          <w:p w14:paraId="7EF97706">
            <w:pPr>
              <w:autoSpaceDE w:val="0"/>
              <w:autoSpaceDN w:val="0"/>
              <w:adjustRightInd w:val="0"/>
              <w:spacing w:line="440" w:lineRule="atLeast"/>
              <w:jc w:val="center"/>
              <w:rPr>
                <w:rFonts w:ascii="Cambria Math" w:hAnsi="Cambria Math" w:eastAsia="Cambria Math"/>
                <w:b w:val="0"/>
                <w:color w:val="auto"/>
                <w:sz w:val="22"/>
                <w:szCs w:val="22"/>
                <w:highlight w:val="none"/>
                <w:lang w:val="zh-CN"/>
              </w:rPr>
            </w:pPr>
          </w:p>
        </w:tc>
        <w:tc>
          <w:tcPr>
            <w:tcW w:w="1800" w:type="dxa"/>
          </w:tcPr>
          <w:p w14:paraId="352B1E65">
            <w:pPr>
              <w:autoSpaceDE w:val="0"/>
              <w:autoSpaceDN w:val="0"/>
              <w:adjustRightInd w:val="0"/>
              <w:spacing w:line="440" w:lineRule="atLeast"/>
              <w:jc w:val="center"/>
              <w:rPr>
                <w:rFonts w:ascii="Cambria Math" w:hAnsi="Cambria Math" w:eastAsia="Cambria Math"/>
                <w:b w:val="0"/>
                <w:color w:val="auto"/>
                <w:sz w:val="22"/>
                <w:szCs w:val="22"/>
                <w:highlight w:val="none"/>
                <w:lang w:val="zh-CN"/>
              </w:rPr>
            </w:pPr>
          </w:p>
        </w:tc>
        <w:tc>
          <w:tcPr>
            <w:tcW w:w="2300" w:type="dxa"/>
          </w:tcPr>
          <w:p w14:paraId="6F6D659C">
            <w:pPr>
              <w:autoSpaceDE w:val="0"/>
              <w:autoSpaceDN w:val="0"/>
              <w:adjustRightInd w:val="0"/>
              <w:spacing w:line="440" w:lineRule="atLeast"/>
              <w:jc w:val="center"/>
              <w:rPr>
                <w:rFonts w:ascii="Cambria Math" w:hAnsi="Cambria Math" w:eastAsia="Cambria Math"/>
                <w:b w:val="0"/>
                <w:color w:val="auto"/>
                <w:sz w:val="22"/>
                <w:szCs w:val="22"/>
                <w:highlight w:val="none"/>
                <w:lang w:val="zh-CN"/>
              </w:rPr>
            </w:pPr>
          </w:p>
        </w:tc>
        <w:tc>
          <w:tcPr>
            <w:tcW w:w="2000" w:type="dxa"/>
          </w:tcPr>
          <w:p w14:paraId="7F06F3F5">
            <w:pPr>
              <w:autoSpaceDE w:val="0"/>
              <w:autoSpaceDN w:val="0"/>
              <w:adjustRightInd w:val="0"/>
              <w:spacing w:line="440" w:lineRule="atLeast"/>
              <w:jc w:val="center"/>
              <w:rPr>
                <w:rFonts w:ascii="Cambria Math" w:hAnsi="Cambria Math" w:eastAsia="Cambria Math"/>
                <w:b w:val="0"/>
                <w:color w:val="auto"/>
                <w:sz w:val="22"/>
                <w:szCs w:val="22"/>
                <w:highlight w:val="none"/>
                <w:lang w:val="zh-CN"/>
              </w:rPr>
            </w:pPr>
          </w:p>
        </w:tc>
        <w:tc>
          <w:tcPr>
            <w:tcW w:w="1805" w:type="dxa"/>
          </w:tcPr>
          <w:p w14:paraId="2478221A">
            <w:pPr>
              <w:autoSpaceDE w:val="0"/>
              <w:autoSpaceDN w:val="0"/>
              <w:adjustRightInd w:val="0"/>
              <w:spacing w:line="440" w:lineRule="atLeast"/>
              <w:jc w:val="center"/>
              <w:rPr>
                <w:rFonts w:ascii="Cambria Math" w:hAnsi="Cambria Math" w:eastAsia="Cambria Math"/>
                <w:b w:val="0"/>
                <w:color w:val="auto"/>
                <w:sz w:val="22"/>
                <w:szCs w:val="22"/>
                <w:highlight w:val="none"/>
                <w:lang w:val="zh-CN"/>
              </w:rPr>
            </w:pPr>
          </w:p>
        </w:tc>
      </w:tr>
      <w:tr w14:paraId="19ED6ED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c>
          <w:tcPr>
            <w:tcW w:w="900" w:type="dxa"/>
          </w:tcPr>
          <w:p w14:paraId="4EC1EECC">
            <w:pPr>
              <w:autoSpaceDE w:val="0"/>
              <w:autoSpaceDN w:val="0"/>
              <w:adjustRightInd w:val="0"/>
              <w:spacing w:line="440" w:lineRule="atLeast"/>
              <w:jc w:val="center"/>
              <w:rPr>
                <w:rFonts w:ascii="Cambria Math" w:hAnsi="Cambria Math" w:eastAsia="Cambria Math"/>
                <w:b w:val="0"/>
                <w:color w:val="auto"/>
                <w:sz w:val="22"/>
                <w:szCs w:val="22"/>
                <w:highlight w:val="none"/>
                <w:lang w:val="zh-CN"/>
              </w:rPr>
            </w:pPr>
          </w:p>
        </w:tc>
        <w:tc>
          <w:tcPr>
            <w:tcW w:w="1800" w:type="dxa"/>
          </w:tcPr>
          <w:p w14:paraId="2CEE51D3">
            <w:pPr>
              <w:autoSpaceDE w:val="0"/>
              <w:autoSpaceDN w:val="0"/>
              <w:adjustRightInd w:val="0"/>
              <w:spacing w:line="440" w:lineRule="atLeast"/>
              <w:jc w:val="center"/>
              <w:rPr>
                <w:rFonts w:ascii="Cambria Math" w:hAnsi="Cambria Math" w:eastAsia="Cambria Math"/>
                <w:b w:val="0"/>
                <w:color w:val="auto"/>
                <w:sz w:val="22"/>
                <w:szCs w:val="22"/>
                <w:highlight w:val="none"/>
                <w:lang w:val="zh-CN"/>
              </w:rPr>
            </w:pPr>
          </w:p>
        </w:tc>
        <w:tc>
          <w:tcPr>
            <w:tcW w:w="2300" w:type="dxa"/>
          </w:tcPr>
          <w:p w14:paraId="41519398">
            <w:pPr>
              <w:autoSpaceDE w:val="0"/>
              <w:autoSpaceDN w:val="0"/>
              <w:adjustRightInd w:val="0"/>
              <w:spacing w:line="440" w:lineRule="atLeast"/>
              <w:jc w:val="center"/>
              <w:rPr>
                <w:rFonts w:ascii="Cambria Math" w:hAnsi="Cambria Math" w:eastAsia="Cambria Math"/>
                <w:b w:val="0"/>
                <w:color w:val="auto"/>
                <w:sz w:val="22"/>
                <w:szCs w:val="22"/>
                <w:highlight w:val="none"/>
                <w:lang w:val="zh-CN"/>
              </w:rPr>
            </w:pPr>
          </w:p>
        </w:tc>
        <w:tc>
          <w:tcPr>
            <w:tcW w:w="2000" w:type="dxa"/>
          </w:tcPr>
          <w:p w14:paraId="31A9FB19">
            <w:pPr>
              <w:autoSpaceDE w:val="0"/>
              <w:autoSpaceDN w:val="0"/>
              <w:adjustRightInd w:val="0"/>
              <w:spacing w:line="440" w:lineRule="atLeast"/>
              <w:jc w:val="center"/>
              <w:rPr>
                <w:rFonts w:ascii="Cambria Math" w:hAnsi="Cambria Math" w:eastAsia="Cambria Math"/>
                <w:b w:val="0"/>
                <w:color w:val="auto"/>
                <w:sz w:val="22"/>
                <w:szCs w:val="22"/>
                <w:highlight w:val="none"/>
                <w:lang w:val="zh-CN"/>
              </w:rPr>
            </w:pPr>
          </w:p>
        </w:tc>
        <w:tc>
          <w:tcPr>
            <w:tcW w:w="1805" w:type="dxa"/>
          </w:tcPr>
          <w:p w14:paraId="3F4081B1">
            <w:pPr>
              <w:autoSpaceDE w:val="0"/>
              <w:autoSpaceDN w:val="0"/>
              <w:adjustRightInd w:val="0"/>
              <w:spacing w:line="440" w:lineRule="atLeast"/>
              <w:jc w:val="center"/>
              <w:rPr>
                <w:rFonts w:ascii="Cambria Math" w:hAnsi="Cambria Math" w:eastAsia="Cambria Math"/>
                <w:b w:val="0"/>
                <w:color w:val="auto"/>
                <w:sz w:val="22"/>
                <w:szCs w:val="22"/>
                <w:highlight w:val="none"/>
                <w:lang w:val="zh-CN"/>
              </w:rPr>
            </w:pPr>
          </w:p>
        </w:tc>
      </w:tr>
      <w:tr w14:paraId="2B10FC8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c>
          <w:tcPr>
            <w:tcW w:w="900" w:type="dxa"/>
          </w:tcPr>
          <w:p w14:paraId="3F46EE0D">
            <w:pPr>
              <w:autoSpaceDE w:val="0"/>
              <w:autoSpaceDN w:val="0"/>
              <w:adjustRightInd w:val="0"/>
              <w:spacing w:line="440" w:lineRule="atLeast"/>
              <w:jc w:val="center"/>
              <w:rPr>
                <w:rFonts w:ascii="Cambria Math" w:hAnsi="Cambria Math" w:eastAsia="Cambria Math"/>
                <w:b w:val="0"/>
                <w:color w:val="auto"/>
                <w:sz w:val="22"/>
                <w:szCs w:val="22"/>
                <w:highlight w:val="none"/>
                <w:lang w:val="zh-CN"/>
              </w:rPr>
            </w:pPr>
          </w:p>
        </w:tc>
        <w:tc>
          <w:tcPr>
            <w:tcW w:w="1800" w:type="dxa"/>
          </w:tcPr>
          <w:p w14:paraId="53DED2C7">
            <w:pPr>
              <w:autoSpaceDE w:val="0"/>
              <w:autoSpaceDN w:val="0"/>
              <w:adjustRightInd w:val="0"/>
              <w:spacing w:line="440" w:lineRule="atLeast"/>
              <w:jc w:val="center"/>
              <w:rPr>
                <w:rFonts w:ascii="Cambria Math" w:hAnsi="Cambria Math" w:eastAsia="Cambria Math"/>
                <w:b w:val="0"/>
                <w:color w:val="auto"/>
                <w:sz w:val="22"/>
                <w:szCs w:val="22"/>
                <w:highlight w:val="none"/>
                <w:lang w:val="zh-CN"/>
              </w:rPr>
            </w:pPr>
          </w:p>
        </w:tc>
        <w:tc>
          <w:tcPr>
            <w:tcW w:w="2300" w:type="dxa"/>
          </w:tcPr>
          <w:p w14:paraId="27DC23F5">
            <w:pPr>
              <w:autoSpaceDE w:val="0"/>
              <w:autoSpaceDN w:val="0"/>
              <w:adjustRightInd w:val="0"/>
              <w:spacing w:line="440" w:lineRule="atLeast"/>
              <w:jc w:val="center"/>
              <w:rPr>
                <w:rFonts w:ascii="Cambria Math" w:hAnsi="Cambria Math" w:eastAsia="Cambria Math"/>
                <w:b w:val="0"/>
                <w:color w:val="auto"/>
                <w:sz w:val="22"/>
                <w:szCs w:val="22"/>
                <w:highlight w:val="none"/>
                <w:lang w:val="zh-CN"/>
              </w:rPr>
            </w:pPr>
          </w:p>
        </w:tc>
        <w:tc>
          <w:tcPr>
            <w:tcW w:w="2000" w:type="dxa"/>
          </w:tcPr>
          <w:p w14:paraId="3BF31069">
            <w:pPr>
              <w:autoSpaceDE w:val="0"/>
              <w:autoSpaceDN w:val="0"/>
              <w:adjustRightInd w:val="0"/>
              <w:spacing w:line="440" w:lineRule="atLeast"/>
              <w:jc w:val="center"/>
              <w:rPr>
                <w:rFonts w:ascii="Cambria Math" w:hAnsi="Cambria Math" w:eastAsia="Cambria Math"/>
                <w:b w:val="0"/>
                <w:color w:val="auto"/>
                <w:sz w:val="22"/>
                <w:szCs w:val="22"/>
                <w:highlight w:val="none"/>
                <w:lang w:val="zh-CN"/>
              </w:rPr>
            </w:pPr>
          </w:p>
        </w:tc>
        <w:tc>
          <w:tcPr>
            <w:tcW w:w="1805" w:type="dxa"/>
          </w:tcPr>
          <w:p w14:paraId="2DDD7E73">
            <w:pPr>
              <w:autoSpaceDE w:val="0"/>
              <w:autoSpaceDN w:val="0"/>
              <w:adjustRightInd w:val="0"/>
              <w:spacing w:line="440" w:lineRule="atLeast"/>
              <w:jc w:val="center"/>
              <w:rPr>
                <w:rFonts w:ascii="Cambria Math" w:hAnsi="Cambria Math" w:eastAsia="Cambria Math"/>
                <w:b w:val="0"/>
                <w:color w:val="auto"/>
                <w:sz w:val="22"/>
                <w:szCs w:val="22"/>
                <w:highlight w:val="none"/>
                <w:lang w:val="zh-CN"/>
              </w:rPr>
            </w:pPr>
          </w:p>
        </w:tc>
      </w:tr>
      <w:tr w14:paraId="143FA33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PrEx>
        <w:tc>
          <w:tcPr>
            <w:tcW w:w="900" w:type="dxa"/>
          </w:tcPr>
          <w:p w14:paraId="3C78057E">
            <w:pPr>
              <w:autoSpaceDE w:val="0"/>
              <w:autoSpaceDN w:val="0"/>
              <w:adjustRightInd w:val="0"/>
              <w:spacing w:line="440" w:lineRule="atLeast"/>
              <w:jc w:val="center"/>
              <w:rPr>
                <w:rFonts w:ascii="Cambria Math" w:hAnsi="Cambria Math" w:eastAsia="Cambria Math"/>
                <w:b w:val="0"/>
                <w:color w:val="auto"/>
                <w:sz w:val="22"/>
                <w:szCs w:val="22"/>
                <w:highlight w:val="none"/>
                <w:lang w:val="zh-CN"/>
              </w:rPr>
            </w:pPr>
          </w:p>
        </w:tc>
        <w:tc>
          <w:tcPr>
            <w:tcW w:w="1800" w:type="dxa"/>
          </w:tcPr>
          <w:p w14:paraId="365C64C6">
            <w:pPr>
              <w:autoSpaceDE w:val="0"/>
              <w:autoSpaceDN w:val="0"/>
              <w:adjustRightInd w:val="0"/>
              <w:spacing w:line="440" w:lineRule="atLeast"/>
              <w:jc w:val="center"/>
              <w:rPr>
                <w:rFonts w:ascii="Cambria Math" w:hAnsi="Cambria Math" w:eastAsia="Cambria Math"/>
                <w:b w:val="0"/>
                <w:color w:val="auto"/>
                <w:sz w:val="22"/>
                <w:szCs w:val="22"/>
                <w:highlight w:val="none"/>
                <w:lang w:val="zh-CN"/>
              </w:rPr>
            </w:pPr>
          </w:p>
        </w:tc>
        <w:tc>
          <w:tcPr>
            <w:tcW w:w="2300" w:type="dxa"/>
          </w:tcPr>
          <w:p w14:paraId="2E712951">
            <w:pPr>
              <w:autoSpaceDE w:val="0"/>
              <w:autoSpaceDN w:val="0"/>
              <w:adjustRightInd w:val="0"/>
              <w:spacing w:line="440" w:lineRule="atLeast"/>
              <w:jc w:val="center"/>
              <w:rPr>
                <w:rFonts w:ascii="Cambria Math" w:hAnsi="Cambria Math" w:eastAsia="Cambria Math"/>
                <w:b w:val="0"/>
                <w:color w:val="auto"/>
                <w:sz w:val="22"/>
                <w:szCs w:val="22"/>
                <w:highlight w:val="none"/>
                <w:lang w:val="zh-CN"/>
              </w:rPr>
            </w:pPr>
          </w:p>
        </w:tc>
        <w:tc>
          <w:tcPr>
            <w:tcW w:w="2000" w:type="dxa"/>
          </w:tcPr>
          <w:p w14:paraId="14DCD3C5">
            <w:pPr>
              <w:autoSpaceDE w:val="0"/>
              <w:autoSpaceDN w:val="0"/>
              <w:adjustRightInd w:val="0"/>
              <w:spacing w:line="440" w:lineRule="atLeast"/>
              <w:jc w:val="center"/>
              <w:rPr>
                <w:rFonts w:ascii="Cambria Math" w:hAnsi="Cambria Math" w:eastAsia="Cambria Math"/>
                <w:b w:val="0"/>
                <w:color w:val="auto"/>
                <w:sz w:val="22"/>
                <w:szCs w:val="22"/>
                <w:highlight w:val="none"/>
                <w:lang w:val="zh-CN"/>
              </w:rPr>
            </w:pPr>
          </w:p>
        </w:tc>
        <w:tc>
          <w:tcPr>
            <w:tcW w:w="1805" w:type="dxa"/>
          </w:tcPr>
          <w:p w14:paraId="5EB31138">
            <w:pPr>
              <w:autoSpaceDE w:val="0"/>
              <w:autoSpaceDN w:val="0"/>
              <w:adjustRightInd w:val="0"/>
              <w:spacing w:line="440" w:lineRule="atLeast"/>
              <w:jc w:val="center"/>
              <w:rPr>
                <w:rFonts w:ascii="Cambria Math" w:hAnsi="Cambria Math" w:eastAsia="Cambria Math"/>
                <w:b w:val="0"/>
                <w:color w:val="auto"/>
                <w:sz w:val="22"/>
                <w:szCs w:val="22"/>
                <w:highlight w:val="none"/>
                <w:lang w:val="zh-CN"/>
              </w:rPr>
            </w:pPr>
          </w:p>
        </w:tc>
      </w:tr>
      <w:tr w14:paraId="32E7FE3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c>
          <w:tcPr>
            <w:tcW w:w="900" w:type="dxa"/>
          </w:tcPr>
          <w:p w14:paraId="7B5BDD45">
            <w:pPr>
              <w:autoSpaceDE w:val="0"/>
              <w:autoSpaceDN w:val="0"/>
              <w:adjustRightInd w:val="0"/>
              <w:spacing w:line="440" w:lineRule="atLeast"/>
              <w:jc w:val="center"/>
              <w:rPr>
                <w:rFonts w:ascii="Cambria Math" w:hAnsi="Cambria Math" w:eastAsia="Cambria Math"/>
                <w:b w:val="0"/>
                <w:color w:val="auto"/>
                <w:sz w:val="22"/>
                <w:szCs w:val="22"/>
                <w:highlight w:val="none"/>
                <w:lang w:val="zh-CN"/>
              </w:rPr>
            </w:pPr>
          </w:p>
        </w:tc>
        <w:tc>
          <w:tcPr>
            <w:tcW w:w="1800" w:type="dxa"/>
          </w:tcPr>
          <w:p w14:paraId="646AAD85">
            <w:pPr>
              <w:autoSpaceDE w:val="0"/>
              <w:autoSpaceDN w:val="0"/>
              <w:adjustRightInd w:val="0"/>
              <w:spacing w:line="440" w:lineRule="atLeast"/>
              <w:jc w:val="center"/>
              <w:rPr>
                <w:rFonts w:ascii="Cambria Math" w:hAnsi="Cambria Math" w:eastAsia="Cambria Math"/>
                <w:b w:val="0"/>
                <w:color w:val="auto"/>
                <w:sz w:val="22"/>
                <w:szCs w:val="22"/>
                <w:highlight w:val="none"/>
                <w:lang w:val="zh-CN"/>
              </w:rPr>
            </w:pPr>
          </w:p>
        </w:tc>
        <w:tc>
          <w:tcPr>
            <w:tcW w:w="2300" w:type="dxa"/>
          </w:tcPr>
          <w:p w14:paraId="7AE14040">
            <w:pPr>
              <w:autoSpaceDE w:val="0"/>
              <w:autoSpaceDN w:val="0"/>
              <w:adjustRightInd w:val="0"/>
              <w:spacing w:line="440" w:lineRule="atLeast"/>
              <w:jc w:val="center"/>
              <w:rPr>
                <w:rFonts w:ascii="Cambria Math" w:hAnsi="Cambria Math" w:eastAsia="Cambria Math"/>
                <w:b w:val="0"/>
                <w:color w:val="auto"/>
                <w:sz w:val="22"/>
                <w:szCs w:val="22"/>
                <w:highlight w:val="none"/>
                <w:lang w:val="zh-CN"/>
              </w:rPr>
            </w:pPr>
          </w:p>
        </w:tc>
        <w:tc>
          <w:tcPr>
            <w:tcW w:w="2000" w:type="dxa"/>
          </w:tcPr>
          <w:p w14:paraId="62DF8573">
            <w:pPr>
              <w:autoSpaceDE w:val="0"/>
              <w:autoSpaceDN w:val="0"/>
              <w:adjustRightInd w:val="0"/>
              <w:spacing w:line="440" w:lineRule="atLeast"/>
              <w:jc w:val="center"/>
              <w:rPr>
                <w:rFonts w:ascii="Cambria Math" w:hAnsi="Cambria Math" w:eastAsia="Cambria Math"/>
                <w:b w:val="0"/>
                <w:color w:val="auto"/>
                <w:sz w:val="22"/>
                <w:szCs w:val="22"/>
                <w:highlight w:val="none"/>
                <w:lang w:val="zh-CN"/>
              </w:rPr>
            </w:pPr>
          </w:p>
        </w:tc>
        <w:tc>
          <w:tcPr>
            <w:tcW w:w="1805" w:type="dxa"/>
          </w:tcPr>
          <w:p w14:paraId="0165A636">
            <w:pPr>
              <w:autoSpaceDE w:val="0"/>
              <w:autoSpaceDN w:val="0"/>
              <w:adjustRightInd w:val="0"/>
              <w:spacing w:line="440" w:lineRule="atLeast"/>
              <w:jc w:val="center"/>
              <w:rPr>
                <w:rFonts w:ascii="Cambria Math" w:hAnsi="Cambria Math" w:eastAsia="Cambria Math"/>
                <w:b w:val="0"/>
                <w:color w:val="auto"/>
                <w:sz w:val="22"/>
                <w:szCs w:val="22"/>
                <w:highlight w:val="none"/>
                <w:lang w:val="zh-CN"/>
              </w:rPr>
            </w:pPr>
          </w:p>
        </w:tc>
      </w:tr>
      <w:tr w14:paraId="5EB10AA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c>
          <w:tcPr>
            <w:tcW w:w="900" w:type="dxa"/>
          </w:tcPr>
          <w:p w14:paraId="4F4841AE">
            <w:pPr>
              <w:autoSpaceDE w:val="0"/>
              <w:autoSpaceDN w:val="0"/>
              <w:adjustRightInd w:val="0"/>
              <w:spacing w:line="440" w:lineRule="atLeast"/>
              <w:jc w:val="center"/>
              <w:rPr>
                <w:rFonts w:ascii="Cambria Math" w:hAnsi="Cambria Math" w:eastAsia="Cambria Math"/>
                <w:b w:val="0"/>
                <w:color w:val="auto"/>
                <w:sz w:val="22"/>
                <w:szCs w:val="22"/>
                <w:highlight w:val="none"/>
                <w:lang w:val="zh-CN"/>
              </w:rPr>
            </w:pPr>
          </w:p>
        </w:tc>
        <w:tc>
          <w:tcPr>
            <w:tcW w:w="1800" w:type="dxa"/>
          </w:tcPr>
          <w:p w14:paraId="5A8D463F">
            <w:pPr>
              <w:autoSpaceDE w:val="0"/>
              <w:autoSpaceDN w:val="0"/>
              <w:adjustRightInd w:val="0"/>
              <w:spacing w:line="440" w:lineRule="atLeast"/>
              <w:jc w:val="center"/>
              <w:rPr>
                <w:rFonts w:ascii="Cambria Math" w:hAnsi="Cambria Math" w:eastAsia="Cambria Math"/>
                <w:b w:val="0"/>
                <w:color w:val="auto"/>
                <w:sz w:val="22"/>
                <w:szCs w:val="22"/>
                <w:highlight w:val="none"/>
                <w:lang w:val="zh-CN"/>
              </w:rPr>
            </w:pPr>
          </w:p>
        </w:tc>
        <w:tc>
          <w:tcPr>
            <w:tcW w:w="2300" w:type="dxa"/>
          </w:tcPr>
          <w:p w14:paraId="5434A641">
            <w:pPr>
              <w:autoSpaceDE w:val="0"/>
              <w:autoSpaceDN w:val="0"/>
              <w:adjustRightInd w:val="0"/>
              <w:spacing w:line="440" w:lineRule="atLeast"/>
              <w:jc w:val="center"/>
              <w:rPr>
                <w:rFonts w:ascii="Cambria Math" w:hAnsi="Cambria Math" w:eastAsia="Cambria Math"/>
                <w:b w:val="0"/>
                <w:color w:val="auto"/>
                <w:sz w:val="22"/>
                <w:szCs w:val="22"/>
                <w:highlight w:val="none"/>
                <w:lang w:val="zh-CN"/>
              </w:rPr>
            </w:pPr>
          </w:p>
        </w:tc>
        <w:tc>
          <w:tcPr>
            <w:tcW w:w="2000" w:type="dxa"/>
          </w:tcPr>
          <w:p w14:paraId="68459EA8">
            <w:pPr>
              <w:autoSpaceDE w:val="0"/>
              <w:autoSpaceDN w:val="0"/>
              <w:adjustRightInd w:val="0"/>
              <w:spacing w:line="440" w:lineRule="atLeast"/>
              <w:jc w:val="center"/>
              <w:rPr>
                <w:rFonts w:ascii="Cambria Math" w:hAnsi="Cambria Math" w:eastAsia="Cambria Math"/>
                <w:b w:val="0"/>
                <w:color w:val="auto"/>
                <w:sz w:val="22"/>
                <w:szCs w:val="22"/>
                <w:highlight w:val="none"/>
                <w:lang w:val="zh-CN"/>
              </w:rPr>
            </w:pPr>
          </w:p>
        </w:tc>
        <w:tc>
          <w:tcPr>
            <w:tcW w:w="1805" w:type="dxa"/>
          </w:tcPr>
          <w:p w14:paraId="6E1538F7">
            <w:pPr>
              <w:autoSpaceDE w:val="0"/>
              <w:autoSpaceDN w:val="0"/>
              <w:adjustRightInd w:val="0"/>
              <w:spacing w:line="440" w:lineRule="atLeast"/>
              <w:jc w:val="center"/>
              <w:rPr>
                <w:rFonts w:ascii="Cambria Math" w:hAnsi="Cambria Math" w:eastAsia="Cambria Math"/>
                <w:b w:val="0"/>
                <w:color w:val="auto"/>
                <w:sz w:val="22"/>
                <w:szCs w:val="22"/>
                <w:highlight w:val="none"/>
                <w:lang w:val="zh-CN"/>
              </w:rPr>
            </w:pPr>
          </w:p>
        </w:tc>
      </w:tr>
      <w:tr w14:paraId="0D24C3A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c>
          <w:tcPr>
            <w:tcW w:w="900" w:type="dxa"/>
          </w:tcPr>
          <w:p w14:paraId="068D31DD">
            <w:pPr>
              <w:autoSpaceDE w:val="0"/>
              <w:autoSpaceDN w:val="0"/>
              <w:adjustRightInd w:val="0"/>
              <w:spacing w:line="440" w:lineRule="atLeast"/>
              <w:jc w:val="center"/>
              <w:rPr>
                <w:rFonts w:ascii="Cambria Math" w:hAnsi="Cambria Math" w:eastAsia="Cambria Math"/>
                <w:b w:val="0"/>
                <w:color w:val="auto"/>
                <w:sz w:val="22"/>
                <w:szCs w:val="22"/>
                <w:highlight w:val="none"/>
                <w:lang w:val="zh-CN"/>
              </w:rPr>
            </w:pPr>
          </w:p>
        </w:tc>
        <w:tc>
          <w:tcPr>
            <w:tcW w:w="1800" w:type="dxa"/>
          </w:tcPr>
          <w:p w14:paraId="2A1E8FE4">
            <w:pPr>
              <w:autoSpaceDE w:val="0"/>
              <w:autoSpaceDN w:val="0"/>
              <w:adjustRightInd w:val="0"/>
              <w:spacing w:line="440" w:lineRule="atLeast"/>
              <w:jc w:val="center"/>
              <w:rPr>
                <w:rFonts w:ascii="Cambria Math" w:hAnsi="Cambria Math" w:eastAsia="Cambria Math"/>
                <w:b w:val="0"/>
                <w:color w:val="auto"/>
                <w:sz w:val="22"/>
                <w:szCs w:val="22"/>
                <w:highlight w:val="none"/>
                <w:lang w:val="zh-CN"/>
              </w:rPr>
            </w:pPr>
          </w:p>
        </w:tc>
        <w:tc>
          <w:tcPr>
            <w:tcW w:w="2300" w:type="dxa"/>
          </w:tcPr>
          <w:p w14:paraId="26FB62C1">
            <w:pPr>
              <w:autoSpaceDE w:val="0"/>
              <w:autoSpaceDN w:val="0"/>
              <w:adjustRightInd w:val="0"/>
              <w:spacing w:line="440" w:lineRule="atLeast"/>
              <w:jc w:val="center"/>
              <w:rPr>
                <w:rFonts w:ascii="Cambria Math" w:hAnsi="Cambria Math" w:eastAsia="Cambria Math"/>
                <w:b w:val="0"/>
                <w:color w:val="auto"/>
                <w:sz w:val="22"/>
                <w:szCs w:val="22"/>
                <w:highlight w:val="none"/>
                <w:lang w:val="zh-CN"/>
              </w:rPr>
            </w:pPr>
          </w:p>
        </w:tc>
        <w:tc>
          <w:tcPr>
            <w:tcW w:w="2000" w:type="dxa"/>
          </w:tcPr>
          <w:p w14:paraId="0B729073">
            <w:pPr>
              <w:autoSpaceDE w:val="0"/>
              <w:autoSpaceDN w:val="0"/>
              <w:adjustRightInd w:val="0"/>
              <w:spacing w:line="440" w:lineRule="atLeast"/>
              <w:jc w:val="center"/>
              <w:rPr>
                <w:rFonts w:ascii="Cambria Math" w:hAnsi="Cambria Math" w:eastAsia="Cambria Math"/>
                <w:b w:val="0"/>
                <w:color w:val="auto"/>
                <w:sz w:val="22"/>
                <w:szCs w:val="22"/>
                <w:highlight w:val="none"/>
                <w:lang w:val="zh-CN"/>
              </w:rPr>
            </w:pPr>
          </w:p>
        </w:tc>
        <w:tc>
          <w:tcPr>
            <w:tcW w:w="1805" w:type="dxa"/>
          </w:tcPr>
          <w:p w14:paraId="2539D7BC">
            <w:pPr>
              <w:autoSpaceDE w:val="0"/>
              <w:autoSpaceDN w:val="0"/>
              <w:adjustRightInd w:val="0"/>
              <w:spacing w:line="440" w:lineRule="atLeast"/>
              <w:jc w:val="center"/>
              <w:rPr>
                <w:rFonts w:ascii="Cambria Math" w:hAnsi="Cambria Math" w:eastAsia="Cambria Math"/>
                <w:b w:val="0"/>
                <w:color w:val="auto"/>
                <w:sz w:val="22"/>
                <w:szCs w:val="22"/>
                <w:highlight w:val="none"/>
                <w:lang w:val="zh-CN"/>
              </w:rPr>
            </w:pPr>
          </w:p>
        </w:tc>
      </w:tr>
      <w:tr w14:paraId="2C9D30F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c>
          <w:tcPr>
            <w:tcW w:w="900" w:type="dxa"/>
          </w:tcPr>
          <w:p w14:paraId="3EE789D9">
            <w:pPr>
              <w:autoSpaceDE w:val="0"/>
              <w:autoSpaceDN w:val="0"/>
              <w:adjustRightInd w:val="0"/>
              <w:spacing w:line="440" w:lineRule="atLeast"/>
              <w:jc w:val="center"/>
              <w:rPr>
                <w:rFonts w:ascii="Cambria Math" w:hAnsi="Cambria Math" w:eastAsia="Cambria Math"/>
                <w:b w:val="0"/>
                <w:color w:val="auto"/>
                <w:sz w:val="22"/>
                <w:szCs w:val="22"/>
                <w:highlight w:val="none"/>
                <w:lang w:val="zh-CN"/>
              </w:rPr>
            </w:pPr>
          </w:p>
        </w:tc>
        <w:tc>
          <w:tcPr>
            <w:tcW w:w="1800" w:type="dxa"/>
          </w:tcPr>
          <w:p w14:paraId="2F6A5DBA">
            <w:pPr>
              <w:autoSpaceDE w:val="0"/>
              <w:autoSpaceDN w:val="0"/>
              <w:adjustRightInd w:val="0"/>
              <w:spacing w:line="440" w:lineRule="atLeast"/>
              <w:jc w:val="center"/>
              <w:rPr>
                <w:rFonts w:ascii="Cambria Math" w:hAnsi="Cambria Math" w:eastAsia="Cambria Math"/>
                <w:b w:val="0"/>
                <w:color w:val="auto"/>
                <w:sz w:val="22"/>
                <w:szCs w:val="22"/>
                <w:highlight w:val="none"/>
                <w:lang w:val="zh-CN"/>
              </w:rPr>
            </w:pPr>
          </w:p>
        </w:tc>
        <w:tc>
          <w:tcPr>
            <w:tcW w:w="2300" w:type="dxa"/>
          </w:tcPr>
          <w:p w14:paraId="154FD9BC">
            <w:pPr>
              <w:autoSpaceDE w:val="0"/>
              <w:autoSpaceDN w:val="0"/>
              <w:adjustRightInd w:val="0"/>
              <w:spacing w:line="440" w:lineRule="atLeast"/>
              <w:jc w:val="center"/>
              <w:rPr>
                <w:rFonts w:ascii="Cambria Math" w:hAnsi="Cambria Math" w:eastAsia="Cambria Math"/>
                <w:b w:val="0"/>
                <w:color w:val="auto"/>
                <w:sz w:val="22"/>
                <w:szCs w:val="22"/>
                <w:highlight w:val="none"/>
                <w:lang w:val="zh-CN"/>
              </w:rPr>
            </w:pPr>
          </w:p>
        </w:tc>
        <w:tc>
          <w:tcPr>
            <w:tcW w:w="2000" w:type="dxa"/>
          </w:tcPr>
          <w:p w14:paraId="6E624C3F">
            <w:pPr>
              <w:autoSpaceDE w:val="0"/>
              <w:autoSpaceDN w:val="0"/>
              <w:adjustRightInd w:val="0"/>
              <w:spacing w:line="440" w:lineRule="atLeast"/>
              <w:jc w:val="center"/>
              <w:rPr>
                <w:rFonts w:ascii="Cambria Math" w:hAnsi="Cambria Math" w:eastAsia="Cambria Math"/>
                <w:b w:val="0"/>
                <w:color w:val="auto"/>
                <w:sz w:val="22"/>
                <w:szCs w:val="22"/>
                <w:highlight w:val="none"/>
                <w:lang w:val="zh-CN"/>
              </w:rPr>
            </w:pPr>
          </w:p>
        </w:tc>
        <w:tc>
          <w:tcPr>
            <w:tcW w:w="1805" w:type="dxa"/>
          </w:tcPr>
          <w:p w14:paraId="0AA79AA6">
            <w:pPr>
              <w:autoSpaceDE w:val="0"/>
              <w:autoSpaceDN w:val="0"/>
              <w:adjustRightInd w:val="0"/>
              <w:spacing w:line="440" w:lineRule="atLeast"/>
              <w:jc w:val="center"/>
              <w:rPr>
                <w:rFonts w:ascii="Cambria Math" w:hAnsi="Cambria Math" w:eastAsia="Cambria Math"/>
                <w:b w:val="0"/>
                <w:color w:val="auto"/>
                <w:sz w:val="22"/>
                <w:szCs w:val="22"/>
                <w:highlight w:val="none"/>
                <w:lang w:val="zh-CN"/>
              </w:rPr>
            </w:pPr>
          </w:p>
        </w:tc>
      </w:tr>
      <w:tr w14:paraId="0577788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PrEx>
        <w:tc>
          <w:tcPr>
            <w:tcW w:w="900" w:type="dxa"/>
          </w:tcPr>
          <w:p w14:paraId="1410BAC6">
            <w:pPr>
              <w:autoSpaceDE w:val="0"/>
              <w:autoSpaceDN w:val="0"/>
              <w:adjustRightInd w:val="0"/>
              <w:spacing w:line="440" w:lineRule="atLeast"/>
              <w:jc w:val="center"/>
              <w:rPr>
                <w:rFonts w:ascii="Cambria Math" w:hAnsi="Cambria Math" w:eastAsia="Cambria Math"/>
                <w:b w:val="0"/>
                <w:color w:val="auto"/>
                <w:sz w:val="22"/>
                <w:szCs w:val="22"/>
                <w:highlight w:val="none"/>
                <w:lang w:val="zh-CN"/>
              </w:rPr>
            </w:pPr>
          </w:p>
        </w:tc>
        <w:tc>
          <w:tcPr>
            <w:tcW w:w="1800" w:type="dxa"/>
          </w:tcPr>
          <w:p w14:paraId="3BD131A6">
            <w:pPr>
              <w:autoSpaceDE w:val="0"/>
              <w:autoSpaceDN w:val="0"/>
              <w:adjustRightInd w:val="0"/>
              <w:spacing w:line="440" w:lineRule="atLeast"/>
              <w:jc w:val="center"/>
              <w:rPr>
                <w:rFonts w:ascii="Cambria Math" w:hAnsi="Cambria Math" w:eastAsia="Cambria Math"/>
                <w:b w:val="0"/>
                <w:color w:val="auto"/>
                <w:sz w:val="22"/>
                <w:szCs w:val="22"/>
                <w:highlight w:val="none"/>
                <w:lang w:val="zh-CN"/>
              </w:rPr>
            </w:pPr>
          </w:p>
        </w:tc>
        <w:tc>
          <w:tcPr>
            <w:tcW w:w="2300" w:type="dxa"/>
          </w:tcPr>
          <w:p w14:paraId="6C22F02A">
            <w:pPr>
              <w:autoSpaceDE w:val="0"/>
              <w:autoSpaceDN w:val="0"/>
              <w:adjustRightInd w:val="0"/>
              <w:spacing w:line="440" w:lineRule="atLeast"/>
              <w:jc w:val="center"/>
              <w:rPr>
                <w:rFonts w:ascii="Cambria Math" w:hAnsi="Cambria Math" w:eastAsia="Cambria Math"/>
                <w:b w:val="0"/>
                <w:color w:val="auto"/>
                <w:sz w:val="22"/>
                <w:szCs w:val="22"/>
                <w:highlight w:val="none"/>
                <w:lang w:val="zh-CN"/>
              </w:rPr>
            </w:pPr>
          </w:p>
        </w:tc>
        <w:tc>
          <w:tcPr>
            <w:tcW w:w="2000" w:type="dxa"/>
          </w:tcPr>
          <w:p w14:paraId="0B7A050B">
            <w:pPr>
              <w:autoSpaceDE w:val="0"/>
              <w:autoSpaceDN w:val="0"/>
              <w:adjustRightInd w:val="0"/>
              <w:spacing w:line="440" w:lineRule="atLeast"/>
              <w:jc w:val="center"/>
              <w:rPr>
                <w:rFonts w:ascii="Cambria Math" w:hAnsi="Cambria Math" w:eastAsia="Cambria Math"/>
                <w:b w:val="0"/>
                <w:color w:val="auto"/>
                <w:sz w:val="22"/>
                <w:szCs w:val="22"/>
                <w:highlight w:val="none"/>
                <w:lang w:val="zh-CN"/>
              </w:rPr>
            </w:pPr>
          </w:p>
        </w:tc>
        <w:tc>
          <w:tcPr>
            <w:tcW w:w="1805" w:type="dxa"/>
          </w:tcPr>
          <w:p w14:paraId="45AA3BCC">
            <w:pPr>
              <w:autoSpaceDE w:val="0"/>
              <w:autoSpaceDN w:val="0"/>
              <w:adjustRightInd w:val="0"/>
              <w:spacing w:line="440" w:lineRule="atLeast"/>
              <w:jc w:val="center"/>
              <w:rPr>
                <w:rFonts w:ascii="Cambria Math" w:hAnsi="Cambria Math" w:eastAsia="Cambria Math"/>
                <w:b w:val="0"/>
                <w:color w:val="auto"/>
                <w:sz w:val="22"/>
                <w:szCs w:val="22"/>
                <w:highlight w:val="none"/>
                <w:lang w:val="zh-CN"/>
              </w:rPr>
            </w:pPr>
          </w:p>
        </w:tc>
      </w:tr>
      <w:tr w14:paraId="3813AFC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PrEx>
        <w:tc>
          <w:tcPr>
            <w:tcW w:w="900" w:type="dxa"/>
          </w:tcPr>
          <w:p w14:paraId="48FACA1E">
            <w:pPr>
              <w:autoSpaceDE w:val="0"/>
              <w:autoSpaceDN w:val="0"/>
              <w:adjustRightInd w:val="0"/>
              <w:spacing w:line="440" w:lineRule="atLeast"/>
              <w:jc w:val="center"/>
              <w:rPr>
                <w:rFonts w:ascii="Cambria Math" w:hAnsi="Cambria Math" w:eastAsia="Cambria Math"/>
                <w:b w:val="0"/>
                <w:color w:val="auto"/>
                <w:sz w:val="22"/>
                <w:szCs w:val="22"/>
                <w:highlight w:val="none"/>
                <w:lang w:val="zh-CN"/>
              </w:rPr>
            </w:pPr>
          </w:p>
        </w:tc>
        <w:tc>
          <w:tcPr>
            <w:tcW w:w="1800" w:type="dxa"/>
          </w:tcPr>
          <w:p w14:paraId="4E038289">
            <w:pPr>
              <w:autoSpaceDE w:val="0"/>
              <w:autoSpaceDN w:val="0"/>
              <w:adjustRightInd w:val="0"/>
              <w:spacing w:line="440" w:lineRule="atLeast"/>
              <w:jc w:val="center"/>
              <w:rPr>
                <w:rFonts w:ascii="Cambria Math" w:hAnsi="Cambria Math" w:eastAsia="Cambria Math"/>
                <w:b w:val="0"/>
                <w:color w:val="auto"/>
                <w:sz w:val="22"/>
                <w:szCs w:val="22"/>
                <w:highlight w:val="none"/>
                <w:lang w:val="zh-CN"/>
              </w:rPr>
            </w:pPr>
          </w:p>
        </w:tc>
        <w:tc>
          <w:tcPr>
            <w:tcW w:w="2300" w:type="dxa"/>
          </w:tcPr>
          <w:p w14:paraId="2133BD31">
            <w:pPr>
              <w:autoSpaceDE w:val="0"/>
              <w:autoSpaceDN w:val="0"/>
              <w:adjustRightInd w:val="0"/>
              <w:spacing w:line="440" w:lineRule="atLeast"/>
              <w:jc w:val="center"/>
              <w:rPr>
                <w:rFonts w:ascii="Cambria Math" w:hAnsi="Cambria Math" w:eastAsia="Cambria Math"/>
                <w:b w:val="0"/>
                <w:color w:val="auto"/>
                <w:sz w:val="22"/>
                <w:szCs w:val="22"/>
                <w:highlight w:val="none"/>
                <w:lang w:val="zh-CN"/>
              </w:rPr>
            </w:pPr>
          </w:p>
        </w:tc>
        <w:tc>
          <w:tcPr>
            <w:tcW w:w="2000" w:type="dxa"/>
          </w:tcPr>
          <w:p w14:paraId="49B79F7F">
            <w:pPr>
              <w:autoSpaceDE w:val="0"/>
              <w:autoSpaceDN w:val="0"/>
              <w:adjustRightInd w:val="0"/>
              <w:spacing w:line="440" w:lineRule="atLeast"/>
              <w:jc w:val="center"/>
              <w:rPr>
                <w:rFonts w:ascii="Cambria Math" w:hAnsi="Cambria Math" w:eastAsia="Cambria Math"/>
                <w:b w:val="0"/>
                <w:color w:val="auto"/>
                <w:sz w:val="22"/>
                <w:szCs w:val="22"/>
                <w:highlight w:val="none"/>
                <w:lang w:val="zh-CN"/>
              </w:rPr>
            </w:pPr>
          </w:p>
        </w:tc>
        <w:tc>
          <w:tcPr>
            <w:tcW w:w="1805" w:type="dxa"/>
          </w:tcPr>
          <w:p w14:paraId="58889C70">
            <w:pPr>
              <w:autoSpaceDE w:val="0"/>
              <w:autoSpaceDN w:val="0"/>
              <w:adjustRightInd w:val="0"/>
              <w:spacing w:line="440" w:lineRule="atLeast"/>
              <w:jc w:val="center"/>
              <w:rPr>
                <w:rFonts w:ascii="Cambria Math" w:hAnsi="Cambria Math" w:eastAsia="Cambria Math"/>
                <w:b w:val="0"/>
                <w:color w:val="auto"/>
                <w:sz w:val="22"/>
                <w:szCs w:val="22"/>
                <w:highlight w:val="none"/>
                <w:lang w:val="zh-CN"/>
              </w:rPr>
            </w:pPr>
          </w:p>
        </w:tc>
      </w:tr>
      <w:tr w14:paraId="5B45864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c>
          <w:tcPr>
            <w:tcW w:w="900" w:type="dxa"/>
          </w:tcPr>
          <w:p w14:paraId="4AE739DE">
            <w:pPr>
              <w:autoSpaceDE w:val="0"/>
              <w:autoSpaceDN w:val="0"/>
              <w:adjustRightInd w:val="0"/>
              <w:spacing w:line="440" w:lineRule="atLeast"/>
              <w:jc w:val="center"/>
              <w:rPr>
                <w:rFonts w:ascii="Cambria Math" w:hAnsi="Cambria Math" w:eastAsia="Cambria Math"/>
                <w:b w:val="0"/>
                <w:color w:val="auto"/>
                <w:sz w:val="22"/>
                <w:szCs w:val="22"/>
                <w:highlight w:val="none"/>
                <w:lang w:val="zh-CN"/>
              </w:rPr>
            </w:pPr>
          </w:p>
        </w:tc>
        <w:tc>
          <w:tcPr>
            <w:tcW w:w="1800" w:type="dxa"/>
          </w:tcPr>
          <w:p w14:paraId="2EE0BEEA">
            <w:pPr>
              <w:autoSpaceDE w:val="0"/>
              <w:autoSpaceDN w:val="0"/>
              <w:adjustRightInd w:val="0"/>
              <w:spacing w:line="440" w:lineRule="atLeast"/>
              <w:jc w:val="center"/>
              <w:rPr>
                <w:rFonts w:ascii="Cambria Math" w:hAnsi="Cambria Math" w:eastAsia="Cambria Math"/>
                <w:b w:val="0"/>
                <w:color w:val="auto"/>
                <w:sz w:val="22"/>
                <w:szCs w:val="22"/>
                <w:highlight w:val="none"/>
                <w:lang w:val="zh-CN"/>
              </w:rPr>
            </w:pPr>
          </w:p>
        </w:tc>
        <w:tc>
          <w:tcPr>
            <w:tcW w:w="2300" w:type="dxa"/>
          </w:tcPr>
          <w:p w14:paraId="48BED2B4">
            <w:pPr>
              <w:autoSpaceDE w:val="0"/>
              <w:autoSpaceDN w:val="0"/>
              <w:adjustRightInd w:val="0"/>
              <w:spacing w:line="440" w:lineRule="atLeast"/>
              <w:jc w:val="center"/>
              <w:rPr>
                <w:rFonts w:ascii="Cambria Math" w:hAnsi="Cambria Math" w:eastAsia="Cambria Math"/>
                <w:b w:val="0"/>
                <w:color w:val="auto"/>
                <w:sz w:val="22"/>
                <w:szCs w:val="22"/>
                <w:highlight w:val="none"/>
                <w:lang w:val="zh-CN"/>
              </w:rPr>
            </w:pPr>
          </w:p>
        </w:tc>
        <w:tc>
          <w:tcPr>
            <w:tcW w:w="2000" w:type="dxa"/>
          </w:tcPr>
          <w:p w14:paraId="3A03AD54">
            <w:pPr>
              <w:autoSpaceDE w:val="0"/>
              <w:autoSpaceDN w:val="0"/>
              <w:adjustRightInd w:val="0"/>
              <w:spacing w:line="440" w:lineRule="atLeast"/>
              <w:jc w:val="center"/>
              <w:rPr>
                <w:rFonts w:ascii="Cambria Math" w:hAnsi="Cambria Math" w:eastAsia="Cambria Math"/>
                <w:b w:val="0"/>
                <w:color w:val="auto"/>
                <w:sz w:val="22"/>
                <w:szCs w:val="22"/>
                <w:highlight w:val="none"/>
                <w:lang w:val="zh-CN"/>
              </w:rPr>
            </w:pPr>
          </w:p>
        </w:tc>
        <w:tc>
          <w:tcPr>
            <w:tcW w:w="1805" w:type="dxa"/>
          </w:tcPr>
          <w:p w14:paraId="2869BE5E">
            <w:pPr>
              <w:autoSpaceDE w:val="0"/>
              <w:autoSpaceDN w:val="0"/>
              <w:adjustRightInd w:val="0"/>
              <w:spacing w:line="440" w:lineRule="atLeast"/>
              <w:jc w:val="center"/>
              <w:rPr>
                <w:rFonts w:ascii="Cambria Math" w:hAnsi="Cambria Math" w:eastAsia="Cambria Math"/>
                <w:b w:val="0"/>
                <w:color w:val="auto"/>
                <w:sz w:val="22"/>
                <w:szCs w:val="22"/>
                <w:highlight w:val="none"/>
                <w:lang w:val="zh-CN"/>
              </w:rPr>
            </w:pPr>
          </w:p>
        </w:tc>
      </w:tr>
      <w:tr w14:paraId="1E60945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c>
          <w:tcPr>
            <w:tcW w:w="900" w:type="dxa"/>
          </w:tcPr>
          <w:p w14:paraId="2CEABFDB">
            <w:pPr>
              <w:autoSpaceDE w:val="0"/>
              <w:autoSpaceDN w:val="0"/>
              <w:adjustRightInd w:val="0"/>
              <w:spacing w:line="440" w:lineRule="atLeast"/>
              <w:jc w:val="center"/>
              <w:rPr>
                <w:rFonts w:ascii="Cambria Math" w:hAnsi="Cambria Math" w:eastAsia="Cambria Math"/>
                <w:b w:val="0"/>
                <w:color w:val="auto"/>
                <w:sz w:val="22"/>
                <w:szCs w:val="22"/>
                <w:highlight w:val="none"/>
                <w:lang w:val="zh-CN"/>
              </w:rPr>
            </w:pPr>
          </w:p>
        </w:tc>
        <w:tc>
          <w:tcPr>
            <w:tcW w:w="1800" w:type="dxa"/>
          </w:tcPr>
          <w:p w14:paraId="5C145245">
            <w:pPr>
              <w:autoSpaceDE w:val="0"/>
              <w:autoSpaceDN w:val="0"/>
              <w:adjustRightInd w:val="0"/>
              <w:spacing w:line="440" w:lineRule="atLeast"/>
              <w:jc w:val="center"/>
              <w:rPr>
                <w:rFonts w:ascii="Cambria Math" w:hAnsi="Cambria Math" w:eastAsia="Cambria Math"/>
                <w:b w:val="0"/>
                <w:color w:val="auto"/>
                <w:sz w:val="22"/>
                <w:szCs w:val="22"/>
                <w:highlight w:val="none"/>
                <w:lang w:val="zh-CN"/>
              </w:rPr>
            </w:pPr>
          </w:p>
        </w:tc>
        <w:tc>
          <w:tcPr>
            <w:tcW w:w="2300" w:type="dxa"/>
          </w:tcPr>
          <w:p w14:paraId="3F9D30EC">
            <w:pPr>
              <w:autoSpaceDE w:val="0"/>
              <w:autoSpaceDN w:val="0"/>
              <w:adjustRightInd w:val="0"/>
              <w:spacing w:line="440" w:lineRule="atLeast"/>
              <w:jc w:val="center"/>
              <w:rPr>
                <w:rFonts w:ascii="Cambria Math" w:hAnsi="Cambria Math" w:eastAsia="Cambria Math"/>
                <w:b w:val="0"/>
                <w:color w:val="auto"/>
                <w:sz w:val="22"/>
                <w:szCs w:val="22"/>
                <w:highlight w:val="none"/>
                <w:lang w:val="zh-CN"/>
              </w:rPr>
            </w:pPr>
          </w:p>
        </w:tc>
        <w:tc>
          <w:tcPr>
            <w:tcW w:w="2000" w:type="dxa"/>
          </w:tcPr>
          <w:p w14:paraId="76F6F7D6">
            <w:pPr>
              <w:autoSpaceDE w:val="0"/>
              <w:autoSpaceDN w:val="0"/>
              <w:adjustRightInd w:val="0"/>
              <w:spacing w:line="440" w:lineRule="atLeast"/>
              <w:jc w:val="center"/>
              <w:rPr>
                <w:rFonts w:ascii="Cambria Math" w:hAnsi="Cambria Math" w:eastAsia="Cambria Math"/>
                <w:b w:val="0"/>
                <w:color w:val="auto"/>
                <w:sz w:val="22"/>
                <w:szCs w:val="22"/>
                <w:highlight w:val="none"/>
                <w:lang w:val="zh-CN"/>
              </w:rPr>
            </w:pPr>
          </w:p>
        </w:tc>
        <w:tc>
          <w:tcPr>
            <w:tcW w:w="1805" w:type="dxa"/>
          </w:tcPr>
          <w:p w14:paraId="3C52BA6A">
            <w:pPr>
              <w:autoSpaceDE w:val="0"/>
              <w:autoSpaceDN w:val="0"/>
              <w:adjustRightInd w:val="0"/>
              <w:spacing w:line="440" w:lineRule="atLeast"/>
              <w:jc w:val="center"/>
              <w:rPr>
                <w:rFonts w:ascii="Cambria Math" w:hAnsi="Cambria Math" w:eastAsia="Cambria Math"/>
                <w:b w:val="0"/>
                <w:color w:val="auto"/>
                <w:sz w:val="22"/>
                <w:szCs w:val="22"/>
                <w:highlight w:val="none"/>
                <w:lang w:val="zh-CN"/>
              </w:rPr>
            </w:pPr>
          </w:p>
        </w:tc>
      </w:tr>
      <w:tr w14:paraId="47FF917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c>
          <w:tcPr>
            <w:tcW w:w="900" w:type="dxa"/>
          </w:tcPr>
          <w:p w14:paraId="788C3B26">
            <w:pPr>
              <w:autoSpaceDE w:val="0"/>
              <w:autoSpaceDN w:val="0"/>
              <w:adjustRightInd w:val="0"/>
              <w:spacing w:line="440" w:lineRule="atLeast"/>
              <w:jc w:val="center"/>
              <w:rPr>
                <w:rFonts w:ascii="Cambria Math" w:hAnsi="Cambria Math" w:eastAsia="Cambria Math"/>
                <w:b w:val="0"/>
                <w:color w:val="auto"/>
                <w:sz w:val="22"/>
                <w:szCs w:val="22"/>
                <w:highlight w:val="none"/>
                <w:lang w:val="zh-CN"/>
              </w:rPr>
            </w:pPr>
          </w:p>
        </w:tc>
        <w:tc>
          <w:tcPr>
            <w:tcW w:w="1800" w:type="dxa"/>
          </w:tcPr>
          <w:p w14:paraId="4390A4C0">
            <w:pPr>
              <w:autoSpaceDE w:val="0"/>
              <w:autoSpaceDN w:val="0"/>
              <w:adjustRightInd w:val="0"/>
              <w:spacing w:line="440" w:lineRule="atLeast"/>
              <w:jc w:val="center"/>
              <w:rPr>
                <w:rFonts w:ascii="Cambria Math" w:hAnsi="Cambria Math" w:eastAsia="Cambria Math"/>
                <w:b w:val="0"/>
                <w:color w:val="auto"/>
                <w:sz w:val="22"/>
                <w:szCs w:val="22"/>
                <w:highlight w:val="none"/>
                <w:lang w:val="zh-CN"/>
              </w:rPr>
            </w:pPr>
          </w:p>
        </w:tc>
        <w:tc>
          <w:tcPr>
            <w:tcW w:w="2300" w:type="dxa"/>
          </w:tcPr>
          <w:p w14:paraId="221285D5">
            <w:pPr>
              <w:autoSpaceDE w:val="0"/>
              <w:autoSpaceDN w:val="0"/>
              <w:adjustRightInd w:val="0"/>
              <w:spacing w:line="440" w:lineRule="atLeast"/>
              <w:jc w:val="center"/>
              <w:rPr>
                <w:rFonts w:ascii="Cambria Math" w:hAnsi="Cambria Math" w:eastAsia="Cambria Math"/>
                <w:b w:val="0"/>
                <w:color w:val="auto"/>
                <w:sz w:val="22"/>
                <w:szCs w:val="22"/>
                <w:highlight w:val="none"/>
                <w:lang w:val="zh-CN"/>
              </w:rPr>
            </w:pPr>
          </w:p>
        </w:tc>
        <w:tc>
          <w:tcPr>
            <w:tcW w:w="2000" w:type="dxa"/>
          </w:tcPr>
          <w:p w14:paraId="23AFB2C3">
            <w:pPr>
              <w:autoSpaceDE w:val="0"/>
              <w:autoSpaceDN w:val="0"/>
              <w:adjustRightInd w:val="0"/>
              <w:spacing w:line="440" w:lineRule="atLeast"/>
              <w:jc w:val="center"/>
              <w:rPr>
                <w:rFonts w:ascii="Cambria Math" w:hAnsi="Cambria Math" w:eastAsia="Cambria Math"/>
                <w:b w:val="0"/>
                <w:color w:val="auto"/>
                <w:sz w:val="22"/>
                <w:szCs w:val="22"/>
                <w:highlight w:val="none"/>
                <w:lang w:val="zh-CN"/>
              </w:rPr>
            </w:pPr>
          </w:p>
        </w:tc>
        <w:tc>
          <w:tcPr>
            <w:tcW w:w="1805" w:type="dxa"/>
          </w:tcPr>
          <w:p w14:paraId="0D730B71">
            <w:pPr>
              <w:autoSpaceDE w:val="0"/>
              <w:autoSpaceDN w:val="0"/>
              <w:adjustRightInd w:val="0"/>
              <w:spacing w:line="440" w:lineRule="atLeast"/>
              <w:jc w:val="center"/>
              <w:rPr>
                <w:rFonts w:ascii="Cambria Math" w:hAnsi="Cambria Math" w:eastAsia="Cambria Math"/>
                <w:b w:val="0"/>
                <w:color w:val="auto"/>
                <w:sz w:val="22"/>
                <w:szCs w:val="22"/>
                <w:highlight w:val="none"/>
                <w:lang w:val="zh-CN"/>
              </w:rPr>
            </w:pPr>
          </w:p>
        </w:tc>
      </w:tr>
      <w:tr w14:paraId="7C39781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c>
          <w:tcPr>
            <w:tcW w:w="900" w:type="dxa"/>
          </w:tcPr>
          <w:p w14:paraId="2C8B34B3">
            <w:pPr>
              <w:autoSpaceDE w:val="0"/>
              <w:autoSpaceDN w:val="0"/>
              <w:adjustRightInd w:val="0"/>
              <w:spacing w:line="440" w:lineRule="atLeast"/>
              <w:jc w:val="center"/>
              <w:rPr>
                <w:rFonts w:ascii="Cambria Math" w:hAnsi="Cambria Math" w:eastAsia="Cambria Math"/>
                <w:b w:val="0"/>
                <w:color w:val="auto"/>
                <w:sz w:val="22"/>
                <w:szCs w:val="22"/>
                <w:highlight w:val="none"/>
                <w:lang w:val="zh-CN"/>
              </w:rPr>
            </w:pPr>
          </w:p>
        </w:tc>
        <w:tc>
          <w:tcPr>
            <w:tcW w:w="1800" w:type="dxa"/>
          </w:tcPr>
          <w:p w14:paraId="3FBC9880">
            <w:pPr>
              <w:autoSpaceDE w:val="0"/>
              <w:autoSpaceDN w:val="0"/>
              <w:adjustRightInd w:val="0"/>
              <w:spacing w:line="440" w:lineRule="atLeast"/>
              <w:jc w:val="center"/>
              <w:rPr>
                <w:rFonts w:ascii="Cambria Math" w:hAnsi="Cambria Math" w:eastAsia="Cambria Math"/>
                <w:b w:val="0"/>
                <w:color w:val="auto"/>
                <w:sz w:val="22"/>
                <w:szCs w:val="22"/>
                <w:highlight w:val="none"/>
                <w:lang w:val="zh-CN"/>
              </w:rPr>
            </w:pPr>
          </w:p>
        </w:tc>
        <w:tc>
          <w:tcPr>
            <w:tcW w:w="2300" w:type="dxa"/>
          </w:tcPr>
          <w:p w14:paraId="236CD492">
            <w:pPr>
              <w:autoSpaceDE w:val="0"/>
              <w:autoSpaceDN w:val="0"/>
              <w:adjustRightInd w:val="0"/>
              <w:spacing w:line="440" w:lineRule="atLeast"/>
              <w:jc w:val="center"/>
              <w:rPr>
                <w:rFonts w:ascii="Cambria Math" w:hAnsi="Cambria Math" w:eastAsia="Cambria Math"/>
                <w:b w:val="0"/>
                <w:color w:val="auto"/>
                <w:sz w:val="22"/>
                <w:szCs w:val="22"/>
                <w:highlight w:val="none"/>
                <w:lang w:val="zh-CN"/>
              </w:rPr>
            </w:pPr>
          </w:p>
        </w:tc>
        <w:tc>
          <w:tcPr>
            <w:tcW w:w="2000" w:type="dxa"/>
          </w:tcPr>
          <w:p w14:paraId="7645C751">
            <w:pPr>
              <w:autoSpaceDE w:val="0"/>
              <w:autoSpaceDN w:val="0"/>
              <w:adjustRightInd w:val="0"/>
              <w:spacing w:line="440" w:lineRule="atLeast"/>
              <w:jc w:val="center"/>
              <w:rPr>
                <w:rFonts w:ascii="Cambria Math" w:hAnsi="Cambria Math" w:eastAsia="Cambria Math"/>
                <w:b w:val="0"/>
                <w:color w:val="auto"/>
                <w:sz w:val="22"/>
                <w:szCs w:val="22"/>
                <w:highlight w:val="none"/>
                <w:lang w:val="zh-CN"/>
              </w:rPr>
            </w:pPr>
          </w:p>
        </w:tc>
        <w:tc>
          <w:tcPr>
            <w:tcW w:w="1805" w:type="dxa"/>
          </w:tcPr>
          <w:p w14:paraId="5FDEB23C">
            <w:pPr>
              <w:autoSpaceDE w:val="0"/>
              <w:autoSpaceDN w:val="0"/>
              <w:adjustRightInd w:val="0"/>
              <w:spacing w:line="440" w:lineRule="atLeast"/>
              <w:jc w:val="center"/>
              <w:rPr>
                <w:rFonts w:ascii="Cambria Math" w:hAnsi="Cambria Math" w:eastAsia="Cambria Math"/>
                <w:b w:val="0"/>
                <w:color w:val="auto"/>
                <w:sz w:val="22"/>
                <w:szCs w:val="22"/>
                <w:highlight w:val="none"/>
                <w:lang w:val="zh-CN"/>
              </w:rPr>
            </w:pPr>
          </w:p>
        </w:tc>
      </w:tr>
      <w:tr w14:paraId="1C117CA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c>
          <w:tcPr>
            <w:tcW w:w="900" w:type="dxa"/>
          </w:tcPr>
          <w:p w14:paraId="1DA87C0E">
            <w:pPr>
              <w:autoSpaceDE w:val="0"/>
              <w:autoSpaceDN w:val="0"/>
              <w:adjustRightInd w:val="0"/>
              <w:spacing w:line="440" w:lineRule="atLeast"/>
              <w:jc w:val="center"/>
              <w:rPr>
                <w:rFonts w:ascii="Cambria Math" w:hAnsi="Cambria Math" w:eastAsia="Cambria Math"/>
                <w:b w:val="0"/>
                <w:color w:val="auto"/>
                <w:sz w:val="22"/>
                <w:szCs w:val="22"/>
                <w:highlight w:val="none"/>
                <w:lang w:val="zh-CN"/>
              </w:rPr>
            </w:pPr>
          </w:p>
        </w:tc>
        <w:tc>
          <w:tcPr>
            <w:tcW w:w="1800" w:type="dxa"/>
          </w:tcPr>
          <w:p w14:paraId="4C98A44A">
            <w:pPr>
              <w:autoSpaceDE w:val="0"/>
              <w:autoSpaceDN w:val="0"/>
              <w:adjustRightInd w:val="0"/>
              <w:spacing w:line="440" w:lineRule="atLeast"/>
              <w:jc w:val="center"/>
              <w:rPr>
                <w:rFonts w:ascii="Cambria Math" w:hAnsi="Cambria Math" w:eastAsia="Cambria Math"/>
                <w:b w:val="0"/>
                <w:color w:val="auto"/>
                <w:sz w:val="22"/>
                <w:szCs w:val="22"/>
                <w:highlight w:val="none"/>
                <w:lang w:val="zh-CN"/>
              </w:rPr>
            </w:pPr>
          </w:p>
        </w:tc>
        <w:tc>
          <w:tcPr>
            <w:tcW w:w="2300" w:type="dxa"/>
          </w:tcPr>
          <w:p w14:paraId="0273FB97">
            <w:pPr>
              <w:autoSpaceDE w:val="0"/>
              <w:autoSpaceDN w:val="0"/>
              <w:adjustRightInd w:val="0"/>
              <w:spacing w:line="440" w:lineRule="atLeast"/>
              <w:jc w:val="center"/>
              <w:rPr>
                <w:rFonts w:ascii="Cambria Math" w:hAnsi="Cambria Math" w:eastAsia="Cambria Math"/>
                <w:b w:val="0"/>
                <w:color w:val="auto"/>
                <w:sz w:val="22"/>
                <w:szCs w:val="22"/>
                <w:highlight w:val="none"/>
                <w:lang w:val="zh-CN"/>
              </w:rPr>
            </w:pPr>
          </w:p>
        </w:tc>
        <w:tc>
          <w:tcPr>
            <w:tcW w:w="2000" w:type="dxa"/>
          </w:tcPr>
          <w:p w14:paraId="5D989AB7">
            <w:pPr>
              <w:autoSpaceDE w:val="0"/>
              <w:autoSpaceDN w:val="0"/>
              <w:adjustRightInd w:val="0"/>
              <w:spacing w:line="440" w:lineRule="atLeast"/>
              <w:jc w:val="center"/>
              <w:rPr>
                <w:rFonts w:ascii="Cambria Math" w:hAnsi="Cambria Math" w:eastAsia="Cambria Math"/>
                <w:b w:val="0"/>
                <w:color w:val="auto"/>
                <w:sz w:val="22"/>
                <w:szCs w:val="22"/>
                <w:highlight w:val="none"/>
                <w:lang w:val="zh-CN"/>
              </w:rPr>
            </w:pPr>
          </w:p>
        </w:tc>
        <w:tc>
          <w:tcPr>
            <w:tcW w:w="1805" w:type="dxa"/>
          </w:tcPr>
          <w:p w14:paraId="61E3BF88">
            <w:pPr>
              <w:autoSpaceDE w:val="0"/>
              <w:autoSpaceDN w:val="0"/>
              <w:adjustRightInd w:val="0"/>
              <w:spacing w:line="440" w:lineRule="atLeast"/>
              <w:jc w:val="center"/>
              <w:rPr>
                <w:rFonts w:ascii="Cambria Math" w:hAnsi="Cambria Math" w:eastAsia="Cambria Math"/>
                <w:b w:val="0"/>
                <w:color w:val="auto"/>
                <w:sz w:val="22"/>
                <w:szCs w:val="22"/>
                <w:highlight w:val="none"/>
                <w:lang w:val="zh-CN"/>
              </w:rPr>
            </w:pPr>
          </w:p>
        </w:tc>
      </w:tr>
      <w:tr w14:paraId="5FFE066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PrEx>
        <w:tc>
          <w:tcPr>
            <w:tcW w:w="900" w:type="dxa"/>
          </w:tcPr>
          <w:p w14:paraId="3E1EDB48">
            <w:pPr>
              <w:autoSpaceDE w:val="0"/>
              <w:autoSpaceDN w:val="0"/>
              <w:adjustRightInd w:val="0"/>
              <w:spacing w:line="440" w:lineRule="atLeast"/>
              <w:jc w:val="center"/>
              <w:rPr>
                <w:rFonts w:ascii="Cambria Math" w:hAnsi="Cambria Math" w:eastAsia="Cambria Math"/>
                <w:b w:val="0"/>
                <w:color w:val="auto"/>
                <w:sz w:val="22"/>
                <w:szCs w:val="22"/>
                <w:highlight w:val="none"/>
                <w:lang w:val="zh-CN"/>
              </w:rPr>
            </w:pPr>
          </w:p>
        </w:tc>
        <w:tc>
          <w:tcPr>
            <w:tcW w:w="1800" w:type="dxa"/>
          </w:tcPr>
          <w:p w14:paraId="681B969D">
            <w:pPr>
              <w:autoSpaceDE w:val="0"/>
              <w:autoSpaceDN w:val="0"/>
              <w:adjustRightInd w:val="0"/>
              <w:spacing w:line="440" w:lineRule="atLeast"/>
              <w:jc w:val="center"/>
              <w:rPr>
                <w:rFonts w:ascii="Cambria Math" w:hAnsi="Cambria Math" w:eastAsia="Cambria Math"/>
                <w:b w:val="0"/>
                <w:color w:val="auto"/>
                <w:sz w:val="22"/>
                <w:szCs w:val="22"/>
                <w:highlight w:val="none"/>
                <w:lang w:val="zh-CN"/>
              </w:rPr>
            </w:pPr>
          </w:p>
        </w:tc>
        <w:tc>
          <w:tcPr>
            <w:tcW w:w="2300" w:type="dxa"/>
          </w:tcPr>
          <w:p w14:paraId="0D5A7778">
            <w:pPr>
              <w:autoSpaceDE w:val="0"/>
              <w:autoSpaceDN w:val="0"/>
              <w:adjustRightInd w:val="0"/>
              <w:spacing w:line="440" w:lineRule="atLeast"/>
              <w:jc w:val="center"/>
              <w:rPr>
                <w:rFonts w:ascii="Cambria Math" w:hAnsi="Cambria Math" w:eastAsia="Cambria Math"/>
                <w:b w:val="0"/>
                <w:color w:val="auto"/>
                <w:sz w:val="22"/>
                <w:szCs w:val="22"/>
                <w:highlight w:val="none"/>
                <w:lang w:val="zh-CN"/>
              </w:rPr>
            </w:pPr>
          </w:p>
        </w:tc>
        <w:tc>
          <w:tcPr>
            <w:tcW w:w="2000" w:type="dxa"/>
          </w:tcPr>
          <w:p w14:paraId="2ECAAC72">
            <w:pPr>
              <w:autoSpaceDE w:val="0"/>
              <w:autoSpaceDN w:val="0"/>
              <w:adjustRightInd w:val="0"/>
              <w:spacing w:line="440" w:lineRule="atLeast"/>
              <w:jc w:val="center"/>
              <w:rPr>
                <w:rFonts w:ascii="Cambria Math" w:hAnsi="Cambria Math" w:eastAsia="Cambria Math"/>
                <w:b w:val="0"/>
                <w:color w:val="auto"/>
                <w:sz w:val="22"/>
                <w:szCs w:val="22"/>
                <w:highlight w:val="none"/>
                <w:lang w:val="zh-CN"/>
              </w:rPr>
            </w:pPr>
          </w:p>
        </w:tc>
        <w:tc>
          <w:tcPr>
            <w:tcW w:w="1805" w:type="dxa"/>
          </w:tcPr>
          <w:p w14:paraId="25EDFFCF">
            <w:pPr>
              <w:autoSpaceDE w:val="0"/>
              <w:autoSpaceDN w:val="0"/>
              <w:adjustRightInd w:val="0"/>
              <w:spacing w:line="440" w:lineRule="atLeast"/>
              <w:jc w:val="center"/>
              <w:rPr>
                <w:rFonts w:ascii="Cambria Math" w:hAnsi="Cambria Math" w:eastAsia="Cambria Math"/>
                <w:b w:val="0"/>
                <w:color w:val="auto"/>
                <w:sz w:val="22"/>
                <w:szCs w:val="22"/>
                <w:highlight w:val="none"/>
                <w:lang w:val="zh-CN"/>
              </w:rPr>
            </w:pPr>
          </w:p>
        </w:tc>
      </w:tr>
      <w:tr w14:paraId="70F8037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c>
          <w:tcPr>
            <w:tcW w:w="900" w:type="dxa"/>
          </w:tcPr>
          <w:p w14:paraId="55E92150">
            <w:pPr>
              <w:autoSpaceDE w:val="0"/>
              <w:autoSpaceDN w:val="0"/>
              <w:adjustRightInd w:val="0"/>
              <w:spacing w:line="440" w:lineRule="atLeast"/>
              <w:jc w:val="center"/>
              <w:rPr>
                <w:rFonts w:ascii="Cambria Math" w:hAnsi="Cambria Math" w:eastAsia="Cambria Math"/>
                <w:b w:val="0"/>
                <w:color w:val="auto"/>
                <w:sz w:val="22"/>
                <w:szCs w:val="22"/>
                <w:highlight w:val="none"/>
                <w:lang w:val="zh-CN"/>
              </w:rPr>
            </w:pPr>
          </w:p>
        </w:tc>
        <w:tc>
          <w:tcPr>
            <w:tcW w:w="1800" w:type="dxa"/>
          </w:tcPr>
          <w:p w14:paraId="057C8D1D">
            <w:pPr>
              <w:autoSpaceDE w:val="0"/>
              <w:autoSpaceDN w:val="0"/>
              <w:adjustRightInd w:val="0"/>
              <w:spacing w:line="440" w:lineRule="atLeast"/>
              <w:jc w:val="center"/>
              <w:rPr>
                <w:rFonts w:ascii="Cambria Math" w:hAnsi="Cambria Math" w:eastAsia="Cambria Math"/>
                <w:b w:val="0"/>
                <w:color w:val="auto"/>
                <w:sz w:val="22"/>
                <w:szCs w:val="22"/>
                <w:highlight w:val="none"/>
                <w:lang w:val="zh-CN"/>
              </w:rPr>
            </w:pPr>
          </w:p>
        </w:tc>
        <w:tc>
          <w:tcPr>
            <w:tcW w:w="2300" w:type="dxa"/>
          </w:tcPr>
          <w:p w14:paraId="464F8275">
            <w:pPr>
              <w:autoSpaceDE w:val="0"/>
              <w:autoSpaceDN w:val="0"/>
              <w:adjustRightInd w:val="0"/>
              <w:spacing w:line="440" w:lineRule="atLeast"/>
              <w:jc w:val="center"/>
              <w:rPr>
                <w:rFonts w:ascii="Cambria Math" w:hAnsi="Cambria Math" w:eastAsia="Cambria Math"/>
                <w:b w:val="0"/>
                <w:color w:val="auto"/>
                <w:sz w:val="22"/>
                <w:szCs w:val="22"/>
                <w:highlight w:val="none"/>
                <w:lang w:val="zh-CN"/>
              </w:rPr>
            </w:pPr>
          </w:p>
        </w:tc>
        <w:tc>
          <w:tcPr>
            <w:tcW w:w="2000" w:type="dxa"/>
          </w:tcPr>
          <w:p w14:paraId="409EF874">
            <w:pPr>
              <w:autoSpaceDE w:val="0"/>
              <w:autoSpaceDN w:val="0"/>
              <w:adjustRightInd w:val="0"/>
              <w:spacing w:line="440" w:lineRule="atLeast"/>
              <w:jc w:val="center"/>
              <w:rPr>
                <w:rFonts w:ascii="Cambria Math" w:hAnsi="Cambria Math" w:eastAsia="Cambria Math"/>
                <w:b w:val="0"/>
                <w:color w:val="auto"/>
                <w:sz w:val="22"/>
                <w:szCs w:val="22"/>
                <w:highlight w:val="none"/>
                <w:lang w:val="zh-CN"/>
              </w:rPr>
            </w:pPr>
          </w:p>
        </w:tc>
        <w:tc>
          <w:tcPr>
            <w:tcW w:w="1805" w:type="dxa"/>
          </w:tcPr>
          <w:p w14:paraId="1F0DD26D">
            <w:pPr>
              <w:autoSpaceDE w:val="0"/>
              <w:autoSpaceDN w:val="0"/>
              <w:adjustRightInd w:val="0"/>
              <w:spacing w:line="440" w:lineRule="atLeast"/>
              <w:jc w:val="center"/>
              <w:rPr>
                <w:rFonts w:ascii="Cambria Math" w:hAnsi="Cambria Math" w:eastAsia="Cambria Math"/>
                <w:b w:val="0"/>
                <w:color w:val="auto"/>
                <w:sz w:val="22"/>
                <w:szCs w:val="22"/>
                <w:highlight w:val="none"/>
                <w:lang w:val="zh-CN"/>
              </w:rPr>
            </w:pPr>
          </w:p>
        </w:tc>
      </w:tr>
    </w:tbl>
    <w:p w14:paraId="71DFA0DE">
      <w:pPr>
        <w:autoSpaceDE w:val="0"/>
        <w:autoSpaceDN w:val="0"/>
        <w:adjustRightInd w:val="0"/>
        <w:spacing w:line="440" w:lineRule="atLeast"/>
        <w:rPr>
          <w:rFonts w:ascii="Cambria Math" w:hAnsi="Cambria Math" w:eastAsia="Cambria Math"/>
          <w:b w:val="0"/>
          <w:color w:val="auto"/>
          <w:sz w:val="22"/>
          <w:szCs w:val="22"/>
          <w:highlight w:val="none"/>
        </w:rPr>
      </w:pPr>
      <w:r>
        <w:rPr>
          <w:rFonts w:hint="eastAsia" w:ascii="Cambria Math" w:hAnsi="Cambria Math" w:eastAsia="Cambria Math"/>
          <w:b w:val="0"/>
          <w:color w:val="auto"/>
          <w:sz w:val="22"/>
          <w:szCs w:val="22"/>
          <w:highlight w:val="none"/>
          <w:lang w:val="zh-CN"/>
        </w:rPr>
        <w:t>注：</w:t>
      </w:r>
      <w:r>
        <w:rPr>
          <w:rFonts w:hint="eastAsia" w:ascii="Cambria Math" w:hAnsi="Cambria Math" w:eastAsia="Cambria Math"/>
          <w:b w:val="0"/>
          <w:color w:val="auto"/>
          <w:sz w:val="22"/>
          <w:szCs w:val="22"/>
          <w:highlight w:val="none"/>
        </w:rPr>
        <w:t>如不填写，则视为完全响应采购文件的要求。</w:t>
      </w:r>
    </w:p>
    <w:p w14:paraId="62316949">
      <w:pPr>
        <w:autoSpaceDE w:val="0"/>
        <w:autoSpaceDN w:val="0"/>
        <w:adjustRightInd w:val="0"/>
        <w:spacing w:line="440" w:lineRule="atLeast"/>
        <w:rPr>
          <w:rFonts w:ascii="Cambria Math" w:hAnsi="Cambria Math" w:eastAsia="Cambria Math"/>
          <w:b w:val="0"/>
          <w:color w:val="auto"/>
          <w:sz w:val="22"/>
          <w:szCs w:val="22"/>
          <w:highlight w:val="none"/>
          <w:lang w:val="zh-CN"/>
        </w:rPr>
      </w:pPr>
    </w:p>
    <w:p w14:paraId="4A60AE02">
      <w:pPr>
        <w:autoSpaceDE w:val="0"/>
        <w:autoSpaceDN w:val="0"/>
        <w:adjustRightInd w:val="0"/>
        <w:spacing w:line="440" w:lineRule="atLeast"/>
        <w:rPr>
          <w:rFonts w:ascii="Cambria Math" w:hAnsi="Cambria Math" w:eastAsia="Cambria Math"/>
          <w:b w:val="0"/>
          <w:color w:val="auto"/>
          <w:sz w:val="22"/>
          <w:szCs w:val="22"/>
          <w:highlight w:val="none"/>
          <w:lang w:val="zh-CN"/>
        </w:rPr>
      </w:pPr>
      <w:r>
        <w:rPr>
          <w:rFonts w:hint="eastAsia" w:ascii="Cambria Math" w:hAnsi="Cambria Math" w:eastAsia="Cambria Math"/>
          <w:b w:val="0"/>
          <w:color w:val="auto"/>
          <w:sz w:val="22"/>
          <w:szCs w:val="22"/>
          <w:highlight w:val="none"/>
          <w:lang w:val="zh-CN"/>
        </w:rPr>
        <w:t>投标单位（盖章）：</w:t>
      </w:r>
    </w:p>
    <w:p w14:paraId="5F5CD0A4">
      <w:pPr>
        <w:autoSpaceDE w:val="0"/>
        <w:autoSpaceDN w:val="0"/>
        <w:adjustRightInd w:val="0"/>
        <w:spacing w:line="440" w:lineRule="atLeast"/>
        <w:rPr>
          <w:rFonts w:ascii="Cambria Math" w:hAnsi="Cambria Math" w:eastAsia="Cambria Math"/>
          <w:b w:val="0"/>
          <w:color w:val="auto"/>
          <w:sz w:val="22"/>
          <w:szCs w:val="22"/>
          <w:highlight w:val="none"/>
          <w:lang w:val="zh-CN"/>
        </w:rPr>
      </w:pPr>
    </w:p>
    <w:p w14:paraId="441916DB">
      <w:pPr>
        <w:autoSpaceDE w:val="0"/>
        <w:autoSpaceDN w:val="0"/>
        <w:adjustRightInd w:val="0"/>
        <w:spacing w:line="440" w:lineRule="atLeast"/>
        <w:rPr>
          <w:rFonts w:ascii="Cambria Math" w:hAnsi="Cambria Math" w:eastAsia="Cambria Math"/>
          <w:b w:val="0"/>
          <w:color w:val="auto"/>
          <w:sz w:val="22"/>
          <w:szCs w:val="22"/>
          <w:highlight w:val="none"/>
          <w:lang w:val="zh-CN"/>
        </w:rPr>
      </w:pPr>
    </w:p>
    <w:p w14:paraId="6B929CF2">
      <w:pPr>
        <w:autoSpaceDE w:val="0"/>
        <w:autoSpaceDN w:val="0"/>
        <w:adjustRightInd w:val="0"/>
        <w:spacing w:line="440" w:lineRule="atLeast"/>
        <w:rPr>
          <w:rFonts w:ascii="Cambria Math" w:hAnsi="Cambria Math" w:eastAsia="Cambria Math"/>
          <w:b w:val="0"/>
          <w:color w:val="auto"/>
          <w:sz w:val="22"/>
          <w:szCs w:val="22"/>
          <w:highlight w:val="none"/>
          <w:lang w:val="zh-CN"/>
        </w:rPr>
      </w:pPr>
    </w:p>
    <w:p w14:paraId="2E45114D">
      <w:pPr>
        <w:pStyle w:val="4"/>
        <w:spacing w:before="0" w:after="120" w:line="700" w:lineRule="exact"/>
        <w:ind w:left="0" w:firstLine="0"/>
        <w:rPr>
          <w:rFonts w:ascii="Cambria Math" w:hAnsi="Cambria Math" w:eastAsia="等线"/>
          <w:b/>
          <w:color w:val="auto"/>
          <w:sz w:val="32"/>
          <w:highlight w:val="none"/>
        </w:rPr>
      </w:pPr>
      <w:r>
        <w:rPr>
          <w:rFonts w:ascii="Cambria Math" w:hAnsi="Cambria Math" w:eastAsia="Cambria Math"/>
          <w:b/>
          <w:color w:val="auto"/>
          <w:sz w:val="32"/>
          <w:highlight w:val="none"/>
        </w:rPr>
        <w:t>附件</w:t>
      </w:r>
      <w:r>
        <w:rPr>
          <w:rFonts w:hint="eastAsia" w:ascii="Cambria Math" w:hAnsi="Cambria Math" w:eastAsia="等线"/>
          <w:b/>
          <w:color w:val="auto"/>
          <w:sz w:val="32"/>
          <w:highlight w:val="none"/>
        </w:rPr>
        <w:t>2-</w:t>
      </w:r>
      <w:r>
        <w:rPr>
          <w:rFonts w:ascii="Cambria Math" w:hAnsi="Cambria Math" w:eastAsia="等线"/>
          <w:b/>
          <w:color w:val="auto"/>
          <w:sz w:val="32"/>
          <w:highlight w:val="none"/>
        </w:rPr>
        <w:t>8</w:t>
      </w:r>
    </w:p>
    <w:p w14:paraId="1D7261AC">
      <w:pPr>
        <w:autoSpaceDE w:val="0"/>
        <w:autoSpaceDN w:val="0"/>
        <w:adjustRightInd w:val="0"/>
        <w:jc w:val="left"/>
        <w:rPr>
          <w:rFonts w:ascii="Cambria Math" w:hAnsi="Cambria Math" w:eastAsia="Cambria Math"/>
          <w:bCs w:val="0"/>
          <w:color w:val="auto"/>
          <w:sz w:val="30"/>
          <w:szCs w:val="30"/>
          <w:highlight w:val="none"/>
        </w:rPr>
      </w:pPr>
    </w:p>
    <w:p w14:paraId="2C9F3AAB">
      <w:pPr>
        <w:jc w:val="center"/>
        <w:rPr>
          <w:b w:val="0"/>
          <w:sz w:val="30"/>
          <w:szCs w:val="30"/>
          <w:highlight w:val="none"/>
        </w:rPr>
      </w:pPr>
      <w:r>
        <w:rPr>
          <w:rFonts w:hint="eastAsia"/>
          <w:b w:val="0"/>
          <w:sz w:val="30"/>
          <w:szCs w:val="30"/>
          <w:highlight w:val="none"/>
        </w:rPr>
        <w:t>拟派项目负责人情况表</w:t>
      </w:r>
    </w:p>
    <w:tbl>
      <w:tblPr>
        <w:tblStyle w:val="35"/>
        <w:tblpPr w:leftFromText="180" w:rightFromText="180" w:vertAnchor="text" w:horzAnchor="margin" w:tblpXSpec="center" w:tblpY="108"/>
        <w:tblW w:w="8307" w:type="dxa"/>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28" w:type="dxa"/>
          <w:bottom w:w="0" w:type="dxa"/>
          <w:right w:w="28" w:type="dxa"/>
        </w:tblCellMar>
      </w:tblPr>
      <w:tblGrid>
        <w:gridCol w:w="2039"/>
        <w:gridCol w:w="2034"/>
        <w:gridCol w:w="4234"/>
      </w:tblGrid>
      <w:tr w14:paraId="7A93B42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898" w:hRule="atLeast"/>
          <w:jc w:val="center"/>
        </w:trPr>
        <w:tc>
          <w:tcPr>
            <w:tcW w:w="2039" w:type="dxa"/>
            <w:vAlign w:val="center"/>
          </w:tcPr>
          <w:p w14:paraId="692EA1B1">
            <w:pPr>
              <w:autoSpaceDE w:val="0"/>
              <w:autoSpaceDN w:val="0"/>
              <w:adjustRightInd w:val="0"/>
              <w:jc w:val="center"/>
              <w:rPr>
                <w:rFonts w:hint="eastAsia" w:ascii="宋体" w:hAnsi="宋体"/>
                <w:sz w:val="22"/>
                <w:highlight w:val="none"/>
              </w:rPr>
            </w:pPr>
            <w:r>
              <w:rPr>
                <w:rFonts w:ascii="宋体" w:hAnsi="宋体"/>
                <w:sz w:val="22"/>
                <w:highlight w:val="none"/>
              </w:rPr>
              <w:t>姓名</w:t>
            </w:r>
          </w:p>
        </w:tc>
        <w:tc>
          <w:tcPr>
            <w:tcW w:w="2034" w:type="dxa"/>
            <w:vAlign w:val="center"/>
          </w:tcPr>
          <w:p w14:paraId="28E59F62">
            <w:pPr>
              <w:autoSpaceDE w:val="0"/>
              <w:autoSpaceDN w:val="0"/>
              <w:adjustRightInd w:val="0"/>
              <w:jc w:val="center"/>
              <w:rPr>
                <w:rFonts w:hint="eastAsia" w:ascii="宋体" w:hAnsi="宋体"/>
                <w:sz w:val="22"/>
                <w:highlight w:val="none"/>
              </w:rPr>
            </w:pPr>
          </w:p>
        </w:tc>
        <w:tc>
          <w:tcPr>
            <w:tcW w:w="4234" w:type="dxa"/>
            <w:vAlign w:val="center"/>
          </w:tcPr>
          <w:p w14:paraId="7CC94876">
            <w:pPr>
              <w:autoSpaceDE w:val="0"/>
              <w:autoSpaceDN w:val="0"/>
              <w:adjustRightInd w:val="0"/>
              <w:jc w:val="center"/>
              <w:rPr>
                <w:rFonts w:hint="eastAsia" w:ascii="宋体" w:hAnsi="宋体"/>
                <w:sz w:val="22"/>
                <w:highlight w:val="none"/>
              </w:rPr>
            </w:pPr>
            <w:r>
              <w:rPr>
                <w:rFonts w:ascii="宋体" w:hAnsi="宋体"/>
                <w:sz w:val="22"/>
                <w:highlight w:val="none"/>
              </w:rPr>
              <w:t>近3年业绩及承担的主要工作情况</w:t>
            </w:r>
          </w:p>
          <w:p w14:paraId="09949E45">
            <w:pPr>
              <w:autoSpaceDE w:val="0"/>
              <w:autoSpaceDN w:val="0"/>
              <w:adjustRightInd w:val="0"/>
              <w:jc w:val="center"/>
              <w:rPr>
                <w:rFonts w:hint="eastAsia" w:ascii="宋体" w:hAnsi="宋体" w:cs="Arial"/>
                <w:b w:val="0"/>
                <w:sz w:val="22"/>
                <w:highlight w:val="none"/>
              </w:rPr>
            </w:pPr>
            <w:r>
              <w:rPr>
                <w:rFonts w:hint="eastAsia" w:ascii="宋体" w:hAnsi="宋体"/>
                <w:sz w:val="22"/>
                <w:highlight w:val="none"/>
              </w:rPr>
              <w:t>（</w:t>
            </w:r>
            <w:r>
              <w:rPr>
                <w:rFonts w:ascii="宋体" w:hAnsi="宋体"/>
                <w:sz w:val="22"/>
                <w:highlight w:val="none"/>
              </w:rPr>
              <w:t>曾担任项目负责人的项目应列明细</w:t>
            </w:r>
            <w:r>
              <w:rPr>
                <w:rFonts w:hint="eastAsia" w:ascii="宋体" w:hAnsi="宋体"/>
                <w:sz w:val="22"/>
                <w:highlight w:val="none"/>
              </w:rPr>
              <w:t>）</w:t>
            </w:r>
          </w:p>
        </w:tc>
      </w:tr>
      <w:tr w14:paraId="711A62A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812" w:hRule="atLeast"/>
          <w:jc w:val="center"/>
        </w:trPr>
        <w:tc>
          <w:tcPr>
            <w:tcW w:w="2039" w:type="dxa"/>
            <w:vAlign w:val="center"/>
          </w:tcPr>
          <w:p w14:paraId="258BEA46">
            <w:pPr>
              <w:autoSpaceDE w:val="0"/>
              <w:autoSpaceDN w:val="0"/>
              <w:adjustRightInd w:val="0"/>
              <w:jc w:val="center"/>
              <w:rPr>
                <w:rFonts w:hint="eastAsia" w:ascii="宋体" w:hAnsi="宋体"/>
                <w:sz w:val="22"/>
                <w:highlight w:val="none"/>
              </w:rPr>
            </w:pPr>
            <w:r>
              <w:rPr>
                <w:rFonts w:ascii="宋体" w:hAnsi="宋体"/>
                <w:sz w:val="22"/>
                <w:highlight w:val="none"/>
              </w:rPr>
              <w:t>性别</w:t>
            </w:r>
          </w:p>
        </w:tc>
        <w:tc>
          <w:tcPr>
            <w:tcW w:w="2034" w:type="dxa"/>
            <w:vAlign w:val="center"/>
          </w:tcPr>
          <w:p w14:paraId="6E4915C3">
            <w:pPr>
              <w:autoSpaceDE w:val="0"/>
              <w:autoSpaceDN w:val="0"/>
              <w:adjustRightInd w:val="0"/>
              <w:jc w:val="center"/>
              <w:rPr>
                <w:rFonts w:hint="eastAsia" w:ascii="宋体" w:hAnsi="宋体"/>
                <w:sz w:val="22"/>
                <w:highlight w:val="none"/>
              </w:rPr>
            </w:pPr>
          </w:p>
        </w:tc>
        <w:tc>
          <w:tcPr>
            <w:tcW w:w="4234" w:type="dxa"/>
            <w:vMerge w:val="restart"/>
            <w:vAlign w:val="center"/>
          </w:tcPr>
          <w:p w14:paraId="6EFAE1FC">
            <w:pPr>
              <w:adjustRightInd w:val="0"/>
              <w:jc w:val="center"/>
              <w:rPr>
                <w:rFonts w:hint="eastAsia" w:ascii="宋体" w:hAnsi="宋体" w:cs="Arial"/>
                <w:b w:val="0"/>
                <w:sz w:val="22"/>
                <w:highlight w:val="none"/>
              </w:rPr>
            </w:pPr>
          </w:p>
        </w:tc>
      </w:tr>
      <w:tr w14:paraId="51CAF26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812" w:hRule="atLeast"/>
          <w:jc w:val="center"/>
        </w:trPr>
        <w:tc>
          <w:tcPr>
            <w:tcW w:w="2039" w:type="dxa"/>
            <w:vAlign w:val="center"/>
          </w:tcPr>
          <w:p w14:paraId="36D628C8">
            <w:pPr>
              <w:autoSpaceDE w:val="0"/>
              <w:autoSpaceDN w:val="0"/>
              <w:adjustRightInd w:val="0"/>
              <w:jc w:val="center"/>
              <w:rPr>
                <w:rFonts w:hint="eastAsia" w:ascii="宋体" w:hAnsi="宋体"/>
                <w:sz w:val="22"/>
                <w:highlight w:val="none"/>
              </w:rPr>
            </w:pPr>
            <w:r>
              <w:rPr>
                <w:rFonts w:ascii="宋体" w:hAnsi="宋体"/>
                <w:sz w:val="22"/>
                <w:highlight w:val="none"/>
              </w:rPr>
              <w:t>年龄</w:t>
            </w:r>
          </w:p>
        </w:tc>
        <w:tc>
          <w:tcPr>
            <w:tcW w:w="2034" w:type="dxa"/>
            <w:vAlign w:val="center"/>
          </w:tcPr>
          <w:p w14:paraId="5E718752">
            <w:pPr>
              <w:autoSpaceDE w:val="0"/>
              <w:autoSpaceDN w:val="0"/>
              <w:adjustRightInd w:val="0"/>
              <w:jc w:val="center"/>
              <w:rPr>
                <w:rFonts w:hint="eastAsia" w:ascii="宋体" w:hAnsi="宋体"/>
                <w:sz w:val="22"/>
                <w:highlight w:val="none"/>
              </w:rPr>
            </w:pPr>
          </w:p>
        </w:tc>
        <w:tc>
          <w:tcPr>
            <w:tcW w:w="4234" w:type="dxa"/>
            <w:vMerge w:val="continue"/>
            <w:vAlign w:val="center"/>
          </w:tcPr>
          <w:p w14:paraId="70DEDF86">
            <w:pPr>
              <w:adjustRightInd w:val="0"/>
              <w:jc w:val="center"/>
              <w:rPr>
                <w:rFonts w:hint="eastAsia" w:ascii="宋体" w:hAnsi="宋体" w:cs="Arial"/>
                <w:b w:val="0"/>
                <w:sz w:val="22"/>
                <w:highlight w:val="none"/>
              </w:rPr>
            </w:pPr>
          </w:p>
        </w:tc>
      </w:tr>
      <w:tr w14:paraId="5B4A724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812" w:hRule="atLeast"/>
          <w:jc w:val="center"/>
        </w:trPr>
        <w:tc>
          <w:tcPr>
            <w:tcW w:w="2039" w:type="dxa"/>
            <w:vAlign w:val="center"/>
          </w:tcPr>
          <w:p w14:paraId="3B23F088">
            <w:pPr>
              <w:autoSpaceDE w:val="0"/>
              <w:autoSpaceDN w:val="0"/>
              <w:adjustRightInd w:val="0"/>
              <w:jc w:val="center"/>
              <w:rPr>
                <w:rFonts w:hint="eastAsia" w:ascii="宋体" w:hAnsi="宋体"/>
                <w:sz w:val="22"/>
                <w:highlight w:val="none"/>
              </w:rPr>
            </w:pPr>
            <w:r>
              <w:rPr>
                <w:rFonts w:ascii="宋体" w:hAnsi="宋体"/>
                <w:sz w:val="22"/>
                <w:highlight w:val="none"/>
              </w:rPr>
              <w:t>职称</w:t>
            </w:r>
          </w:p>
        </w:tc>
        <w:tc>
          <w:tcPr>
            <w:tcW w:w="2034" w:type="dxa"/>
            <w:vAlign w:val="center"/>
          </w:tcPr>
          <w:p w14:paraId="6F304EDE">
            <w:pPr>
              <w:autoSpaceDE w:val="0"/>
              <w:autoSpaceDN w:val="0"/>
              <w:adjustRightInd w:val="0"/>
              <w:jc w:val="center"/>
              <w:rPr>
                <w:rFonts w:hint="eastAsia" w:ascii="宋体" w:hAnsi="宋体"/>
                <w:sz w:val="22"/>
                <w:highlight w:val="none"/>
              </w:rPr>
            </w:pPr>
          </w:p>
        </w:tc>
        <w:tc>
          <w:tcPr>
            <w:tcW w:w="4234" w:type="dxa"/>
            <w:vMerge w:val="continue"/>
            <w:vAlign w:val="center"/>
          </w:tcPr>
          <w:p w14:paraId="334EC601">
            <w:pPr>
              <w:adjustRightInd w:val="0"/>
              <w:jc w:val="center"/>
              <w:rPr>
                <w:rFonts w:hint="eastAsia" w:ascii="宋体" w:hAnsi="宋体" w:cs="Arial"/>
                <w:b w:val="0"/>
                <w:sz w:val="22"/>
                <w:highlight w:val="none"/>
              </w:rPr>
            </w:pPr>
          </w:p>
        </w:tc>
      </w:tr>
      <w:tr w14:paraId="6B65F4C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812" w:hRule="atLeast"/>
          <w:jc w:val="center"/>
        </w:trPr>
        <w:tc>
          <w:tcPr>
            <w:tcW w:w="2039" w:type="dxa"/>
            <w:vAlign w:val="center"/>
          </w:tcPr>
          <w:p w14:paraId="540C52A5">
            <w:pPr>
              <w:autoSpaceDE w:val="0"/>
              <w:autoSpaceDN w:val="0"/>
              <w:adjustRightInd w:val="0"/>
              <w:jc w:val="center"/>
              <w:rPr>
                <w:rFonts w:hint="eastAsia" w:ascii="宋体" w:hAnsi="宋体"/>
                <w:sz w:val="22"/>
                <w:highlight w:val="none"/>
              </w:rPr>
            </w:pPr>
            <w:r>
              <w:rPr>
                <w:rFonts w:ascii="宋体" w:hAnsi="宋体"/>
                <w:sz w:val="22"/>
                <w:highlight w:val="none"/>
              </w:rPr>
              <w:t>毕业时间</w:t>
            </w:r>
          </w:p>
        </w:tc>
        <w:tc>
          <w:tcPr>
            <w:tcW w:w="2034" w:type="dxa"/>
            <w:vAlign w:val="center"/>
          </w:tcPr>
          <w:p w14:paraId="5BC488D7">
            <w:pPr>
              <w:autoSpaceDE w:val="0"/>
              <w:autoSpaceDN w:val="0"/>
              <w:adjustRightInd w:val="0"/>
              <w:jc w:val="center"/>
              <w:rPr>
                <w:rFonts w:hint="eastAsia" w:ascii="宋体" w:hAnsi="宋体"/>
                <w:sz w:val="22"/>
                <w:highlight w:val="none"/>
              </w:rPr>
            </w:pPr>
          </w:p>
        </w:tc>
        <w:tc>
          <w:tcPr>
            <w:tcW w:w="4234" w:type="dxa"/>
            <w:vMerge w:val="continue"/>
            <w:vAlign w:val="center"/>
          </w:tcPr>
          <w:p w14:paraId="3C6DF46D">
            <w:pPr>
              <w:adjustRightInd w:val="0"/>
              <w:jc w:val="center"/>
              <w:rPr>
                <w:rFonts w:hint="eastAsia" w:ascii="宋体" w:hAnsi="宋体" w:cs="Arial"/>
                <w:b w:val="0"/>
                <w:sz w:val="22"/>
                <w:highlight w:val="none"/>
              </w:rPr>
            </w:pPr>
          </w:p>
        </w:tc>
      </w:tr>
      <w:tr w14:paraId="463361A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812" w:hRule="atLeast"/>
          <w:jc w:val="center"/>
        </w:trPr>
        <w:tc>
          <w:tcPr>
            <w:tcW w:w="2039" w:type="dxa"/>
            <w:vAlign w:val="center"/>
          </w:tcPr>
          <w:p w14:paraId="235F554D">
            <w:pPr>
              <w:autoSpaceDE w:val="0"/>
              <w:autoSpaceDN w:val="0"/>
              <w:adjustRightInd w:val="0"/>
              <w:jc w:val="center"/>
              <w:rPr>
                <w:rFonts w:hint="eastAsia" w:ascii="宋体" w:hAnsi="宋体"/>
                <w:sz w:val="22"/>
                <w:highlight w:val="none"/>
              </w:rPr>
            </w:pPr>
            <w:r>
              <w:rPr>
                <w:rFonts w:ascii="宋体" w:hAnsi="宋体"/>
                <w:sz w:val="22"/>
                <w:highlight w:val="none"/>
              </w:rPr>
              <w:t>所学专业</w:t>
            </w:r>
          </w:p>
        </w:tc>
        <w:tc>
          <w:tcPr>
            <w:tcW w:w="2034" w:type="dxa"/>
            <w:vAlign w:val="center"/>
          </w:tcPr>
          <w:p w14:paraId="1C686AC7">
            <w:pPr>
              <w:autoSpaceDE w:val="0"/>
              <w:autoSpaceDN w:val="0"/>
              <w:adjustRightInd w:val="0"/>
              <w:jc w:val="center"/>
              <w:rPr>
                <w:rFonts w:hint="eastAsia" w:ascii="宋体" w:hAnsi="宋体"/>
                <w:sz w:val="22"/>
                <w:highlight w:val="none"/>
              </w:rPr>
            </w:pPr>
          </w:p>
        </w:tc>
        <w:tc>
          <w:tcPr>
            <w:tcW w:w="4234" w:type="dxa"/>
            <w:vMerge w:val="continue"/>
            <w:vAlign w:val="center"/>
          </w:tcPr>
          <w:p w14:paraId="46D8F3F7">
            <w:pPr>
              <w:adjustRightInd w:val="0"/>
              <w:jc w:val="center"/>
              <w:rPr>
                <w:rFonts w:hint="eastAsia" w:ascii="宋体" w:hAnsi="宋体" w:cs="Arial"/>
                <w:b w:val="0"/>
                <w:sz w:val="22"/>
                <w:highlight w:val="none"/>
              </w:rPr>
            </w:pPr>
          </w:p>
        </w:tc>
      </w:tr>
      <w:tr w14:paraId="194B949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812" w:hRule="atLeast"/>
          <w:jc w:val="center"/>
        </w:trPr>
        <w:tc>
          <w:tcPr>
            <w:tcW w:w="2039" w:type="dxa"/>
            <w:vAlign w:val="center"/>
          </w:tcPr>
          <w:p w14:paraId="78FDB1F5">
            <w:pPr>
              <w:autoSpaceDE w:val="0"/>
              <w:autoSpaceDN w:val="0"/>
              <w:adjustRightInd w:val="0"/>
              <w:jc w:val="center"/>
              <w:rPr>
                <w:rFonts w:hint="eastAsia" w:ascii="宋体" w:hAnsi="宋体"/>
                <w:sz w:val="22"/>
                <w:highlight w:val="none"/>
              </w:rPr>
            </w:pPr>
            <w:r>
              <w:rPr>
                <w:rFonts w:ascii="宋体" w:hAnsi="宋体"/>
                <w:sz w:val="22"/>
                <w:highlight w:val="none"/>
              </w:rPr>
              <w:t>学历</w:t>
            </w:r>
          </w:p>
        </w:tc>
        <w:tc>
          <w:tcPr>
            <w:tcW w:w="2034" w:type="dxa"/>
            <w:vAlign w:val="center"/>
          </w:tcPr>
          <w:p w14:paraId="4DA7146C">
            <w:pPr>
              <w:autoSpaceDE w:val="0"/>
              <w:autoSpaceDN w:val="0"/>
              <w:adjustRightInd w:val="0"/>
              <w:jc w:val="center"/>
              <w:rPr>
                <w:rFonts w:hint="eastAsia" w:ascii="宋体" w:hAnsi="宋体"/>
                <w:sz w:val="22"/>
                <w:highlight w:val="none"/>
              </w:rPr>
            </w:pPr>
          </w:p>
        </w:tc>
        <w:tc>
          <w:tcPr>
            <w:tcW w:w="4234" w:type="dxa"/>
            <w:vMerge w:val="continue"/>
            <w:vAlign w:val="center"/>
          </w:tcPr>
          <w:p w14:paraId="39566BBE">
            <w:pPr>
              <w:adjustRightInd w:val="0"/>
              <w:jc w:val="center"/>
              <w:rPr>
                <w:rFonts w:hint="eastAsia" w:ascii="宋体" w:hAnsi="宋体" w:cs="Arial"/>
                <w:b w:val="0"/>
                <w:sz w:val="22"/>
                <w:highlight w:val="none"/>
              </w:rPr>
            </w:pPr>
          </w:p>
        </w:tc>
      </w:tr>
      <w:tr w14:paraId="687FE8B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812" w:hRule="atLeast"/>
          <w:jc w:val="center"/>
        </w:trPr>
        <w:tc>
          <w:tcPr>
            <w:tcW w:w="2039" w:type="dxa"/>
            <w:vAlign w:val="center"/>
          </w:tcPr>
          <w:p w14:paraId="6278FF52">
            <w:pPr>
              <w:autoSpaceDE w:val="0"/>
              <w:autoSpaceDN w:val="0"/>
              <w:adjustRightInd w:val="0"/>
              <w:jc w:val="center"/>
              <w:rPr>
                <w:rFonts w:hint="eastAsia" w:ascii="宋体" w:hAnsi="宋体"/>
                <w:sz w:val="22"/>
                <w:highlight w:val="none"/>
              </w:rPr>
            </w:pPr>
            <w:r>
              <w:rPr>
                <w:rFonts w:hint="eastAsia" w:ascii="宋体" w:hAnsi="宋体"/>
                <w:sz w:val="22"/>
                <w:highlight w:val="none"/>
              </w:rPr>
              <w:t>从业年限</w:t>
            </w:r>
          </w:p>
        </w:tc>
        <w:tc>
          <w:tcPr>
            <w:tcW w:w="2034" w:type="dxa"/>
            <w:vAlign w:val="center"/>
          </w:tcPr>
          <w:p w14:paraId="16F8010F">
            <w:pPr>
              <w:autoSpaceDE w:val="0"/>
              <w:autoSpaceDN w:val="0"/>
              <w:adjustRightInd w:val="0"/>
              <w:jc w:val="center"/>
              <w:rPr>
                <w:rFonts w:hint="eastAsia" w:ascii="宋体" w:hAnsi="宋体"/>
                <w:sz w:val="22"/>
                <w:highlight w:val="none"/>
              </w:rPr>
            </w:pPr>
          </w:p>
        </w:tc>
        <w:tc>
          <w:tcPr>
            <w:tcW w:w="4234" w:type="dxa"/>
            <w:vMerge w:val="continue"/>
            <w:vAlign w:val="center"/>
          </w:tcPr>
          <w:p w14:paraId="193562D9">
            <w:pPr>
              <w:adjustRightInd w:val="0"/>
              <w:jc w:val="center"/>
              <w:rPr>
                <w:rFonts w:hint="eastAsia" w:ascii="宋体" w:hAnsi="宋体" w:cs="Arial"/>
                <w:b w:val="0"/>
                <w:sz w:val="22"/>
                <w:highlight w:val="none"/>
              </w:rPr>
            </w:pPr>
          </w:p>
        </w:tc>
      </w:tr>
      <w:tr w14:paraId="3F3981F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812" w:hRule="atLeast"/>
          <w:jc w:val="center"/>
        </w:trPr>
        <w:tc>
          <w:tcPr>
            <w:tcW w:w="2039" w:type="dxa"/>
            <w:vAlign w:val="center"/>
          </w:tcPr>
          <w:p w14:paraId="1A16B694">
            <w:pPr>
              <w:autoSpaceDE w:val="0"/>
              <w:autoSpaceDN w:val="0"/>
              <w:adjustRightInd w:val="0"/>
              <w:jc w:val="center"/>
              <w:rPr>
                <w:rFonts w:hint="eastAsia" w:ascii="宋体" w:hAnsi="宋体"/>
                <w:sz w:val="22"/>
                <w:highlight w:val="none"/>
              </w:rPr>
            </w:pPr>
            <w:r>
              <w:rPr>
                <w:rFonts w:ascii="宋体" w:hAnsi="宋体"/>
                <w:sz w:val="22"/>
                <w:highlight w:val="none"/>
              </w:rPr>
              <w:t>证书编号</w:t>
            </w:r>
          </w:p>
        </w:tc>
        <w:tc>
          <w:tcPr>
            <w:tcW w:w="2034" w:type="dxa"/>
            <w:vAlign w:val="center"/>
          </w:tcPr>
          <w:p w14:paraId="6077AB4C">
            <w:pPr>
              <w:autoSpaceDE w:val="0"/>
              <w:autoSpaceDN w:val="0"/>
              <w:adjustRightInd w:val="0"/>
              <w:jc w:val="center"/>
              <w:rPr>
                <w:rFonts w:hint="eastAsia" w:ascii="宋体" w:hAnsi="宋体"/>
                <w:sz w:val="22"/>
                <w:highlight w:val="none"/>
              </w:rPr>
            </w:pPr>
          </w:p>
        </w:tc>
        <w:tc>
          <w:tcPr>
            <w:tcW w:w="4234" w:type="dxa"/>
            <w:vMerge w:val="continue"/>
            <w:vAlign w:val="center"/>
          </w:tcPr>
          <w:p w14:paraId="1F5C44DC">
            <w:pPr>
              <w:adjustRightInd w:val="0"/>
              <w:jc w:val="center"/>
              <w:rPr>
                <w:rFonts w:hint="eastAsia" w:ascii="宋体" w:hAnsi="宋体" w:cs="Arial"/>
                <w:b w:val="0"/>
                <w:sz w:val="22"/>
                <w:highlight w:val="none"/>
              </w:rPr>
            </w:pPr>
          </w:p>
        </w:tc>
      </w:tr>
      <w:tr w14:paraId="40AE603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812" w:hRule="atLeast"/>
          <w:jc w:val="center"/>
        </w:trPr>
        <w:tc>
          <w:tcPr>
            <w:tcW w:w="2039" w:type="dxa"/>
            <w:vAlign w:val="center"/>
          </w:tcPr>
          <w:p w14:paraId="6555056E">
            <w:pPr>
              <w:autoSpaceDE w:val="0"/>
              <w:autoSpaceDN w:val="0"/>
              <w:adjustRightInd w:val="0"/>
              <w:jc w:val="center"/>
              <w:rPr>
                <w:rFonts w:hint="eastAsia" w:ascii="宋体" w:hAnsi="宋体"/>
                <w:sz w:val="22"/>
                <w:highlight w:val="none"/>
              </w:rPr>
            </w:pPr>
            <w:r>
              <w:rPr>
                <w:rFonts w:ascii="宋体" w:hAnsi="宋体"/>
                <w:sz w:val="22"/>
                <w:highlight w:val="none"/>
              </w:rPr>
              <w:t>其他资质情况</w:t>
            </w:r>
          </w:p>
        </w:tc>
        <w:tc>
          <w:tcPr>
            <w:tcW w:w="2034" w:type="dxa"/>
            <w:vAlign w:val="center"/>
          </w:tcPr>
          <w:p w14:paraId="317D96BA">
            <w:pPr>
              <w:autoSpaceDE w:val="0"/>
              <w:autoSpaceDN w:val="0"/>
              <w:adjustRightInd w:val="0"/>
              <w:jc w:val="center"/>
              <w:rPr>
                <w:rFonts w:hint="eastAsia" w:ascii="宋体" w:hAnsi="宋体"/>
                <w:sz w:val="22"/>
                <w:highlight w:val="none"/>
              </w:rPr>
            </w:pPr>
          </w:p>
        </w:tc>
        <w:tc>
          <w:tcPr>
            <w:tcW w:w="4234" w:type="dxa"/>
            <w:vMerge w:val="continue"/>
            <w:vAlign w:val="center"/>
          </w:tcPr>
          <w:p w14:paraId="7FD5A2B5">
            <w:pPr>
              <w:adjustRightInd w:val="0"/>
              <w:jc w:val="center"/>
              <w:rPr>
                <w:rFonts w:hint="eastAsia" w:ascii="宋体" w:hAnsi="宋体" w:cs="Arial"/>
                <w:b w:val="0"/>
                <w:sz w:val="22"/>
                <w:highlight w:val="none"/>
              </w:rPr>
            </w:pPr>
          </w:p>
        </w:tc>
      </w:tr>
      <w:tr w14:paraId="7043096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812" w:hRule="atLeast"/>
          <w:jc w:val="center"/>
        </w:trPr>
        <w:tc>
          <w:tcPr>
            <w:tcW w:w="2039" w:type="dxa"/>
            <w:vAlign w:val="center"/>
          </w:tcPr>
          <w:p w14:paraId="091E9071">
            <w:pPr>
              <w:autoSpaceDE w:val="0"/>
              <w:autoSpaceDN w:val="0"/>
              <w:adjustRightInd w:val="0"/>
              <w:jc w:val="center"/>
              <w:rPr>
                <w:rFonts w:hint="eastAsia" w:ascii="宋体" w:hAnsi="宋体"/>
                <w:sz w:val="22"/>
                <w:highlight w:val="none"/>
              </w:rPr>
            </w:pPr>
            <w:r>
              <w:rPr>
                <w:rFonts w:ascii="宋体" w:hAnsi="宋体"/>
                <w:sz w:val="22"/>
                <w:highlight w:val="none"/>
              </w:rPr>
              <w:t>联系电话</w:t>
            </w:r>
          </w:p>
        </w:tc>
        <w:tc>
          <w:tcPr>
            <w:tcW w:w="2034" w:type="dxa"/>
            <w:vAlign w:val="center"/>
          </w:tcPr>
          <w:p w14:paraId="6A183C27">
            <w:pPr>
              <w:autoSpaceDE w:val="0"/>
              <w:autoSpaceDN w:val="0"/>
              <w:adjustRightInd w:val="0"/>
              <w:jc w:val="center"/>
              <w:rPr>
                <w:rFonts w:hint="eastAsia" w:ascii="宋体" w:hAnsi="宋体"/>
                <w:sz w:val="22"/>
                <w:highlight w:val="none"/>
              </w:rPr>
            </w:pPr>
          </w:p>
        </w:tc>
        <w:tc>
          <w:tcPr>
            <w:tcW w:w="4234" w:type="dxa"/>
            <w:vMerge w:val="continue"/>
            <w:vAlign w:val="center"/>
          </w:tcPr>
          <w:p w14:paraId="0712EE31">
            <w:pPr>
              <w:adjustRightInd w:val="0"/>
              <w:jc w:val="center"/>
              <w:rPr>
                <w:rFonts w:hint="eastAsia" w:ascii="宋体" w:hAnsi="宋体" w:cs="Arial"/>
                <w:b w:val="0"/>
                <w:sz w:val="22"/>
                <w:highlight w:val="none"/>
              </w:rPr>
            </w:pPr>
          </w:p>
        </w:tc>
      </w:tr>
    </w:tbl>
    <w:p w14:paraId="0993E612">
      <w:pPr>
        <w:spacing w:line="380" w:lineRule="exact"/>
        <w:rPr>
          <w:rFonts w:hint="eastAsia" w:ascii="宋体" w:hAnsi="宋体"/>
          <w:b w:val="0"/>
          <w:sz w:val="22"/>
          <w:highlight w:val="none"/>
          <w:u w:val="single"/>
        </w:rPr>
      </w:pPr>
      <w:r>
        <w:rPr>
          <w:rFonts w:hint="eastAsia" w:ascii="宋体" w:hAnsi="宋体"/>
          <w:b w:val="0"/>
          <w:sz w:val="22"/>
          <w:highlight w:val="none"/>
          <w:u w:val="single"/>
        </w:rPr>
        <w:t>注：须随表提交相应的证书复印件。</w:t>
      </w:r>
    </w:p>
    <w:p w14:paraId="5E936E5A">
      <w:pPr>
        <w:rPr>
          <w:rFonts w:hint="eastAsia" w:ascii="宋体" w:hAnsi="宋体"/>
          <w:sz w:val="22"/>
          <w:highlight w:val="none"/>
        </w:rPr>
      </w:pPr>
    </w:p>
    <w:p w14:paraId="28A92F0B">
      <w:pPr>
        <w:autoSpaceDE w:val="0"/>
        <w:autoSpaceDN w:val="0"/>
        <w:adjustRightInd w:val="0"/>
        <w:spacing w:line="360" w:lineRule="auto"/>
        <w:ind w:firstLine="325" w:firstLineChars="147"/>
        <w:rPr>
          <w:rFonts w:hint="eastAsia" w:ascii="宋体" w:hAnsi="宋体"/>
          <w:sz w:val="22"/>
          <w:szCs w:val="22"/>
          <w:highlight w:val="none"/>
        </w:rPr>
      </w:pPr>
      <w:r>
        <w:rPr>
          <w:rFonts w:hint="eastAsia" w:ascii="宋体" w:hAnsi="宋体"/>
          <w:sz w:val="22"/>
          <w:szCs w:val="22"/>
          <w:highlight w:val="none"/>
        </w:rPr>
        <w:t>投标人（盖章）：</w:t>
      </w:r>
    </w:p>
    <w:p w14:paraId="29B45AD8">
      <w:pPr>
        <w:autoSpaceDE w:val="0"/>
        <w:autoSpaceDN w:val="0"/>
        <w:adjustRightInd w:val="0"/>
        <w:spacing w:line="360" w:lineRule="auto"/>
        <w:ind w:firstLine="325" w:firstLineChars="147"/>
        <w:rPr>
          <w:rFonts w:hint="eastAsia" w:ascii="宋体" w:hAnsi="宋体"/>
          <w:sz w:val="22"/>
          <w:szCs w:val="22"/>
          <w:highlight w:val="none"/>
        </w:rPr>
      </w:pPr>
      <w:r>
        <w:rPr>
          <w:rFonts w:hint="eastAsia" w:ascii="宋体" w:hAnsi="宋体"/>
          <w:sz w:val="22"/>
          <w:szCs w:val="22"/>
          <w:highlight w:val="none"/>
        </w:rPr>
        <w:t>法定代表人或授权代表（签字或盖章）：</w:t>
      </w:r>
    </w:p>
    <w:p w14:paraId="65F67588">
      <w:pPr>
        <w:autoSpaceDE w:val="0"/>
        <w:autoSpaceDN w:val="0"/>
        <w:adjustRightInd w:val="0"/>
        <w:spacing w:line="360" w:lineRule="auto"/>
        <w:ind w:firstLine="325" w:firstLineChars="147"/>
        <w:rPr>
          <w:rFonts w:hint="eastAsia" w:ascii="宋体" w:hAnsi="宋体"/>
          <w:sz w:val="22"/>
          <w:szCs w:val="22"/>
          <w:highlight w:val="none"/>
        </w:rPr>
      </w:pPr>
      <w:r>
        <w:rPr>
          <w:rFonts w:hint="eastAsia" w:ascii="宋体" w:hAnsi="宋体"/>
          <w:sz w:val="22"/>
          <w:szCs w:val="22"/>
          <w:highlight w:val="none"/>
        </w:rPr>
        <w:t>日期：</w:t>
      </w:r>
    </w:p>
    <w:p w14:paraId="5E3CC589">
      <w:pPr>
        <w:pStyle w:val="23"/>
        <w:ind w:firstLine="0"/>
        <w:rPr>
          <w:highlight w:val="none"/>
        </w:rPr>
      </w:pPr>
    </w:p>
    <w:p w14:paraId="41AEE1F8">
      <w:pPr>
        <w:pStyle w:val="23"/>
        <w:ind w:firstLine="0"/>
        <w:rPr>
          <w:highlight w:val="none"/>
        </w:rPr>
      </w:pPr>
    </w:p>
    <w:p w14:paraId="19E0C56D">
      <w:pPr>
        <w:jc w:val="center"/>
        <w:rPr>
          <w:rFonts w:hint="eastAsia" w:hAnsi="宋体"/>
          <w:b w:val="0"/>
          <w:sz w:val="36"/>
          <w:szCs w:val="36"/>
          <w:highlight w:val="none"/>
        </w:rPr>
      </w:pPr>
      <w:r>
        <w:rPr>
          <w:rFonts w:hint="eastAsia"/>
          <w:b w:val="0"/>
          <w:sz w:val="30"/>
          <w:szCs w:val="30"/>
          <w:highlight w:val="none"/>
        </w:rPr>
        <w:t>拟派项目部组成成员</w:t>
      </w:r>
    </w:p>
    <w:p w14:paraId="3282F6D8">
      <w:pPr>
        <w:spacing w:line="360" w:lineRule="auto"/>
        <w:rPr>
          <w:rFonts w:hint="eastAsia" w:ascii="宋体" w:hAnsi="宋体"/>
          <w:b w:val="0"/>
          <w:sz w:val="22"/>
          <w:szCs w:val="22"/>
          <w:highlight w:val="none"/>
        </w:rPr>
      </w:pPr>
    </w:p>
    <w:p w14:paraId="4577560B">
      <w:pPr>
        <w:spacing w:line="360" w:lineRule="auto"/>
        <w:rPr>
          <w:rFonts w:hint="eastAsia" w:ascii="宋体" w:hAnsi="宋体"/>
          <w:b w:val="0"/>
          <w:bCs w:val="0"/>
          <w:sz w:val="22"/>
          <w:szCs w:val="22"/>
          <w:highlight w:val="none"/>
        </w:rPr>
      </w:pPr>
      <w:r>
        <w:rPr>
          <w:rFonts w:hint="eastAsia" w:ascii="宋体" w:hAnsi="宋体"/>
          <w:b w:val="0"/>
          <w:sz w:val="22"/>
          <w:szCs w:val="22"/>
          <w:highlight w:val="none"/>
        </w:rPr>
        <w:t>项目名称：                                         项目编号：</w:t>
      </w:r>
    </w:p>
    <w:tbl>
      <w:tblPr>
        <w:tblStyle w:val="35"/>
        <w:tblW w:w="8255" w:type="dxa"/>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28" w:type="dxa"/>
          <w:bottom w:w="0" w:type="dxa"/>
          <w:right w:w="28" w:type="dxa"/>
        </w:tblCellMar>
      </w:tblPr>
      <w:tblGrid>
        <w:gridCol w:w="955"/>
        <w:gridCol w:w="1260"/>
        <w:gridCol w:w="1061"/>
        <w:gridCol w:w="863"/>
        <w:gridCol w:w="937"/>
        <w:gridCol w:w="1050"/>
        <w:gridCol w:w="1175"/>
        <w:gridCol w:w="954"/>
      </w:tblGrid>
      <w:tr w14:paraId="6443186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955" w:type="dxa"/>
            <w:vAlign w:val="center"/>
          </w:tcPr>
          <w:p w14:paraId="1D457F15">
            <w:pPr>
              <w:adjustRightInd w:val="0"/>
              <w:snapToGrid w:val="0"/>
              <w:jc w:val="center"/>
              <w:rPr>
                <w:rFonts w:hint="eastAsia" w:ascii="宋体" w:hAnsi="宋体"/>
                <w:sz w:val="22"/>
                <w:highlight w:val="none"/>
              </w:rPr>
            </w:pPr>
            <w:r>
              <w:rPr>
                <w:rFonts w:hint="eastAsia" w:ascii="宋体" w:hAnsi="宋体"/>
                <w:sz w:val="22"/>
                <w:highlight w:val="none"/>
              </w:rPr>
              <w:t>序号</w:t>
            </w:r>
          </w:p>
        </w:tc>
        <w:tc>
          <w:tcPr>
            <w:tcW w:w="1260" w:type="dxa"/>
            <w:vAlign w:val="center"/>
          </w:tcPr>
          <w:p w14:paraId="0CACB585">
            <w:pPr>
              <w:adjustRightInd w:val="0"/>
              <w:snapToGrid w:val="0"/>
              <w:jc w:val="center"/>
              <w:rPr>
                <w:rFonts w:hint="eastAsia" w:ascii="宋体" w:hAnsi="宋体"/>
                <w:sz w:val="22"/>
                <w:highlight w:val="none"/>
              </w:rPr>
            </w:pPr>
            <w:r>
              <w:rPr>
                <w:rFonts w:hint="eastAsia" w:ascii="宋体" w:hAnsi="宋体"/>
                <w:sz w:val="22"/>
                <w:highlight w:val="none"/>
              </w:rPr>
              <w:t>姓名</w:t>
            </w:r>
          </w:p>
        </w:tc>
        <w:tc>
          <w:tcPr>
            <w:tcW w:w="1061" w:type="dxa"/>
            <w:vAlign w:val="center"/>
          </w:tcPr>
          <w:p w14:paraId="008646C6">
            <w:pPr>
              <w:adjustRightInd w:val="0"/>
              <w:snapToGrid w:val="0"/>
              <w:jc w:val="center"/>
              <w:rPr>
                <w:rFonts w:hint="eastAsia" w:ascii="宋体" w:hAnsi="宋体"/>
                <w:sz w:val="22"/>
                <w:highlight w:val="none"/>
              </w:rPr>
            </w:pPr>
            <w:r>
              <w:rPr>
                <w:rFonts w:hint="eastAsia" w:ascii="宋体" w:hAnsi="宋体"/>
                <w:sz w:val="22"/>
                <w:highlight w:val="none"/>
              </w:rPr>
              <w:t>性别</w:t>
            </w:r>
          </w:p>
        </w:tc>
        <w:tc>
          <w:tcPr>
            <w:tcW w:w="863" w:type="dxa"/>
            <w:vAlign w:val="center"/>
          </w:tcPr>
          <w:p w14:paraId="00F2A62A">
            <w:pPr>
              <w:adjustRightInd w:val="0"/>
              <w:snapToGrid w:val="0"/>
              <w:jc w:val="center"/>
              <w:rPr>
                <w:rFonts w:hint="eastAsia" w:ascii="宋体" w:hAnsi="宋体"/>
                <w:sz w:val="22"/>
                <w:highlight w:val="none"/>
              </w:rPr>
            </w:pPr>
            <w:r>
              <w:rPr>
                <w:rFonts w:hint="eastAsia" w:ascii="宋体" w:hAnsi="宋体"/>
                <w:sz w:val="22"/>
                <w:highlight w:val="none"/>
              </w:rPr>
              <w:t>年龄</w:t>
            </w:r>
          </w:p>
        </w:tc>
        <w:tc>
          <w:tcPr>
            <w:tcW w:w="937" w:type="dxa"/>
            <w:vAlign w:val="center"/>
          </w:tcPr>
          <w:p w14:paraId="273F847A">
            <w:pPr>
              <w:adjustRightInd w:val="0"/>
              <w:snapToGrid w:val="0"/>
              <w:jc w:val="center"/>
              <w:rPr>
                <w:rFonts w:hint="eastAsia" w:ascii="宋体" w:hAnsi="宋体"/>
                <w:sz w:val="22"/>
                <w:highlight w:val="none"/>
              </w:rPr>
            </w:pPr>
            <w:r>
              <w:rPr>
                <w:rFonts w:hint="eastAsia" w:ascii="宋体" w:hAnsi="宋体"/>
                <w:sz w:val="22"/>
                <w:highlight w:val="none"/>
              </w:rPr>
              <w:t>学历</w:t>
            </w:r>
          </w:p>
        </w:tc>
        <w:tc>
          <w:tcPr>
            <w:tcW w:w="1050" w:type="dxa"/>
            <w:vAlign w:val="center"/>
          </w:tcPr>
          <w:p w14:paraId="20DE06D5">
            <w:pPr>
              <w:adjustRightInd w:val="0"/>
              <w:snapToGrid w:val="0"/>
              <w:jc w:val="center"/>
              <w:rPr>
                <w:rFonts w:hint="eastAsia" w:ascii="宋体" w:hAnsi="宋体"/>
                <w:sz w:val="22"/>
                <w:highlight w:val="none"/>
              </w:rPr>
            </w:pPr>
            <w:r>
              <w:rPr>
                <w:rFonts w:hint="eastAsia" w:ascii="宋体" w:hAnsi="宋体"/>
                <w:sz w:val="22"/>
                <w:highlight w:val="none"/>
              </w:rPr>
              <w:t>专业</w:t>
            </w:r>
          </w:p>
        </w:tc>
        <w:tc>
          <w:tcPr>
            <w:tcW w:w="1175" w:type="dxa"/>
            <w:vAlign w:val="center"/>
          </w:tcPr>
          <w:p w14:paraId="6C88D104">
            <w:pPr>
              <w:adjustRightInd w:val="0"/>
              <w:snapToGrid w:val="0"/>
              <w:jc w:val="center"/>
              <w:rPr>
                <w:rFonts w:hint="eastAsia" w:ascii="宋体" w:hAnsi="宋体"/>
                <w:sz w:val="22"/>
                <w:highlight w:val="none"/>
              </w:rPr>
            </w:pPr>
            <w:r>
              <w:rPr>
                <w:rFonts w:hint="eastAsia" w:ascii="宋体" w:hAnsi="宋体"/>
                <w:sz w:val="22"/>
                <w:highlight w:val="none"/>
              </w:rPr>
              <w:t>本项目中的职责</w:t>
            </w:r>
          </w:p>
        </w:tc>
        <w:tc>
          <w:tcPr>
            <w:tcW w:w="954" w:type="dxa"/>
            <w:vAlign w:val="center"/>
          </w:tcPr>
          <w:p w14:paraId="048F74B1">
            <w:pPr>
              <w:adjustRightInd w:val="0"/>
              <w:snapToGrid w:val="0"/>
              <w:jc w:val="center"/>
              <w:rPr>
                <w:rFonts w:hint="eastAsia" w:ascii="宋体" w:hAnsi="宋体"/>
                <w:sz w:val="22"/>
                <w:highlight w:val="none"/>
              </w:rPr>
            </w:pPr>
            <w:r>
              <w:rPr>
                <w:rFonts w:hint="eastAsia" w:ascii="宋体" w:hAnsi="宋体"/>
                <w:sz w:val="22"/>
                <w:highlight w:val="none"/>
              </w:rPr>
              <w:t>从事专业年限</w:t>
            </w:r>
          </w:p>
        </w:tc>
      </w:tr>
      <w:tr w14:paraId="1271813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435" w:hRule="atLeast"/>
          <w:jc w:val="center"/>
        </w:trPr>
        <w:tc>
          <w:tcPr>
            <w:tcW w:w="955" w:type="dxa"/>
            <w:vAlign w:val="center"/>
          </w:tcPr>
          <w:p w14:paraId="7CF2ABC9">
            <w:pPr>
              <w:adjustRightInd w:val="0"/>
              <w:snapToGrid w:val="0"/>
              <w:spacing w:line="360" w:lineRule="auto"/>
              <w:jc w:val="center"/>
              <w:rPr>
                <w:rFonts w:hint="eastAsia" w:ascii="宋体" w:hAnsi="宋体"/>
                <w:sz w:val="22"/>
                <w:highlight w:val="none"/>
              </w:rPr>
            </w:pPr>
          </w:p>
        </w:tc>
        <w:tc>
          <w:tcPr>
            <w:tcW w:w="1260" w:type="dxa"/>
            <w:vAlign w:val="center"/>
          </w:tcPr>
          <w:p w14:paraId="375F038F">
            <w:pPr>
              <w:adjustRightInd w:val="0"/>
              <w:snapToGrid w:val="0"/>
              <w:spacing w:line="360" w:lineRule="auto"/>
              <w:jc w:val="center"/>
              <w:rPr>
                <w:rFonts w:hint="eastAsia" w:ascii="宋体" w:hAnsi="宋体"/>
                <w:sz w:val="22"/>
                <w:highlight w:val="none"/>
              </w:rPr>
            </w:pPr>
          </w:p>
        </w:tc>
        <w:tc>
          <w:tcPr>
            <w:tcW w:w="1061" w:type="dxa"/>
            <w:vAlign w:val="center"/>
          </w:tcPr>
          <w:p w14:paraId="2DB97E0F">
            <w:pPr>
              <w:adjustRightInd w:val="0"/>
              <w:snapToGrid w:val="0"/>
              <w:spacing w:line="360" w:lineRule="auto"/>
              <w:jc w:val="center"/>
              <w:rPr>
                <w:rFonts w:hint="eastAsia" w:ascii="宋体" w:hAnsi="宋体"/>
                <w:sz w:val="22"/>
                <w:highlight w:val="none"/>
              </w:rPr>
            </w:pPr>
          </w:p>
        </w:tc>
        <w:tc>
          <w:tcPr>
            <w:tcW w:w="863" w:type="dxa"/>
            <w:vAlign w:val="center"/>
          </w:tcPr>
          <w:p w14:paraId="7667FD0C">
            <w:pPr>
              <w:adjustRightInd w:val="0"/>
              <w:snapToGrid w:val="0"/>
              <w:spacing w:line="360" w:lineRule="auto"/>
              <w:jc w:val="center"/>
              <w:rPr>
                <w:rFonts w:hint="eastAsia" w:ascii="宋体" w:hAnsi="宋体"/>
                <w:sz w:val="22"/>
                <w:highlight w:val="none"/>
              </w:rPr>
            </w:pPr>
          </w:p>
        </w:tc>
        <w:tc>
          <w:tcPr>
            <w:tcW w:w="937" w:type="dxa"/>
            <w:vAlign w:val="center"/>
          </w:tcPr>
          <w:p w14:paraId="4D55ADF9">
            <w:pPr>
              <w:adjustRightInd w:val="0"/>
              <w:snapToGrid w:val="0"/>
              <w:spacing w:line="360" w:lineRule="auto"/>
              <w:jc w:val="center"/>
              <w:rPr>
                <w:rFonts w:hint="eastAsia" w:ascii="宋体" w:hAnsi="宋体"/>
                <w:sz w:val="22"/>
                <w:highlight w:val="none"/>
              </w:rPr>
            </w:pPr>
          </w:p>
        </w:tc>
        <w:tc>
          <w:tcPr>
            <w:tcW w:w="1050" w:type="dxa"/>
            <w:vAlign w:val="center"/>
          </w:tcPr>
          <w:p w14:paraId="06CAC056">
            <w:pPr>
              <w:adjustRightInd w:val="0"/>
              <w:snapToGrid w:val="0"/>
              <w:spacing w:line="360" w:lineRule="auto"/>
              <w:jc w:val="center"/>
              <w:rPr>
                <w:rFonts w:hint="eastAsia" w:ascii="宋体" w:hAnsi="宋体"/>
                <w:sz w:val="22"/>
                <w:highlight w:val="none"/>
              </w:rPr>
            </w:pPr>
          </w:p>
        </w:tc>
        <w:tc>
          <w:tcPr>
            <w:tcW w:w="1175" w:type="dxa"/>
            <w:vAlign w:val="center"/>
          </w:tcPr>
          <w:p w14:paraId="38CD70C9">
            <w:pPr>
              <w:adjustRightInd w:val="0"/>
              <w:snapToGrid w:val="0"/>
              <w:spacing w:line="360" w:lineRule="auto"/>
              <w:jc w:val="center"/>
              <w:rPr>
                <w:rFonts w:hint="eastAsia" w:ascii="宋体" w:hAnsi="宋体"/>
                <w:sz w:val="22"/>
                <w:highlight w:val="none"/>
              </w:rPr>
            </w:pPr>
          </w:p>
        </w:tc>
        <w:tc>
          <w:tcPr>
            <w:tcW w:w="954" w:type="dxa"/>
            <w:vAlign w:val="center"/>
          </w:tcPr>
          <w:p w14:paraId="708C64AE">
            <w:pPr>
              <w:adjustRightInd w:val="0"/>
              <w:snapToGrid w:val="0"/>
              <w:spacing w:line="360" w:lineRule="auto"/>
              <w:jc w:val="center"/>
              <w:rPr>
                <w:rFonts w:hint="eastAsia" w:ascii="宋体" w:hAnsi="宋体"/>
                <w:sz w:val="22"/>
                <w:highlight w:val="none"/>
              </w:rPr>
            </w:pPr>
          </w:p>
        </w:tc>
      </w:tr>
      <w:tr w14:paraId="56C86E5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435" w:hRule="atLeast"/>
          <w:jc w:val="center"/>
        </w:trPr>
        <w:tc>
          <w:tcPr>
            <w:tcW w:w="955" w:type="dxa"/>
            <w:vAlign w:val="center"/>
          </w:tcPr>
          <w:p w14:paraId="67218856">
            <w:pPr>
              <w:adjustRightInd w:val="0"/>
              <w:snapToGrid w:val="0"/>
              <w:spacing w:line="360" w:lineRule="auto"/>
              <w:jc w:val="center"/>
              <w:rPr>
                <w:rFonts w:hint="eastAsia" w:ascii="宋体" w:hAnsi="宋体"/>
                <w:sz w:val="22"/>
                <w:highlight w:val="none"/>
              </w:rPr>
            </w:pPr>
          </w:p>
        </w:tc>
        <w:tc>
          <w:tcPr>
            <w:tcW w:w="1260" w:type="dxa"/>
            <w:vAlign w:val="center"/>
          </w:tcPr>
          <w:p w14:paraId="4582AE64">
            <w:pPr>
              <w:adjustRightInd w:val="0"/>
              <w:snapToGrid w:val="0"/>
              <w:spacing w:line="360" w:lineRule="auto"/>
              <w:jc w:val="center"/>
              <w:rPr>
                <w:rFonts w:hint="eastAsia" w:ascii="宋体" w:hAnsi="宋体"/>
                <w:sz w:val="22"/>
                <w:highlight w:val="none"/>
              </w:rPr>
            </w:pPr>
          </w:p>
        </w:tc>
        <w:tc>
          <w:tcPr>
            <w:tcW w:w="1061" w:type="dxa"/>
            <w:vAlign w:val="center"/>
          </w:tcPr>
          <w:p w14:paraId="3271F150">
            <w:pPr>
              <w:adjustRightInd w:val="0"/>
              <w:snapToGrid w:val="0"/>
              <w:spacing w:line="360" w:lineRule="auto"/>
              <w:jc w:val="center"/>
              <w:rPr>
                <w:rFonts w:hint="eastAsia" w:ascii="宋体" w:hAnsi="宋体"/>
                <w:sz w:val="22"/>
                <w:highlight w:val="none"/>
              </w:rPr>
            </w:pPr>
          </w:p>
        </w:tc>
        <w:tc>
          <w:tcPr>
            <w:tcW w:w="863" w:type="dxa"/>
            <w:vAlign w:val="center"/>
          </w:tcPr>
          <w:p w14:paraId="3C3BC054">
            <w:pPr>
              <w:adjustRightInd w:val="0"/>
              <w:snapToGrid w:val="0"/>
              <w:spacing w:line="360" w:lineRule="auto"/>
              <w:jc w:val="center"/>
              <w:rPr>
                <w:rFonts w:hint="eastAsia" w:ascii="宋体" w:hAnsi="宋体"/>
                <w:sz w:val="22"/>
                <w:highlight w:val="none"/>
              </w:rPr>
            </w:pPr>
          </w:p>
        </w:tc>
        <w:tc>
          <w:tcPr>
            <w:tcW w:w="937" w:type="dxa"/>
            <w:vAlign w:val="center"/>
          </w:tcPr>
          <w:p w14:paraId="4AE39794">
            <w:pPr>
              <w:adjustRightInd w:val="0"/>
              <w:snapToGrid w:val="0"/>
              <w:spacing w:line="360" w:lineRule="auto"/>
              <w:jc w:val="center"/>
              <w:rPr>
                <w:rFonts w:hint="eastAsia" w:ascii="宋体" w:hAnsi="宋体"/>
                <w:sz w:val="22"/>
                <w:highlight w:val="none"/>
              </w:rPr>
            </w:pPr>
          </w:p>
        </w:tc>
        <w:tc>
          <w:tcPr>
            <w:tcW w:w="1050" w:type="dxa"/>
            <w:vAlign w:val="center"/>
          </w:tcPr>
          <w:p w14:paraId="331D4E67">
            <w:pPr>
              <w:adjustRightInd w:val="0"/>
              <w:snapToGrid w:val="0"/>
              <w:spacing w:line="360" w:lineRule="auto"/>
              <w:jc w:val="center"/>
              <w:rPr>
                <w:rFonts w:hint="eastAsia" w:ascii="宋体" w:hAnsi="宋体"/>
                <w:sz w:val="22"/>
                <w:highlight w:val="none"/>
              </w:rPr>
            </w:pPr>
          </w:p>
        </w:tc>
        <w:tc>
          <w:tcPr>
            <w:tcW w:w="1175" w:type="dxa"/>
            <w:vAlign w:val="center"/>
          </w:tcPr>
          <w:p w14:paraId="20CA8811">
            <w:pPr>
              <w:adjustRightInd w:val="0"/>
              <w:snapToGrid w:val="0"/>
              <w:spacing w:line="360" w:lineRule="auto"/>
              <w:jc w:val="center"/>
              <w:rPr>
                <w:rFonts w:hint="eastAsia" w:ascii="宋体" w:hAnsi="宋体"/>
                <w:sz w:val="22"/>
                <w:highlight w:val="none"/>
              </w:rPr>
            </w:pPr>
          </w:p>
        </w:tc>
        <w:tc>
          <w:tcPr>
            <w:tcW w:w="954" w:type="dxa"/>
            <w:vAlign w:val="center"/>
          </w:tcPr>
          <w:p w14:paraId="18871FED">
            <w:pPr>
              <w:adjustRightInd w:val="0"/>
              <w:snapToGrid w:val="0"/>
              <w:spacing w:line="360" w:lineRule="auto"/>
              <w:jc w:val="center"/>
              <w:rPr>
                <w:rFonts w:hint="eastAsia" w:ascii="宋体" w:hAnsi="宋体"/>
                <w:sz w:val="22"/>
                <w:highlight w:val="none"/>
              </w:rPr>
            </w:pPr>
          </w:p>
        </w:tc>
      </w:tr>
      <w:tr w14:paraId="1FE05DC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435" w:hRule="atLeast"/>
          <w:jc w:val="center"/>
        </w:trPr>
        <w:tc>
          <w:tcPr>
            <w:tcW w:w="955" w:type="dxa"/>
            <w:vAlign w:val="center"/>
          </w:tcPr>
          <w:p w14:paraId="11ECF4D1">
            <w:pPr>
              <w:adjustRightInd w:val="0"/>
              <w:snapToGrid w:val="0"/>
              <w:spacing w:line="360" w:lineRule="auto"/>
              <w:jc w:val="center"/>
              <w:rPr>
                <w:rFonts w:hint="eastAsia" w:ascii="宋体" w:hAnsi="宋体"/>
                <w:sz w:val="22"/>
                <w:highlight w:val="none"/>
              </w:rPr>
            </w:pPr>
          </w:p>
        </w:tc>
        <w:tc>
          <w:tcPr>
            <w:tcW w:w="1260" w:type="dxa"/>
            <w:vAlign w:val="center"/>
          </w:tcPr>
          <w:p w14:paraId="771E83BA">
            <w:pPr>
              <w:adjustRightInd w:val="0"/>
              <w:snapToGrid w:val="0"/>
              <w:spacing w:line="360" w:lineRule="auto"/>
              <w:jc w:val="center"/>
              <w:rPr>
                <w:rFonts w:hint="eastAsia" w:ascii="宋体" w:hAnsi="宋体"/>
                <w:sz w:val="22"/>
                <w:highlight w:val="none"/>
              </w:rPr>
            </w:pPr>
          </w:p>
        </w:tc>
        <w:tc>
          <w:tcPr>
            <w:tcW w:w="1061" w:type="dxa"/>
            <w:vAlign w:val="center"/>
          </w:tcPr>
          <w:p w14:paraId="4DF943DC">
            <w:pPr>
              <w:adjustRightInd w:val="0"/>
              <w:snapToGrid w:val="0"/>
              <w:spacing w:line="360" w:lineRule="auto"/>
              <w:jc w:val="center"/>
              <w:rPr>
                <w:rFonts w:hint="eastAsia" w:ascii="宋体" w:hAnsi="宋体"/>
                <w:sz w:val="22"/>
                <w:highlight w:val="none"/>
              </w:rPr>
            </w:pPr>
          </w:p>
        </w:tc>
        <w:tc>
          <w:tcPr>
            <w:tcW w:w="863" w:type="dxa"/>
            <w:vAlign w:val="center"/>
          </w:tcPr>
          <w:p w14:paraId="79197FDE">
            <w:pPr>
              <w:adjustRightInd w:val="0"/>
              <w:snapToGrid w:val="0"/>
              <w:spacing w:line="360" w:lineRule="auto"/>
              <w:jc w:val="center"/>
              <w:rPr>
                <w:rFonts w:hint="eastAsia" w:ascii="宋体" w:hAnsi="宋体"/>
                <w:sz w:val="22"/>
                <w:highlight w:val="none"/>
              </w:rPr>
            </w:pPr>
          </w:p>
        </w:tc>
        <w:tc>
          <w:tcPr>
            <w:tcW w:w="937" w:type="dxa"/>
            <w:vAlign w:val="center"/>
          </w:tcPr>
          <w:p w14:paraId="77BB8789">
            <w:pPr>
              <w:adjustRightInd w:val="0"/>
              <w:snapToGrid w:val="0"/>
              <w:spacing w:line="360" w:lineRule="auto"/>
              <w:jc w:val="center"/>
              <w:rPr>
                <w:rFonts w:hint="eastAsia" w:ascii="宋体" w:hAnsi="宋体"/>
                <w:sz w:val="22"/>
                <w:highlight w:val="none"/>
              </w:rPr>
            </w:pPr>
          </w:p>
        </w:tc>
        <w:tc>
          <w:tcPr>
            <w:tcW w:w="1050" w:type="dxa"/>
            <w:vAlign w:val="center"/>
          </w:tcPr>
          <w:p w14:paraId="5F6A274F">
            <w:pPr>
              <w:adjustRightInd w:val="0"/>
              <w:snapToGrid w:val="0"/>
              <w:spacing w:line="360" w:lineRule="auto"/>
              <w:jc w:val="center"/>
              <w:rPr>
                <w:rFonts w:hint="eastAsia" w:ascii="宋体" w:hAnsi="宋体"/>
                <w:sz w:val="22"/>
                <w:highlight w:val="none"/>
              </w:rPr>
            </w:pPr>
          </w:p>
        </w:tc>
        <w:tc>
          <w:tcPr>
            <w:tcW w:w="1175" w:type="dxa"/>
            <w:vAlign w:val="center"/>
          </w:tcPr>
          <w:p w14:paraId="2A310336">
            <w:pPr>
              <w:adjustRightInd w:val="0"/>
              <w:snapToGrid w:val="0"/>
              <w:spacing w:line="360" w:lineRule="auto"/>
              <w:jc w:val="center"/>
              <w:rPr>
                <w:rFonts w:hint="eastAsia" w:ascii="宋体" w:hAnsi="宋体"/>
                <w:sz w:val="22"/>
                <w:highlight w:val="none"/>
              </w:rPr>
            </w:pPr>
          </w:p>
        </w:tc>
        <w:tc>
          <w:tcPr>
            <w:tcW w:w="954" w:type="dxa"/>
            <w:vAlign w:val="center"/>
          </w:tcPr>
          <w:p w14:paraId="2D653CAB">
            <w:pPr>
              <w:adjustRightInd w:val="0"/>
              <w:snapToGrid w:val="0"/>
              <w:spacing w:line="360" w:lineRule="auto"/>
              <w:jc w:val="center"/>
              <w:rPr>
                <w:rFonts w:hint="eastAsia" w:ascii="宋体" w:hAnsi="宋体"/>
                <w:sz w:val="22"/>
                <w:highlight w:val="none"/>
              </w:rPr>
            </w:pPr>
          </w:p>
        </w:tc>
      </w:tr>
      <w:tr w14:paraId="70047FA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435" w:hRule="atLeast"/>
          <w:jc w:val="center"/>
        </w:trPr>
        <w:tc>
          <w:tcPr>
            <w:tcW w:w="955" w:type="dxa"/>
            <w:vAlign w:val="center"/>
          </w:tcPr>
          <w:p w14:paraId="08628C52">
            <w:pPr>
              <w:adjustRightInd w:val="0"/>
              <w:snapToGrid w:val="0"/>
              <w:spacing w:line="360" w:lineRule="auto"/>
              <w:jc w:val="center"/>
              <w:rPr>
                <w:rFonts w:hint="eastAsia" w:ascii="宋体" w:hAnsi="宋体"/>
                <w:sz w:val="22"/>
                <w:highlight w:val="none"/>
              </w:rPr>
            </w:pPr>
          </w:p>
        </w:tc>
        <w:tc>
          <w:tcPr>
            <w:tcW w:w="1260" w:type="dxa"/>
            <w:vAlign w:val="center"/>
          </w:tcPr>
          <w:p w14:paraId="21F4A0EE">
            <w:pPr>
              <w:adjustRightInd w:val="0"/>
              <w:snapToGrid w:val="0"/>
              <w:spacing w:line="360" w:lineRule="auto"/>
              <w:jc w:val="center"/>
              <w:rPr>
                <w:rFonts w:hint="eastAsia" w:ascii="宋体" w:hAnsi="宋体"/>
                <w:sz w:val="22"/>
                <w:highlight w:val="none"/>
              </w:rPr>
            </w:pPr>
          </w:p>
        </w:tc>
        <w:tc>
          <w:tcPr>
            <w:tcW w:w="1061" w:type="dxa"/>
            <w:vAlign w:val="center"/>
          </w:tcPr>
          <w:p w14:paraId="78F5C8B6">
            <w:pPr>
              <w:adjustRightInd w:val="0"/>
              <w:snapToGrid w:val="0"/>
              <w:spacing w:line="360" w:lineRule="auto"/>
              <w:jc w:val="center"/>
              <w:rPr>
                <w:rFonts w:hint="eastAsia" w:ascii="宋体" w:hAnsi="宋体"/>
                <w:sz w:val="22"/>
                <w:highlight w:val="none"/>
              </w:rPr>
            </w:pPr>
          </w:p>
        </w:tc>
        <w:tc>
          <w:tcPr>
            <w:tcW w:w="863" w:type="dxa"/>
            <w:vAlign w:val="center"/>
          </w:tcPr>
          <w:p w14:paraId="7CF6042B">
            <w:pPr>
              <w:adjustRightInd w:val="0"/>
              <w:snapToGrid w:val="0"/>
              <w:spacing w:line="360" w:lineRule="auto"/>
              <w:jc w:val="center"/>
              <w:rPr>
                <w:rFonts w:hint="eastAsia" w:ascii="宋体" w:hAnsi="宋体"/>
                <w:sz w:val="22"/>
                <w:highlight w:val="none"/>
              </w:rPr>
            </w:pPr>
          </w:p>
        </w:tc>
        <w:tc>
          <w:tcPr>
            <w:tcW w:w="937" w:type="dxa"/>
            <w:vAlign w:val="center"/>
          </w:tcPr>
          <w:p w14:paraId="5F2AFCC6">
            <w:pPr>
              <w:adjustRightInd w:val="0"/>
              <w:snapToGrid w:val="0"/>
              <w:spacing w:line="360" w:lineRule="auto"/>
              <w:jc w:val="center"/>
              <w:rPr>
                <w:rFonts w:hint="eastAsia" w:ascii="宋体" w:hAnsi="宋体"/>
                <w:sz w:val="22"/>
                <w:highlight w:val="none"/>
              </w:rPr>
            </w:pPr>
          </w:p>
        </w:tc>
        <w:tc>
          <w:tcPr>
            <w:tcW w:w="1050" w:type="dxa"/>
            <w:vAlign w:val="center"/>
          </w:tcPr>
          <w:p w14:paraId="47C0CBA8">
            <w:pPr>
              <w:adjustRightInd w:val="0"/>
              <w:snapToGrid w:val="0"/>
              <w:spacing w:line="360" w:lineRule="auto"/>
              <w:jc w:val="center"/>
              <w:rPr>
                <w:rFonts w:hint="eastAsia" w:ascii="宋体" w:hAnsi="宋体"/>
                <w:sz w:val="22"/>
                <w:highlight w:val="none"/>
              </w:rPr>
            </w:pPr>
          </w:p>
        </w:tc>
        <w:tc>
          <w:tcPr>
            <w:tcW w:w="1175" w:type="dxa"/>
            <w:vAlign w:val="center"/>
          </w:tcPr>
          <w:p w14:paraId="42ADB1EA">
            <w:pPr>
              <w:adjustRightInd w:val="0"/>
              <w:snapToGrid w:val="0"/>
              <w:spacing w:line="360" w:lineRule="auto"/>
              <w:jc w:val="center"/>
              <w:rPr>
                <w:rFonts w:hint="eastAsia" w:ascii="宋体" w:hAnsi="宋体"/>
                <w:sz w:val="22"/>
                <w:highlight w:val="none"/>
              </w:rPr>
            </w:pPr>
          </w:p>
        </w:tc>
        <w:tc>
          <w:tcPr>
            <w:tcW w:w="954" w:type="dxa"/>
            <w:vAlign w:val="center"/>
          </w:tcPr>
          <w:p w14:paraId="1948CEBE">
            <w:pPr>
              <w:adjustRightInd w:val="0"/>
              <w:snapToGrid w:val="0"/>
              <w:spacing w:line="360" w:lineRule="auto"/>
              <w:jc w:val="center"/>
              <w:rPr>
                <w:rFonts w:hint="eastAsia" w:ascii="宋体" w:hAnsi="宋体"/>
                <w:sz w:val="22"/>
                <w:highlight w:val="none"/>
              </w:rPr>
            </w:pPr>
          </w:p>
        </w:tc>
      </w:tr>
      <w:tr w14:paraId="1AA6C13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435" w:hRule="atLeast"/>
          <w:jc w:val="center"/>
        </w:trPr>
        <w:tc>
          <w:tcPr>
            <w:tcW w:w="955" w:type="dxa"/>
            <w:vAlign w:val="center"/>
          </w:tcPr>
          <w:p w14:paraId="15AC5A4D">
            <w:pPr>
              <w:adjustRightInd w:val="0"/>
              <w:snapToGrid w:val="0"/>
              <w:spacing w:line="360" w:lineRule="auto"/>
              <w:jc w:val="center"/>
              <w:rPr>
                <w:rFonts w:hint="eastAsia" w:ascii="宋体" w:hAnsi="宋体"/>
                <w:sz w:val="22"/>
                <w:highlight w:val="none"/>
              </w:rPr>
            </w:pPr>
          </w:p>
        </w:tc>
        <w:tc>
          <w:tcPr>
            <w:tcW w:w="1260" w:type="dxa"/>
            <w:vAlign w:val="center"/>
          </w:tcPr>
          <w:p w14:paraId="15D41BA0">
            <w:pPr>
              <w:adjustRightInd w:val="0"/>
              <w:snapToGrid w:val="0"/>
              <w:spacing w:line="360" w:lineRule="auto"/>
              <w:jc w:val="center"/>
              <w:rPr>
                <w:rFonts w:hint="eastAsia" w:ascii="宋体" w:hAnsi="宋体"/>
                <w:sz w:val="22"/>
                <w:highlight w:val="none"/>
              </w:rPr>
            </w:pPr>
          </w:p>
        </w:tc>
        <w:tc>
          <w:tcPr>
            <w:tcW w:w="1061" w:type="dxa"/>
            <w:vAlign w:val="center"/>
          </w:tcPr>
          <w:p w14:paraId="125768A5">
            <w:pPr>
              <w:adjustRightInd w:val="0"/>
              <w:snapToGrid w:val="0"/>
              <w:spacing w:line="360" w:lineRule="auto"/>
              <w:jc w:val="center"/>
              <w:rPr>
                <w:rFonts w:hint="eastAsia" w:ascii="宋体" w:hAnsi="宋体"/>
                <w:sz w:val="22"/>
                <w:highlight w:val="none"/>
              </w:rPr>
            </w:pPr>
          </w:p>
        </w:tc>
        <w:tc>
          <w:tcPr>
            <w:tcW w:w="863" w:type="dxa"/>
            <w:vAlign w:val="center"/>
          </w:tcPr>
          <w:p w14:paraId="270B5425">
            <w:pPr>
              <w:adjustRightInd w:val="0"/>
              <w:snapToGrid w:val="0"/>
              <w:spacing w:line="360" w:lineRule="auto"/>
              <w:jc w:val="center"/>
              <w:rPr>
                <w:rFonts w:hint="eastAsia" w:ascii="宋体" w:hAnsi="宋体"/>
                <w:sz w:val="22"/>
                <w:highlight w:val="none"/>
              </w:rPr>
            </w:pPr>
          </w:p>
        </w:tc>
        <w:tc>
          <w:tcPr>
            <w:tcW w:w="937" w:type="dxa"/>
            <w:vAlign w:val="center"/>
          </w:tcPr>
          <w:p w14:paraId="72322A61">
            <w:pPr>
              <w:adjustRightInd w:val="0"/>
              <w:snapToGrid w:val="0"/>
              <w:spacing w:line="360" w:lineRule="auto"/>
              <w:jc w:val="center"/>
              <w:rPr>
                <w:rFonts w:hint="eastAsia" w:ascii="宋体" w:hAnsi="宋体"/>
                <w:sz w:val="22"/>
                <w:highlight w:val="none"/>
              </w:rPr>
            </w:pPr>
          </w:p>
        </w:tc>
        <w:tc>
          <w:tcPr>
            <w:tcW w:w="1050" w:type="dxa"/>
            <w:vAlign w:val="center"/>
          </w:tcPr>
          <w:p w14:paraId="12BD4878">
            <w:pPr>
              <w:adjustRightInd w:val="0"/>
              <w:snapToGrid w:val="0"/>
              <w:spacing w:line="360" w:lineRule="auto"/>
              <w:jc w:val="center"/>
              <w:rPr>
                <w:rFonts w:hint="eastAsia" w:ascii="宋体" w:hAnsi="宋体"/>
                <w:sz w:val="22"/>
                <w:highlight w:val="none"/>
              </w:rPr>
            </w:pPr>
          </w:p>
        </w:tc>
        <w:tc>
          <w:tcPr>
            <w:tcW w:w="1175" w:type="dxa"/>
            <w:vAlign w:val="center"/>
          </w:tcPr>
          <w:p w14:paraId="0FE107B2">
            <w:pPr>
              <w:adjustRightInd w:val="0"/>
              <w:snapToGrid w:val="0"/>
              <w:spacing w:line="360" w:lineRule="auto"/>
              <w:jc w:val="center"/>
              <w:rPr>
                <w:rFonts w:hint="eastAsia" w:ascii="宋体" w:hAnsi="宋体"/>
                <w:sz w:val="22"/>
                <w:highlight w:val="none"/>
              </w:rPr>
            </w:pPr>
          </w:p>
        </w:tc>
        <w:tc>
          <w:tcPr>
            <w:tcW w:w="954" w:type="dxa"/>
            <w:vAlign w:val="center"/>
          </w:tcPr>
          <w:p w14:paraId="0FAA966C">
            <w:pPr>
              <w:adjustRightInd w:val="0"/>
              <w:snapToGrid w:val="0"/>
              <w:spacing w:line="360" w:lineRule="auto"/>
              <w:jc w:val="center"/>
              <w:rPr>
                <w:rFonts w:hint="eastAsia" w:ascii="宋体" w:hAnsi="宋体"/>
                <w:sz w:val="22"/>
                <w:highlight w:val="none"/>
              </w:rPr>
            </w:pPr>
          </w:p>
        </w:tc>
      </w:tr>
      <w:tr w14:paraId="6108E1E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435" w:hRule="atLeast"/>
          <w:jc w:val="center"/>
        </w:trPr>
        <w:tc>
          <w:tcPr>
            <w:tcW w:w="955" w:type="dxa"/>
            <w:vAlign w:val="center"/>
          </w:tcPr>
          <w:p w14:paraId="7FCF8F6F">
            <w:pPr>
              <w:adjustRightInd w:val="0"/>
              <w:snapToGrid w:val="0"/>
              <w:spacing w:line="360" w:lineRule="auto"/>
              <w:jc w:val="center"/>
              <w:rPr>
                <w:rFonts w:hint="eastAsia" w:ascii="宋体" w:hAnsi="宋体"/>
                <w:sz w:val="22"/>
                <w:highlight w:val="none"/>
              </w:rPr>
            </w:pPr>
          </w:p>
        </w:tc>
        <w:tc>
          <w:tcPr>
            <w:tcW w:w="1260" w:type="dxa"/>
            <w:vAlign w:val="center"/>
          </w:tcPr>
          <w:p w14:paraId="14859E3C">
            <w:pPr>
              <w:adjustRightInd w:val="0"/>
              <w:snapToGrid w:val="0"/>
              <w:spacing w:line="360" w:lineRule="auto"/>
              <w:jc w:val="center"/>
              <w:rPr>
                <w:rFonts w:hint="eastAsia" w:ascii="宋体" w:hAnsi="宋体"/>
                <w:sz w:val="22"/>
                <w:highlight w:val="none"/>
              </w:rPr>
            </w:pPr>
          </w:p>
        </w:tc>
        <w:tc>
          <w:tcPr>
            <w:tcW w:w="1061" w:type="dxa"/>
            <w:vAlign w:val="center"/>
          </w:tcPr>
          <w:p w14:paraId="369D5B80">
            <w:pPr>
              <w:adjustRightInd w:val="0"/>
              <w:snapToGrid w:val="0"/>
              <w:spacing w:line="360" w:lineRule="auto"/>
              <w:jc w:val="center"/>
              <w:rPr>
                <w:rFonts w:hint="eastAsia" w:ascii="宋体" w:hAnsi="宋体"/>
                <w:sz w:val="22"/>
                <w:highlight w:val="none"/>
              </w:rPr>
            </w:pPr>
          </w:p>
        </w:tc>
        <w:tc>
          <w:tcPr>
            <w:tcW w:w="863" w:type="dxa"/>
            <w:vAlign w:val="center"/>
          </w:tcPr>
          <w:p w14:paraId="445B2159">
            <w:pPr>
              <w:adjustRightInd w:val="0"/>
              <w:snapToGrid w:val="0"/>
              <w:spacing w:line="360" w:lineRule="auto"/>
              <w:jc w:val="center"/>
              <w:rPr>
                <w:rFonts w:hint="eastAsia" w:ascii="宋体" w:hAnsi="宋体"/>
                <w:sz w:val="22"/>
                <w:highlight w:val="none"/>
              </w:rPr>
            </w:pPr>
          </w:p>
        </w:tc>
        <w:tc>
          <w:tcPr>
            <w:tcW w:w="937" w:type="dxa"/>
            <w:vAlign w:val="center"/>
          </w:tcPr>
          <w:p w14:paraId="7B76DCBB">
            <w:pPr>
              <w:adjustRightInd w:val="0"/>
              <w:snapToGrid w:val="0"/>
              <w:spacing w:line="360" w:lineRule="auto"/>
              <w:jc w:val="center"/>
              <w:rPr>
                <w:rFonts w:hint="eastAsia" w:ascii="宋体" w:hAnsi="宋体"/>
                <w:sz w:val="22"/>
                <w:highlight w:val="none"/>
              </w:rPr>
            </w:pPr>
          </w:p>
        </w:tc>
        <w:tc>
          <w:tcPr>
            <w:tcW w:w="1050" w:type="dxa"/>
            <w:vAlign w:val="center"/>
          </w:tcPr>
          <w:p w14:paraId="2AAB0983">
            <w:pPr>
              <w:adjustRightInd w:val="0"/>
              <w:snapToGrid w:val="0"/>
              <w:spacing w:line="360" w:lineRule="auto"/>
              <w:jc w:val="center"/>
              <w:rPr>
                <w:rFonts w:hint="eastAsia" w:ascii="宋体" w:hAnsi="宋体"/>
                <w:sz w:val="22"/>
                <w:highlight w:val="none"/>
              </w:rPr>
            </w:pPr>
          </w:p>
        </w:tc>
        <w:tc>
          <w:tcPr>
            <w:tcW w:w="1175" w:type="dxa"/>
            <w:vAlign w:val="center"/>
          </w:tcPr>
          <w:p w14:paraId="16BDA410">
            <w:pPr>
              <w:adjustRightInd w:val="0"/>
              <w:snapToGrid w:val="0"/>
              <w:spacing w:line="360" w:lineRule="auto"/>
              <w:jc w:val="center"/>
              <w:rPr>
                <w:rFonts w:hint="eastAsia" w:ascii="宋体" w:hAnsi="宋体"/>
                <w:sz w:val="22"/>
                <w:highlight w:val="none"/>
              </w:rPr>
            </w:pPr>
          </w:p>
        </w:tc>
        <w:tc>
          <w:tcPr>
            <w:tcW w:w="954" w:type="dxa"/>
            <w:vAlign w:val="center"/>
          </w:tcPr>
          <w:p w14:paraId="05D61B05">
            <w:pPr>
              <w:adjustRightInd w:val="0"/>
              <w:snapToGrid w:val="0"/>
              <w:spacing w:line="360" w:lineRule="auto"/>
              <w:jc w:val="center"/>
              <w:rPr>
                <w:rFonts w:hint="eastAsia" w:ascii="宋体" w:hAnsi="宋体"/>
                <w:sz w:val="22"/>
                <w:highlight w:val="none"/>
              </w:rPr>
            </w:pPr>
          </w:p>
        </w:tc>
      </w:tr>
      <w:tr w14:paraId="48EF672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435" w:hRule="atLeast"/>
          <w:jc w:val="center"/>
        </w:trPr>
        <w:tc>
          <w:tcPr>
            <w:tcW w:w="955" w:type="dxa"/>
            <w:vAlign w:val="center"/>
          </w:tcPr>
          <w:p w14:paraId="5D020E80">
            <w:pPr>
              <w:adjustRightInd w:val="0"/>
              <w:snapToGrid w:val="0"/>
              <w:spacing w:line="360" w:lineRule="auto"/>
              <w:jc w:val="center"/>
              <w:rPr>
                <w:rFonts w:hint="eastAsia" w:ascii="宋体" w:hAnsi="宋体"/>
                <w:sz w:val="22"/>
                <w:highlight w:val="none"/>
              </w:rPr>
            </w:pPr>
          </w:p>
        </w:tc>
        <w:tc>
          <w:tcPr>
            <w:tcW w:w="1260" w:type="dxa"/>
            <w:vAlign w:val="center"/>
          </w:tcPr>
          <w:p w14:paraId="0F372121">
            <w:pPr>
              <w:adjustRightInd w:val="0"/>
              <w:snapToGrid w:val="0"/>
              <w:spacing w:line="360" w:lineRule="auto"/>
              <w:jc w:val="center"/>
              <w:rPr>
                <w:rFonts w:hint="eastAsia" w:ascii="宋体" w:hAnsi="宋体"/>
                <w:sz w:val="22"/>
                <w:highlight w:val="none"/>
              </w:rPr>
            </w:pPr>
          </w:p>
        </w:tc>
        <w:tc>
          <w:tcPr>
            <w:tcW w:w="1061" w:type="dxa"/>
            <w:vAlign w:val="center"/>
          </w:tcPr>
          <w:p w14:paraId="7AEC2D24">
            <w:pPr>
              <w:adjustRightInd w:val="0"/>
              <w:snapToGrid w:val="0"/>
              <w:spacing w:line="360" w:lineRule="auto"/>
              <w:jc w:val="center"/>
              <w:rPr>
                <w:rFonts w:hint="eastAsia" w:ascii="宋体" w:hAnsi="宋体"/>
                <w:sz w:val="22"/>
                <w:highlight w:val="none"/>
              </w:rPr>
            </w:pPr>
          </w:p>
        </w:tc>
        <w:tc>
          <w:tcPr>
            <w:tcW w:w="863" w:type="dxa"/>
            <w:vAlign w:val="center"/>
          </w:tcPr>
          <w:p w14:paraId="40DBB287">
            <w:pPr>
              <w:adjustRightInd w:val="0"/>
              <w:snapToGrid w:val="0"/>
              <w:spacing w:line="360" w:lineRule="auto"/>
              <w:jc w:val="center"/>
              <w:rPr>
                <w:rFonts w:hint="eastAsia" w:ascii="宋体" w:hAnsi="宋体"/>
                <w:sz w:val="22"/>
                <w:highlight w:val="none"/>
              </w:rPr>
            </w:pPr>
          </w:p>
        </w:tc>
        <w:tc>
          <w:tcPr>
            <w:tcW w:w="937" w:type="dxa"/>
            <w:vAlign w:val="center"/>
          </w:tcPr>
          <w:p w14:paraId="1C0E657E">
            <w:pPr>
              <w:adjustRightInd w:val="0"/>
              <w:snapToGrid w:val="0"/>
              <w:spacing w:line="360" w:lineRule="auto"/>
              <w:jc w:val="center"/>
              <w:rPr>
                <w:rFonts w:hint="eastAsia" w:ascii="宋体" w:hAnsi="宋体"/>
                <w:sz w:val="22"/>
                <w:highlight w:val="none"/>
              </w:rPr>
            </w:pPr>
          </w:p>
        </w:tc>
        <w:tc>
          <w:tcPr>
            <w:tcW w:w="1050" w:type="dxa"/>
            <w:vAlign w:val="center"/>
          </w:tcPr>
          <w:p w14:paraId="25E85461">
            <w:pPr>
              <w:adjustRightInd w:val="0"/>
              <w:snapToGrid w:val="0"/>
              <w:spacing w:line="360" w:lineRule="auto"/>
              <w:jc w:val="center"/>
              <w:rPr>
                <w:rFonts w:hint="eastAsia" w:ascii="宋体" w:hAnsi="宋体"/>
                <w:sz w:val="22"/>
                <w:highlight w:val="none"/>
              </w:rPr>
            </w:pPr>
          </w:p>
        </w:tc>
        <w:tc>
          <w:tcPr>
            <w:tcW w:w="1175" w:type="dxa"/>
            <w:vAlign w:val="center"/>
          </w:tcPr>
          <w:p w14:paraId="3A55BCF2">
            <w:pPr>
              <w:adjustRightInd w:val="0"/>
              <w:snapToGrid w:val="0"/>
              <w:spacing w:line="360" w:lineRule="auto"/>
              <w:jc w:val="center"/>
              <w:rPr>
                <w:rFonts w:hint="eastAsia" w:ascii="宋体" w:hAnsi="宋体"/>
                <w:sz w:val="22"/>
                <w:highlight w:val="none"/>
              </w:rPr>
            </w:pPr>
          </w:p>
        </w:tc>
        <w:tc>
          <w:tcPr>
            <w:tcW w:w="954" w:type="dxa"/>
            <w:vAlign w:val="center"/>
          </w:tcPr>
          <w:p w14:paraId="7F5A0E18">
            <w:pPr>
              <w:adjustRightInd w:val="0"/>
              <w:snapToGrid w:val="0"/>
              <w:spacing w:line="360" w:lineRule="auto"/>
              <w:jc w:val="center"/>
              <w:rPr>
                <w:rFonts w:hint="eastAsia" w:ascii="宋体" w:hAnsi="宋体"/>
                <w:sz w:val="22"/>
                <w:highlight w:val="none"/>
              </w:rPr>
            </w:pPr>
          </w:p>
        </w:tc>
      </w:tr>
      <w:tr w14:paraId="247ABAF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435" w:hRule="atLeast"/>
          <w:jc w:val="center"/>
        </w:trPr>
        <w:tc>
          <w:tcPr>
            <w:tcW w:w="955" w:type="dxa"/>
            <w:vAlign w:val="center"/>
          </w:tcPr>
          <w:p w14:paraId="0E6FADF3">
            <w:pPr>
              <w:adjustRightInd w:val="0"/>
              <w:snapToGrid w:val="0"/>
              <w:spacing w:line="360" w:lineRule="auto"/>
              <w:jc w:val="center"/>
              <w:rPr>
                <w:rFonts w:hint="eastAsia" w:ascii="宋体" w:hAnsi="宋体"/>
                <w:sz w:val="22"/>
                <w:highlight w:val="none"/>
              </w:rPr>
            </w:pPr>
          </w:p>
        </w:tc>
        <w:tc>
          <w:tcPr>
            <w:tcW w:w="1260" w:type="dxa"/>
            <w:vAlign w:val="center"/>
          </w:tcPr>
          <w:p w14:paraId="30E3CFD3">
            <w:pPr>
              <w:adjustRightInd w:val="0"/>
              <w:snapToGrid w:val="0"/>
              <w:spacing w:line="360" w:lineRule="auto"/>
              <w:jc w:val="center"/>
              <w:rPr>
                <w:rFonts w:hint="eastAsia" w:ascii="宋体" w:hAnsi="宋体"/>
                <w:sz w:val="22"/>
                <w:highlight w:val="none"/>
              </w:rPr>
            </w:pPr>
          </w:p>
        </w:tc>
        <w:tc>
          <w:tcPr>
            <w:tcW w:w="1061" w:type="dxa"/>
            <w:vAlign w:val="center"/>
          </w:tcPr>
          <w:p w14:paraId="201F66EF">
            <w:pPr>
              <w:adjustRightInd w:val="0"/>
              <w:snapToGrid w:val="0"/>
              <w:spacing w:line="360" w:lineRule="auto"/>
              <w:jc w:val="center"/>
              <w:rPr>
                <w:rFonts w:hint="eastAsia" w:ascii="宋体" w:hAnsi="宋体"/>
                <w:sz w:val="22"/>
                <w:highlight w:val="none"/>
              </w:rPr>
            </w:pPr>
          </w:p>
        </w:tc>
        <w:tc>
          <w:tcPr>
            <w:tcW w:w="863" w:type="dxa"/>
            <w:vAlign w:val="center"/>
          </w:tcPr>
          <w:p w14:paraId="3544599F">
            <w:pPr>
              <w:adjustRightInd w:val="0"/>
              <w:snapToGrid w:val="0"/>
              <w:spacing w:line="360" w:lineRule="auto"/>
              <w:jc w:val="center"/>
              <w:rPr>
                <w:rFonts w:hint="eastAsia" w:ascii="宋体" w:hAnsi="宋体"/>
                <w:sz w:val="22"/>
                <w:highlight w:val="none"/>
              </w:rPr>
            </w:pPr>
          </w:p>
        </w:tc>
        <w:tc>
          <w:tcPr>
            <w:tcW w:w="937" w:type="dxa"/>
            <w:vAlign w:val="center"/>
          </w:tcPr>
          <w:p w14:paraId="04D50BB1">
            <w:pPr>
              <w:adjustRightInd w:val="0"/>
              <w:snapToGrid w:val="0"/>
              <w:spacing w:line="360" w:lineRule="auto"/>
              <w:jc w:val="center"/>
              <w:rPr>
                <w:rFonts w:hint="eastAsia" w:ascii="宋体" w:hAnsi="宋体"/>
                <w:sz w:val="22"/>
                <w:highlight w:val="none"/>
              </w:rPr>
            </w:pPr>
          </w:p>
        </w:tc>
        <w:tc>
          <w:tcPr>
            <w:tcW w:w="1050" w:type="dxa"/>
            <w:vAlign w:val="center"/>
          </w:tcPr>
          <w:p w14:paraId="1DF2B1DB">
            <w:pPr>
              <w:adjustRightInd w:val="0"/>
              <w:snapToGrid w:val="0"/>
              <w:spacing w:line="360" w:lineRule="auto"/>
              <w:jc w:val="center"/>
              <w:rPr>
                <w:rFonts w:hint="eastAsia" w:ascii="宋体" w:hAnsi="宋体"/>
                <w:sz w:val="22"/>
                <w:highlight w:val="none"/>
              </w:rPr>
            </w:pPr>
          </w:p>
        </w:tc>
        <w:tc>
          <w:tcPr>
            <w:tcW w:w="1175" w:type="dxa"/>
            <w:vAlign w:val="center"/>
          </w:tcPr>
          <w:p w14:paraId="31338DCB">
            <w:pPr>
              <w:adjustRightInd w:val="0"/>
              <w:snapToGrid w:val="0"/>
              <w:spacing w:line="360" w:lineRule="auto"/>
              <w:jc w:val="center"/>
              <w:rPr>
                <w:rFonts w:hint="eastAsia" w:ascii="宋体" w:hAnsi="宋体"/>
                <w:sz w:val="22"/>
                <w:highlight w:val="none"/>
              </w:rPr>
            </w:pPr>
          </w:p>
        </w:tc>
        <w:tc>
          <w:tcPr>
            <w:tcW w:w="954" w:type="dxa"/>
            <w:vAlign w:val="center"/>
          </w:tcPr>
          <w:p w14:paraId="4BF75933">
            <w:pPr>
              <w:adjustRightInd w:val="0"/>
              <w:snapToGrid w:val="0"/>
              <w:spacing w:line="360" w:lineRule="auto"/>
              <w:jc w:val="center"/>
              <w:rPr>
                <w:rFonts w:hint="eastAsia" w:ascii="宋体" w:hAnsi="宋体"/>
                <w:sz w:val="22"/>
                <w:highlight w:val="none"/>
              </w:rPr>
            </w:pPr>
          </w:p>
        </w:tc>
      </w:tr>
      <w:tr w14:paraId="5A1A6F2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435" w:hRule="atLeast"/>
          <w:jc w:val="center"/>
        </w:trPr>
        <w:tc>
          <w:tcPr>
            <w:tcW w:w="955" w:type="dxa"/>
            <w:vAlign w:val="center"/>
          </w:tcPr>
          <w:p w14:paraId="607BA79B">
            <w:pPr>
              <w:adjustRightInd w:val="0"/>
              <w:snapToGrid w:val="0"/>
              <w:spacing w:line="360" w:lineRule="auto"/>
              <w:jc w:val="center"/>
              <w:rPr>
                <w:rFonts w:hint="eastAsia" w:ascii="宋体" w:hAnsi="宋体"/>
                <w:sz w:val="22"/>
                <w:highlight w:val="none"/>
              </w:rPr>
            </w:pPr>
          </w:p>
        </w:tc>
        <w:tc>
          <w:tcPr>
            <w:tcW w:w="1260" w:type="dxa"/>
            <w:vAlign w:val="center"/>
          </w:tcPr>
          <w:p w14:paraId="7E4F027F">
            <w:pPr>
              <w:adjustRightInd w:val="0"/>
              <w:snapToGrid w:val="0"/>
              <w:spacing w:line="360" w:lineRule="auto"/>
              <w:jc w:val="center"/>
              <w:rPr>
                <w:rFonts w:hint="eastAsia" w:ascii="宋体" w:hAnsi="宋体"/>
                <w:sz w:val="22"/>
                <w:highlight w:val="none"/>
              </w:rPr>
            </w:pPr>
          </w:p>
        </w:tc>
        <w:tc>
          <w:tcPr>
            <w:tcW w:w="1061" w:type="dxa"/>
            <w:vAlign w:val="center"/>
          </w:tcPr>
          <w:p w14:paraId="73D1478C">
            <w:pPr>
              <w:adjustRightInd w:val="0"/>
              <w:snapToGrid w:val="0"/>
              <w:spacing w:line="360" w:lineRule="auto"/>
              <w:jc w:val="center"/>
              <w:rPr>
                <w:rFonts w:hint="eastAsia" w:ascii="宋体" w:hAnsi="宋体"/>
                <w:sz w:val="22"/>
                <w:highlight w:val="none"/>
              </w:rPr>
            </w:pPr>
          </w:p>
        </w:tc>
        <w:tc>
          <w:tcPr>
            <w:tcW w:w="863" w:type="dxa"/>
            <w:vAlign w:val="center"/>
          </w:tcPr>
          <w:p w14:paraId="0B4DC472">
            <w:pPr>
              <w:adjustRightInd w:val="0"/>
              <w:snapToGrid w:val="0"/>
              <w:spacing w:line="360" w:lineRule="auto"/>
              <w:jc w:val="center"/>
              <w:rPr>
                <w:rFonts w:hint="eastAsia" w:ascii="宋体" w:hAnsi="宋体"/>
                <w:sz w:val="22"/>
                <w:highlight w:val="none"/>
              </w:rPr>
            </w:pPr>
          </w:p>
        </w:tc>
        <w:tc>
          <w:tcPr>
            <w:tcW w:w="937" w:type="dxa"/>
            <w:vAlign w:val="center"/>
          </w:tcPr>
          <w:p w14:paraId="6D28BCE5">
            <w:pPr>
              <w:adjustRightInd w:val="0"/>
              <w:snapToGrid w:val="0"/>
              <w:spacing w:line="360" w:lineRule="auto"/>
              <w:jc w:val="center"/>
              <w:rPr>
                <w:rFonts w:hint="eastAsia" w:ascii="宋体" w:hAnsi="宋体"/>
                <w:sz w:val="22"/>
                <w:highlight w:val="none"/>
              </w:rPr>
            </w:pPr>
          </w:p>
        </w:tc>
        <w:tc>
          <w:tcPr>
            <w:tcW w:w="1050" w:type="dxa"/>
            <w:vAlign w:val="center"/>
          </w:tcPr>
          <w:p w14:paraId="2EC6AB53">
            <w:pPr>
              <w:adjustRightInd w:val="0"/>
              <w:snapToGrid w:val="0"/>
              <w:spacing w:line="360" w:lineRule="auto"/>
              <w:jc w:val="center"/>
              <w:rPr>
                <w:rFonts w:hint="eastAsia" w:ascii="宋体" w:hAnsi="宋体"/>
                <w:sz w:val="22"/>
                <w:highlight w:val="none"/>
              </w:rPr>
            </w:pPr>
          </w:p>
        </w:tc>
        <w:tc>
          <w:tcPr>
            <w:tcW w:w="1175" w:type="dxa"/>
            <w:vAlign w:val="center"/>
          </w:tcPr>
          <w:p w14:paraId="01377841">
            <w:pPr>
              <w:adjustRightInd w:val="0"/>
              <w:snapToGrid w:val="0"/>
              <w:spacing w:line="360" w:lineRule="auto"/>
              <w:jc w:val="center"/>
              <w:rPr>
                <w:rFonts w:hint="eastAsia" w:ascii="宋体" w:hAnsi="宋体"/>
                <w:sz w:val="22"/>
                <w:highlight w:val="none"/>
              </w:rPr>
            </w:pPr>
          </w:p>
        </w:tc>
        <w:tc>
          <w:tcPr>
            <w:tcW w:w="954" w:type="dxa"/>
            <w:vAlign w:val="center"/>
          </w:tcPr>
          <w:p w14:paraId="3423B168">
            <w:pPr>
              <w:adjustRightInd w:val="0"/>
              <w:snapToGrid w:val="0"/>
              <w:spacing w:line="360" w:lineRule="auto"/>
              <w:jc w:val="center"/>
              <w:rPr>
                <w:rFonts w:hint="eastAsia" w:ascii="宋体" w:hAnsi="宋体"/>
                <w:sz w:val="22"/>
                <w:highlight w:val="none"/>
              </w:rPr>
            </w:pPr>
          </w:p>
        </w:tc>
      </w:tr>
      <w:tr w14:paraId="70611BE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435" w:hRule="atLeast"/>
          <w:jc w:val="center"/>
        </w:trPr>
        <w:tc>
          <w:tcPr>
            <w:tcW w:w="955" w:type="dxa"/>
            <w:vAlign w:val="center"/>
          </w:tcPr>
          <w:p w14:paraId="7756ECCF">
            <w:pPr>
              <w:adjustRightInd w:val="0"/>
              <w:snapToGrid w:val="0"/>
              <w:spacing w:line="360" w:lineRule="auto"/>
              <w:jc w:val="center"/>
              <w:rPr>
                <w:rFonts w:hint="eastAsia" w:ascii="宋体" w:hAnsi="宋体"/>
                <w:sz w:val="22"/>
                <w:highlight w:val="none"/>
              </w:rPr>
            </w:pPr>
          </w:p>
        </w:tc>
        <w:tc>
          <w:tcPr>
            <w:tcW w:w="1260" w:type="dxa"/>
            <w:vAlign w:val="center"/>
          </w:tcPr>
          <w:p w14:paraId="3952C16C">
            <w:pPr>
              <w:adjustRightInd w:val="0"/>
              <w:snapToGrid w:val="0"/>
              <w:spacing w:line="360" w:lineRule="auto"/>
              <w:jc w:val="center"/>
              <w:rPr>
                <w:rFonts w:hint="eastAsia" w:ascii="宋体" w:hAnsi="宋体"/>
                <w:sz w:val="22"/>
                <w:highlight w:val="none"/>
              </w:rPr>
            </w:pPr>
          </w:p>
        </w:tc>
        <w:tc>
          <w:tcPr>
            <w:tcW w:w="1061" w:type="dxa"/>
            <w:vAlign w:val="center"/>
          </w:tcPr>
          <w:p w14:paraId="15A53B34">
            <w:pPr>
              <w:adjustRightInd w:val="0"/>
              <w:snapToGrid w:val="0"/>
              <w:spacing w:line="360" w:lineRule="auto"/>
              <w:jc w:val="center"/>
              <w:rPr>
                <w:rFonts w:hint="eastAsia" w:ascii="宋体" w:hAnsi="宋体"/>
                <w:sz w:val="22"/>
                <w:highlight w:val="none"/>
              </w:rPr>
            </w:pPr>
          </w:p>
        </w:tc>
        <w:tc>
          <w:tcPr>
            <w:tcW w:w="863" w:type="dxa"/>
            <w:vAlign w:val="center"/>
          </w:tcPr>
          <w:p w14:paraId="64CAD0B3">
            <w:pPr>
              <w:adjustRightInd w:val="0"/>
              <w:snapToGrid w:val="0"/>
              <w:spacing w:line="360" w:lineRule="auto"/>
              <w:jc w:val="center"/>
              <w:rPr>
                <w:rFonts w:hint="eastAsia" w:ascii="宋体" w:hAnsi="宋体"/>
                <w:sz w:val="22"/>
                <w:highlight w:val="none"/>
              </w:rPr>
            </w:pPr>
          </w:p>
        </w:tc>
        <w:tc>
          <w:tcPr>
            <w:tcW w:w="937" w:type="dxa"/>
            <w:vAlign w:val="center"/>
          </w:tcPr>
          <w:p w14:paraId="0769617B">
            <w:pPr>
              <w:adjustRightInd w:val="0"/>
              <w:snapToGrid w:val="0"/>
              <w:spacing w:line="360" w:lineRule="auto"/>
              <w:jc w:val="center"/>
              <w:rPr>
                <w:rFonts w:hint="eastAsia" w:ascii="宋体" w:hAnsi="宋体"/>
                <w:sz w:val="22"/>
                <w:highlight w:val="none"/>
              </w:rPr>
            </w:pPr>
          </w:p>
        </w:tc>
        <w:tc>
          <w:tcPr>
            <w:tcW w:w="1050" w:type="dxa"/>
            <w:vAlign w:val="center"/>
          </w:tcPr>
          <w:p w14:paraId="486AF8BB">
            <w:pPr>
              <w:adjustRightInd w:val="0"/>
              <w:snapToGrid w:val="0"/>
              <w:spacing w:line="360" w:lineRule="auto"/>
              <w:jc w:val="center"/>
              <w:rPr>
                <w:rFonts w:hint="eastAsia" w:ascii="宋体" w:hAnsi="宋体"/>
                <w:sz w:val="22"/>
                <w:highlight w:val="none"/>
              </w:rPr>
            </w:pPr>
          </w:p>
        </w:tc>
        <w:tc>
          <w:tcPr>
            <w:tcW w:w="1175" w:type="dxa"/>
            <w:vAlign w:val="center"/>
          </w:tcPr>
          <w:p w14:paraId="2ABA1250">
            <w:pPr>
              <w:adjustRightInd w:val="0"/>
              <w:snapToGrid w:val="0"/>
              <w:spacing w:line="360" w:lineRule="auto"/>
              <w:jc w:val="center"/>
              <w:rPr>
                <w:rFonts w:hint="eastAsia" w:ascii="宋体" w:hAnsi="宋体"/>
                <w:sz w:val="22"/>
                <w:highlight w:val="none"/>
              </w:rPr>
            </w:pPr>
          </w:p>
        </w:tc>
        <w:tc>
          <w:tcPr>
            <w:tcW w:w="954" w:type="dxa"/>
            <w:vAlign w:val="center"/>
          </w:tcPr>
          <w:p w14:paraId="6118CD57">
            <w:pPr>
              <w:adjustRightInd w:val="0"/>
              <w:snapToGrid w:val="0"/>
              <w:spacing w:line="360" w:lineRule="auto"/>
              <w:jc w:val="center"/>
              <w:rPr>
                <w:rFonts w:hint="eastAsia" w:ascii="宋体" w:hAnsi="宋体"/>
                <w:sz w:val="22"/>
                <w:highlight w:val="none"/>
              </w:rPr>
            </w:pPr>
          </w:p>
        </w:tc>
      </w:tr>
      <w:tr w14:paraId="3B8BA43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435" w:hRule="atLeast"/>
          <w:jc w:val="center"/>
        </w:trPr>
        <w:tc>
          <w:tcPr>
            <w:tcW w:w="955" w:type="dxa"/>
            <w:vAlign w:val="center"/>
          </w:tcPr>
          <w:p w14:paraId="32541567">
            <w:pPr>
              <w:adjustRightInd w:val="0"/>
              <w:snapToGrid w:val="0"/>
              <w:spacing w:line="360" w:lineRule="auto"/>
              <w:jc w:val="center"/>
              <w:rPr>
                <w:rFonts w:hint="eastAsia" w:ascii="宋体" w:hAnsi="宋体"/>
                <w:sz w:val="22"/>
                <w:highlight w:val="none"/>
              </w:rPr>
            </w:pPr>
          </w:p>
        </w:tc>
        <w:tc>
          <w:tcPr>
            <w:tcW w:w="1260" w:type="dxa"/>
            <w:vAlign w:val="center"/>
          </w:tcPr>
          <w:p w14:paraId="7F4BBE1A">
            <w:pPr>
              <w:adjustRightInd w:val="0"/>
              <w:snapToGrid w:val="0"/>
              <w:spacing w:line="360" w:lineRule="auto"/>
              <w:jc w:val="center"/>
              <w:rPr>
                <w:rFonts w:hint="eastAsia" w:ascii="宋体" w:hAnsi="宋体"/>
                <w:sz w:val="22"/>
                <w:highlight w:val="none"/>
              </w:rPr>
            </w:pPr>
          </w:p>
        </w:tc>
        <w:tc>
          <w:tcPr>
            <w:tcW w:w="1061" w:type="dxa"/>
            <w:vAlign w:val="center"/>
          </w:tcPr>
          <w:p w14:paraId="4A796E25">
            <w:pPr>
              <w:adjustRightInd w:val="0"/>
              <w:snapToGrid w:val="0"/>
              <w:spacing w:line="360" w:lineRule="auto"/>
              <w:jc w:val="center"/>
              <w:rPr>
                <w:rFonts w:hint="eastAsia" w:ascii="宋体" w:hAnsi="宋体"/>
                <w:sz w:val="22"/>
                <w:highlight w:val="none"/>
              </w:rPr>
            </w:pPr>
          </w:p>
        </w:tc>
        <w:tc>
          <w:tcPr>
            <w:tcW w:w="863" w:type="dxa"/>
            <w:vAlign w:val="center"/>
          </w:tcPr>
          <w:p w14:paraId="00E397E0">
            <w:pPr>
              <w:adjustRightInd w:val="0"/>
              <w:snapToGrid w:val="0"/>
              <w:spacing w:line="360" w:lineRule="auto"/>
              <w:jc w:val="center"/>
              <w:rPr>
                <w:rFonts w:hint="eastAsia" w:ascii="宋体" w:hAnsi="宋体"/>
                <w:sz w:val="22"/>
                <w:highlight w:val="none"/>
              </w:rPr>
            </w:pPr>
          </w:p>
        </w:tc>
        <w:tc>
          <w:tcPr>
            <w:tcW w:w="937" w:type="dxa"/>
            <w:vAlign w:val="center"/>
          </w:tcPr>
          <w:p w14:paraId="7BA10E8D">
            <w:pPr>
              <w:adjustRightInd w:val="0"/>
              <w:snapToGrid w:val="0"/>
              <w:spacing w:line="360" w:lineRule="auto"/>
              <w:jc w:val="center"/>
              <w:rPr>
                <w:rFonts w:hint="eastAsia" w:ascii="宋体" w:hAnsi="宋体"/>
                <w:sz w:val="22"/>
                <w:highlight w:val="none"/>
              </w:rPr>
            </w:pPr>
          </w:p>
        </w:tc>
        <w:tc>
          <w:tcPr>
            <w:tcW w:w="1050" w:type="dxa"/>
            <w:vAlign w:val="center"/>
          </w:tcPr>
          <w:p w14:paraId="29AA37E4">
            <w:pPr>
              <w:adjustRightInd w:val="0"/>
              <w:snapToGrid w:val="0"/>
              <w:spacing w:line="360" w:lineRule="auto"/>
              <w:jc w:val="center"/>
              <w:rPr>
                <w:rFonts w:hint="eastAsia" w:ascii="宋体" w:hAnsi="宋体"/>
                <w:sz w:val="22"/>
                <w:highlight w:val="none"/>
              </w:rPr>
            </w:pPr>
          </w:p>
        </w:tc>
        <w:tc>
          <w:tcPr>
            <w:tcW w:w="1175" w:type="dxa"/>
            <w:vAlign w:val="center"/>
          </w:tcPr>
          <w:p w14:paraId="5064A7D0">
            <w:pPr>
              <w:adjustRightInd w:val="0"/>
              <w:snapToGrid w:val="0"/>
              <w:spacing w:line="360" w:lineRule="auto"/>
              <w:jc w:val="center"/>
              <w:rPr>
                <w:rFonts w:hint="eastAsia" w:ascii="宋体" w:hAnsi="宋体"/>
                <w:sz w:val="22"/>
                <w:highlight w:val="none"/>
              </w:rPr>
            </w:pPr>
          </w:p>
        </w:tc>
        <w:tc>
          <w:tcPr>
            <w:tcW w:w="954" w:type="dxa"/>
            <w:vAlign w:val="center"/>
          </w:tcPr>
          <w:p w14:paraId="0E41A809">
            <w:pPr>
              <w:adjustRightInd w:val="0"/>
              <w:snapToGrid w:val="0"/>
              <w:spacing w:line="360" w:lineRule="auto"/>
              <w:jc w:val="center"/>
              <w:rPr>
                <w:rFonts w:hint="eastAsia" w:ascii="宋体" w:hAnsi="宋体"/>
                <w:sz w:val="22"/>
                <w:highlight w:val="none"/>
              </w:rPr>
            </w:pPr>
          </w:p>
        </w:tc>
      </w:tr>
      <w:tr w14:paraId="334A99E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435" w:hRule="atLeast"/>
          <w:jc w:val="center"/>
        </w:trPr>
        <w:tc>
          <w:tcPr>
            <w:tcW w:w="955" w:type="dxa"/>
            <w:vAlign w:val="center"/>
          </w:tcPr>
          <w:p w14:paraId="033FA2E2">
            <w:pPr>
              <w:adjustRightInd w:val="0"/>
              <w:snapToGrid w:val="0"/>
              <w:spacing w:line="360" w:lineRule="auto"/>
              <w:rPr>
                <w:rFonts w:hint="eastAsia" w:ascii="宋体" w:hAnsi="宋体"/>
                <w:sz w:val="22"/>
                <w:highlight w:val="none"/>
              </w:rPr>
            </w:pPr>
          </w:p>
        </w:tc>
        <w:tc>
          <w:tcPr>
            <w:tcW w:w="1260" w:type="dxa"/>
            <w:vAlign w:val="center"/>
          </w:tcPr>
          <w:p w14:paraId="7BC18966">
            <w:pPr>
              <w:adjustRightInd w:val="0"/>
              <w:snapToGrid w:val="0"/>
              <w:spacing w:line="360" w:lineRule="auto"/>
              <w:jc w:val="center"/>
              <w:rPr>
                <w:rFonts w:hint="eastAsia" w:ascii="宋体" w:hAnsi="宋体"/>
                <w:sz w:val="22"/>
                <w:highlight w:val="none"/>
              </w:rPr>
            </w:pPr>
          </w:p>
        </w:tc>
        <w:tc>
          <w:tcPr>
            <w:tcW w:w="1061" w:type="dxa"/>
            <w:vAlign w:val="center"/>
          </w:tcPr>
          <w:p w14:paraId="55230103">
            <w:pPr>
              <w:adjustRightInd w:val="0"/>
              <w:snapToGrid w:val="0"/>
              <w:spacing w:line="360" w:lineRule="auto"/>
              <w:jc w:val="center"/>
              <w:rPr>
                <w:rFonts w:hint="eastAsia" w:ascii="宋体" w:hAnsi="宋体"/>
                <w:sz w:val="22"/>
                <w:highlight w:val="none"/>
              </w:rPr>
            </w:pPr>
          </w:p>
        </w:tc>
        <w:tc>
          <w:tcPr>
            <w:tcW w:w="863" w:type="dxa"/>
            <w:vAlign w:val="center"/>
          </w:tcPr>
          <w:p w14:paraId="3C5ACA09">
            <w:pPr>
              <w:adjustRightInd w:val="0"/>
              <w:snapToGrid w:val="0"/>
              <w:spacing w:line="360" w:lineRule="auto"/>
              <w:jc w:val="center"/>
              <w:rPr>
                <w:rFonts w:hint="eastAsia" w:ascii="宋体" w:hAnsi="宋体"/>
                <w:sz w:val="22"/>
                <w:highlight w:val="none"/>
              </w:rPr>
            </w:pPr>
          </w:p>
        </w:tc>
        <w:tc>
          <w:tcPr>
            <w:tcW w:w="937" w:type="dxa"/>
            <w:vAlign w:val="center"/>
          </w:tcPr>
          <w:p w14:paraId="06648268">
            <w:pPr>
              <w:adjustRightInd w:val="0"/>
              <w:snapToGrid w:val="0"/>
              <w:spacing w:line="360" w:lineRule="auto"/>
              <w:jc w:val="center"/>
              <w:rPr>
                <w:rFonts w:hint="eastAsia" w:ascii="宋体" w:hAnsi="宋体"/>
                <w:sz w:val="22"/>
                <w:highlight w:val="none"/>
              </w:rPr>
            </w:pPr>
          </w:p>
        </w:tc>
        <w:tc>
          <w:tcPr>
            <w:tcW w:w="1050" w:type="dxa"/>
            <w:vAlign w:val="center"/>
          </w:tcPr>
          <w:p w14:paraId="548DBD02">
            <w:pPr>
              <w:adjustRightInd w:val="0"/>
              <w:snapToGrid w:val="0"/>
              <w:spacing w:line="360" w:lineRule="auto"/>
              <w:jc w:val="center"/>
              <w:rPr>
                <w:rFonts w:hint="eastAsia" w:ascii="宋体" w:hAnsi="宋体"/>
                <w:sz w:val="22"/>
                <w:highlight w:val="none"/>
              </w:rPr>
            </w:pPr>
          </w:p>
        </w:tc>
        <w:tc>
          <w:tcPr>
            <w:tcW w:w="1175" w:type="dxa"/>
            <w:vAlign w:val="center"/>
          </w:tcPr>
          <w:p w14:paraId="320BB136">
            <w:pPr>
              <w:adjustRightInd w:val="0"/>
              <w:snapToGrid w:val="0"/>
              <w:spacing w:line="360" w:lineRule="auto"/>
              <w:jc w:val="center"/>
              <w:rPr>
                <w:rFonts w:hint="eastAsia" w:ascii="宋体" w:hAnsi="宋体"/>
                <w:sz w:val="22"/>
                <w:highlight w:val="none"/>
              </w:rPr>
            </w:pPr>
          </w:p>
        </w:tc>
        <w:tc>
          <w:tcPr>
            <w:tcW w:w="954" w:type="dxa"/>
            <w:vAlign w:val="center"/>
          </w:tcPr>
          <w:p w14:paraId="1C87516E">
            <w:pPr>
              <w:adjustRightInd w:val="0"/>
              <w:snapToGrid w:val="0"/>
              <w:spacing w:line="360" w:lineRule="auto"/>
              <w:jc w:val="center"/>
              <w:rPr>
                <w:rFonts w:hint="eastAsia" w:ascii="宋体" w:hAnsi="宋体"/>
                <w:sz w:val="22"/>
                <w:highlight w:val="none"/>
              </w:rPr>
            </w:pPr>
          </w:p>
        </w:tc>
      </w:tr>
      <w:tr w14:paraId="58564B2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435" w:hRule="atLeast"/>
          <w:jc w:val="center"/>
        </w:trPr>
        <w:tc>
          <w:tcPr>
            <w:tcW w:w="955" w:type="dxa"/>
            <w:vAlign w:val="center"/>
          </w:tcPr>
          <w:p w14:paraId="732C6F15">
            <w:pPr>
              <w:adjustRightInd w:val="0"/>
              <w:snapToGrid w:val="0"/>
              <w:spacing w:line="360" w:lineRule="auto"/>
              <w:rPr>
                <w:rFonts w:hint="eastAsia" w:ascii="宋体" w:hAnsi="宋体"/>
                <w:sz w:val="22"/>
                <w:highlight w:val="none"/>
              </w:rPr>
            </w:pPr>
          </w:p>
        </w:tc>
        <w:tc>
          <w:tcPr>
            <w:tcW w:w="1260" w:type="dxa"/>
            <w:vAlign w:val="center"/>
          </w:tcPr>
          <w:p w14:paraId="7712486C">
            <w:pPr>
              <w:adjustRightInd w:val="0"/>
              <w:snapToGrid w:val="0"/>
              <w:spacing w:line="360" w:lineRule="auto"/>
              <w:jc w:val="center"/>
              <w:rPr>
                <w:rFonts w:hint="eastAsia" w:ascii="宋体" w:hAnsi="宋体"/>
                <w:sz w:val="22"/>
                <w:highlight w:val="none"/>
              </w:rPr>
            </w:pPr>
          </w:p>
        </w:tc>
        <w:tc>
          <w:tcPr>
            <w:tcW w:w="1061" w:type="dxa"/>
            <w:vAlign w:val="center"/>
          </w:tcPr>
          <w:p w14:paraId="507F9F95">
            <w:pPr>
              <w:adjustRightInd w:val="0"/>
              <w:snapToGrid w:val="0"/>
              <w:spacing w:line="360" w:lineRule="auto"/>
              <w:jc w:val="center"/>
              <w:rPr>
                <w:rFonts w:hint="eastAsia" w:ascii="宋体" w:hAnsi="宋体"/>
                <w:sz w:val="22"/>
                <w:highlight w:val="none"/>
              </w:rPr>
            </w:pPr>
          </w:p>
        </w:tc>
        <w:tc>
          <w:tcPr>
            <w:tcW w:w="863" w:type="dxa"/>
            <w:vAlign w:val="center"/>
          </w:tcPr>
          <w:p w14:paraId="6E04D082">
            <w:pPr>
              <w:adjustRightInd w:val="0"/>
              <w:snapToGrid w:val="0"/>
              <w:spacing w:line="360" w:lineRule="auto"/>
              <w:jc w:val="center"/>
              <w:rPr>
                <w:rFonts w:hint="eastAsia" w:ascii="宋体" w:hAnsi="宋体"/>
                <w:sz w:val="22"/>
                <w:highlight w:val="none"/>
              </w:rPr>
            </w:pPr>
          </w:p>
        </w:tc>
        <w:tc>
          <w:tcPr>
            <w:tcW w:w="937" w:type="dxa"/>
            <w:vAlign w:val="center"/>
          </w:tcPr>
          <w:p w14:paraId="635B88DC">
            <w:pPr>
              <w:adjustRightInd w:val="0"/>
              <w:snapToGrid w:val="0"/>
              <w:spacing w:line="360" w:lineRule="auto"/>
              <w:jc w:val="center"/>
              <w:rPr>
                <w:rFonts w:hint="eastAsia" w:ascii="宋体" w:hAnsi="宋体"/>
                <w:sz w:val="22"/>
                <w:highlight w:val="none"/>
              </w:rPr>
            </w:pPr>
          </w:p>
        </w:tc>
        <w:tc>
          <w:tcPr>
            <w:tcW w:w="1050" w:type="dxa"/>
            <w:vAlign w:val="center"/>
          </w:tcPr>
          <w:p w14:paraId="06B453DE">
            <w:pPr>
              <w:adjustRightInd w:val="0"/>
              <w:snapToGrid w:val="0"/>
              <w:spacing w:line="360" w:lineRule="auto"/>
              <w:jc w:val="center"/>
              <w:rPr>
                <w:rFonts w:hint="eastAsia" w:ascii="宋体" w:hAnsi="宋体"/>
                <w:sz w:val="22"/>
                <w:highlight w:val="none"/>
              </w:rPr>
            </w:pPr>
          </w:p>
        </w:tc>
        <w:tc>
          <w:tcPr>
            <w:tcW w:w="1175" w:type="dxa"/>
            <w:vAlign w:val="center"/>
          </w:tcPr>
          <w:p w14:paraId="3715583D">
            <w:pPr>
              <w:adjustRightInd w:val="0"/>
              <w:snapToGrid w:val="0"/>
              <w:spacing w:line="360" w:lineRule="auto"/>
              <w:jc w:val="center"/>
              <w:rPr>
                <w:rFonts w:hint="eastAsia" w:ascii="宋体" w:hAnsi="宋体"/>
                <w:sz w:val="22"/>
                <w:highlight w:val="none"/>
              </w:rPr>
            </w:pPr>
          </w:p>
        </w:tc>
        <w:tc>
          <w:tcPr>
            <w:tcW w:w="954" w:type="dxa"/>
            <w:vAlign w:val="center"/>
          </w:tcPr>
          <w:p w14:paraId="30FD1750">
            <w:pPr>
              <w:adjustRightInd w:val="0"/>
              <w:snapToGrid w:val="0"/>
              <w:spacing w:line="360" w:lineRule="auto"/>
              <w:jc w:val="center"/>
              <w:rPr>
                <w:rFonts w:hint="eastAsia" w:ascii="宋体" w:hAnsi="宋体"/>
                <w:sz w:val="22"/>
                <w:highlight w:val="none"/>
              </w:rPr>
            </w:pPr>
          </w:p>
        </w:tc>
      </w:tr>
      <w:tr w14:paraId="135F513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435" w:hRule="atLeast"/>
          <w:jc w:val="center"/>
        </w:trPr>
        <w:tc>
          <w:tcPr>
            <w:tcW w:w="955" w:type="dxa"/>
            <w:vAlign w:val="center"/>
          </w:tcPr>
          <w:p w14:paraId="15CF51B8">
            <w:pPr>
              <w:adjustRightInd w:val="0"/>
              <w:snapToGrid w:val="0"/>
              <w:spacing w:line="360" w:lineRule="auto"/>
              <w:rPr>
                <w:rFonts w:hint="eastAsia" w:ascii="宋体" w:hAnsi="宋体"/>
                <w:sz w:val="22"/>
                <w:highlight w:val="none"/>
              </w:rPr>
            </w:pPr>
          </w:p>
        </w:tc>
        <w:tc>
          <w:tcPr>
            <w:tcW w:w="1260" w:type="dxa"/>
            <w:vAlign w:val="center"/>
          </w:tcPr>
          <w:p w14:paraId="3B791727">
            <w:pPr>
              <w:adjustRightInd w:val="0"/>
              <w:snapToGrid w:val="0"/>
              <w:spacing w:line="360" w:lineRule="auto"/>
              <w:jc w:val="center"/>
              <w:rPr>
                <w:rFonts w:hint="eastAsia" w:ascii="宋体" w:hAnsi="宋体"/>
                <w:sz w:val="22"/>
                <w:highlight w:val="none"/>
              </w:rPr>
            </w:pPr>
          </w:p>
        </w:tc>
        <w:tc>
          <w:tcPr>
            <w:tcW w:w="1061" w:type="dxa"/>
            <w:vAlign w:val="center"/>
          </w:tcPr>
          <w:p w14:paraId="013E62EC">
            <w:pPr>
              <w:adjustRightInd w:val="0"/>
              <w:snapToGrid w:val="0"/>
              <w:spacing w:line="360" w:lineRule="auto"/>
              <w:jc w:val="center"/>
              <w:rPr>
                <w:rFonts w:hint="eastAsia" w:ascii="宋体" w:hAnsi="宋体"/>
                <w:sz w:val="22"/>
                <w:highlight w:val="none"/>
              </w:rPr>
            </w:pPr>
          </w:p>
        </w:tc>
        <w:tc>
          <w:tcPr>
            <w:tcW w:w="863" w:type="dxa"/>
            <w:vAlign w:val="center"/>
          </w:tcPr>
          <w:p w14:paraId="60B6B7E5">
            <w:pPr>
              <w:adjustRightInd w:val="0"/>
              <w:snapToGrid w:val="0"/>
              <w:spacing w:line="360" w:lineRule="auto"/>
              <w:jc w:val="center"/>
              <w:rPr>
                <w:rFonts w:hint="eastAsia" w:ascii="宋体" w:hAnsi="宋体"/>
                <w:sz w:val="22"/>
                <w:highlight w:val="none"/>
              </w:rPr>
            </w:pPr>
          </w:p>
        </w:tc>
        <w:tc>
          <w:tcPr>
            <w:tcW w:w="937" w:type="dxa"/>
            <w:vAlign w:val="center"/>
          </w:tcPr>
          <w:p w14:paraId="26AC9E2C">
            <w:pPr>
              <w:adjustRightInd w:val="0"/>
              <w:snapToGrid w:val="0"/>
              <w:spacing w:line="360" w:lineRule="auto"/>
              <w:jc w:val="center"/>
              <w:rPr>
                <w:rFonts w:hint="eastAsia" w:ascii="宋体" w:hAnsi="宋体"/>
                <w:sz w:val="22"/>
                <w:highlight w:val="none"/>
              </w:rPr>
            </w:pPr>
          </w:p>
        </w:tc>
        <w:tc>
          <w:tcPr>
            <w:tcW w:w="1050" w:type="dxa"/>
            <w:vAlign w:val="center"/>
          </w:tcPr>
          <w:p w14:paraId="6B45EB64">
            <w:pPr>
              <w:adjustRightInd w:val="0"/>
              <w:snapToGrid w:val="0"/>
              <w:spacing w:line="360" w:lineRule="auto"/>
              <w:jc w:val="center"/>
              <w:rPr>
                <w:rFonts w:hint="eastAsia" w:ascii="宋体" w:hAnsi="宋体"/>
                <w:sz w:val="22"/>
                <w:highlight w:val="none"/>
              </w:rPr>
            </w:pPr>
          </w:p>
        </w:tc>
        <w:tc>
          <w:tcPr>
            <w:tcW w:w="1175" w:type="dxa"/>
            <w:vAlign w:val="center"/>
          </w:tcPr>
          <w:p w14:paraId="39AF2FC0">
            <w:pPr>
              <w:adjustRightInd w:val="0"/>
              <w:snapToGrid w:val="0"/>
              <w:spacing w:line="360" w:lineRule="auto"/>
              <w:jc w:val="center"/>
              <w:rPr>
                <w:rFonts w:hint="eastAsia" w:ascii="宋体" w:hAnsi="宋体"/>
                <w:sz w:val="22"/>
                <w:highlight w:val="none"/>
              </w:rPr>
            </w:pPr>
          </w:p>
        </w:tc>
        <w:tc>
          <w:tcPr>
            <w:tcW w:w="954" w:type="dxa"/>
            <w:vAlign w:val="center"/>
          </w:tcPr>
          <w:p w14:paraId="226F2037">
            <w:pPr>
              <w:adjustRightInd w:val="0"/>
              <w:snapToGrid w:val="0"/>
              <w:spacing w:line="360" w:lineRule="auto"/>
              <w:jc w:val="center"/>
              <w:rPr>
                <w:rFonts w:hint="eastAsia" w:ascii="宋体" w:hAnsi="宋体"/>
                <w:sz w:val="22"/>
                <w:highlight w:val="none"/>
              </w:rPr>
            </w:pPr>
          </w:p>
        </w:tc>
      </w:tr>
    </w:tbl>
    <w:p w14:paraId="34BB6AAA">
      <w:pPr>
        <w:autoSpaceDE w:val="0"/>
        <w:autoSpaceDN w:val="0"/>
        <w:adjustRightInd w:val="0"/>
        <w:spacing w:line="360" w:lineRule="auto"/>
        <w:rPr>
          <w:rFonts w:hint="eastAsia" w:ascii="宋体" w:hAnsi="宋体"/>
          <w:sz w:val="22"/>
          <w:szCs w:val="22"/>
          <w:highlight w:val="none"/>
        </w:rPr>
      </w:pPr>
      <w:r>
        <w:rPr>
          <w:rFonts w:hint="eastAsia" w:ascii="宋体" w:hAnsi="宋体"/>
          <w:sz w:val="22"/>
          <w:szCs w:val="22"/>
          <w:highlight w:val="none"/>
        </w:rPr>
        <w:t>注：1、表格可以延续，本表人员有资格证书的应随表提交职称、资格证书等复印件（加盖公章）。</w:t>
      </w:r>
    </w:p>
    <w:p w14:paraId="5F582356">
      <w:pPr>
        <w:autoSpaceDE w:val="0"/>
        <w:autoSpaceDN w:val="0"/>
        <w:adjustRightInd w:val="0"/>
        <w:spacing w:line="360" w:lineRule="auto"/>
        <w:ind w:firstLine="325" w:firstLineChars="147"/>
        <w:rPr>
          <w:rFonts w:hint="eastAsia" w:ascii="宋体" w:hAnsi="宋体"/>
          <w:sz w:val="22"/>
          <w:szCs w:val="22"/>
          <w:highlight w:val="none"/>
        </w:rPr>
      </w:pPr>
      <w:r>
        <w:rPr>
          <w:rFonts w:hint="eastAsia" w:ascii="宋体" w:hAnsi="宋体"/>
          <w:sz w:val="22"/>
          <w:szCs w:val="22"/>
          <w:highlight w:val="none"/>
        </w:rPr>
        <w:t xml:space="preserve"> 2、列入本表人员如要更换，需经采购单位同意；擅自更换或不到位属违约行为。</w:t>
      </w:r>
    </w:p>
    <w:p w14:paraId="4635026E">
      <w:pPr>
        <w:autoSpaceDE w:val="0"/>
        <w:autoSpaceDN w:val="0"/>
        <w:adjustRightInd w:val="0"/>
        <w:spacing w:line="360" w:lineRule="auto"/>
        <w:ind w:firstLine="325" w:firstLineChars="147"/>
        <w:rPr>
          <w:rFonts w:hint="eastAsia" w:ascii="宋体" w:hAnsi="宋体"/>
          <w:sz w:val="22"/>
          <w:szCs w:val="22"/>
          <w:highlight w:val="none"/>
        </w:rPr>
      </w:pPr>
      <w:r>
        <w:rPr>
          <w:rFonts w:hint="eastAsia" w:ascii="宋体" w:hAnsi="宋体"/>
          <w:sz w:val="22"/>
          <w:szCs w:val="22"/>
          <w:highlight w:val="none"/>
        </w:rPr>
        <w:t>供应商全称（盖章）：</w:t>
      </w:r>
    </w:p>
    <w:p w14:paraId="6447FDFC">
      <w:pPr>
        <w:autoSpaceDE w:val="0"/>
        <w:autoSpaceDN w:val="0"/>
        <w:adjustRightInd w:val="0"/>
        <w:spacing w:line="360" w:lineRule="auto"/>
        <w:ind w:firstLine="325" w:firstLineChars="147"/>
        <w:rPr>
          <w:rFonts w:hint="eastAsia" w:ascii="宋体" w:hAnsi="宋体"/>
          <w:sz w:val="22"/>
          <w:szCs w:val="22"/>
          <w:highlight w:val="none"/>
        </w:rPr>
      </w:pPr>
      <w:r>
        <w:rPr>
          <w:rFonts w:hint="eastAsia" w:ascii="宋体" w:hAnsi="宋体"/>
          <w:sz w:val="22"/>
          <w:szCs w:val="22"/>
          <w:highlight w:val="none"/>
        </w:rPr>
        <w:t>法定代表人或授权代表（签字或盖章）：</w:t>
      </w:r>
    </w:p>
    <w:p w14:paraId="3BD0CA9E">
      <w:pPr>
        <w:autoSpaceDE w:val="0"/>
        <w:autoSpaceDN w:val="0"/>
        <w:adjustRightInd w:val="0"/>
        <w:spacing w:line="360" w:lineRule="auto"/>
        <w:ind w:firstLine="325" w:firstLineChars="147"/>
        <w:rPr>
          <w:rFonts w:hint="eastAsia" w:ascii="宋体" w:hAnsi="宋体"/>
          <w:sz w:val="22"/>
          <w:szCs w:val="22"/>
          <w:highlight w:val="none"/>
        </w:rPr>
      </w:pPr>
      <w:r>
        <w:rPr>
          <w:rFonts w:hint="eastAsia" w:ascii="宋体" w:hAnsi="宋体"/>
          <w:sz w:val="22"/>
          <w:szCs w:val="22"/>
          <w:highlight w:val="none"/>
        </w:rPr>
        <w:t xml:space="preserve">日      期：   </w:t>
      </w:r>
    </w:p>
    <w:p w14:paraId="49253F29">
      <w:pPr>
        <w:pStyle w:val="23"/>
        <w:rPr>
          <w:highlight w:val="none"/>
        </w:rPr>
      </w:pPr>
    </w:p>
    <w:p w14:paraId="5DDC7574">
      <w:pPr>
        <w:tabs>
          <w:tab w:val="left" w:pos="211"/>
        </w:tabs>
        <w:snapToGrid w:val="0"/>
        <w:spacing w:line="360" w:lineRule="atLeast"/>
        <w:jc w:val="center"/>
        <w:outlineLvl w:val="0"/>
        <w:rPr>
          <w:rFonts w:ascii="Cambria Math" w:hAnsi="Cambria Math" w:eastAsiaTheme="minorEastAsia"/>
          <w:b w:val="0"/>
          <w:color w:val="auto"/>
          <w:sz w:val="72"/>
          <w:szCs w:val="72"/>
          <w:highlight w:val="none"/>
        </w:rPr>
      </w:pPr>
      <w:r>
        <w:rPr>
          <w:rStyle w:val="72"/>
          <w:rFonts w:hint="eastAsia" w:ascii="宋体" w:hAnsi="宋体" w:cs="宋体"/>
          <w:b w:val="0"/>
          <w:color w:val="auto"/>
          <w:sz w:val="72"/>
          <w:szCs w:val="72"/>
          <w:highlight w:val="none"/>
        </w:rPr>
        <w:t>其它应提供的文件</w:t>
      </w:r>
    </w:p>
    <w:p w14:paraId="7D956D85">
      <w:pPr>
        <w:pStyle w:val="4"/>
        <w:tabs>
          <w:tab w:val="clear" w:pos="720"/>
        </w:tabs>
        <w:spacing w:before="0" w:after="120" w:line="700" w:lineRule="exact"/>
        <w:ind w:left="0" w:firstLine="0"/>
        <w:rPr>
          <w:rFonts w:hint="eastAsia" w:ascii="宋体" w:hAnsi="宋体" w:eastAsia="宋体"/>
          <w:b/>
          <w:color w:val="auto"/>
          <w:sz w:val="32"/>
          <w:highlight w:val="none"/>
        </w:rPr>
      </w:pPr>
      <w:r>
        <w:rPr>
          <w:rFonts w:hint="eastAsia" w:ascii="宋体" w:hAnsi="宋体" w:eastAsia="宋体"/>
          <w:b/>
          <w:color w:val="auto"/>
          <w:sz w:val="32"/>
          <w:highlight w:val="none"/>
        </w:rPr>
        <w:t>三、国企采购活动现场确认声明书格式</w:t>
      </w:r>
    </w:p>
    <w:p w14:paraId="4E231984">
      <w:pPr>
        <w:rPr>
          <w:rFonts w:ascii="宋体"/>
          <w:b w:val="0"/>
          <w:color w:val="auto"/>
          <w:spacing w:val="20"/>
          <w:sz w:val="36"/>
          <w:szCs w:val="36"/>
          <w:highlight w:val="none"/>
        </w:rPr>
      </w:pPr>
    </w:p>
    <w:p w14:paraId="60A00D21">
      <w:pPr>
        <w:spacing w:line="239" w:lineRule="auto"/>
        <w:jc w:val="center"/>
        <w:rPr>
          <w:rFonts w:ascii="宋体"/>
          <w:b w:val="0"/>
          <w:bCs w:val="0"/>
          <w:color w:val="auto"/>
          <w:sz w:val="20"/>
          <w:highlight w:val="none"/>
        </w:rPr>
      </w:pPr>
      <w:bookmarkStart w:id="173" w:name="page1"/>
      <w:bookmarkEnd w:id="173"/>
      <w:r>
        <w:rPr>
          <w:rFonts w:hint="eastAsia" w:ascii="宋体"/>
          <w:b w:val="0"/>
          <w:bCs w:val="0"/>
          <w:color w:val="auto"/>
          <w:sz w:val="29"/>
          <w:szCs w:val="29"/>
          <w:highlight w:val="none"/>
        </w:rPr>
        <w:t>国企</w:t>
      </w:r>
      <w:r>
        <w:rPr>
          <w:rFonts w:ascii="宋体"/>
          <w:b w:val="0"/>
          <w:bCs w:val="0"/>
          <w:color w:val="auto"/>
          <w:sz w:val="29"/>
          <w:szCs w:val="29"/>
          <w:highlight w:val="none"/>
        </w:rPr>
        <w:t>采购活动现场确认声明书</w:t>
      </w:r>
    </w:p>
    <w:p w14:paraId="3F00B035">
      <w:pPr>
        <w:spacing w:line="201" w:lineRule="exact"/>
        <w:rPr>
          <w:rFonts w:ascii="宋体"/>
          <w:b w:val="0"/>
          <w:bCs w:val="0"/>
          <w:color w:val="auto"/>
          <w:highlight w:val="none"/>
        </w:rPr>
      </w:pPr>
    </w:p>
    <w:p w14:paraId="04967EBB">
      <w:pPr>
        <w:spacing w:line="480" w:lineRule="auto"/>
        <w:ind w:left="60"/>
        <w:rPr>
          <w:rFonts w:ascii="宋体"/>
          <w:b w:val="0"/>
          <w:bCs w:val="0"/>
          <w:color w:val="auto"/>
          <w:highlight w:val="none"/>
        </w:rPr>
      </w:pPr>
      <w:r>
        <w:rPr>
          <w:rFonts w:ascii="宋体"/>
          <w:b w:val="0"/>
          <w:bCs w:val="0"/>
          <w:color w:val="auto"/>
          <w:highlight w:val="none"/>
        </w:rPr>
        <w:t>温州超然招标代理有限公司</w:t>
      </w:r>
      <w:r>
        <w:rPr>
          <w:rFonts w:ascii="宋体" w:cs="Verdana"/>
          <w:b w:val="0"/>
          <w:bCs w:val="0"/>
          <w:color w:val="auto"/>
          <w:highlight w:val="none"/>
        </w:rPr>
        <w:t>:</w:t>
      </w:r>
    </w:p>
    <w:p w14:paraId="6AF2C8A2">
      <w:pPr>
        <w:spacing w:line="480" w:lineRule="auto"/>
        <w:ind w:left="380"/>
        <w:rPr>
          <w:rFonts w:ascii="宋体"/>
          <w:b w:val="0"/>
          <w:bCs w:val="0"/>
          <w:color w:val="auto"/>
          <w:sz w:val="20"/>
          <w:highlight w:val="none"/>
        </w:rPr>
      </w:pPr>
      <w:r>
        <w:rPr>
          <w:rFonts w:ascii="宋体"/>
          <w:b w:val="0"/>
          <w:bCs w:val="0"/>
          <w:color w:val="auto"/>
          <w:sz w:val="18"/>
          <w:szCs w:val="18"/>
          <w:highlight w:val="none"/>
        </w:rPr>
        <w:t xml:space="preserve">本人 </w:t>
      </w:r>
      <w:r>
        <w:rPr>
          <w:rFonts w:ascii="宋体" w:cs="Verdana"/>
          <w:b w:val="0"/>
          <w:bCs w:val="0"/>
          <w:color w:val="auto"/>
          <w:sz w:val="18"/>
          <w:szCs w:val="18"/>
          <w:highlight w:val="none"/>
        </w:rPr>
        <w:t>____________</w:t>
      </w:r>
      <w:r>
        <w:rPr>
          <w:rFonts w:ascii="宋体"/>
          <w:b w:val="0"/>
          <w:bCs w:val="0"/>
          <w:color w:val="auto"/>
          <w:sz w:val="18"/>
          <w:szCs w:val="18"/>
          <w:highlight w:val="none"/>
        </w:rPr>
        <w:t>（授权代表姓名），经由</w:t>
      </w:r>
      <w:r>
        <w:rPr>
          <w:rFonts w:ascii="宋体" w:cs="Verdana"/>
          <w:b w:val="0"/>
          <w:bCs w:val="0"/>
          <w:color w:val="auto"/>
          <w:sz w:val="18"/>
          <w:szCs w:val="18"/>
          <w:highlight w:val="none"/>
        </w:rPr>
        <w:t>_____________</w:t>
      </w:r>
      <w:r>
        <w:rPr>
          <w:rFonts w:ascii="宋体"/>
          <w:b w:val="0"/>
          <w:bCs w:val="0"/>
          <w:color w:val="auto"/>
          <w:sz w:val="18"/>
          <w:szCs w:val="18"/>
          <w:highlight w:val="none"/>
        </w:rPr>
        <w:t xml:space="preserve">（单位） </w:t>
      </w:r>
      <w:r>
        <w:rPr>
          <w:rFonts w:ascii="宋体" w:cs="Verdana"/>
          <w:b w:val="0"/>
          <w:bCs w:val="0"/>
          <w:color w:val="auto"/>
          <w:sz w:val="18"/>
          <w:szCs w:val="18"/>
          <w:highlight w:val="none"/>
        </w:rPr>
        <w:t>________</w:t>
      </w:r>
      <w:r>
        <w:rPr>
          <w:rFonts w:ascii="宋体"/>
          <w:b w:val="0"/>
          <w:bCs w:val="0"/>
          <w:color w:val="auto"/>
          <w:sz w:val="19"/>
          <w:szCs w:val="19"/>
          <w:highlight w:val="none"/>
        </w:rPr>
        <w:t>（法定代表人姓名）合法授权参加</w:t>
      </w:r>
      <w:r>
        <w:rPr>
          <w:rFonts w:ascii="宋体"/>
          <w:b w:val="0"/>
          <w:bCs w:val="0"/>
          <w:color w:val="auto"/>
          <w:sz w:val="19"/>
          <w:szCs w:val="19"/>
          <w:highlight w:val="none"/>
          <w:u w:val="single"/>
        </w:rPr>
        <w:t xml:space="preserve"> </w:t>
      </w:r>
      <w:r>
        <w:rPr>
          <w:rFonts w:hint="eastAsia" w:ascii="宋体"/>
          <w:b w:val="0"/>
          <w:bCs w:val="0"/>
          <w:color w:val="auto"/>
          <w:sz w:val="19"/>
          <w:szCs w:val="19"/>
          <w:highlight w:val="none"/>
          <w:u w:val="single"/>
        </w:rPr>
        <w:t xml:space="preserve"> </w:t>
      </w:r>
      <w:r>
        <w:rPr>
          <w:rFonts w:ascii="宋体"/>
          <w:b w:val="0"/>
          <w:bCs w:val="0"/>
          <w:color w:val="auto"/>
          <w:sz w:val="19"/>
          <w:szCs w:val="19"/>
          <w:highlight w:val="none"/>
          <w:u w:val="single"/>
        </w:rPr>
        <w:t xml:space="preserve">  </w:t>
      </w:r>
      <w:r>
        <w:rPr>
          <w:rFonts w:hint="eastAsia" w:ascii="宋体"/>
          <w:b w:val="0"/>
          <w:bCs w:val="0"/>
          <w:color w:val="auto"/>
          <w:sz w:val="19"/>
          <w:szCs w:val="19"/>
          <w:highlight w:val="none"/>
          <w:u w:val="single"/>
        </w:rPr>
        <w:t xml:space="preserve">（项目名称） </w:t>
      </w:r>
      <w:r>
        <w:rPr>
          <w:rFonts w:ascii="宋体"/>
          <w:b w:val="0"/>
          <w:bCs w:val="0"/>
          <w:color w:val="auto"/>
          <w:sz w:val="19"/>
          <w:szCs w:val="19"/>
          <w:highlight w:val="none"/>
          <w:u w:val="single"/>
        </w:rPr>
        <w:t xml:space="preserve"> （</w:t>
      </w:r>
      <w:r>
        <w:rPr>
          <w:rFonts w:hint="eastAsia" w:ascii="宋体"/>
          <w:b w:val="0"/>
          <w:bCs w:val="0"/>
          <w:color w:val="auto"/>
          <w:sz w:val="19"/>
          <w:szCs w:val="19"/>
          <w:highlight w:val="none"/>
          <w:u w:val="single"/>
        </w:rPr>
        <w:t>项目编号</w:t>
      </w:r>
      <w:r>
        <w:rPr>
          <w:rFonts w:ascii="宋体"/>
          <w:b w:val="0"/>
          <w:bCs w:val="0"/>
          <w:color w:val="auto"/>
          <w:sz w:val="19"/>
          <w:szCs w:val="19"/>
          <w:highlight w:val="none"/>
          <w:u w:val="single"/>
        </w:rPr>
        <w:t>）</w:t>
      </w:r>
      <w:r>
        <w:rPr>
          <w:rFonts w:ascii="宋体"/>
          <w:b w:val="0"/>
          <w:bCs w:val="0"/>
          <w:color w:val="auto"/>
          <w:sz w:val="19"/>
          <w:szCs w:val="19"/>
          <w:highlight w:val="none"/>
        </w:rPr>
        <w:t>政府采购活动．经与本单位法人代表（负责人）联系确认，现就有关公平竞争事项郑重声明如下</w:t>
      </w:r>
      <w:r>
        <w:rPr>
          <w:rFonts w:ascii="宋体" w:cs="Verdana"/>
          <w:b w:val="0"/>
          <w:bCs w:val="0"/>
          <w:color w:val="auto"/>
          <w:sz w:val="19"/>
          <w:szCs w:val="19"/>
          <w:highlight w:val="none"/>
        </w:rPr>
        <w:t>:</w:t>
      </w:r>
    </w:p>
    <w:p w14:paraId="6D3F681A">
      <w:pPr>
        <w:spacing w:line="480" w:lineRule="auto"/>
        <w:ind w:left="380"/>
        <w:rPr>
          <w:rFonts w:ascii="宋体"/>
          <w:b w:val="0"/>
          <w:bCs w:val="0"/>
          <w:color w:val="auto"/>
          <w:sz w:val="20"/>
          <w:highlight w:val="none"/>
        </w:rPr>
      </w:pPr>
      <w:r>
        <w:rPr>
          <w:rFonts w:ascii="宋体"/>
          <w:b w:val="0"/>
          <w:bCs w:val="0"/>
          <w:color w:val="auto"/>
          <w:sz w:val="19"/>
          <w:szCs w:val="19"/>
          <w:highlight w:val="none"/>
        </w:rPr>
        <w:t>一、本单位与采购人之间口不存在利害关系口存在下列利害关系</w:t>
      </w:r>
      <w:r>
        <w:rPr>
          <w:rFonts w:ascii="宋体" w:cs="Verdana"/>
          <w:b w:val="0"/>
          <w:bCs w:val="0"/>
          <w:color w:val="auto"/>
          <w:sz w:val="19"/>
          <w:szCs w:val="19"/>
          <w:highlight w:val="none"/>
        </w:rPr>
        <w:t>:</w:t>
      </w:r>
    </w:p>
    <w:p w14:paraId="5958B3FF">
      <w:pPr>
        <w:tabs>
          <w:tab w:val="left" w:pos="1880"/>
          <w:tab w:val="left" w:pos="3780"/>
        </w:tabs>
        <w:spacing w:line="480" w:lineRule="auto"/>
        <w:ind w:left="380"/>
        <w:rPr>
          <w:rFonts w:ascii="宋体"/>
          <w:b w:val="0"/>
          <w:bCs w:val="0"/>
          <w:color w:val="auto"/>
          <w:sz w:val="20"/>
          <w:highlight w:val="none"/>
        </w:rPr>
      </w:pPr>
      <w:r>
        <w:rPr>
          <w:rFonts w:ascii="宋体" w:cs="Verdana"/>
          <w:b w:val="0"/>
          <w:bCs w:val="0"/>
          <w:color w:val="auto"/>
          <w:sz w:val="19"/>
          <w:szCs w:val="19"/>
          <w:highlight w:val="none"/>
        </w:rPr>
        <w:t>A</w:t>
      </w:r>
      <w:r>
        <w:rPr>
          <w:rFonts w:ascii="宋体"/>
          <w:b w:val="0"/>
          <w:bCs w:val="0"/>
          <w:color w:val="auto"/>
          <w:sz w:val="19"/>
          <w:szCs w:val="19"/>
          <w:highlight w:val="none"/>
        </w:rPr>
        <w:t>．投资关系</w:t>
      </w:r>
      <w:r>
        <w:rPr>
          <w:rFonts w:ascii="宋体"/>
          <w:b w:val="0"/>
          <w:bCs w:val="0"/>
          <w:color w:val="auto"/>
          <w:sz w:val="20"/>
          <w:highlight w:val="none"/>
        </w:rPr>
        <w:tab/>
      </w:r>
      <w:r>
        <w:rPr>
          <w:rFonts w:ascii="宋体" w:cs="Verdana"/>
          <w:b w:val="0"/>
          <w:bCs w:val="0"/>
          <w:color w:val="auto"/>
          <w:sz w:val="19"/>
          <w:szCs w:val="19"/>
          <w:highlight w:val="none"/>
        </w:rPr>
        <w:t>B</w:t>
      </w:r>
      <w:r>
        <w:rPr>
          <w:rFonts w:ascii="宋体"/>
          <w:b w:val="0"/>
          <w:bCs w:val="0"/>
          <w:color w:val="auto"/>
          <w:sz w:val="19"/>
          <w:szCs w:val="19"/>
          <w:highlight w:val="none"/>
        </w:rPr>
        <w:t>．行政隶属关系</w:t>
      </w:r>
      <w:r>
        <w:rPr>
          <w:rFonts w:ascii="宋体"/>
          <w:b w:val="0"/>
          <w:bCs w:val="0"/>
          <w:color w:val="auto"/>
          <w:sz w:val="20"/>
          <w:highlight w:val="none"/>
        </w:rPr>
        <w:tab/>
      </w:r>
      <w:r>
        <w:rPr>
          <w:rFonts w:ascii="宋体" w:cs="Verdana"/>
          <w:b w:val="0"/>
          <w:bCs w:val="0"/>
          <w:color w:val="auto"/>
          <w:sz w:val="19"/>
          <w:szCs w:val="19"/>
          <w:highlight w:val="none"/>
        </w:rPr>
        <w:t>C</w:t>
      </w:r>
      <w:r>
        <w:rPr>
          <w:rFonts w:ascii="宋体"/>
          <w:b w:val="0"/>
          <w:bCs w:val="0"/>
          <w:color w:val="auto"/>
          <w:sz w:val="19"/>
          <w:szCs w:val="19"/>
          <w:highlight w:val="none"/>
        </w:rPr>
        <w:t>．业务指导关系</w:t>
      </w:r>
    </w:p>
    <w:p w14:paraId="3D364FFC">
      <w:pPr>
        <w:spacing w:line="480" w:lineRule="auto"/>
        <w:ind w:left="380"/>
        <w:rPr>
          <w:rFonts w:ascii="宋体"/>
          <w:b w:val="0"/>
          <w:bCs w:val="0"/>
          <w:color w:val="auto"/>
          <w:sz w:val="20"/>
          <w:highlight w:val="none"/>
        </w:rPr>
      </w:pPr>
      <w:r>
        <w:rPr>
          <w:rFonts w:ascii="宋体" w:cs="Verdana"/>
          <w:b w:val="0"/>
          <w:bCs w:val="0"/>
          <w:color w:val="auto"/>
          <w:sz w:val="19"/>
          <w:szCs w:val="19"/>
          <w:highlight w:val="none"/>
        </w:rPr>
        <w:t>D</w:t>
      </w:r>
      <w:r>
        <w:rPr>
          <w:rFonts w:ascii="宋体"/>
          <w:b w:val="0"/>
          <w:bCs w:val="0"/>
          <w:color w:val="auto"/>
          <w:sz w:val="19"/>
          <w:szCs w:val="19"/>
          <w:highlight w:val="none"/>
        </w:rPr>
        <w:t>．其他可能影响采购公正的利害关系（如有，请如实说明）。</w:t>
      </w:r>
    </w:p>
    <w:p w14:paraId="52F2A9CD">
      <w:pPr>
        <w:spacing w:line="480" w:lineRule="auto"/>
        <w:ind w:left="380"/>
        <w:rPr>
          <w:rFonts w:ascii="宋体"/>
          <w:b w:val="0"/>
          <w:bCs w:val="0"/>
          <w:color w:val="auto"/>
          <w:sz w:val="19"/>
          <w:szCs w:val="19"/>
          <w:highlight w:val="none"/>
        </w:rPr>
      </w:pPr>
      <w:r>
        <w:rPr>
          <w:rFonts w:ascii="宋体"/>
          <w:b w:val="0"/>
          <w:bCs w:val="0"/>
          <w:color w:val="auto"/>
          <w:sz w:val="19"/>
          <w:szCs w:val="19"/>
          <w:highlight w:val="none"/>
        </w:rPr>
        <w:t>二、现己清楚知道参加本项目采购活动的其他所有供应商名称，本单位 口与其他所有供应商之间均不存在利害关系 口与</w:t>
      </w:r>
      <w:r>
        <w:rPr>
          <w:rFonts w:ascii="宋体" w:cs="Verdana"/>
          <w:b w:val="0"/>
          <w:bCs w:val="0"/>
          <w:color w:val="auto"/>
          <w:sz w:val="19"/>
          <w:szCs w:val="19"/>
          <w:highlight w:val="none"/>
        </w:rPr>
        <w:t>______________</w:t>
      </w:r>
      <w:r>
        <w:rPr>
          <w:rFonts w:ascii="宋体"/>
          <w:b w:val="0"/>
          <w:bCs w:val="0"/>
          <w:color w:val="auto"/>
          <w:sz w:val="19"/>
          <w:szCs w:val="19"/>
          <w:highlight w:val="none"/>
        </w:rPr>
        <w:t>（供应商名称）之间存在下列利害关系</w:t>
      </w:r>
      <w:r>
        <w:rPr>
          <w:rFonts w:ascii="宋体" w:cs="Verdana"/>
          <w:b w:val="0"/>
          <w:bCs w:val="0"/>
          <w:color w:val="auto"/>
          <w:sz w:val="19"/>
          <w:szCs w:val="19"/>
          <w:highlight w:val="none"/>
        </w:rPr>
        <w:t>:</w:t>
      </w:r>
      <w:r>
        <w:rPr>
          <w:rFonts w:ascii="宋体"/>
          <w:b w:val="0"/>
          <w:bCs w:val="0"/>
          <w:color w:val="auto"/>
          <w:sz w:val="19"/>
          <w:szCs w:val="19"/>
          <w:highlight w:val="none"/>
        </w:rPr>
        <w:t xml:space="preserve"> </w:t>
      </w:r>
    </w:p>
    <w:p w14:paraId="5A4AA54A">
      <w:pPr>
        <w:spacing w:line="480" w:lineRule="auto"/>
        <w:ind w:left="380"/>
        <w:rPr>
          <w:rFonts w:ascii="宋体"/>
          <w:b w:val="0"/>
          <w:bCs w:val="0"/>
          <w:color w:val="auto"/>
          <w:sz w:val="20"/>
          <w:highlight w:val="none"/>
        </w:rPr>
      </w:pPr>
      <w:r>
        <w:rPr>
          <w:rFonts w:ascii="宋体" w:cs="Verdana"/>
          <w:b w:val="0"/>
          <w:bCs w:val="0"/>
          <w:color w:val="auto"/>
          <w:sz w:val="19"/>
          <w:szCs w:val="19"/>
          <w:highlight w:val="none"/>
        </w:rPr>
        <w:t>A</w:t>
      </w:r>
      <w:r>
        <w:rPr>
          <w:rFonts w:ascii="宋体"/>
          <w:b w:val="0"/>
          <w:bCs w:val="0"/>
          <w:color w:val="auto"/>
          <w:sz w:val="19"/>
          <w:szCs w:val="19"/>
          <w:highlight w:val="none"/>
        </w:rPr>
        <w:t>．法定代表人或负责人或实际控制人是同一人</w:t>
      </w:r>
    </w:p>
    <w:p w14:paraId="530A422D">
      <w:pPr>
        <w:spacing w:line="480" w:lineRule="auto"/>
        <w:ind w:left="380"/>
        <w:rPr>
          <w:rFonts w:ascii="宋体"/>
          <w:b w:val="0"/>
          <w:bCs w:val="0"/>
          <w:color w:val="auto"/>
          <w:sz w:val="20"/>
          <w:highlight w:val="none"/>
        </w:rPr>
      </w:pPr>
      <w:r>
        <w:rPr>
          <w:rFonts w:ascii="宋体" w:cs="Verdana"/>
          <w:b w:val="0"/>
          <w:bCs w:val="0"/>
          <w:color w:val="auto"/>
          <w:sz w:val="19"/>
          <w:szCs w:val="19"/>
          <w:highlight w:val="none"/>
        </w:rPr>
        <w:t>B</w:t>
      </w:r>
      <w:r>
        <w:rPr>
          <w:rFonts w:ascii="宋体"/>
          <w:b w:val="0"/>
          <w:bCs w:val="0"/>
          <w:color w:val="auto"/>
          <w:sz w:val="19"/>
          <w:szCs w:val="19"/>
          <w:highlight w:val="none"/>
        </w:rPr>
        <w:t>．法定代表人或负责人或实际控制人是夫妻关系</w:t>
      </w:r>
    </w:p>
    <w:p w14:paraId="503488BB">
      <w:pPr>
        <w:spacing w:line="480" w:lineRule="auto"/>
        <w:ind w:left="380"/>
        <w:rPr>
          <w:rFonts w:ascii="宋体"/>
          <w:b w:val="0"/>
          <w:bCs w:val="0"/>
          <w:color w:val="auto"/>
          <w:sz w:val="20"/>
          <w:highlight w:val="none"/>
        </w:rPr>
      </w:pPr>
      <w:r>
        <w:rPr>
          <w:rFonts w:ascii="宋体" w:cs="Verdana"/>
          <w:b w:val="0"/>
          <w:bCs w:val="0"/>
          <w:color w:val="auto"/>
          <w:sz w:val="19"/>
          <w:szCs w:val="19"/>
          <w:highlight w:val="none"/>
        </w:rPr>
        <w:t>C</w:t>
      </w:r>
      <w:r>
        <w:rPr>
          <w:rFonts w:ascii="宋体"/>
          <w:b w:val="0"/>
          <w:bCs w:val="0"/>
          <w:color w:val="auto"/>
          <w:sz w:val="19"/>
          <w:szCs w:val="19"/>
          <w:highlight w:val="none"/>
        </w:rPr>
        <w:t>．法定代表人或负责人或实际控制人是直系血亲关系</w:t>
      </w:r>
    </w:p>
    <w:p w14:paraId="429C7E0B">
      <w:pPr>
        <w:spacing w:line="480" w:lineRule="auto"/>
        <w:ind w:left="380"/>
        <w:rPr>
          <w:rFonts w:ascii="宋体"/>
          <w:b w:val="0"/>
          <w:bCs w:val="0"/>
          <w:color w:val="auto"/>
          <w:sz w:val="20"/>
          <w:highlight w:val="none"/>
        </w:rPr>
      </w:pPr>
      <w:r>
        <w:rPr>
          <w:rFonts w:ascii="宋体" w:cs="Verdana"/>
          <w:b w:val="0"/>
          <w:bCs w:val="0"/>
          <w:color w:val="auto"/>
          <w:sz w:val="19"/>
          <w:szCs w:val="19"/>
          <w:highlight w:val="none"/>
        </w:rPr>
        <w:t>D</w:t>
      </w:r>
      <w:r>
        <w:rPr>
          <w:rFonts w:ascii="宋体"/>
          <w:b w:val="0"/>
          <w:bCs w:val="0"/>
          <w:color w:val="auto"/>
          <w:sz w:val="19"/>
          <w:szCs w:val="19"/>
          <w:highlight w:val="none"/>
        </w:rPr>
        <w:t>．法定代表人或负责人或实际控制人存在三代以内旁系血亲关系</w:t>
      </w:r>
    </w:p>
    <w:p w14:paraId="097E2161">
      <w:pPr>
        <w:spacing w:line="480" w:lineRule="auto"/>
        <w:ind w:left="380"/>
        <w:rPr>
          <w:rFonts w:ascii="宋体"/>
          <w:b w:val="0"/>
          <w:bCs w:val="0"/>
          <w:color w:val="auto"/>
          <w:sz w:val="20"/>
          <w:highlight w:val="none"/>
        </w:rPr>
      </w:pPr>
      <w:r>
        <w:rPr>
          <w:rFonts w:ascii="宋体" w:cs="Verdana"/>
          <w:b w:val="0"/>
          <w:bCs w:val="0"/>
          <w:color w:val="auto"/>
          <w:sz w:val="19"/>
          <w:szCs w:val="19"/>
          <w:highlight w:val="none"/>
        </w:rPr>
        <w:t>E</w:t>
      </w:r>
      <w:r>
        <w:rPr>
          <w:rFonts w:ascii="宋体"/>
          <w:b w:val="0"/>
          <w:bCs w:val="0"/>
          <w:color w:val="auto"/>
          <w:sz w:val="19"/>
          <w:szCs w:val="19"/>
          <w:highlight w:val="none"/>
        </w:rPr>
        <w:t>．法定代表人或负责人或实际控制人存在近姻亲关系</w:t>
      </w:r>
    </w:p>
    <w:p w14:paraId="3B4AD0B7">
      <w:pPr>
        <w:spacing w:line="480" w:lineRule="auto"/>
        <w:ind w:left="380"/>
        <w:rPr>
          <w:rFonts w:ascii="宋体"/>
          <w:b w:val="0"/>
          <w:bCs w:val="0"/>
          <w:color w:val="auto"/>
          <w:sz w:val="20"/>
          <w:highlight w:val="none"/>
        </w:rPr>
      </w:pPr>
      <w:r>
        <w:rPr>
          <w:rFonts w:ascii="宋体" w:cs="Verdana"/>
          <w:b w:val="0"/>
          <w:bCs w:val="0"/>
          <w:color w:val="auto"/>
          <w:sz w:val="19"/>
          <w:szCs w:val="19"/>
          <w:highlight w:val="none"/>
        </w:rPr>
        <w:t>F</w:t>
      </w:r>
      <w:r>
        <w:rPr>
          <w:rFonts w:ascii="宋体"/>
          <w:b w:val="0"/>
          <w:bCs w:val="0"/>
          <w:color w:val="auto"/>
          <w:sz w:val="19"/>
          <w:szCs w:val="19"/>
          <w:highlight w:val="none"/>
        </w:rPr>
        <w:t>．法定代表人或负责人或实际控制人存在股份控制或实际控制关系</w:t>
      </w:r>
    </w:p>
    <w:p w14:paraId="25B73001">
      <w:pPr>
        <w:spacing w:line="480" w:lineRule="auto"/>
        <w:ind w:left="380"/>
        <w:rPr>
          <w:rFonts w:ascii="宋体"/>
          <w:b w:val="0"/>
          <w:bCs w:val="0"/>
          <w:color w:val="auto"/>
          <w:sz w:val="20"/>
          <w:highlight w:val="none"/>
        </w:rPr>
      </w:pPr>
      <w:r>
        <w:rPr>
          <w:rFonts w:ascii="宋体" w:cs="Verdana"/>
          <w:b w:val="0"/>
          <w:bCs w:val="0"/>
          <w:color w:val="auto"/>
          <w:sz w:val="19"/>
          <w:szCs w:val="19"/>
          <w:highlight w:val="none"/>
        </w:rPr>
        <w:t>G</w:t>
      </w:r>
      <w:r>
        <w:rPr>
          <w:rFonts w:ascii="宋体"/>
          <w:b w:val="0"/>
          <w:bCs w:val="0"/>
          <w:color w:val="auto"/>
          <w:sz w:val="19"/>
          <w:szCs w:val="19"/>
          <w:highlight w:val="none"/>
        </w:rPr>
        <w:t>．存在共同直接或间接投资设立子公司、联营企业和合营企业情况</w:t>
      </w:r>
    </w:p>
    <w:p w14:paraId="72AACEA9">
      <w:pPr>
        <w:spacing w:line="480" w:lineRule="auto"/>
        <w:ind w:left="380"/>
        <w:rPr>
          <w:rFonts w:ascii="宋体"/>
          <w:b w:val="0"/>
          <w:bCs w:val="0"/>
          <w:color w:val="auto"/>
          <w:sz w:val="20"/>
          <w:highlight w:val="none"/>
        </w:rPr>
      </w:pPr>
      <w:r>
        <w:rPr>
          <w:rFonts w:ascii="宋体" w:cs="Verdana"/>
          <w:b w:val="0"/>
          <w:bCs w:val="0"/>
          <w:color w:val="auto"/>
          <w:sz w:val="19"/>
          <w:szCs w:val="19"/>
          <w:highlight w:val="none"/>
        </w:rPr>
        <w:t>H</w:t>
      </w:r>
      <w:r>
        <w:rPr>
          <w:rFonts w:ascii="宋体"/>
          <w:b w:val="0"/>
          <w:bCs w:val="0"/>
          <w:color w:val="auto"/>
          <w:sz w:val="19"/>
          <w:szCs w:val="19"/>
          <w:highlight w:val="none"/>
        </w:rPr>
        <w:t>．存在分级代理或代销关系、同一生产制造商关系、管理关系、重要业务（占主昔业务收入</w:t>
      </w:r>
      <w:r>
        <w:rPr>
          <w:rFonts w:ascii="宋体" w:cs="Verdana"/>
          <w:b w:val="0"/>
          <w:bCs w:val="0"/>
          <w:color w:val="auto"/>
          <w:sz w:val="19"/>
          <w:szCs w:val="19"/>
          <w:highlight w:val="none"/>
        </w:rPr>
        <w:t xml:space="preserve"> 50 </w:t>
      </w:r>
      <w:r>
        <w:rPr>
          <w:rFonts w:ascii="宋体"/>
          <w:b w:val="0"/>
          <w:bCs w:val="0"/>
          <w:color w:val="auto"/>
          <w:sz w:val="19"/>
          <w:szCs w:val="19"/>
          <w:highlight w:val="none"/>
        </w:rPr>
        <w:t>％以上）或重要财务</w:t>
      </w:r>
      <w:r>
        <w:rPr>
          <w:rFonts w:ascii="宋体" w:cs="Verdana"/>
          <w:b w:val="0"/>
          <w:bCs w:val="0"/>
          <w:color w:val="auto"/>
          <w:sz w:val="19"/>
          <w:szCs w:val="19"/>
          <w:highlight w:val="none"/>
        </w:rPr>
        <w:t xml:space="preserve"> </w:t>
      </w:r>
      <w:r>
        <w:rPr>
          <w:rFonts w:ascii="宋体"/>
          <w:b w:val="0"/>
          <w:bCs w:val="0"/>
          <w:color w:val="auto"/>
          <w:sz w:val="19"/>
          <w:szCs w:val="19"/>
          <w:highlight w:val="none"/>
        </w:rPr>
        <w:t>往来关系（如融资）等其他实质性控制关系</w:t>
      </w:r>
    </w:p>
    <w:p w14:paraId="2F71D5DF">
      <w:pPr>
        <w:spacing w:line="480" w:lineRule="auto"/>
        <w:ind w:left="380"/>
        <w:rPr>
          <w:rFonts w:ascii="宋体"/>
          <w:b w:val="0"/>
          <w:bCs w:val="0"/>
          <w:color w:val="auto"/>
          <w:sz w:val="20"/>
          <w:highlight w:val="none"/>
        </w:rPr>
      </w:pPr>
      <w:r>
        <w:rPr>
          <w:rFonts w:ascii="宋体" w:cs="Verdana"/>
          <w:b w:val="0"/>
          <w:bCs w:val="0"/>
          <w:color w:val="auto"/>
          <w:sz w:val="19"/>
          <w:szCs w:val="19"/>
          <w:highlight w:val="none"/>
        </w:rPr>
        <w:t>I</w:t>
      </w:r>
      <w:r>
        <w:rPr>
          <w:rFonts w:ascii="宋体"/>
          <w:b w:val="0"/>
          <w:bCs w:val="0"/>
          <w:color w:val="auto"/>
          <w:sz w:val="19"/>
          <w:szCs w:val="19"/>
          <w:highlight w:val="none"/>
        </w:rPr>
        <w:t>．其他利害关系情况</w:t>
      </w:r>
      <w:r>
        <w:rPr>
          <w:rFonts w:ascii="宋体" w:cs="Verdana"/>
          <w:b w:val="0"/>
          <w:bCs w:val="0"/>
          <w:color w:val="auto"/>
          <w:sz w:val="19"/>
          <w:szCs w:val="19"/>
          <w:highlight w:val="none"/>
        </w:rPr>
        <w:t xml:space="preserve"> ________________________________________</w:t>
      </w:r>
      <w:r>
        <w:rPr>
          <w:rFonts w:ascii="宋体"/>
          <w:b w:val="0"/>
          <w:bCs w:val="0"/>
          <w:color w:val="auto"/>
          <w:sz w:val="19"/>
          <w:szCs w:val="19"/>
          <w:highlight w:val="none"/>
        </w:rPr>
        <w:t>。</w:t>
      </w:r>
    </w:p>
    <w:p w14:paraId="6BC2C704">
      <w:pPr>
        <w:spacing w:line="480" w:lineRule="auto"/>
        <w:ind w:left="380"/>
        <w:rPr>
          <w:rFonts w:ascii="宋体"/>
          <w:b w:val="0"/>
          <w:bCs w:val="0"/>
          <w:color w:val="auto"/>
          <w:sz w:val="20"/>
          <w:highlight w:val="none"/>
        </w:rPr>
      </w:pPr>
      <w:r>
        <w:rPr>
          <w:rFonts w:ascii="宋体"/>
          <w:b w:val="0"/>
          <w:bCs w:val="0"/>
          <w:color w:val="auto"/>
          <w:sz w:val="19"/>
          <w:szCs w:val="19"/>
          <w:highlight w:val="none"/>
        </w:rPr>
        <w:t>三、现己清楚知道并严格遵守政府采购法律法规和</w:t>
      </w:r>
      <w:r>
        <w:rPr>
          <w:rFonts w:hint="eastAsia" w:ascii="宋体"/>
          <w:b w:val="0"/>
          <w:bCs w:val="0"/>
          <w:color w:val="auto"/>
          <w:sz w:val="19"/>
          <w:szCs w:val="19"/>
          <w:highlight w:val="none"/>
          <w:lang w:val="en-US" w:eastAsia="zh-CN"/>
        </w:rPr>
        <w:t>评审</w:t>
      </w:r>
      <w:r>
        <w:rPr>
          <w:rFonts w:ascii="宋体"/>
          <w:b w:val="0"/>
          <w:bCs w:val="0"/>
          <w:color w:val="auto"/>
          <w:sz w:val="19"/>
          <w:szCs w:val="19"/>
          <w:highlight w:val="none"/>
        </w:rPr>
        <w:t>纪律。</w:t>
      </w:r>
    </w:p>
    <w:p w14:paraId="5F804ECA">
      <w:pPr>
        <w:spacing w:line="480" w:lineRule="auto"/>
        <w:ind w:left="380"/>
        <w:rPr>
          <w:rFonts w:ascii="宋体"/>
          <w:b w:val="0"/>
          <w:bCs w:val="0"/>
          <w:color w:val="auto"/>
          <w:sz w:val="20"/>
          <w:highlight w:val="none"/>
        </w:rPr>
      </w:pPr>
      <w:r>
        <w:rPr>
          <w:rFonts w:ascii="宋体"/>
          <w:b w:val="0"/>
          <w:bCs w:val="0"/>
          <w:color w:val="auto"/>
          <w:sz w:val="19"/>
          <w:szCs w:val="19"/>
          <w:highlight w:val="none"/>
        </w:rPr>
        <w:t xml:space="preserve">四、我发现 </w:t>
      </w:r>
      <w:r>
        <w:rPr>
          <w:rFonts w:ascii="宋体" w:cs="Verdana"/>
          <w:b w:val="0"/>
          <w:bCs w:val="0"/>
          <w:color w:val="auto"/>
          <w:sz w:val="19"/>
          <w:szCs w:val="19"/>
          <w:highlight w:val="none"/>
        </w:rPr>
        <w:t>____________________</w:t>
      </w:r>
      <w:r>
        <w:rPr>
          <w:rFonts w:ascii="宋体"/>
          <w:b w:val="0"/>
          <w:bCs w:val="0"/>
          <w:color w:val="auto"/>
          <w:sz w:val="19"/>
          <w:szCs w:val="19"/>
          <w:highlight w:val="none"/>
        </w:rPr>
        <w:t xml:space="preserve">供应商之间存在或可能存在上述第二条第 </w:t>
      </w:r>
      <w:r>
        <w:rPr>
          <w:rFonts w:ascii="宋体" w:cs="Verdana"/>
          <w:b w:val="0"/>
          <w:bCs w:val="0"/>
          <w:color w:val="auto"/>
          <w:sz w:val="19"/>
          <w:szCs w:val="19"/>
          <w:highlight w:val="none"/>
        </w:rPr>
        <w:t>____________</w:t>
      </w:r>
      <w:r>
        <w:rPr>
          <w:rFonts w:ascii="宋体"/>
          <w:b w:val="0"/>
          <w:bCs w:val="0"/>
          <w:color w:val="auto"/>
          <w:sz w:val="19"/>
          <w:szCs w:val="19"/>
          <w:highlight w:val="none"/>
        </w:rPr>
        <w:t>项利害关系。</w:t>
      </w:r>
    </w:p>
    <w:p w14:paraId="6B753980">
      <w:pPr>
        <w:ind w:firstLine="4940" w:firstLineChars="2600"/>
        <w:rPr>
          <w:rFonts w:ascii="宋体"/>
          <w:b w:val="0"/>
          <w:bCs w:val="0"/>
          <w:color w:val="auto"/>
          <w:sz w:val="20"/>
          <w:highlight w:val="none"/>
        </w:rPr>
      </w:pPr>
      <w:r>
        <w:rPr>
          <w:rFonts w:ascii="宋体"/>
          <w:b w:val="0"/>
          <w:bCs w:val="0"/>
          <w:color w:val="auto"/>
          <w:sz w:val="19"/>
          <w:szCs w:val="19"/>
          <w:highlight w:val="none"/>
        </w:rPr>
        <w:t>（供应商代表签名）</w:t>
      </w:r>
      <w:r>
        <w:rPr>
          <w:rFonts w:ascii="宋体" w:cs="Verdana"/>
          <w:b w:val="0"/>
          <w:bCs w:val="0"/>
          <w:color w:val="auto"/>
          <w:sz w:val="19"/>
          <w:szCs w:val="19"/>
          <w:highlight w:val="none"/>
        </w:rPr>
        <w:t>:</w:t>
      </w:r>
    </w:p>
    <w:p w14:paraId="113F6A43">
      <w:pPr>
        <w:spacing w:line="189" w:lineRule="exact"/>
        <w:rPr>
          <w:rFonts w:ascii="宋体"/>
          <w:b w:val="0"/>
          <w:bCs w:val="0"/>
          <w:color w:val="auto"/>
          <w:sz w:val="24"/>
          <w:szCs w:val="24"/>
          <w:highlight w:val="none"/>
        </w:rPr>
      </w:pPr>
    </w:p>
    <w:p w14:paraId="48EE9746">
      <w:pPr>
        <w:ind w:firstLine="4940" w:firstLineChars="2600"/>
        <w:rPr>
          <w:rFonts w:ascii="宋体"/>
          <w:b w:val="0"/>
          <w:bCs w:val="0"/>
          <w:color w:val="auto"/>
          <w:sz w:val="20"/>
          <w:highlight w:val="none"/>
        </w:rPr>
      </w:pPr>
      <w:r>
        <w:rPr>
          <w:rFonts w:ascii="宋体" w:cs="Verdana"/>
          <w:b w:val="0"/>
          <w:bCs w:val="0"/>
          <w:color w:val="auto"/>
          <w:sz w:val="19"/>
          <w:szCs w:val="19"/>
          <w:highlight w:val="none"/>
        </w:rPr>
        <w:t>202</w:t>
      </w:r>
      <w:r>
        <w:rPr>
          <w:rFonts w:hint="eastAsia" w:ascii="宋体" w:cs="Verdana"/>
          <w:b w:val="0"/>
          <w:bCs w:val="0"/>
          <w:color w:val="auto"/>
          <w:sz w:val="19"/>
          <w:szCs w:val="19"/>
          <w:highlight w:val="none"/>
        </w:rPr>
        <w:t>5</w:t>
      </w:r>
      <w:r>
        <w:rPr>
          <w:rFonts w:ascii="宋体"/>
          <w:b w:val="0"/>
          <w:bCs w:val="0"/>
          <w:color w:val="auto"/>
          <w:sz w:val="19"/>
          <w:szCs w:val="19"/>
          <w:highlight w:val="none"/>
        </w:rPr>
        <w:t>年</w:t>
      </w:r>
      <w:r>
        <w:rPr>
          <w:rFonts w:hint="eastAsia" w:ascii="宋体"/>
          <w:b w:val="0"/>
          <w:bCs w:val="0"/>
          <w:color w:val="auto"/>
          <w:sz w:val="19"/>
          <w:szCs w:val="19"/>
          <w:highlight w:val="none"/>
        </w:rPr>
        <w:t xml:space="preserve"> </w:t>
      </w:r>
      <w:r>
        <w:rPr>
          <w:rFonts w:ascii="宋体" w:cs="Verdana"/>
          <w:b w:val="0"/>
          <w:bCs w:val="0"/>
          <w:color w:val="auto"/>
          <w:sz w:val="19"/>
          <w:szCs w:val="19"/>
          <w:highlight w:val="none"/>
        </w:rPr>
        <w:t xml:space="preserve">  </w:t>
      </w:r>
      <w:r>
        <w:rPr>
          <w:rFonts w:ascii="宋体"/>
          <w:b w:val="0"/>
          <w:bCs w:val="0"/>
          <w:color w:val="auto"/>
          <w:sz w:val="19"/>
          <w:szCs w:val="19"/>
          <w:highlight w:val="none"/>
        </w:rPr>
        <w:t>月</w:t>
      </w:r>
      <w:r>
        <w:rPr>
          <w:rFonts w:ascii="宋体" w:cs="Verdana"/>
          <w:b w:val="0"/>
          <w:bCs w:val="0"/>
          <w:color w:val="auto"/>
          <w:sz w:val="19"/>
          <w:szCs w:val="19"/>
          <w:highlight w:val="none"/>
        </w:rPr>
        <w:t xml:space="preserve">    </w:t>
      </w:r>
      <w:r>
        <w:rPr>
          <w:rFonts w:ascii="宋体"/>
          <w:b w:val="0"/>
          <w:bCs w:val="0"/>
          <w:color w:val="auto"/>
          <w:sz w:val="19"/>
          <w:szCs w:val="19"/>
          <w:highlight w:val="none"/>
        </w:rPr>
        <w:t>日</w:t>
      </w:r>
    </w:p>
    <w:p w14:paraId="3DFC4324">
      <w:pPr>
        <w:pStyle w:val="4"/>
        <w:spacing w:before="0" w:after="120" w:line="700" w:lineRule="exact"/>
        <w:ind w:left="0" w:firstLine="0"/>
        <w:jc w:val="center"/>
        <w:rPr>
          <w:rFonts w:ascii="Cambria Math" w:hAnsi="Cambria Math" w:eastAsia="Cambria Math"/>
          <w:b/>
          <w:color w:val="auto"/>
          <w:sz w:val="36"/>
          <w:szCs w:val="36"/>
          <w:highlight w:val="none"/>
        </w:rPr>
      </w:pPr>
      <w:r>
        <w:rPr>
          <w:rFonts w:hint="eastAsia" w:ascii="Cambria Math" w:hAnsi="Cambria Math" w:eastAsia="Cambria Math"/>
          <w:b/>
          <w:color w:val="auto"/>
          <w:sz w:val="36"/>
          <w:szCs w:val="36"/>
          <w:highlight w:val="none"/>
        </w:rPr>
        <w:t>第六部分</w:t>
      </w:r>
      <w:r>
        <w:rPr>
          <w:rFonts w:hint="eastAsia" w:ascii="Cambria Math" w:hAnsi="Cambria Math" w:eastAsiaTheme="minorEastAsia"/>
          <w:b/>
          <w:color w:val="auto"/>
          <w:sz w:val="36"/>
          <w:szCs w:val="36"/>
          <w:highlight w:val="none"/>
        </w:rPr>
        <w:t xml:space="preserve">  </w:t>
      </w:r>
      <w:r>
        <w:rPr>
          <w:rFonts w:hint="eastAsia" w:ascii="Cambria Math" w:hAnsi="Cambria Math" w:eastAsia="Cambria Math"/>
          <w:b/>
          <w:color w:val="auto"/>
          <w:sz w:val="36"/>
          <w:szCs w:val="36"/>
          <w:highlight w:val="none"/>
        </w:rPr>
        <w:t>评标办法</w:t>
      </w:r>
    </w:p>
    <w:p w14:paraId="32D95DF8">
      <w:pPr>
        <w:tabs>
          <w:tab w:val="left" w:pos="8820"/>
        </w:tabs>
        <w:adjustRightInd w:val="0"/>
        <w:snapToGrid w:val="0"/>
        <w:spacing w:before="100" w:after="50" w:line="440" w:lineRule="atLeast"/>
        <w:ind w:firstLine="440" w:firstLineChars="200"/>
        <w:rPr>
          <w:rFonts w:ascii="Cambria Math" w:hAnsi="Cambria Math" w:eastAsia="Cambria Math"/>
          <w:b w:val="0"/>
          <w:color w:val="auto"/>
          <w:sz w:val="22"/>
          <w:szCs w:val="22"/>
          <w:highlight w:val="none"/>
        </w:rPr>
      </w:pPr>
      <w:r>
        <w:rPr>
          <w:rFonts w:hint="eastAsia" w:ascii="Cambria Math" w:hAnsi="Cambria Math" w:eastAsia="Cambria Math"/>
          <w:b w:val="0"/>
          <w:color w:val="auto"/>
          <w:sz w:val="22"/>
          <w:szCs w:val="22"/>
          <w:highlight w:val="none"/>
        </w:rPr>
        <w:t>根据</w:t>
      </w:r>
      <w:r>
        <w:rPr>
          <w:rFonts w:hint="eastAsia" w:ascii="宋体" w:hAnsi="宋体" w:cs="宋体"/>
          <w:b w:val="0"/>
          <w:color w:val="auto"/>
          <w:sz w:val="22"/>
          <w:szCs w:val="22"/>
          <w:highlight w:val="none"/>
        </w:rPr>
        <w:t>温州市国企采购相关规定，</w:t>
      </w:r>
      <w:r>
        <w:rPr>
          <w:rFonts w:hint="eastAsia" w:ascii="Cambria Math" w:hAnsi="Cambria Math" w:eastAsia="Cambria Math"/>
          <w:b w:val="0"/>
          <w:color w:val="auto"/>
          <w:sz w:val="22"/>
          <w:szCs w:val="22"/>
          <w:highlight w:val="none"/>
        </w:rPr>
        <w:t>结合本次所要采购货物的实际，按照公平、公正、科学、择优的原则选择成交单位，特制定本评审办法。</w:t>
      </w:r>
    </w:p>
    <w:p w14:paraId="54B552AF">
      <w:pPr>
        <w:adjustRightInd w:val="0"/>
        <w:snapToGrid w:val="0"/>
        <w:spacing w:before="120" w:beforeLines="50" w:after="50" w:line="440" w:lineRule="atLeast"/>
        <w:jc w:val="center"/>
        <w:rPr>
          <w:rFonts w:ascii="Cambria Math" w:hAnsi="Cambria Math" w:eastAsia="Cambria Math"/>
          <w:b w:val="0"/>
          <w:bCs w:val="0"/>
          <w:color w:val="auto"/>
          <w:sz w:val="22"/>
          <w:szCs w:val="22"/>
          <w:highlight w:val="none"/>
        </w:rPr>
      </w:pPr>
      <w:r>
        <w:rPr>
          <w:rFonts w:hint="eastAsia" w:ascii="Cambria Math" w:hAnsi="Cambria Math" w:eastAsia="Cambria Math"/>
          <w:b w:val="0"/>
          <w:bCs w:val="0"/>
          <w:color w:val="auto"/>
          <w:sz w:val="22"/>
          <w:szCs w:val="22"/>
          <w:highlight w:val="none"/>
        </w:rPr>
        <w:t>一、总则</w:t>
      </w:r>
    </w:p>
    <w:p w14:paraId="7D8AC76C">
      <w:pPr>
        <w:pStyle w:val="23"/>
        <w:adjustRightInd w:val="0"/>
        <w:snapToGrid w:val="0"/>
        <w:spacing w:before="100" w:after="50" w:line="440" w:lineRule="atLeast"/>
        <w:rPr>
          <w:rFonts w:ascii="Cambria Math" w:hAnsi="Cambria Math" w:eastAsia="Cambria Math"/>
          <w:b w:val="0"/>
          <w:color w:val="auto"/>
          <w:sz w:val="22"/>
          <w:szCs w:val="22"/>
          <w:highlight w:val="none"/>
        </w:rPr>
      </w:pPr>
      <w:r>
        <w:rPr>
          <w:rFonts w:hint="eastAsia" w:ascii="Cambria Math" w:hAnsi="Cambria Math" w:eastAsia="Cambria Math"/>
          <w:b w:val="0"/>
          <w:color w:val="auto"/>
          <w:sz w:val="22"/>
          <w:szCs w:val="22"/>
          <w:highlight w:val="none"/>
        </w:rPr>
        <w:t>评审工作遵循公平、公正、民主、科学的原则和诚实、信誉、效率的服务原则。本着科学、严谨的态度，认真进行评审。择优选定供货单位，确保货物的质量、交货期，节约投资，最大限度的保护当事人权益，严格按照投标文件的商务、技术要求，对投标文件进行综合评定，提出优选方案，编写成交报告。评标委员会必须严格遵守保密规定，不得泄漏评审的有关情况，不得索贿受贿，不得接受吃请和礼品，不得参加影响公正评审的有关活动。对落标单位，评标委员会不作任何落标解释。供应商不得以任何方式干扰招投标工作的进行，一经发现其投标文件将被拒绝。</w:t>
      </w:r>
    </w:p>
    <w:p w14:paraId="31C940CB">
      <w:pPr>
        <w:adjustRightInd w:val="0"/>
        <w:snapToGrid w:val="0"/>
        <w:spacing w:before="120" w:beforeLines="50" w:after="50" w:line="440" w:lineRule="atLeast"/>
        <w:jc w:val="center"/>
        <w:rPr>
          <w:rFonts w:ascii="Cambria Math" w:hAnsi="Cambria Math" w:eastAsia="Cambria Math"/>
          <w:b w:val="0"/>
          <w:bCs w:val="0"/>
          <w:color w:val="auto"/>
          <w:sz w:val="22"/>
          <w:szCs w:val="22"/>
          <w:highlight w:val="none"/>
        </w:rPr>
      </w:pPr>
      <w:r>
        <w:rPr>
          <w:rFonts w:hint="eastAsia" w:ascii="Cambria Math" w:hAnsi="Cambria Math" w:eastAsia="Cambria Math"/>
          <w:b w:val="0"/>
          <w:bCs w:val="0"/>
          <w:color w:val="auto"/>
          <w:sz w:val="22"/>
          <w:szCs w:val="22"/>
          <w:highlight w:val="none"/>
        </w:rPr>
        <w:t>二、评审组织</w:t>
      </w:r>
    </w:p>
    <w:p w14:paraId="481C854F">
      <w:pPr>
        <w:pStyle w:val="23"/>
        <w:adjustRightInd w:val="0"/>
        <w:snapToGrid w:val="0"/>
        <w:spacing w:before="100" w:after="50" w:line="440" w:lineRule="atLeast"/>
        <w:rPr>
          <w:rFonts w:ascii="Cambria Math" w:hAnsi="Cambria Math" w:eastAsia="Cambria Math"/>
          <w:b w:val="0"/>
          <w:color w:val="auto"/>
          <w:sz w:val="22"/>
          <w:szCs w:val="22"/>
          <w:highlight w:val="none"/>
        </w:rPr>
      </w:pPr>
      <w:r>
        <w:rPr>
          <w:rFonts w:hint="eastAsia" w:ascii="Cambria Math" w:hAnsi="Cambria Math" w:eastAsia="Cambria Math"/>
          <w:b w:val="0"/>
          <w:color w:val="auto"/>
          <w:sz w:val="22"/>
          <w:szCs w:val="22"/>
          <w:highlight w:val="none"/>
        </w:rPr>
        <w:t>评审工作由采购机构依法组建的评标委员会负责，评标委员会由有关技术、经济专家共同组成。评审全过程由采购管理部门或纪检部门监督。</w:t>
      </w:r>
    </w:p>
    <w:p w14:paraId="473E2886">
      <w:pPr>
        <w:pStyle w:val="86"/>
        <w:widowControl w:val="0"/>
        <w:pBdr>
          <w:left w:val="none" w:color="auto" w:sz="0" w:space="0"/>
          <w:bottom w:val="none" w:color="auto" w:sz="0" w:space="0"/>
          <w:right w:val="none" w:color="auto" w:sz="0" w:space="0"/>
        </w:pBdr>
        <w:adjustRightInd w:val="0"/>
        <w:snapToGrid w:val="0"/>
        <w:spacing w:before="120" w:beforeLines="50" w:beforeAutospacing="0" w:after="50" w:afterAutospacing="0" w:line="440" w:lineRule="atLeast"/>
        <w:textAlignment w:val="auto"/>
        <w:rPr>
          <w:rFonts w:ascii="Cambria Math" w:hAnsi="Cambria Math" w:eastAsia="Cambria Math"/>
          <w:b w:val="0"/>
          <w:kern w:val="2"/>
          <w:sz w:val="22"/>
          <w:szCs w:val="22"/>
          <w:highlight w:val="none"/>
        </w:rPr>
      </w:pPr>
      <w:r>
        <w:rPr>
          <w:rFonts w:hint="eastAsia" w:ascii="Cambria Math" w:hAnsi="Cambria Math" w:eastAsia="Cambria Math"/>
          <w:b w:val="0"/>
          <w:kern w:val="2"/>
          <w:sz w:val="22"/>
          <w:szCs w:val="22"/>
          <w:highlight w:val="none"/>
        </w:rPr>
        <w:t>三、评标程序及评审办法</w:t>
      </w:r>
    </w:p>
    <w:p w14:paraId="104E8631">
      <w:pPr>
        <w:pStyle w:val="5"/>
        <w:adjustRightInd w:val="0"/>
        <w:snapToGrid w:val="0"/>
        <w:spacing w:before="120" w:beforeLines="50" w:after="50" w:line="440" w:lineRule="atLeast"/>
        <w:ind w:firstLine="440"/>
        <w:rPr>
          <w:rFonts w:ascii="Cambria Math" w:hAnsi="Cambria Math" w:eastAsia="Cambria Math"/>
          <w:b w:val="0"/>
          <w:color w:val="auto"/>
          <w:sz w:val="22"/>
          <w:szCs w:val="22"/>
          <w:highlight w:val="none"/>
        </w:rPr>
      </w:pPr>
      <w:r>
        <w:rPr>
          <w:rFonts w:hint="eastAsia" w:ascii="Cambria Math" w:hAnsi="Cambria Math" w:eastAsia="Cambria Math"/>
          <w:b w:val="0"/>
          <w:color w:val="auto"/>
          <w:sz w:val="22"/>
          <w:szCs w:val="22"/>
          <w:highlight w:val="none"/>
        </w:rPr>
        <w:t>本次开标，技术资信标和商务标分别开启，程序如下：</w:t>
      </w:r>
    </w:p>
    <w:p w14:paraId="569D1C9E">
      <w:pPr>
        <w:adjustRightInd w:val="0"/>
        <w:snapToGrid w:val="0"/>
        <w:spacing w:before="100" w:after="50" w:line="440" w:lineRule="atLeast"/>
        <w:ind w:firstLine="420"/>
        <w:rPr>
          <w:rFonts w:ascii="Cambria Math" w:hAnsi="Cambria Math" w:eastAsia="Cambria Math"/>
          <w:b w:val="0"/>
          <w:color w:val="auto"/>
          <w:sz w:val="22"/>
          <w:szCs w:val="22"/>
          <w:highlight w:val="none"/>
        </w:rPr>
      </w:pPr>
      <w:r>
        <w:rPr>
          <w:rFonts w:hint="eastAsia" w:ascii="Cambria Math" w:hAnsi="Cambria Math" w:eastAsia="Cambria Math"/>
          <w:b w:val="0"/>
          <w:color w:val="auto"/>
          <w:sz w:val="22"/>
          <w:szCs w:val="22"/>
          <w:highlight w:val="none"/>
        </w:rPr>
        <w:t>第一步：首先开启技术资信标，评标委员会根据评审原则和评审办法，对各供应商的资信、技术部分文件进行评审，技术资信标不满足采购文件规定的做无效报价文件处理，并退回商务报价文件。</w:t>
      </w:r>
    </w:p>
    <w:p w14:paraId="60921AA9">
      <w:pPr>
        <w:adjustRightInd w:val="0"/>
        <w:snapToGrid w:val="0"/>
        <w:spacing w:before="100" w:after="50" w:line="440" w:lineRule="atLeast"/>
        <w:ind w:firstLine="420"/>
        <w:rPr>
          <w:rFonts w:ascii="Cambria Math" w:hAnsi="Cambria Math" w:eastAsia="Cambria Math"/>
          <w:b w:val="0"/>
          <w:color w:val="auto"/>
          <w:sz w:val="22"/>
          <w:szCs w:val="22"/>
          <w:highlight w:val="none"/>
        </w:rPr>
      </w:pPr>
      <w:r>
        <w:rPr>
          <w:rFonts w:hint="eastAsia" w:ascii="Cambria Math" w:hAnsi="Cambria Math" w:eastAsia="Cambria Math"/>
          <w:b w:val="0"/>
          <w:color w:val="auto"/>
          <w:sz w:val="22"/>
          <w:szCs w:val="22"/>
          <w:highlight w:val="none"/>
        </w:rPr>
        <w:t>第二步：公开启技术资信标文件符合采购文件要求的有效供应商的商务报价文件。</w:t>
      </w:r>
    </w:p>
    <w:p w14:paraId="0B4FD60C">
      <w:pPr>
        <w:adjustRightInd w:val="0"/>
        <w:snapToGrid w:val="0"/>
        <w:spacing w:before="100" w:after="50" w:line="440" w:lineRule="atLeast"/>
        <w:ind w:firstLine="420"/>
        <w:rPr>
          <w:rFonts w:ascii="Cambria Math" w:hAnsi="Cambria Math" w:eastAsia="Cambria Math"/>
          <w:b w:val="0"/>
          <w:color w:val="auto"/>
          <w:sz w:val="22"/>
          <w:szCs w:val="22"/>
          <w:highlight w:val="none"/>
        </w:rPr>
      </w:pPr>
      <w:r>
        <w:rPr>
          <w:rFonts w:hint="eastAsia" w:ascii="Cambria Math" w:hAnsi="Cambria Math" w:eastAsia="Cambria Math"/>
          <w:b w:val="0"/>
          <w:color w:val="auto"/>
          <w:sz w:val="22"/>
          <w:szCs w:val="22"/>
          <w:highlight w:val="none"/>
        </w:rPr>
        <w:t>第三步：以技术资信部分和商务报价部分合计分值最高的供应商作为预中标供应商向采购人推荐：评标价计算原则按采购文件规定。</w:t>
      </w:r>
    </w:p>
    <w:p w14:paraId="65393B58">
      <w:pPr>
        <w:adjustRightInd w:val="0"/>
        <w:snapToGrid w:val="0"/>
        <w:spacing w:before="100" w:after="50" w:line="440" w:lineRule="atLeast"/>
        <w:ind w:firstLine="420"/>
        <w:rPr>
          <w:rFonts w:ascii="Cambria Math" w:hAnsi="Cambria Math" w:eastAsia="Cambria Math"/>
          <w:b w:val="0"/>
          <w:color w:val="auto"/>
          <w:sz w:val="22"/>
          <w:szCs w:val="22"/>
          <w:highlight w:val="none"/>
        </w:rPr>
      </w:pPr>
      <w:r>
        <w:rPr>
          <w:rFonts w:hint="eastAsia" w:ascii="Cambria Math" w:hAnsi="Cambria Math" w:eastAsia="Cambria Math"/>
          <w:b w:val="0"/>
          <w:color w:val="auto"/>
          <w:sz w:val="22"/>
          <w:szCs w:val="22"/>
          <w:highlight w:val="none"/>
        </w:rPr>
        <w:t>第四步：采购人授权由评标委员会根据评审报告直接确定中标供应商。</w:t>
      </w:r>
    </w:p>
    <w:p w14:paraId="423804B6">
      <w:pPr>
        <w:adjustRightInd w:val="0"/>
        <w:snapToGrid w:val="0"/>
        <w:spacing w:before="100" w:after="50" w:line="440" w:lineRule="atLeast"/>
        <w:ind w:firstLine="420"/>
        <w:rPr>
          <w:rFonts w:ascii="Cambria Math" w:hAnsi="Cambria Math" w:eastAsia="Cambria Math"/>
          <w:b w:val="0"/>
          <w:color w:val="auto"/>
          <w:sz w:val="22"/>
          <w:szCs w:val="22"/>
          <w:highlight w:val="none"/>
        </w:rPr>
      </w:pPr>
    </w:p>
    <w:p w14:paraId="252A4045">
      <w:pPr>
        <w:adjustRightInd w:val="0"/>
        <w:snapToGrid w:val="0"/>
        <w:spacing w:before="100" w:after="50" w:line="440" w:lineRule="atLeast"/>
        <w:ind w:firstLine="420"/>
        <w:rPr>
          <w:rFonts w:ascii="Cambria Math" w:hAnsi="Cambria Math" w:eastAsiaTheme="minorEastAsia"/>
          <w:b w:val="0"/>
          <w:color w:val="auto"/>
          <w:sz w:val="22"/>
          <w:szCs w:val="22"/>
          <w:highlight w:val="none"/>
        </w:rPr>
      </w:pPr>
    </w:p>
    <w:p w14:paraId="6922CEDD">
      <w:pPr>
        <w:pStyle w:val="23"/>
        <w:rPr>
          <w:highlight w:val="none"/>
        </w:rPr>
      </w:pPr>
    </w:p>
    <w:p w14:paraId="74838412">
      <w:pPr>
        <w:adjustRightInd w:val="0"/>
        <w:snapToGrid w:val="0"/>
        <w:spacing w:before="100" w:after="50" w:line="440" w:lineRule="atLeast"/>
        <w:rPr>
          <w:rFonts w:ascii="Cambria Math" w:hAnsi="Cambria Math"/>
          <w:b w:val="0"/>
          <w:color w:val="auto"/>
          <w:sz w:val="22"/>
          <w:szCs w:val="22"/>
          <w:highlight w:val="none"/>
        </w:rPr>
      </w:pPr>
    </w:p>
    <w:p w14:paraId="26D3FA53">
      <w:pPr>
        <w:adjustRightInd w:val="0"/>
        <w:snapToGrid w:val="0"/>
        <w:spacing w:before="100" w:after="50" w:line="440" w:lineRule="atLeast"/>
        <w:jc w:val="center"/>
        <w:rPr>
          <w:rFonts w:ascii="Cambria Math" w:hAnsi="Cambria Math" w:eastAsia="Cambria Math"/>
          <w:b w:val="0"/>
          <w:bCs w:val="0"/>
          <w:color w:val="auto"/>
          <w:sz w:val="24"/>
          <w:szCs w:val="24"/>
          <w:highlight w:val="none"/>
        </w:rPr>
      </w:pPr>
      <w:r>
        <w:rPr>
          <w:rFonts w:hint="eastAsia" w:ascii="Cambria Math" w:hAnsi="Cambria Math" w:eastAsia="Cambria Math"/>
          <w:b w:val="0"/>
          <w:bCs w:val="0"/>
          <w:color w:val="auto"/>
          <w:sz w:val="24"/>
          <w:szCs w:val="24"/>
          <w:highlight w:val="none"/>
        </w:rPr>
        <w:t>四、评分细则</w:t>
      </w:r>
    </w:p>
    <w:p w14:paraId="48024AAD">
      <w:pPr>
        <w:pStyle w:val="21"/>
        <w:adjustRightInd w:val="0"/>
        <w:snapToGrid w:val="0"/>
        <w:spacing w:line="440" w:lineRule="atLeast"/>
        <w:rPr>
          <w:rFonts w:hint="eastAsia" w:ascii="宋体" w:hAnsi="宋体" w:eastAsia="宋体"/>
          <w:b w:val="0"/>
          <w:bCs w:val="0"/>
          <w:color w:val="auto"/>
          <w:sz w:val="22"/>
          <w:szCs w:val="22"/>
          <w:highlight w:val="none"/>
        </w:rPr>
      </w:pPr>
      <w:r>
        <w:rPr>
          <w:rFonts w:hint="eastAsia" w:ascii="宋体" w:hAnsi="宋体" w:eastAsia="宋体"/>
          <w:b w:val="0"/>
          <w:bCs w:val="0"/>
          <w:color w:val="auto"/>
          <w:sz w:val="22"/>
          <w:szCs w:val="22"/>
          <w:highlight w:val="none"/>
        </w:rPr>
        <w:t>一、</w:t>
      </w:r>
      <w:r>
        <w:rPr>
          <w:rFonts w:hint="eastAsia" w:ascii="宋体" w:hAnsi="宋体" w:eastAsia="宋体"/>
          <w:b w:val="0"/>
          <w:bCs w:val="0"/>
          <w:color w:val="auto"/>
          <w:sz w:val="22"/>
          <w:szCs w:val="22"/>
          <w:highlight w:val="none"/>
          <w:u w:val="single"/>
        </w:rPr>
        <w:t>商务报价评分</w:t>
      </w:r>
      <w:r>
        <w:rPr>
          <w:rFonts w:hint="eastAsia" w:ascii="宋体" w:hAnsi="宋体" w:eastAsia="宋体"/>
          <w:b w:val="0"/>
          <w:bCs w:val="0"/>
          <w:color w:val="auto"/>
          <w:sz w:val="22"/>
          <w:szCs w:val="22"/>
          <w:highlight w:val="none"/>
          <w:lang w:val="en-US" w:eastAsia="zh-CN"/>
        </w:rPr>
        <w:t>2</w:t>
      </w:r>
      <w:r>
        <w:rPr>
          <w:rFonts w:ascii="宋体" w:hAnsi="宋体" w:eastAsia="宋体"/>
          <w:b w:val="0"/>
          <w:bCs w:val="0"/>
          <w:color w:val="auto"/>
          <w:sz w:val="22"/>
          <w:szCs w:val="22"/>
          <w:highlight w:val="none"/>
        </w:rPr>
        <w:t>0</w:t>
      </w:r>
      <w:r>
        <w:rPr>
          <w:rFonts w:hint="eastAsia" w:ascii="宋体" w:hAnsi="宋体" w:eastAsia="宋体"/>
          <w:b w:val="0"/>
          <w:bCs w:val="0"/>
          <w:color w:val="auto"/>
          <w:sz w:val="22"/>
          <w:szCs w:val="22"/>
          <w:highlight w:val="none"/>
        </w:rPr>
        <w:t>分</w:t>
      </w:r>
    </w:p>
    <w:p w14:paraId="36017C4D">
      <w:pPr>
        <w:adjustRightInd w:val="0"/>
        <w:snapToGrid w:val="0"/>
        <w:spacing w:before="100" w:after="50" w:line="440" w:lineRule="atLeast"/>
        <w:ind w:firstLine="420"/>
        <w:rPr>
          <w:rFonts w:hint="eastAsia" w:ascii="宋体" w:hAnsi="宋体"/>
          <w:b w:val="0"/>
          <w:color w:val="auto"/>
          <w:sz w:val="22"/>
          <w:szCs w:val="22"/>
          <w:highlight w:val="none"/>
          <w:u w:val="single"/>
        </w:rPr>
      </w:pPr>
      <w:r>
        <w:rPr>
          <w:rFonts w:hint="eastAsia" w:ascii="宋体" w:hAnsi="宋体"/>
          <w:b w:val="0"/>
          <w:color w:val="auto"/>
          <w:sz w:val="22"/>
          <w:szCs w:val="22"/>
          <w:highlight w:val="none"/>
          <w:u w:val="single"/>
        </w:rPr>
        <w:t>1、以供应商有效投标价中的最低报价为评标基准价，得满分</w:t>
      </w:r>
      <w:r>
        <w:rPr>
          <w:rFonts w:hint="eastAsia" w:ascii="宋体" w:hAnsi="宋体"/>
          <w:b w:val="0"/>
          <w:color w:val="auto"/>
          <w:sz w:val="22"/>
          <w:szCs w:val="22"/>
          <w:highlight w:val="none"/>
          <w:u w:val="single"/>
          <w:lang w:val="en-US" w:eastAsia="zh-CN"/>
        </w:rPr>
        <w:t>2</w:t>
      </w:r>
      <w:r>
        <w:rPr>
          <w:rFonts w:ascii="宋体" w:hAnsi="宋体"/>
          <w:b w:val="0"/>
          <w:color w:val="auto"/>
          <w:sz w:val="22"/>
          <w:szCs w:val="22"/>
          <w:highlight w:val="none"/>
          <w:u w:val="single"/>
        </w:rPr>
        <w:t>0</w:t>
      </w:r>
      <w:r>
        <w:rPr>
          <w:rFonts w:hint="eastAsia" w:ascii="宋体" w:hAnsi="宋体"/>
          <w:b w:val="0"/>
          <w:color w:val="auto"/>
          <w:sz w:val="22"/>
          <w:szCs w:val="22"/>
          <w:highlight w:val="none"/>
          <w:u w:val="single"/>
        </w:rPr>
        <w:t>分。商务报价评分结算公式为:投标报价得分=(评标基准价／投标报价)×</w:t>
      </w:r>
      <w:r>
        <w:rPr>
          <w:rFonts w:hint="eastAsia" w:ascii="宋体" w:hAnsi="宋体"/>
          <w:b w:val="0"/>
          <w:color w:val="auto"/>
          <w:sz w:val="22"/>
          <w:szCs w:val="22"/>
          <w:highlight w:val="none"/>
          <w:u w:val="single"/>
          <w:lang w:val="en-US" w:eastAsia="zh-CN"/>
        </w:rPr>
        <w:t>2</w:t>
      </w:r>
      <w:r>
        <w:rPr>
          <w:rFonts w:ascii="宋体" w:hAnsi="宋体"/>
          <w:b w:val="0"/>
          <w:color w:val="auto"/>
          <w:sz w:val="22"/>
          <w:szCs w:val="22"/>
          <w:highlight w:val="none"/>
          <w:u w:val="single"/>
        </w:rPr>
        <w:t>0</w:t>
      </w:r>
      <w:r>
        <w:rPr>
          <w:rFonts w:hint="eastAsia" w:ascii="宋体" w:hAnsi="宋体"/>
          <w:b w:val="0"/>
          <w:color w:val="auto"/>
          <w:sz w:val="22"/>
          <w:szCs w:val="22"/>
          <w:highlight w:val="none"/>
          <w:u w:val="single"/>
        </w:rPr>
        <w:t>%×100</w:t>
      </w:r>
    </w:p>
    <w:p w14:paraId="700F567E">
      <w:pPr>
        <w:adjustRightInd w:val="0"/>
        <w:snapToGrid w:val="0"/>
        <w:spacing w:before="100" w:after="50" w:line="440" w:lineRule="atLeast"/>
        <w:ind w:firstLine="420"/>
        <w:rPr>
          <w:rFonts w:hint="eastAsia" w:ascii="宋体" w:hAnsi="宋体"/>
          <w:b w:val="0"/>
          <w:color w:val="auto"/>
          <w:sz w:val="22"/>
          <w:szCs w:val="22"/>
          <w:highlight w:val="none"/>
          <w:u w:val="single"/>
        </w:rPr>
      </w:pPr>
      <w:r>
        <w:rPr>
          <w:rFonts w:hint="eastAsia" w:ascii="宋体" w:hAnsi="宋体"/>
          <w:b w:val="0"/>
          <w:color w:val="auto"/>
          <w:sz w:val="22"/>
          <w:szCs w:val="22"/>
          <w:highlight w:val="none"/>
        </w:rPr>
        <w:t>2、</w:t>
      </w:r>
      <w:r>
        <w:rPr>
          <w:rFonts w:ascii="宋体" w:hAnsi="宋体"/>
          <w:b w:val="0"/>
          <w:color w:val="auto"/>
          <w:sz w:val="22"/>
          <w:szCs w:val="22"/>
          <w:highlight w:val="none"/>
          <w:u w:val="single"/>
        </w:rPr>
        <w:t>重要提示：为防止恶意竞标的行为，评审小组认为投标供应商的报价明显低于其他通过符合性审查的投标供应商的报价，有可能影响产品质量或者不能诚信履约的，将要求投标供应商在合理的时间内提供书面说明，必要时提交相关证明材料；投标供应商不能证明其报价合理性的，评审小组将认定为无效投标。</w:t>
      </w:r>
    </w:p>
    <w:p w14:paraId="722A06B7">
      <w:pPr>
        <w:adjustRightInd w:val="0"/>
        <w:snapToGrid w:val="0"/>
        <w:spacing w:line="400" w:lineRule="atLeast"/>
        <w:rPr>
          <w:rFonts w:hint="eastAsia" w:ascii="宋体" w:hAnsi="宋体"/>
          <w:b w:val="0"/>
          <w:color w:val="auto"/>
          <w:sz w:val="22"/>
          <w:szCs w:val="22"/>
          <w:highlight w:val="none"/>
        </w:rPr>
      </w:pPr>
      <w:r>
        <w:rPr>
          <w:rFonts w:hint="eastAsia" w:ascii="宋体" w:hAnsi="宋体"/>
          <w:b w:val="0"/>
          <w:color w:val="auto"/>
          <w:sz w:val="22"/>
          <w:szCs w:val="22"/>
          <w:highlight w:val="none"/>
        </w:rPr>
        <w:t>二、</w:t>
      </w:r>
      <w:r>
        <w:rPr>
          <w:rFonts w:hint="eastAsia" w:ascii="宋体" w:hAnsi="宋体"/>
          <w:b w:val="0"/>
          <w:color w:val="auto"/>
          <w:sz w:val="22"/>
          <w:szCs w:val="22"/>
          <w:highlight w:val="none"/>
          <w:u w:val="single"/>
        </w:rPr>
        <w:t>技术资信综合评分</w:t>
      </w:r>
      <w:r>
        <w:rPr>
          <w:rFonts w:hint="eastAsia" w:ascii="宋体" w:hAnsi="宋体"/>
          <w:b w:val="0"/>
          <w:color w:val="auto"/>
          <w:sz w:val="22"/>
          <w:szCs w:val="22"/>
          <w:highlight w:val="none"/>
          <w:lang w:val="en-US" w:eastAsia="zh-CN"/>
        </w:rPr>
        <w:t>8</w:t>
      </w:r>
      <w:r>
        <w:rPr>
          <w:rFonts w:ascii="宋体" w:hAnsi="宋体"/>
          <w:b w:val="0"/>
          <w:color w:val="auto"/>
          <w:sz w:val="22"/>
          <w:szCs w:val="22"/>
          <w:highlight w:val="none"/>
        </w:rPr>
        <w:t>0</w:t>
      </w:r>
      <w:r>
        <w:rPr>
          <w:rFonts w:hint="eastAsia" w:ascii="宋体" w:hAnsi="宋体"/>
          <w:b w:val="0"/>
          <w:color w:val="auto"/>
          <w:sz w:val="22"/>
          <w:szCs w:val="22"/>
          <w:highlight w:val="none"/>
        </w:rPr>
        <w:t>分</w:t>
      </w:r>
    </w:p>
    <w:tbl>
      <w:tblPr>
        <w:tblStyle w:val="35"/>
        <w:tblW w:w="0" w:type="auto"/>
        <w:jc w:val="center"/>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Layout w:type="autofit"/>
        <w:tblCellMar>
          <w:top w:w="0" w:type="dxa"/>
          <w:left w:w="108" w:type="dxa"/>
          <w:bottom w:w="0" w:type="dxa"/>
          <w:right w:w="108" w:type="dxa"/>
        </w:tblCellMar>
      </w:tblPr>
      <w:tblGrid>
        <w:gridCol w:w="728"/>
        <w:gridCol w:w="1338"/>
        <w:gridCol w:w="742"/>
        <w:gridCol w:w="5708"/>
      </w:tblGrid>
      <w:tr w14:paraId="41EC6AD0">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578" w:hRule="atLeast"/>
          <w:jc w:val="center"/>
        </w:trPr>
        <w:tc>
          <w:tcPr>
            <w:tcW w:w="728" w:type="dxa"/>
            <w:shd w:val="clear" w:color="auto" w:fill="auto"/>
            <w:vAlign w:val="center"/>
          </w:tcPr>
          <w:p w14:paraId="0087CE46">
            <w:pPr>
              <w:jc w:val="center"/>
              <w:rPr>
                <w:rFonts w:asciiTheme="minorEastAsia" w:hAnsiTheme="minorEastAsia" w:eastAsiaTheme="minorEastAsia"/>
                <w:b w:val="0"/>
                <w:sz w:val="22"/>
                <w:szCs w:val="22"/>
                <w:highlight w:val="none"/>
              </w:rPr>
            </w:pPr>
            <w:bookmarkStart w:id="174" w:name="_Hlk176423960"/>
            <w:r>
              <w:rPr>
                <w:rFonts w:hint="eastAsia" w:asciiTheme="minorEastAsia" w:hAnsiTheme="minorEastAsia" w:eastAsiaTheme="minorEastAsia"/>
                <w:b w:val="0"/>
                <w:sz w:val="22"/>
                <w:szCs w:val="22"/>
                <w:highlight w:val="none"/>
              </w:rPr>
              <w:t>序号</w:t>
            </w:r>
          </w:p>
        </w:tc>
        <w:tc>
          <w:tcPr>
            <w:tcW w:w="1338" w:type="dxa"/>
            <w:shd w:val="clear" w:color="auto" w:fill="auto"/>
            <w:vAlign w:val="center"/>
          </w:tcPr>
          <w:p w14:paraId="41848BEE">
            <w:pPr>
              <w:jc w:val="center"/>
              <w:rPr>
                <w:rFonts w:hint="eastAsia" w:asciiTheme="minorEastAsia" w:hAnsiTheme="minorEastAsia" w:eastAsiaTheme="minorEastAsia"/>
                <w:b w:val="0"/>
                <w:sz w:val="22"/>
                <w:szCs w:val="22"/>
                <w:highlight w:val="none"/>
              </w:rPr>
            </w:pPr>
            <w:r>
              <w:rPr>
                <w:rFonts w:hint="eastAsia" w:asciiTheme="minorEastAsia" w:hAnsiTheme="minorEastAsia" w:eastAsiaTheme="minorEastAsia"/>
                <w:b w:val="0"/>
                <w:sz w:val="22"/>
                <w:szCs w:val="22"/>
                <w:highlight w:val="none"/>
              </w:rPr>
              <w:t>评分内容</w:t>
            </w:r>
          </w:p>
        </w:tc>
        <w:tc>
          <w:tcPr>
            <w:tcW w:w="742" w:type="dxa"/>
            <w:shd w:val="clear" w:color="auto" w:fill="auto"/>
            <w:vAlign w:val="center"/>
          </w:tcPr>
          <w:p w14:paraId="76CE741C">
            <w:pPr>
              <w:jc w:val="center"/>
              <w:rPr>
                <w:rFonts w:hint="eastAsia" w:asciiTheme="minorEastAsia" w:hAnsiTheme="minorEastAsia" w:eastAsiaTheme="minorEastAsia"/>
                <w:b w:val="0"/>
                <w:sz w:val="22"/>
                <w:szCs w:val="22"/>
                <w:highlight w:val="none"/>
              </w:rPr>
            </w:pPr>
            <w:r>
              <w:rPr>
                <w:rFonts w:hint="eastAsia" w:asciiTheme="minorEastAsia" w:hAnsiTheme="minorEastAsia" w:eastAsiaTheme="minorEastAsia"/>
                <w:b w:val="0"/>
                <w:sz w:val="22"/>
                <w:szCs w:val="22"/>
                <w:highlight w:val="none"/>
              </w:rPr>
              <w:t>分值</w:t>
            </w:r>
          </w:p>
        </w:tc>
        <w:tc>
          <w:tcPr>
            <w:tcW w:w="5708" w:type="dxa"/>
            <w:shd w:val="clear" w:color="auto" w:fill="auto"/>
            <w:vAlign w:val="center"/>
          </w:tcPr>
          <w:p w14:paraId="69190FF1">
            <w:pPr>
              <w:jc w:val="center"/>
              <w:rPr>
                <w:rFonts w:hint="eastAsia" w:asciiTheme="minorEastAsia" w:hAnsiTheme="minorEastAsia" w:eastAsiaTheme="minorEastAsia"/>
                <w:b w:val="0"/>
                <w:sz w:val="22"/>
                <w:szCs w:val="22"/>
                <w:highlight w:val="none"/>
              </w:rPr>
            </w:pPr>
            <w:r>
              <w:rPr>
                <w:rFonts w:hint="eastAsia" w:asciiTheme="minorEastAsia" w:hAnsiTheme="minorEastAsia" w:eastAsiaTheme="minorEastAsia"/>
                <w:b w:val="0"/>
                <w:sz w:val="22"/>
                <w:szCs w:val="22"/>
                <w:highlight w:val="none"/>
              </w:rPr>
              <w:t>评分标准</w:t>
            </w:r>
          </w:p>
        </w:tc>
      </w:tr>
      <w:tr w14:paraId="7CE5B8EF">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jc w:val="center"/>
        </w:trPr>
        <w:tc>
          <w:tcPr>
            <w:tcW w:w="728" w:type="dxa"/>
            <w:shd w:val="clear" w:color="auto" w:fill="auto"/>
            <w:vAlign w:val="center"/>
          </w:tcPr>
          <w:p w14:paraId="39F30305">
            <w:pPr>
              <w:jc w:val="center"/>
              <w:rPr>
                <w:rFonts w:hint="eastAsia" w:asciiTheme="minorEastAsia" w:hAnsiTheme="minorEastAsia" w:eastAsiaTheme="minorEastAsia"/>
                <w:b w:val="0"/>
                <w:sz w:val="22"/>
                <w:szCs w:val="22"/>
                <w:highlight w:val="none"/>
              </w:rPr>
            </w:pPr>
            <w:r>
              <w:rPr>
                <w:rFonts w:hint="eastAsia" w:asciiTheme="minorEastAsia" w:hAnsiTheme="minorEastAsia" w:eastAsiaTheme="minorEastAsia"/>
                <w:b w:val="0"/>
                <w:sz w:val="22"/>
                <w:szCs w:val="22"/>
                <w:highlight w:val="none"/>
              </w:rPr>
              <w:t>1</w:t>
            </w:r>
          </w:p>
        </w:tc>
        <w:tc>
          <w:tcPr>
            <w:tcW w:w="1338" w:type="dxa"/>
            <w:shd w:val="clear" w:color="auto" w:fill="auto"/>
            <w:vAlign w:val="center"/>
          </w:tcPr>
          <w:p w14:paraId="0B7F42B9">
            <w:pPr>
              <w:jc w:val="center"/>
              <w:rPr>
                <w:rFonts w:hint="eastAsia" w:asciiTheme="minorEastAsia" w:hAnsiTheme="minorEastAsia" w:eastAsiaTheme="minorEastAsia"/>
                <w:b w:val="0"/>
                <w:sz w:val="22"/>
                <w:szCs w:val="22"/>
                <w:highlight w:val="none"/>
              </w:rPr>
            </w:pPr>
            <w:r>
              <w:rPr>
                <w:rFonts w:hint="eastAsia" w:asciiTheme="minorEastAsia" w:hAnsiTheme="minorEastAsia" w:eastAsiaTheme="minorEastAsia"/>
                <w:b w:val="0"/>
                <w:sz w:val="22"/>
                <w:szCs w:val="22"/>
                <w:highlight w:val="none"/>
              </w:rPr>
              <w:t>偿付能力</w:t>
            </w:r>
          </w:p>
        </w:tc>
        <w:tc>
          <w:tcPr>
            <w:tcW w:w="742" w:type="dxa"/>
            <w:shd w:val="clear" w:color="auto" w:fill="auto"/>
            <w:vAlign w:val="center"/>
          </w:tcPr>
          <w:p w14:paraId="24A05BE5">
            <w:pPr>
              <w:jc w:val="center"/>
              <w:rPr>
                <w:rFonts w:hint="eastAsia" w:asciiTheme="minorEastAsia" w:hAnsiTheme="minorEastAsia" w:eastAsiaTheme="minorEastAsia"/>
                <w:b w:val="0"/>
                <w:sz w:val="22"/>
                <w:szCs w:val="22"/>
                <w:highlight w:val="none"/>
              </w:rPr>
            </w:pPr>
            <w:r>
              <w:rPr>
                <w:rFonts w:hint="eastAsia" w:asciiTheme="minorEastAsia" w:hAnsiTheme="minorEastAsia" w:eastAsiaTheme="minorEastAsia"/>
                <w:b w:val="0"/>
                <w:sz w:val="22"/>
                <w:szCs w:val="22"/>
                <w:highlight w:val="none"/>
              </w:rPr>
              <w:t>0-10</w:t>
            </w:r>
          </w:p>
        </w:tc>
        <w:tc>
          <w:tcPr>
            <w:tcW w:w="5708" w:type="dxa"/>
            <w:shd w:val="clear" w:color="auto" w:fill="auto"/>
            <w:vAlign w:val="center"/>
          </w:tcPr>
          <w:p w14:paraId="55C43BCE">
            <w:pPr>
              <w:jc w:val="left"/>
              <w:rPr>
                <w:rFonts w:asciiTheme="minorEastAsia" w:hAnsiTheme="minorEastAsia" w:eastAsiaTheme="minorEastAsia"/>
                <w:b w:val="0"/>
                <w:sz w:val="22"/>
                <w:szCs w:val="22"/>
                <w:highlight w:val="none"/>
              </w:rPr>
            </w:pPr>
            <w:r>
              <w:rPr>
                <w:rFonts w:hint="eastAsia" w:asciiTheme="minorEastAsia" w:hAnsiTheme="minorEastAsia" w:eastAsiaTheme="minorEastAsia"/>
                <w:b w:val="0"/>
                <w:sz w:val="22"/>
                <w:szCs w:val="22"/>
                <w:highlight w:val="none"/>
              </w:rPr>
              <w:t>投标供应商总公司2021年-2023年连续三年核心偿付能力情况进行评分，连续三年200%以上得10分；一年低于200%高于150%得5分；一年低于150%或两年及以上低于200%不得分。</w:t>
            </w:r>
          </w:p>
          <w:p w14:paraId="0EC55446">
            <w:pPr>
              <w:jc w:val="left"/>
              <w:rPr>
                <w:rFonts w:hint="eastAsia" w:asciiTheme="minorEastAsia" w:hAnsiTheme="minorEastAsia" w:eastAsiaTheme="minorEastAsia"/>
                <w:b w:val="0"/>
                <w:sz w:val="22"/>
                <w:szCs w:val="22"/>
                <w:highlight w:val="none"/>
              </w:rPr>
            </w:pPr>
            <w:r>
              <w:rPr>
                <w:rFonts w:hint="eastAsia" w:asciiTheme="minorEastAsia" w:hAnsiTheme="minorEastAsia" w:eastAsiaTheme="minorEastAsia"/>
                <w:b w:val="0"/>
                <w:sz w:val="22"/>
                <w:szCs w:val="22"/>
                <w:highlight w:val="none"/>
              </w:rPr>
              <w:t>注：以2021-2023年经会计事务所审计的审计报告数据为准，投标文件中提供2021-2023年审计报告数据相关界面复印件加盖投标供应商公章，否则不得分。</w:t>
            </w:r>
          </w:p>
        </w:tc>
      </w:tr>
      <w:tr w14:paraId="305DFC0D">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jc w:val="center"/>
        </w:trPr>
        <w:tc>
          <w:tcPr>
            <w:tcW w:w="728" w:type="dxa"/>
            <w:shd w:val="clear" w:color="auto" w:fill="auto"/>
            <w:vAlign w:val="center"/>
          </w:tcPr>
          <w:p w14:paraId="24524EA5">
            <w:pPr>
              <w:jc w:val="center"/>
              <w:rPr>
                <w:rFonts w:hint="eastAsia" w:asciiTheme="minorEastAsia" w:hAnsiTheme="minorEastAsia" w:eastAsiaTheme="minorEastAsia"/>
                <w:b w:val="0"/>
                <w:sz w:val="22"/>
                <w:szCs w:val="22"/>
                <w:highlight w:val="none"/>
              </w:rPr>
            </w:pPr>
            <w:r>
              <w:rPr>
                <w:rFonts w:hint="eastAsia" w:asciiTheme="minorEastAsia" w:hAnsiTheme="minorEastAsia" w:eastAsiaTheme="minorEastAsia"/>
                <w:b w:val="0"/>
                <w:sz w:val="22"/>
                <w:szCs w:val="22"/>
                <w:highlight w:val="none"/>
              </w:rPr>
              <w:t>2</w:t>
            </w:r>
          </w:p>
        </w:tc>
        <w:tc>
          <w:tcPr>
            <w:tcW w:w="1338" w:type="dxa"/>
            <w:shd w:val="clear" w:color="auto" w:fill="auto"/>
            <w:vAlign w:val="center"/>
          </w:tcPr>
          <w:p w14:paraId="2962EC86">
            <w:pPr>
              <w:jc w:val="center"/>
              <w:rPr>
                <w:rFonts w:hint="eastAsia" w:asciiTheme="minorEastAsia" w:hAnsiTheme="minorEastAsia" w:eastAsiaTheme="minorEastAsia"/>
                <w:b w:val="0"/>
                <w:sz w:val="22"/>
                <w:szCs w:val="22"/>
                <w:highlight w:val="none"/>
              </w:rPr>
            </w:pPr>
            <w:r>
              <w:rPr>
                <w:rFonts w:hint="eastAsia" w:asciiTheme="minorEastAsia" w:hAnsiTheme="minorEastAsia" w:eastAsiaTheme="minorEastAsia"/>
                <w:b w:val="0"/>
                <w:sz w:val="22"/>
                <w:szCs w:val="22"/>
                <w:highlight w:val="none"/>
              </w:rPr>
              <w:t>投诉率</w:t>
            </w:r>
          </w:p>
        </w:tc>
        <w:tc>
          <w:tcPr>
            <w:tcW w:w="742" w:type="dxa"/>
            <w:shd w:val="clear" w:color="auto" w:fill="auto"/>
            <w:vAlign w:val="center"/>
          </w:tcPr>
          <w:p w14:paraId="7AEA2FA0">
            <w:pPr>
              <w:jc w:val="center"/>
              <w:rPr>
                <w:rFonts w:hint="eastAsia" w:asciiTheme="minorEastAsia" w:hAnsiTheme="minorEastAsia" w:eastAsiaTheme="minorEastAsia"/>
                <w:b w:val="0"/>
                <w:sz w:val="22"/>
                <w:szCs w:val="22"/>
                <w:highlight w:val="none"/>
              </w:rPr>
            </w:pPr>
            <w:r>
              <w:rPr>
                <w:rFonts w:hint="eastAsia" w:asciiTheme="minorEastAsia" w:hAnsiTheme="minorEastAsia" w:eastAsiaTheme="minorEastAsia"/>
                <w:b w:val="0"/>
                <w:sz w:val="22"/>
                <w:szCs w:val="22"/>
                <w:highlight w:val="none"/>
              </w:rPr>
              <w:t>0-6</w:t>
            </w:r>
          </w:p>
        </w:tc>
        <w:tc>
          <w:tcPr>
            <w:tcW w:w="5708" w:type="dxa"/>
            <w:shd w:val="clear" w:color="auto" w:fill="auto"/>
            <w:vAlign w:val="center"/>
          </w:tcPr>
          <w:p w14:paraId="514A47B0">
            <w:pPr>
              <w:jc w:val="left"/>
              <w:rPr>
                <w:rFonts w:asciiTheme="minorEastAsia" w:hAnsiTheme="minorEastAsia" w:eastAsiaTheme="minorEastAsia"/>
                <w:b w:val="0"/>
                <w:sz w:val="22"/>
                <w:szCs w:val="22"/>
                <w:highlight w:val="none"/>
              </w:rPr>
            </w:pPr>
            <w:r>
              <w:rPr>
                <w:rFonts w:hint="eastAsia" w:asciiTheme="minorEastAsia" w:hAnsiTheme="minorEastAsia" w:eastAsiaTheme="minorEastAsia"/>
                <w:b w:val="0"/>
                <w:sz w:val="22"/>
                <w:szCs w:val="22"/>
                <w:highlight w:val="none"/>
              </w:rPr>
              <w:t>投标供应商总公司2023年度保险公司万张保单投诉量从低到高排名：排名第一得6分，排名第二得4分，排名第三得2分，其余不得分。</w:t>
            </w:r>
          </w:p>
          <w:p w14:paraId="6CC87A00">
            <w:pPr>
              <w:jc w:val="left"/>
              <w:rPr>
                <w:rFonts w:hint="eastAsia" w:asciiTheme="minorEastAsia" w:hAnsiTheme="minorEastAsia" w:eastAsiaTheme="minorEastAsia"/>
                <w:b w:val="0"/>
                <w:sz w:val="22"/>
                <w:szCs w:val="22"/>
                <w:highlight w:val="none"/>
              </w:rPr>
            </w:pPr>
            <w:r>
              <w:rPr>
                <w:rFonts w:hint="eastAsia" w:asciiTheme="minorEastAsia" w:hAnsiTheme="minorEastAsia" w:eastAsiaTheme="minorEastAsia"/>
                <w:b w:val="0"/>
                <w:sz w:val="22"/>
                <w:szCs w:val="22"/>
                <w:highlight w:val="none"/>
              </w:rPr>
              <w:t>注：以国家金融监督管理总局官网截图为准。</w:t>
            </w:r>
          </w:p>
        </w:tc>
      </w:tr>
      <w:tr w14:paraId="1507479D">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jc w:val="center"/>
        </w:trPr>
        <w:tc>
          <w:tcPr>
            <w:tcW w:w="728" w:type="dxa"/>
            <w:shd w:val="clear" w:color="auto" w:fill="auto"/>
            <w:vAlign w:val="center"/>
          </w:tcPr>
          <w:p w14:paraId="2D37CD52">
            <w:pPr>
              <w:jc w:val="center"/>
              <w:rPr>
                <w:rFonts w:hint="eastAsia" w:asciiTheme="minorEastAsia" w:hAnsiTheme="minorEastAsia" w:eastAsiaTheme="minorEastAsia"/>
                <w:b w:val="0"/>
                <w:sz w:val="22"/>
                <w:szCs w:val="22"/>
                <w:highlight w:val="none"/>
              </w:rPr>
            </w:pPr>
            <w:r>
              <w:rPr>
                <w:rFonts w:hint="eastAsia" w:asciiTheme="minorEastAsia" w:hAnsiTheme="minorEastAsia" w:eastAsiaTheme="minorEastAsia"/>
                <w:b w:val="0"/>
                <w:sz w:val="22"/>
                <w:szCs w:val="22"/>
                <w:highlight w:val="none"/>
              </w:rPr>
              <w:t>3</w:t>
            </w:r>
          </w:p>
        </w:tc>
        <w:tc>
          <w:tcPr>
            <w:tcW w:w="1338" w:type="dxa"/>
            <w:shd w:val="clear" w:color="auto" w:fill="auto"/>
            <w:vAlign w:val="center"/>
          </w:tcPr>
          <w:p w14:paraId="20A6FF27">
            <w:pPr>
              <w:jc w:val="center"/>
              <w:rPr>
                <w:rFonts w:hint="eastAsia" w:asciiTheme="minorEastAsia" w:hAnsiTheme="minorEastAsia" w:eastAsiaTheme="minorEastAsia"/>
                <w:b w:val="0"/>
                <w:sz w:val="22"/>
                <w:szCs w:val="22"/>
                <w:highlight w:val="none"/>
              </w:rPr>
            </w:pPr>
            <w:r>
              <w:rPr>
                <w:rFonts w:hint="eastAsia" w:asciiTheme="minorEastAsia" w:hAnsiTheme="minorEastAsia" w:eastAsiaTheme="minorEastAsia"/>
                <w:b w:val="0"/>
                <w:sz w:val="22"/>
                <w:szCs w:val="22"/>
                <w:highlight w:val="none"/>
              </w:rPr>
              <w:t>法人经营评价结果</w:t>
            </w:r>
          </w:p>
        </w:tc>
        <w:tc>
          <w:tcPr>
            <w:tcW w:w="742" w:type="dxa"/>
            <w:shd w:val="clear" w:color="auto" w:fill="auto"/>
            <w:vAlign w:val="center"/>
          </w:tcPr>
          <w:p w14:paraId="36229555">
            <w:pPr>
              <w:jc w:val="center"/>
              <w:rPr>
                <w:rFonts w:hint="eastAsia" w:asciiTheme="minorEastAsia" w:hAnsiTheme="minorEastAsia" w:eastAsiaTheme="minorEastAsia"/>
                <w:b w:val="0"/>
                <w:sz w:val="22"/>
                <w:szCs w:val="22"/>
                <w:highlight w:val="none"/>
              </w:rPr>
            </w:pPr>
            <w:r>
              <w:rPr>
                <w:rFonts w:hint="eastAsia" w:asciiTheme="minorEastAsia" w:hAnsiTheme="minorEastAsia" w:eastAsiaTheme="minorEastAsia"/>
                <w:b w:val="0"/>
                <w:sz w:val="22"/>
                <w:szCs w:val="22"/>
                <w:highlight w:val="none"/>
              </w:rPr>
              <w:t>0-5</w:t>
            </w:r>
          </w:p>
        </w:tc>
        <w:tc>
          <w:tcPr>
            <w:tcW w:w="5708" w:type="dxa"/>
            <w:shd w:val="clear" w:color="auto" w:fill="auto"/>
            <w:vAlign w:val="center"/>
          </w:tcPr>
          <w:p w14:paraId="76EC25EF">
            <w:pPr>
              <w:jc w:val="left"/>
              <w:rPr>
                <w:rFonts w:hint="eastAsia" w:asciiTheme="minorEastAsia" w:hAnsiTheme="minorEastAsia" w:eastAsiaTheme="minorEastAsia"/>
                <w:b w:val="0"/>
                <w:sz w:val="22"/>
                <w:szCs w:val="22"/>
                <w:highlight w:val="none"/>
              </w:rPr>
            </w:pPr>
            <w:r>
              <w:rPr>
                <w:rFonts w:hint="eastAsia" w:asciiTheme="minorEastAsia" w:hAnsiTheme="minorEastAsia" w:eastAsiaTheme="minorEastAsia"/>
                <w:b w:val="0"/>
                <w:sz w:val="22"/>
                <w:szCs w:val="22"/>
                <w:highlight w:val="none"/>
              </w:rPr>
              <w:t>投标供应商总公司2022年度财产险公司经营评价结果：A级得5分，B级4分，C级得2分。注：以中国保险行业协会评价为准。</w:t>
            </w:r>
          </w:p>
        </w:tc>
      </w:tr>
      <w:tr w14:paraId="07E50752">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jc w:val="center"/>
        </w:trPr>
        <w:tc>
          <w:tcPr>
            <w:tcW w:w="728" w:type="dxa"/>
            <w:shd w:val="clear" w:color="auto" w:fill="auto"/>
            <w:vAlign w:val="center"/>
          </w:tcPr>
          <w:p w14:paraId="02966FA6">
            <w:pPr>
              <w:jc w:val="center"/>
              <w:rPr>
                <w:rFonts w:hint="eastAsia" w:asciiTheme="minorEastAsia" w:hAnsiTheme="minorEastAsia" w:eastAsiaTheme="minorEastAsia"/>
                <w:b w:val="0"/>
                <w:sz w:val="22"/>
                <w:szCs w:val="22"/>
                <w:highlight w:val="none"/>
              </w:rPr>
            </w:pPr>
            <w:r>
              <w:rPr>
                <w:rFonts w:hint="eastAsia" w:asciiTheme="minorEastAsia" w:hAnsiTheme="minorEastAsia" w:eastAsiaTheme="minorEastAsia"/>
                <w:b w:val="0"/>
                <w:sz w:val="22"/>
                <w:szCs w:val="22"/>
                <w:highlight w:val="none"/>
              </w:rPr>
              <w:t>4</w:t>
            </w:r>
          </w:p>
        </w:tc>
        <w:tc>
          <w:tcPr>
            <w:tcW w:w="1338" w:type="dxa"/>
            <w:shd w:val="clear" w:color="auto" w:fill="auto"/>
            <w:vAlign w:val="center"/>
          </w:tcPr>
          <w:p w14:paraId="1A17A409">
            <w:pPr>
              <w:jc w:val="center"/>
              <w:rPr>
                <w:rFonts w:hint="eastAsia" w:asciiTheme="minorEastAsia" w:hAnsiTheme="minorEastAsia" w:eastAsiaTheme="minorEastAsia"/>
                <w:b w:val="0"/>
                <w:sz w:val="22"/>
                <w:szCs w:val="22"/>
                <w:highlight w:val="none"/>
              </w:rPr>
            </w:pPr>
            <w:r>
              <w:rPr>
                <w:rFonts w:hint="eastAsia" w:asciiTheme="minorEastAsia" w:hAnsiTheme="minorEastAsia" w:eastAsiaTheme="minorEastAsia"/>
                <w:b w:val="0"/>
                <w:sz w:val="22"/>
                <w:szCs w:val="22"/>
                <w:highlight w:val="none"/>
              </w:rPr>
              <w:t>难点、要点的剖析及解决措施</w:t>
            </w:r>
          </w:p>
        </w:tc>
        <w:tc>
          <w:tcPr>
            <w:tcW w:w="742" w:type="dxa"/>
            <w:shd w:val="clear" w:color="auto" w:fill="auto"/>
            <w:vAlign w:val="center"/>
          </w:tcPr>
          <w:p w14:paraId="6392C433">
            <w:pPr>
              <w:jc w:val="center"/>
              <w:rPr>
                <w:rFonts w:hint="eastAsia" w:asciiTheme="minorEastAsia" w:hAnsiTheme="minorEastAsia" w:eastAsiaTheme="minorEastAsia"/>
                <w:b w:val="0"/>
                <w:sz w:val="22"/>
                <w:szCs w:val="22"/>
                <w:highlight w:val="none"/>
              </w:rPr>
            </w:pPr>
            <w:r>
              <w:rPr>
                <w:rFonts w:hint="eastAsia" w:asciiTheme="minorEastAsia" w:hAnsiTheme="minorEastAsia" w:eastAsiaTheme="minorEastAsia"/>
                <w:b w:val="0"/>
                <w:sz w:val="22"/>
                <w:szCs w:val="22"/>
                <w:highlight w:val="none"/>
              </w:rPr>
              <w:t>0-10</w:t>
            </w:r>
          </w:p>
        </w:tc>
        <w:tc>
          <w:tcPr>
            <w:tcW w:w="5708" w:type="dxa"/>
            <w:shd w:val="clear" w:color="auto" w:fill="auto"/>
            <w:vAlign w:val="center"/>
          </w:tcPr>
          <w:p w14:paraId="38B5507D">
            <w:pPr>
              <w:jc w:val="left"/>
              <w:rPr>
                <w:rFonts w:hint="eastAsia" w:asciiTheme="minorEastAsia" w:hAnsiTheme="minorEastAsia" w:eastAsiaTheme="minorEastAsia"/>
                <w:b w:val="0"/>
                <w:sz w:val="22"/>
                <w:szCs w:val="22"/>
                <w:highlight w:val="none"/>
              </w:rPr>
            </w:pPr>
            <w:r>
              <w:rPr>
                <w:rFonts w:hint="eastAsia" w:asciiTheme="minorEastAsia" w:hAnsiTheme="minorEastAsia" w:eastAsiaTheme="minorEastAsia"/>
                <w:b w:val="0"/>
                <w:sz w:val="22"/>
                <w:szCs w:val="22"/>
                <w:highlight w:val="none"/>
              </w:rPr>
              <w:t>针对本项目在实施过程中的难点、要点等问题进行剖析以及克服难点、要点的解决措施：描述全面合理性、针对性强的得10.0-7.1分；一般的得4.0-1.1分；差的得1.0-0分。</w:t>
            </w:r>
          </w:p>
        </w:tc>
      </w:tr>
      <w:tr w14:paraId="31342C4D">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jc w:val="center"/>
        </w:trPr>
        <w:tc>
          <w:tcPr>
            <w:tcW w:w="728" w:type="dxa"/>
            <w:shd w:val="clear" w:color="auto" w:fill="auto"/>
            <w:vAlign w:val="center"/>
          </w:tcPr>
          <w:p w14:paraId="3BA46DF3">
            <w:pPr>
              <w:jc w:val="center"/>
              <w:rPr>
                <w:rFonts w:hint="eastAsia" w:asciiTheme="minorEastAsia" w:hAnsiTheme="minorEastAsia" w:eastAsiaTheme="minorEastAsia"/>
                <w:b w:val="0"/>
                <w:sz w:val="22"/>
                <w:szCs w:val="22"/>
                <w:highlight w:val="none"/>
              </w:rPr>
            </w:pPr>
            <w:r>
              <w:rPr>
                <w:rFonts w:hint="eastAsia" w:asciiTheme="minorEastAsia" w:hAnsiTheme="minorEastAsia" w:eastAsiaTheme="minorEastAsia"/>
                <w:b w:val="0"/>
                <w:sz w:val="22"/>
                <w:szCs w:val="22"/>
                <w:highlight w:val="none"/>
              </w:rPr>
              <w:t>5</w:t>
            </w:r>
          </w:p>
        </w:tc>
        <w:tc>
          <w:tcPr>
            <w:tcW w:w="1338" w:type="dxa"/>
            <w:shd w:val="clear" w:color="auto" w:fill="auto"/>
            <w:vAlign w:val="center"/>
          </w:tcPr>
          <w:p w14:paraId="513C9D80">
            <w:pPr>
              <w:jc w:val="center"/>
              <w:rPr>
                <w:rFonts w:hint="eastAsia" w:asciiTheme="minorEastAsia" w:hAnsiTheme="minorEastAsia" w:eastAsiaTheme="minorEastAsia"/>
                <w:b w:val="0"/>
                <w:sz w:val="22"/>
                <w:szCs w:val="22"/>
                <w:highlight w:val="none"/>
              </w:rPr>
            </w:pPr>
            <w:r>
              <w:rPr>
                <w:rFonts w:hint="eastAsia" w:asciiTheme="minorEastAsia" w:hAnsiTheme="minorEastAsia" w:eastAsiaTheme="minorEastAsia"/>
                <w:b w:val="0"/>
                <w:sz w:val="22"/>
                <w:szCs w:val="22"/>
                <w:highlight w:val="none"/>
              </w:rPr>
              <w:t>保险服务方案</w:t>
            </w:r>
          </w:p>
        </w:tc>
        <w:tc>
          <w:tcPr>
            <w:tcW w:w="742" w:type="dxa"/>
            <w:shd w:val="clear" w:color="auto" w:fill="auto"/>
            <w:vAlign w:val="center"/>
          </w:tcPr>
          <w:p w14:paraId="7FCC0FAA">
            <w:pPr>
              <w:jc w:val="center"/>
              <w:rPr>
                <w:rFonts w:hint="eastAsia" w:asciiTheme="minorEastAsia" w:hAnsiTheme="minorEastAsia" w:eastAsiaTheme="minorEastAsia"/>
                <w:b w:val="0"/>
                <w:sz w:val="22"/>
                <w:szCs w:val="22"/>
                <w:highlight w:val="none"/>
              </w:rPr>
            </w:pPr>
            <w:r>
              <w:rPr>
                <w:rFonts w:hint="eastAsia" w:asciiTheme="minorEastAsia" w:hAnsiTheme="minorEastAsia" w:eastAsiaTheme="minorEastAsia"/>
                <w:b w:val="0"/>
                <w:sz w:val="22"/>
                <w:szCs w:val="22"/>
                <w:highlight w:val="none"/>
              </w:rPr>
              <w:t>0-6</w:t>
            </w:r>
          </w:p>
        </w:tc>
        <w:tc>
          <w:tcPr>
            <w:tcW w:w="5708" w:type="dxa"/>
            <w:shd w:val="clear" w:color="auto" w:fill="auto"/>
            <w:vAlign w:val="center"/>
          </w:tcPr>
          <w:p w14:paraId="75701310">
            <w:pPr>
              <w:jc w:val="left"/>
              <w:rPr>
                <w:rFonts w:hint="eastAsia" w:asciiTheme="minorEastAsia" w:hAnsiTheme="minorEastAsia" w:eastAsiaTheme="minorEastAsia"/>
                <w:b w:val="0"/>
                <w:sz w:val="22"/>
                <w:szCs w:val="22"/>
                <w:highlight w:val="none"/>
              </w:rPr>
            </w:pPr>
            <w:r>
              <w:rPr>
                <w:rFonts w:hint="eastAsia" w:asciiTheme="minorEastAsia" w:hAnsiTheme="minorEastAsia" w:eastAsiaTheme="minorEastAsia"/>
                <w:b w:val="0"/>
                <w:sz w:val="22"/>
                <w:szCs w:val="22"/>
                <w:highlight w:val="none"/>
              </w:rPr>
              <w:t>投标供应商以采购文件中的保险责任为基础，根据实际情况科学、合理地制定保险保障方案。根据保险保障方案的科学性、合理性、可行性进行评分。（方案科学性、合理性、可行性强的得6.0-4.1分；一般的得4.0-2.1分；不强的得2.0-0分。）</w:t>
            </w:r>
          </w:p>
        </w:tc>
      </w:tr>
      <w:tr w14:paraId="484FD5CF">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jc w:val="center"/>
        </w:trPr>
        <w:tc>
          <w:tcPr>
            <w:tcW w:w="728" w:type="dxa"/>
            <w:vMerge w:val="restart"/>
            <w:shd w:val="clear" w:color="auto" w:fill="auto"/>
            <w:vAlign w:val="center"/>
          </w:tcPr>
          <w:p w14:paraId="6C89D619">
            <w:pPr>
              <w:jc w:val="center"/>
              <w:rPr>
                <w:rFonts w:hint="eastAsia" w:asciiTheme="minorEastAsia" w:hAnsiTheme="minorEastAsia" w:eastAsiaTheme="minorEastAsia"/>
                <w:b w:val="0"/>
                <w:sz w:val="22"/>
                <w:szCs w:val="22"/>
                <w:highlight w:val="none"/>
              </w:rPr>
            </w:pPr>
            <w:r>
              <w:rPr>
                <w:rFonts w:hint="eastAsia" w:asciiTheme="minorEastAsia" w:hAnsiTheme="minorEastAsia" w:eastAsiaTheme="minorEastAsia"/>
                <w:b w:val="0"/>
                <w:sz w:val="22"/>
                <w:szCs w:val="22"/>
                <w:highlight w:val="none"/>
              </w:rPr>
              <w:t>6</w:t>
            </w:r>
          </w:p>
        </w:tc>
        <w:tc>
          <w:tcPr>
            <w:tcW w:w="1338" w:type="dxa"/>
            <w:vMerge w:val="restart"/>
            <w:shd w:val="clear" w:color="auto" w:fill="auto"/>
            <w:vAlign w:val="center"/>
          </w:tcPr>
          <w:p w14:paraId="5E6AAFDD">
            <w:pPr>
              <w:jc w:val="center"/>
              <w:rPr>
                <w:rFonts w:hint="eastAsia" w:asciiTheme="minorEastAsia" w:hAnsiTheme="minorEastAsia" w:eastAsiaTheme="minorEastAsia"/>
                <w:b w:val="0"/>
                <w:sz w:val="22"/>
                <w:szCs w:val="22"/>
                <w:highlight w:val="none"/>
              </w:rPr>
            </w:pPr>
            <w:r>
              <w:rPr>
                <w:rFonts w:hint="eastAsia" w:asciiTheme="minorEastAsia" w:hAnsiTheme="minorEastAsia" w:eastAsiaTheme="minorEastAsia"/>
                <w:b w:val="0"/>
                <w:sz w:val="22"/>
                <w:szCs w:val="22"/>
                <w:highlight w:val="none"/>
              </w:rPr>
              <w:t>服务团队</w:t>
            </w:r>
          </w:p>
        </w:tc>
        <w:tc>
          <w:tcPr>
            <w:tcW w:w="742" w:type="dxa"/>
            <w:shd w:val="clear" w:color="auto" w:fill="auto"/>
            <w:vAlign w:val="center"/>
          </w:tcPr>
          <w:p w14:paraId="2A5B2D16">
            <w:pPr>
              <w:jc w:val="center"/>
              <w:rPr>
                <w:rFonts w:hint="eastAsia" w:asciiTheme="minorEastAsia" w:hAnsiTheme="minorEastAsia" w:eastAsiaTheme="minorEastAsia"/>
                <w:b w:val="0"/>
                <w:sz w:val="22"/>
                <w:szCs w:val="22"/>
                <w:highlight w:val="none"/>
              </w:rPr>
            </w:pPr>
            <w:r>
              <w:rPr>
                <w:rFonts w:hint="eastAsia" w:asciiTheme="minorEastAsia" w:hAnsiTheme="minorEastAsia" w:eastAsiaTheme="minorEastAsia"/>
                <w:b w:val="0"/>
                <w:sz w:val="22"/>
                <w:szCs w:val="22"/>
                <w:highlight w:val="none"/>
              </w:rPr>
              <w:t>0-6</w:t>
            </w:r>
          </w:p>
        </w:tc>
        <w:tc>
          <w:tcPr>
            <w:tcW w:w="5708" w:type="dxa"/>
            <w:shd w:val="clear" w:color="auto" w:fill="auto"/>
            <w:vAlign w:val="center"/>
          </w:tcPr>
          <w:p w14:paraId="42F3F521">
            <w:pPr>
              <w:jc w:val="left"/>
              <w:rPr>
                <w:rFonts w:hint="eastAsia" w:asciiTheme="minorEastAsia" w:hAnsiTheme="minorEastAsia" w:eastAsiaTheme="minorEastAsia"/>
                <w:b w:val="0"/>
                <w:sz w:val="22"/>
                <w:szCs w:val="22"/>
                <w:highlight w:val="none"/>
              </w:rPr>
            </w:pPr>
            <w:r>
              <w:rPr>
                <w:rFonts w:hint="eastAsia" w:asciiTheme="minorEastAsia" w:hAnsiTheme="minorEastAsia" w:eastAsiaTheme="minorEastAsia"/>
                <w:b w:val="0"/>
                <w:sz w:val="22"/>
                <w:szCs w:val="22"/>
                <w:highlight w:val="none"/>
              </w:rPr>
              <w:t>根据项目负责人的专业经验和服务能力打分。（服务经验丰富的得6.0-4.1分；一般的得4.0-2.1分；不强的得2.0-0分。）</w:t>
            </w:r>
          </w:p>
        </w:tc>
      </w:tr>
      <w:tr w14:paraId="52AAFFE7">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jc w:val="center"/>
        </w:trPr>
        <w:tc>
          <w:tcPr>
            <w:tcW w:w="728" w:type="dxa"/>
            <w:vMerge w:val="continue"/>
            <w:vAlign w:val="center"/>
          </w:tcPr>
          <w:p w14:paraId="2518D51F">
            <w:pPr>
              <w:jc w:val="center"/>
              <w:rPr>
                <w:rFonts w:asciiTheme="minorEastAsia" w:hAnsiTheme="minorEastAsia" w:eastAsiaTheme="minorEastAsia"/>
                <w:b w:val="0"/>
                <w:sz w:val="22"/>
                <w:szCs w:val="22"/>
                <w:highlight w:val="none"/>
              </w:rPr>
            </w:pPr>
          </w:p>
        </w:tc>
        <w:tc>
          <w:tcPr>
            <w:tcW w:w="1338" w:type="dxa"/>
            <w:vMerge w:val="continue"/>
            <w:vAlign w:val="center"/>
          </w:tcPr>
          <w:p w14:paraId="19620949">
            <w:pPr>
              <w:jc w:val="center"/>
              <w:rPr>
                <w:rFonts w:asciiTheme="minorEastAsia" w:hAnsiTheme="minorEastAsia" w:eastAsiaTheme="minorEastAsia"/>
                <w:b w:val="0"/>
                <w:sz w:val="22"/>
                <w:szCs w:val="22"/>
                <w:highlight w:val="none"/>
              </w:rPr>
            </w:pPr>
          </w:p>
        </w:tc>
        <w:tc>
          <w:tcPr>
            <w:tcW w:w="742" w:type="dxa"/>
            <w:shd w:val="clear" w:color="auto" w:fill="auto"/>
            <w:vAlign w:val="center"/>
          </w:tcPr>
          <w:p w14:paraId="7D6C34D0">
            <w:pPr>
              <w:jc w:val="center"/>
              <w:rPr>
                <w:rFonts w:hint="eastAsia" w:asciiTheme="minorEastAsia" w:hAnsiTheme="minorEastAsia" w:eastAsiaTheme="minorEastAsia"/>
                <w:b w:val="0"/>
                <w:sz w:val="22"/>
                <w:szCs w:val="22"/>
                <w:highlight w:val="none"/>
              </w:rPr>
            </w:pPr>
            <w:r>
              <w:rPr>
                <w:rFonts w:hint="eastAsia" w:asciiTheme="minorEastAsia" w:hAnsiTheme="minorEastAsia" w:eastAsiaTheme="minorEastAsia"/>
                <w:b w:val="0"/>
                <w:sz w:val="22"/>
                <w:szCs w:val="22"/>
                <w:highlight w:val="none"/>
              </w:rPr>
              <w:t>0-10</w:t>
            </w:r>
          </w:p>
        </w:tc>
        <w:tc>
          <w:tcPr>
            <w:tcW w:w="5708" w:type="dxa"/>
            <w:shd w:val="clear" w:color="auto" w:fill="auto"/>
            <w:vAlign w:val="center"/>
          </w:tcPr>
          <w:p w14:paraId="392F2944">
            <w:pPr>
              <w:jc w:val="left"/>
              <w:rPr>
                <w:rFonts w:hint="eastAsia" w:asciiTheme="minorEastAsia" w:hAnsiTheme="minorEastAsia" w:eastAsiaTheme="minorEastAsia"/>
                <w:b w:val="0"/>
                <w:sz w:val="22"/>
                <w:szCs w:val="22"/>
                <w:highlight w:val="none"/>
              </w:rPr>
            </w:pPr>
            <w:r>
              <w:rPr>
                <w:rFonts w:hint="eastAsia" w:asciiTheme="minorEastAsia" w:hAnsiTheme="minorEastAsia" w:eastAsiaTheme="minorEastAsia"/>
                <w:b w:val="0"/>
                <w:sz w:val="22"/>
                <w:szCs w:val="22"/>
                <w:highlight w:val="none"/>
              </w:rPr>
              <w:t>服务团队配置人员（除项目负责人外）的整体专业经验和服务能力、保险小组成员介绍、人员安排计划等根据优劣程度打分。（人员配备售后服务经验比较丰富、计划合理的得10.0-7.1分；一般的得7.0-4.1分；差的得4.0-0分。）</w:t>
            </w:r>
          </w:p>
        </w:tc>
      </w:tr>
      <w:tr w14:paraId="1232E9D5">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jc w:val="center"/>
        </w:trPr>
        <w:tc>
          <w:tcPr>
            <w:tcW w:w="728" w:type="dxa"/>
            <w:vMerge w:val="continue"/>
            <w:vAlign w:val="center"/>
          </w:tcPr>
          <w:p w14:paraId="0971C9A9">
            <w:pPr>
              <w:jc w:val="center"/>
              <w:rPr>
                <w:rFonts w:asciiTheme="minorEastAsia" w:hAnsiTheme="minorEastAsia" w:eastAsiaTheme="minorEastAsia"/>
                <w:b w:val="0"/>
                <w:sz w:val="22"/>
                <w:szCs w:val="22"/>
                <w:highlight w:val="none"/>
              </w:rPr>
            </w:pPr>
          </w:p>
        </w:tc>
        <w:tc>
          <w:tcPr>
            <w:tcW w:w="1338" w:type="dxa"/>
            <w:vMerge w:val="continue"/>
            <w:vAlign w:val="center"/>
          </w:tcPr>
          <w:p w14:paraId="33978C9C">
            <w:pPr>
              <w:jc w:val="center"/>
              <w:rPr>
                <w:rFonts w:asciiTheme="minorEastAsia" w:hAnsiTheme="minorEastAsia" w:eastAsiaTheme="minorEastAsia"/>
                <w:b w:val="0"/>
                <w:sz w:val="22"/>
                <w:szCs w:val="22"/>
                <w:highlight w:val="none"/>
              </w:rPr>
            </w:pPr>
          </w:p>
        </w:tc>
        <w:tc>
          <w:tcPr>
            <w:tcW w:w="742" w:type="dxa"/>
            <w:shd w:val="clear" w:color="auto" w:fill="auto"/>
            <w:vAlign w:val="center"/>
          </w:tcPr>
          <w:p w14:paraId="3FCBDFD2">
            <w:pPr>
              <w:jc w:val="center"/>
              <w:rPr>
                <w:rFonts w:hint="eastAsia" w:asciiTheme="minorEastAsia" w:hAnsiTheme="minorEastAsia" w:eastAsiaTheme="minorEastAsia"/>
                <w:b w:val="0"/>
                <w:sz w:val="22"/>
                <w:szCs w:val="22"/>
                <w:highlight w:val="none"/>
              </w:rPr>
            </w:pPr>
            <w:r>
              <w:rPr>
                <w:rFonts w:hint="eastAsia" w:asciiTheme="minorEastAsia" w:hAnsiTheme="minorEastAsia" w:eastAsiaTheme="minorEastAsia"/>
                <w:b w:val="0"/>
                <w:sz w:val="22"/>
                <w:szCs w:val="22"/>
                <w:highlight w:val="none"/>
              </w:rPr>
              <w:t>0-5</w:t>
            </w:r>
          </w:p>
        </w:tc>
        <w:tc>
          <w:tcPr>
            <w:tcW w:w="5708" w:type="dxa"/>
            <w:shd w:val="clear" w:color="auto" w:fill="auto"/>
            <w:vAlign w:val="center"/>
          </w:tcPr>
          <w:p w14:paraId="61CBE916">
            <w:pPr>
              <w:jc w:val="left"/>
              <w:rPr>
                <w:rFonts w:hint="eastAsia" w:asciiTheme="minorEastAsia" w:hAnsiTheme="minorEastAsia" w:eastAsiaTheme="minorEastAsia"/>
                <w:b w:val="0"/>
                <w:sz w:val="22"/>
                <w:szCs w:val="22"/>
                <w:highlight w:val="none"/>
              </w:rPr>
            </w:pPr>
            <w:r>
              <w:rPr>
                <w:rFonts w:hint="eastAsia" w:asciiTheme="minorEastAsia" w:hAnsiTheme="minorEastAsia" w:eastAsiaTheme="minorEastAsia"/>
                <w:b w:val="0"/>
                <w:sz w:val="22"/>
                <w:szCs w:val="22"/>
                <w:highlight w:val="none"/>
              </w:rPr>
              <w:t>根据供应商承诺的法律调解与投诉处理情况进行打分。承诺配备有法律知识背景的专业调解接待人员得3分，承诺建立专门从事接待调解工作的调解室得1分，承诺建立配套信访投诉台账资料的得 1分。</w:t>
            </w:r>
          </w:p>
        </w:tc>
      </w:tr>
      <w:tr w14:paraId="2C568DCF">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jc w:val="center"/>
        </w:trPr>
        <w:tc>
          <w:tcPr>
            <w:tcW w:w="728" w:type="dxa"/>
            <w:vMerge w:val="restart"/>
            <w:shd w:val="clear" w:color="auto" w:fill="auto"/>
            <w:vAlign w:val="center"/>
          </w:tcPr>
          <w:p w14:paraId="151DA1D1">
            <w:pPr>
              <w:jc w:val="center"/>
              <w:rPr>
                <w:rFonts w:hint="eastAsia" w:asciiTheme="minorEastAsia" w:hAnsiTheme="minorEastAsia" w:eastAsiaTheme="minorEastAsia"/>
                <w:b w:val="0"/>
                <w:sz w:val="22"/>
                <w:szCs w:val="22"/>
                <w:highlight w:val="none"/>
                <w:lang w:eastAsia="zh-CN"/>
              </w:rPr>
            </w:pPr>
            <w:r>
              <w:rPr>
                <w:rFonts w:hint="eastAsia" w:asciiTheme="minorEastAsia" w:hAnsiTheme="minorEastAsia" w:eastAsiaTheme="minorEastAsia"/>
                <w:b w:val="0"/>
                <w:sz w:val="22"/>
                <w:szCs w:val="22"/>
                <w:highlight w:val="none"/>
                <w:lang w:val="en-US" w:eastAsia="zh-CN"/>
              </w:rPr>
              <w:t>7</w:t>
            </w:r>
          </w:p>
        </w:tc>
        <w:tc>
          <w:tcPr>
            <w:tcW w:w="1338" w:type="dxa"/>
            <w:vMerge w:val="restart"/>
            <w:shd w:val="clear" w:color="auto" w:fill="auto"/>
            <w:vAlign w:val="center"/>
          </w:tcPr>
          <w:p w14:paraId="31923116">
            <w:pPr>
              <w:jc w:val="center"/>
              <w:rPr>
                <w:rFonts w:hint="eastAsia" w:asciiTheme="minorEastAsia" w:hAnsiTheme="minorEastAsia" w:eastAsiaTheme="minorEastAsia"/>
                <w:b w:val="0"/>
                <w:sz w:val="22"/>
                <w:szCs w:val="22"/>
                <w:highlight w:val="none"/>
              </w:rPr>
            </w:pPr>
            <w:r>
              <w:rPr>
                <w:rFonts w:hint="eastAsia" w:asciiTheme="minorEastAsia" w:hAnsiTheme="minorEastAsia" w:eastAsiaTheme="minorEastAsia"/>
                <w:b w:val="0"/>
                <w:sz w:val="22"/>
                <w:szCs w:val="22"/>
                <w:highlight w:val="none"/>
              </w:rPr>
              <w:t>理赔服务方案</w:t>
            </w:r>
          </w:p>
        </w:tc>
        <w:tc>
          <w:tcPr>
            <w:tcW w:w="742" w:type="dxa"/>
            <w:shd w:val="clear" w:color="auto" w:fill="auto"/>
            <w:vAlign w:val="center"/>
          </w:tcPr>
          <w:p w14:paraId="1C7E8B87">
            <w:pPr>
              <w:jc w:val="center"/>
              <w:rPr>
                <w:rFonts w:hint="eastAsia" w:asciiTheme="minorEastAsia" w:hAnsiTheme="minorEastAsia" w:eastAsiaTheme="minorEastAsia"/>
                <w:b w:val="0"/>
                <w:sz w:val="22"/>
                <w:szCs w:val="22"/>
                <w:highlight w:val="none"/>
              </w:rPr>
            </w:pPr>
            <w:r>
              <w:rPr>
                <w:rFonts w:hint="eastAsia" w:asciiTheme="minorEastAsia" w:hAnsiTheme="minorEastAsia" w:eastAsiaTheme="minorEastAsia"/>
                <w:b w:val="0"/>
                <w:sz w:val="22"/>
                <w:szCs w:val="22"/>
                <w:highlight w:val="none"/>
              </w:rPr>
              <w:t>0-6</w:t>
            </w:r>
          </w:p>
        </w:tc>
        <w:tc>
          <w:tcPr>
            <w:tcW w:w="5708" w:type="dxa"/>
            <w:shd w:val="clear" w:color="auto" w:fill="auto"/>
            <w:vAlign w:val="center"/>
          </w:tcPr>
          <w:p w14:paraId="1C37BDF7">
            <w:pPr>
              <w:jc w:val="left"/>
              <w:rPr>
                <w:rFonts w:hint="eastAsia" w:asciiTheme="minorEastAsia" w:hAnsiTheme="minorEastAsia" w:eastAsiaTheme="minorEastAsia"/>
                <w:b w:val="0"/>
                <w:sz w:val="22"/>
                <w:szCs w:val="22"/>
                <w:highlight w:val="none"/>
              </w:rPr>
            </w:pPr>
            <w:r>
              <w:rPr>
                <w:rFonts w:hint="eastAsia" w:asciiTheme="minorEastAsia" w:hAnsiTheme="minorEastAsia" w:eastAsiaTheme="minorEastAsia"/>
                <w:b w:val="0"/>
                <w:sz w:val="22"/>
                <w:szCs w:val="22"/>
                <w:highlight w:val="none"/>
              </w:rPr>
              <w:t>有专门针对本项目得整体理赔服务方案以及理赔服务计划、理赔服务流程的，按照理赔流程是否合理明确、是否有专门的理赔小组/专员、现场查勘时效承诺、理赔时效的长短、免查勘小额赔付金额配置、预付赔款金额设置、是否符合浙江省“最多跑一次”便民服务要求等因素来综合评估方案的优劣程度打分。（方案全面、合理、可操作性、针对性强的得6.0-4.1分；一般的得4.0-2.1分；不强的得2.0-0分。）</w:t>
            </w:r>
          </w:p>
        </w:tc>
      </w:tr>
      <w:tr w14:paraId="0A0A4E19">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PrEx>
        <w:trPr>
          <w:jc w:val="center"/>
        </w:trPr>
        <w:tc>
          <w:tcPr>
            <w:tcW w:w="728" w:type="dxa"/>
            <w:vMerge w:val="continue"/>
            <w:vAlign w:val="center"/>
          </w:tcPr>
          <w:p w14:paraId="150BE448">
            <w:pPr>
              <w:jc w:val="center"/>
              <w:rPr>
                <w:rFonts w:asciiTheme="minorEastAsia" w:hAnsiTheme="minorEastAsia" w:eastAsiaTheme="minorEastAsia"/>
                <w:b w:val="0"/>
                <w:sz w:val="22"/>
                <w:szCs w:val="22"/>
                <w:highlight w:val="none"/>
              </w:rPr>
            </w:pPr>
          </w:p>
        </w:tc>
        <w:tc>
          <w:tcPr>
            <w:tcW w:w="1338" w:type="dxa"/>
            <w:vMerge w:val="continue"/>
            <w:vAlign w:val="center"/>
          </w:tcPr>
          <w:p w14:paraId="475B72C4">
            <w:pPr>
              <w:jc w:val="center"/>
              <w:rPr>
                <w:rFonts w:asciiTheme="minorEastAsia" w:hAnsiTheme="minorEastAsia" w:eastAsiaTheme="minorEastAsia"/>
                <w:b w:val="0"/>
                <w:sz w:val="22"/>
                <w:szCs w:val="22"/>
                <w:highlight w:val="none"/>
              </w:rPr>
            </w:pPr>
          </w:p>
        </w:tc>
        <w:tc>
          <w:tcPr>
            <w:tcW w:w="742" w:type="dxa"/>
            <w:shd w:val="clear" w:color="auto" w:fill="auto"/>
            <w:vAlign w:val="center"/>
          </w:tcPr>
          <w:p w14:paraId="1DFE9C27">
            <w:pPr>
              <w:jc w:val="center"/>
              <w:rPr>
                <w:rFonts w:hint="eastAsia" w:asciiTheme="minorEastAsia" w:hAnsiTheme="minorEastAsia" w:eastAsiaTheme="minorEastAsia"/>
                <w:b w:val="0"/>
                <w:sz w:val="22"/>
                <w:szCs w:val="22"/>
                <w:highlight w:val="none"/>
              </w:rPr>
            </w:pPr>
            <w:r>
              <w:rPr>
                <w:rFonts w:hint="eastAsia" w:asciiTheme="minorEastAsia" w:hAnsiTheme="minorEastAsia" w:eastAsiaTheme="minorEastAsia"/>
                <w:b w:val="0"/>
                <w:sz w:val="22"/>
                <w:szCs w:val="22"/>
                <w:highlight w:val="none"/>
              </w:rPr>
              <w:t>0-5</w:t>
            </w:r>
          </w:p>
        </w:tc>
        <w:tc>
          <w:tcPr>
            <w:tcW w:w="5708" w:type="dxa"/>
            <w:shd w:val="clear" w:color="auto" w:fill="auto"/>
            <w:vAlign w:val="center"/>
          </w:tcPr>
          <w:p w14:paraId="507FF902">
            <w:pPr>
              <w:jc w:val="left"/>
              <w:rPr>
                <w:rFonts w:hint="eastAsia" w:asciiTheme="minorEastAsia" w:hAnsiTheme="minorEastAsia" w:eastAsiaTheme="minorEastAsia"/>
                <w:b w:val="0"/>
                <w:sz w:val="22"/>
                <w:szCs w:val="22"/>
                <w:highlight w:val="none"/>
              </w:rPr>
            </w:pPr>
            <w:r>
              <w:rPr>
                <w:rFonts w:hint="eastAsia" w:asciiTheme="minorEastAsia" w:hAnsiTheme="minorEastAsia" w:eastAsiaTheme="minorEastAsia"/>
                <w:b w:val="0"/>
                <w:sz w:val="22"/>
                <w:szCs w:val="22"/>
                <w:highlight w:val="none"/>
              </w:rPr>
              <w:t>保障措施方案：包括但不限于时间进度保证、机构落实、人员落实、设备落实、责任落实、投诉处理控制等，综合评估优劣程度打分。（方案全面、合理、可操作性、针对性强的得5.0-3.1分；一般的得3.0-1.1分；差的得1.0-0分。）。</w:t>
            </w:r>
          </w:p>
        </w:tc>
      </w:tr>
      <w:tr w14:paraId="10CB95A8">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jc w:val="center"/>
        </w:trPr>
        <w:tc>
          <w:tcPr>
            <w:tcW w:w="728" w:type="dxa"/>
            <w:shd w:val="clear" w:color="auto" w:fill="auto"/>
            <w:vAlign w:val="center"/>
          </w:tcPr>
          <w:p w14:paraId="17D1C1BB">
            <w:pPr>
              <w:jc w:val="center"/>
              <w:rPr>
                <w:rFonts w:hint="eastAsia" w:asciiTheme="minorEastAsia" w:hAnsiTheme="minorEastAsia" w:eastAsiaTheme="minorEastAsia"/>
                <w:b w:val="0"/>
                <w:sz w:val="22"/>
                <w:szCs w:val="22"/>
                <w:highlight w:val="none"/>
                <w:lang w:eastAsia="zh-CN"/>
              </w:rPr>
            </w:pPr>
            <w:r>
              <w:rPr>
                <w:rFonts w:hint="eastAsia" w:asciiTheme="minorEastAsia" w:hAnsiTheme="minorEastAsia" w:eastAsiaTheme="minorEastAsia"/>
                <w:b w:val="0"/>
                <w:sz w:val="22"/>
                <w:szCs w:val="22"/>
                <w:highlight w:val="none"/>
                <w:lang w:val="en-US" w:eastAsia="zh-CN"/>
              </w:rPr>
              <w:t>8</w:t>
            </w:r>
          </w:p>
        </w:tc>
        <w:tc>
          <w:tcPr>
            <w:tcW w:w="1338" w:type="dxa"/>
            <w:shd w:val="clear" w:color="auto" w:fill="auto"/>
            <w:vAlign w:val="center"/>
          </w:tcPr>
          <w:p w14:paraId="12549774">
            <w:pPr>
              <w:jc w:val="center"/>
              <w:rPr>
                <w:rFonts w:hint="eastAsia" w:asciiTheme="minorEastAsia" w:hAnsiTheme="minorEastAsia" w:eastAsiaTheme="minorEastAsia"/>
                <w:b w:val="0"/>
                <w:sz w:val="22"/>
                <w:szCs w:val="22"/>
                <w:highlight w:val="none"/>
              </w:rPr>
            </w:pPr>
            <w:r>
              <w:rPr>
                <w:rFonts w:hint="eastAsia" w:asciiTheme="minorEastAsia" w:hAnsiTheme="minorEastAsia" w:eastAsiaTheme="minorEastAsia"/>
                <w:b w:val="0"/>
                <w:sz w:val="22"/>
                <w:szCs w:val="22"/>
                <w:highlight w:val="none"/>
              </w:rPr>
              <w:t>保险培训方案</w:t>
            </w:r>
          </w:p>
        </w:tc>
        <w:tc>
          <w:tcPr>
            <w:tcW w:w="742" w:type="dxa"/>
            <w:shd w:val="clear" w:color="auto" w:fill="auto"/>
            <w:vAlign w:val="center"/>
          </w:tcPr>
          <w:p w14:paraId="4C525CAE">
            <w:pPr>
              <w:jc w:val="center"/>
              <w:rPr>
                <w:rFonts w:hint="eastAsia" w:asciiTheme="minorEastAsia" w:hAnsiTheme="minorEastAsia" w:eastAsiaTheme="minorEastAsia"/>
                <w:b w:val="0"/>
                <w:sz w:val="22"/>
                <w:szCs w:val="22"/>
                <w:highlight w:val="none"/>
              </w:rPr>
            </w:pPr>
            <w:r>
              <w:rPr>
                <w:rFonts w:hint="eastAsia" w:asciiTheme="minorEastAsia" w:hAnsiTheme="minorEastAsia" w:eastAsiaTheme="minorEastAsia"/>
                <w:b w:val="0"/>
                <w:sz w:val="22"/>
                <w:szCs w:val="22"/>
                <w:highlight w:val="none"/>
              </w:rPr>
              <w:t>0-6</w:t>
            </w:r>
          </w:p>
        </w:tc>
        <w:tc>
          <w:tcPr>
            <w:tcW w:w="5708" w:type="dxa"/>
            <w:shd w:val="clear" w:color="auto" w:fill="auto"/>
            <w:vAlign w:val="center"/>
          </w:tcPr>
          <w:p w14:paraId="7046C5F0">
            <w:pPr>
              <w:jc w:val="left"/>
              <w:rPr>
                <w:rFonts w:hint="eastAsia" w:asciiTheme="minorEastAsia" w:hAnsiTheme="minorEastAsia" w:eastAsiaTheme="minorEastAsia"/>
                <w:b w:val="0"/>
                <w:sz w:val="22"/>
                <w:szCs w:val="22"/>
                <w:highlight w:val="none"/>
              </w:rPr>
            </w:pPr>
            <w:r>
              <w:rPr>
                <w:rFonts w:hint="eastAsia" w:asciiTheme="minorEastAsia" w:hAnsiTheme="minorEastAsia" w:eastAsiaTheme="minorEastAsia"/>
                <w:b w:val="0"/>
                <w:sz w:val="22"/>
                <w:szCs w:val="22"/>
                <w:highlight w:val="none"/>
              </w:rPr>
              <w:t>根据培训次数、内容的配套性和针对性、授课专家等，综合评估优劣程度打分。（方案科学性、合理性、配套性、针对性和可操作性强的得6.0-4.1分；一般的得4.0-2.1分；不强的得2.0-0分。）。</w:t>
            </w:r>
          </w:p>
        </w:tc>
      </w:tr>
      <w:tr w14:paraId="1B14FBB8">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894" w:hRule="atLeast"/>
          <w:jc w:val="center"/>
        </w:trPr>
        <w:tc>
          <w:tcPr>
            <w:tcW w:w="728" w:type="dxa"/>
            <w:shd w:val="clear" w:color="auto" w:fill="auto"/>
            <w:vAlign w:val="center"/>
          </w:tcPr>
          <w:p w14:paraId="3F9B786B">
            <w:pPr>
              <w:jc w:val="center"/>
              <w:rPr>
                <w:rFonts w:hint="eastAsia" w:asciiTheme="minorEastAsia" w:hAnsiTheme="minorEastAsia" w:eastAsiaTheme="minorEastAsia"/>
                <w:b w:val="0"/>
                <w:sz w:val="22"/>
                <w:szCs w:val="22"/>
                <w:highlight w:val="none"/>
                <w:lang w:eastAsia="zh-CN"/>
              </w:rPr>
            </w:pPr>
            <w:r>
              <w:rPr>
                <w:rFonts w:hint="eastAsia" w:asciiTheme="minorEastAsia" w:hAnsiTheme="minorEastAsia" w:eastAsiaTheme="minorEastAsia"/>
                <w:b w:val="0"/>
                <w:sz w:val="22"/>
                <w:szCs w:val="22"/>
                <w:highlight w:val="none"/>
                <w:lang w:val="en-US" w:eastAsia="zh-CN"/>
              </w:rPr>
              <w:t>9</w:t>
            </w:r>
          </w:p>
        </w:tc>
        <w:tc>
          <w:tcPr>
            <w:tcW w:w="1338" w:type="dxa"/>
            <w:shd w:val="clear" w:color="auto" w:fill="auto"/>
            <w:vAlign w:val="center"/>
          </w:tcPr>
          <w:p w14:paraId="39F9DC5D">
            <w:pPr>
              <w:jc w:val="center"/>
              <w:rPr>
                <w:rFonts w:hint="eastAsia" w:asciiTheme="minorEastAsia" w:hAnsiTheme="minorEastAsia" w:eastAsiaTheme="minorEastAsia"/>
                <w:b w:val="0"/>
                <w:sz w:val="22"/>
                <w:szCs w:val="22"/>
                <w:highlight w:val="none"/>
              </w:rPr>
            </w:pPr>
            <w:r>
              <w:rPr>
                <w:rFonts w:hint="eastAsia" w:asciiTheme="minorEastAsia" w:hAnsiTheme="minorEastAsia" w:eastAsiaTheme="minorEastAsia"/>
                <w:b w:val="0"/>
                <w:sz w:val="22"/>
                <w:szCs w:val="22"/>
                <w:highlight w:val="none"/>
              </w:rPr>
              <w:t>增值服务</w:t>
            </w:r>
          </w:p>
        </w:tc>
        <w:tc>
          <w:tcPr>
            <w:tcW w:w="742" w:type="dxa"/>
            <w:shd w:val="clear" w:color="auto" w:fill="auto"/>
            <w:vAlign w:val="center"/>
          </w:tcPr>
          <w:p w14:paraId="470B320C">
            <w:pPr>
              <w:jc w:val="center"/>
              <w:rPr>
                <w:rFonts w:hint="eastAsia" w:asciiTheme="minorEastAsia" w:hAnsiTheme="minorEastAsia" w:eastAsiaTheme="minorEastAsia"/>
                <w:b w:val="0"/>
                <w:sz w:val="22"/>
                <w:szCs w:val="22"/>
                <w:highlight w:val="none"/>
              </w:rPr>
            </w:pPr>
            <w:r>
              <w:rPr>
                <w:rFonts w:hint="eastAsia" w:asciiTheme="minorEastAsia" w:hAnsiTheme="minorEastAsia" w:eastAsiaTheme="minorEastAsia"/>
                <w:b w:val="0"/>
                <w:sz w:val="22"/>
                <w:szCs w:val="22"/>
                <w:highlight w:val="none"/>
              </w:rPr>
              <w:t>0-5</w:t>
            </w:r>
          </w:p>
        </w:tc>
        <w:tc>
          <w:tcPr>
            <w:tcW w:w="5708" w:type="dxa"/>
            <w:shd w:val="clear" w:color="auto" w:fill="auto"/>
            <w:vAlign w:val="center"/>
          </w:tcPr>
          <w:p w14:paraId="6D15971C">
            <w:pPr>
              <w:jc w:val="left"/>
              <w:rPr>
                <w:rFonts w:hint="eastAsia" w:asciiTheme="minorEastAsia" w:hAnsiTheme="minorEastAsia" w:eastAsiaTheme="minorEastAsia"/>
                <w:b w:val="0"/>
                <w:sz w:val="22"/>
                <w:szCs w:val="22"/>
                <w:highlight w:val="none"/>
              </w:rPr>
            </w:pPr>
            <w:r>
              <w:rPr>
                <w:rFonts w:hint="eastAsia" w:asciiTheme="minorEastAsia" w:hAnsiTheme="minorEastAsia" w:eastAsiaTheme="minorEastAsia"/>
                <w:b w:val="0"/>
                <w:sz w:val="22"/>
                <w:szCs w:val="22"/>
                <w:highlight w:val="none"/>
              </w:rPr>
              <w:t>针对本项目提供其他增值服务的实用性、针对性打分。（实用性、针对性强的得5.0-3.1分；一般的得3.0-1.1分；差的得1.0-0分。）</w:t>
            </w:r>
          </w:p>
        </w:tc>
      </w:tr>
      <w:tr w14:paraId="57750614">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541" w:hRule="atLeast"/>
          <w:jc w:val="center"/>
        </w:trPr>
        <w:tc>
          <w:tcPr>
            <w:tcW w:w="2066" w:type="dxa"/>
            <w:gridSpan w:val="2"/>
            <w:shd w:val="clear" w:color="auto" w:fill="auto"/>
            <w:vAlign w:val="center"/>
          </w:tcPr>
          <w:p w14:paraId="6B8027EE">
            <w:pPr>
              <w:jc w:val="center"/>
              <w:rPr>
                <w:rFonts w:hint="eastAsia" w:asciiTheme="minorEastAsia" w:hAnsiTheme="minorEastAsia" w:eastAsiaTheme="minorEastAsia"/>
                <w:b w:val="0"/>
                <w:sz w:val="22"/>
                <w:szCs w:val="22"/>
                <w:highlight w:val="none"/>
              </w:rPr>
            </w:pPr>
            <w:r>
              <w:rPr>
                <w:rFonts w:hint="eastAsia" w:asciiTheme="minorEastAsia" w:hAnsiTheme="minorEastAsia" w:eastAsiaTheme="minorEastAsia"/>
                <w:b w:val="0"/>
                <w:sz w:val="22"/>
                <w:szCs w:val="22"/>
                <w:highlight w:val="none"/>
              </w:rPr>
              <w:t>合计</w:t>
            </w:r>
          </w:p>
        </w:tc>
        <w:tc>
          <w:tcPr>
            <w:tcW w:w="742" w:type="dxa"/>
            <w:shd w:val="clear" w:color="auto" w:fill="auto"/>
            <w:vAlign w:val="center"/>
          </w:tcPr>
          <w:p w14:paraId="02877EB9">
            <w:pPr>
              <w:jc w:val="center"/>
              <w:rPr>
                <w:rFonts w:hint="eastAsia" w:asciiTheme="minorEastAsia" w:hAnsiTheme="minorEastAsia" w:eastAsiaTheme="minorEastAsia"/>
                <w:b w:val="0"/>
                <w:sz w:val="22"/>
                <w:szCs w:val="22"/>
                <w:highlight w:val="none"/>
              </w:rPr>
            </w:pPr>
            <w:r>
              <w:rPr>
                <w:rFonts w:hint="eastAsia" w:asciiTheme="minorEastAsia" w:hAnsiTheme="minorEastAsia" w:eastAsiaTheme="minorEastAsia"/>
                <w:b w:val="0"/>
                <w:sz w:val="22"/>
                <w:szCs w:val="22"/>
                <w:highlight w:val="none"/>
              </w:rPr>
              <w:t>0-80</w:t>
            </w:r>
          </w:p>
        </w:tc>
        <w:tc>
          <w:tcPr>
            <w:tcW w:w="5708" w:type="dxa"/>
            <w:shd w:val="clear" w:color="auto" w:fill="auto"/>
            <w:vAlign w:val="center"/>
          </w:tcPr>
          <w:p w14:paraId="5C068126">
            <w:pPr>
              <w:jc w:val="center"/>
              <w:rPr>
                <w:rFonts w:hint="eastAsia" w:asciiTheme="minorEastAsia" w:hAnsiTheme="minorEastAsia" w:eastAsiaTheme="minorEastAsia"/>
                <w:b w:val="0"/>
                <w:sz w:val="22"/>
                <w:szCs w:val="22"/>
                <w:highlight w:val="none"/>
              </w:rPr>
            </w:pPr>
            <w:r>
              <w:rPr>
                <w:rFonts w:hint="eastAsia" w:asciiTheme="minorEastAsia" w:hAnsiTheme="minorEastAsia" w:eastAsiaTheme="minorEastAsia"/>
                <w:b w:val="0"/>
                <w:sz w:val="22"/>
                <w:szCs w:val="22"/>
                <w:highlight w:val="none"/>
              </w:rPr>
              <w:t>/</w:t>
            </w:r>
          </w:p>
        </w:tc>
      </w:tr>
      <w:bookmarkEnd w:id="174"/>
    </w:tbl>
    <w:p w14:paraId="5BC20E2B">
      <w:pPr>
        <w:adjustRightInd w:val="0"/>
        <w:snapToGrid w:val="0"/>
        <w:spacing w:before="100" w:after="50" w:line="440" w:lineRule="atLeast"/>
        <w:ind w:firstLine="420"/>
        <w:rPr>
          <w:rFonts w:hint="eastAsia" w:ascii="宋体" w:hAnsi="宋体"/>
          <w:b w:val="0"/>
          <w:color w:val="auto"/>
          <w:sz w:val="22"/>
          <w:szCs w:val="22"/>
          <w:highlight w:val="none"/>
        </w:rPr>
      </w:pPr>
      <w:r>
        <w:rPr>
          <w:rFonts w:hint="eastAsia" w:ascii="宋体" w:hAnsi="宋体"/>
          <w:b w:val="0"/>
          <w:color w:val="auto"/>
          <w:sz w:val="22"/>
          <w:szCs w:val="22"/>
          <w:highlight w:val="none"/>
        </w:rPr>
        <w:t>1、每个供应商最终得分=技术资信部分分值（所有评标委员会成员打分的算术平均值）＋商务报价部分分值。</w:t>
      </w:r>
    </w:p>
    <w:p w14:paraId="13D85E51">
      <w:pPr>
        <w:adjustRightInd w:val="0"/>
        <w:snapToGrid w:val="0"/>
        <w:spacing w:before="100" w:after="50" w:line="440" w:lineRule="atLeast"/>
        <w:ind w:firstLine="420"/>
        <w:rPr>
          <w:rFonts w:hint="eastAsia" w:ascii="宋体" w:hAnsi="宋体"/>
          <w:b w:val="0"/>
          <w:color w:val="auto"/>
          <w:sz w:val="22"/>
          <w:szCs w:val="22"/>
          <w:highlight w:val="none"/>
        </w:rPr>
      </w:pPr>
      <w:r>
        <w:rPr>
          <w:rFonts w:hint="eastAsia" w:ascii="宋体" w:hAnsi="宋体"/>
          <w:b w:val="0"/>
          <w:color w:val="auto"/>
          <w:sz w:val="22"/>
          <w:szCs w:val="22"/>
          <w:highlight w:val="none"/>
        </w:rPr>
        <w:t>2、评标委员会推荐得分最高的供应商为预中标供应商（如果得分相同则按报价从低到高顺序依次推荐为预成交单位）如果得分相同，以报价低的优先报价也相同，以抽签决定，并编写采购报告。</w:t>
      </w:r>
    </w:p>
    <w:p w14:paraId="41A2E695">
      <w:pPr>
        <w:adjustRightInd w:val="0"/>
        <w:snapToGrid w:val="0"/>
        <w:spacing w:before="100" w:after="50" w:line="440" w:lineRule="atLeast"/>
        <w:ind w:firstLine="420"/>
        <w:rPr>
          <w:rFonts w:hint="eastAsia" w:ascii="宋体" w:hAnsi="宋体"/>
          <w:b w:val="0"/>
          <w:color w:val="auto"/>
          <w:sz w:val="22"/>
          <w:szCs w:val="22"/>
          <w:highlight w:val="none"/>
        </w:rPr>
      </w:pPr>
      <w:r>
        <w:rPr>
          <w:rFonts w:hint="eastAsia" w:ascii="宋体" w:hAnsi="宋体"/>
          <w:b w:val="0"/>
          <w:color w:val="auto"/>
          <w:sz w:val="22"/>
          <w:szCs w:val="22"/>
          <w:highlight w:val="none"/>
        </w:rPr>
        <w:t>3、所有分值计算保留小数点后二位，小数点后三位四舍五入。</w:t>
      </w:r>
    </w:p>
    <w:p w14:paraId="05953AE2">
      <w:pPr>
        <w:adjustRightInd w:val="0"/>
        <w:snapToGrid w:val="0"/>
        <w:spacing w:before="100" w:after="50" w:line="440" w:lineRule="atLeast"/>
        <w:ind w:firstLine="420"/>
        <w:rPr>
          <w:rFonts w:hint="eastAsia" w:ascii="宋体" w:hAnsi="宋体"/>
          <w:b w:val="0"/>
          <w:color w:val="auto"/>
          <w:sz w:val="22"/>
          <w:szCs w:val="22"/>
          <w:highlight w:val="none"/>
        </w:rPr>
      </w:pPr>
      <w:r>
        <w:rPr>
          <w:rFonts w:hint="eastAsia" w:ascii="宋体" w:hAnsi="宋体"/>
          <w:b w:val="0"/>
          <w:color w:val="auto"/>
          <w:sz w:val="22"/>
          <w:szCs w:val="22"/>
          <w:highlight w:val="none"/>
        </w:rPr>
        <w:t>4、开评标过程中遇到特殊情况，由评标委员会遵循公开、公正原则，采取投票方式按照少数服从多数原则决定。</w:t>
      </w:r>
    </w:p>
    <w:p w14:paraId="0E68CB13">
      <w:pPr>
        <w:adjustRightInd w:val="0"/>
        <w:snapToGrid w:val="0"/>
        <w:spacing w:before="100" w:after="50" w:line="440" w:lineRule="atLeast"/>
        <w:ind w:firstLine="420"/>
        <w:rPr>
          <w:rFonts w:hint="eastAsia" w:ascii="宋体" w:hAnsi="宋体"/>
          <w:b w:val="0"/>
          <w:color w:val="auto"/>
          <w:sz w:val="22"/>
          <w:szCs w:val="22"/>
          <w:highlight w:val="none"/>
        </w:rPr>
      </w:pPr>
      <w:r>
        <w:rPr>
          <w:rFonts w:hint="eastAsia" w:ascii="宋体" w:hAnsi="宋体"/>
          <w:b w:val="0"/>
          <w:color w:val="auto"/>
          <w:sz w:val="22"/>
          <w:szCs w:val="22"/>
          <w:highlight w:val="none"/>
        </w:rPr>
        <w:t>参见本采购文件第三部分：“供应商须知”中的相关内容，未尽事宜按有关法律规定处理。</w:t>
      </w:r>
    </w:p>
    <w:sectPr>
      <w:headerReference r:id="rId4" w:type="default"/>
      <w:footerReference r:id="rId5" w:type="default"/>
      <w:pgSz w:w="11906" w:h="16838"/>
      <w:pgMar w:top="1440" w:right="1803" w:bottom="1440" w:left="1803" w:header="851" w:footer="992" w:gutter="0"/>
      <w:pgNumType w:fmt="numberInDash"/>
      <w:cols w:space="720" w:num="1"/>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Yu Mincho Light">
    <w:altName w:val="Yu Gothic"/>
    <w:panose1 w:val="00000000000000000000"/>
    <w:charset w:val="80"/>
    <w:family w:val="roman"/>
    <w:pitch w:val="default"/>
    <w:sig w:usb0="00000000" w:usb1="00000000" w:usb2="00000012" w:usb3="00000000" w:csb0="0002009F" w:csb1="00000000"/>
  </w:font>
  <w:font w:name="Century Gothic">
    <w:panose1 w:val="020B0502020202020204"/>
    <w:charset w:val="00"/>
    <w:family w:val="swiss"/>
    <w:pitch w:val="default"/>
    <w:sig w:usb0="00000287" w:usb1="00000000" w:usb2="00000000" w:usb3="00000000" w:csb0="2000009F" w:csb1="DFD70000"/>
  </w:font>
  <w:font w:name="Cambria">
    <w:panose1 w:val="02040503050406030204"/>
    <w:charset w:val="00"/>
    <w:family w:val="roman"/>
    <w:pitch w:val="default"/>
    <w:sig w:usb0="E00006FF" w:usb1="420024FF" w:usb2="02000000" w:usb3="00000000" w:csb0="2000019F" w:csb1="00000000"/>
  </w:font>
  <w:font w:name="仿宋_GB2312">
    <w:altName w:val="仿宋"/>
    <w:panose1 w:val="00000000000000000000"/>
    <w:charset w:val="86"/>
    <w:family w:val="modern"/>
    <w:pitch w:val="default"/>
    <w:sig w:usb0="00000000" w:usb1="00000000" w:usb2="00000000" w:usb3="00000000" w:csb0="00040000" w:csb1="00000000"/>
  </w:font>
  <w:font w:name="Cambria Math">
    <w:panose1 w:val="02040503050406030204"/>
    <w:charset w:val="00"/>
    <w:family w:val="roman"/>
    <w:pitch w:val="default"/>
    <w:sig w:usb0="E00006FF" w:usb1="420024FF" w:usb2="02000000" w:usb3="00000000" w:csb0="2000019F" w:csb1="00000000"/>
  </w:font>
  <w:font w:name="@仿宋_GB2312">
    <w:altName w:val="仿宋"/>
    <w:panose1 w:val="00000000000000000000"/>
    <w:charset w:val="86"/>
    <w:family w:val="modern"/>
    <w:pitch w:val="default"/>
    <w:sig w:usb0="00000000" w:usb1="00000000" w:usb2="00000010" w:usb3="00000000" w:csb0="00040000" w:csb1="00000000"/>
  </w:font>
  <w:font w:name="@楷体_GB2312">
    <w:altName w:val="@楷体"/>
    <w:panose1 w:val="00000000000000000000"/>
    <w:charset w:val="86"/>
    <w:family w:val="modern"/>
    <w:pitch w:val="default"/>
    <w:sig w:usb0="00000000" w:usb1="00000000" w:usb2="00000010" w:usb3="00000000" w:csb0="00040000" w:csb1="00000000"/>
  </w:font>
  <w:font w:name="新宋体">
    <w:panose1 w:val="02010609030101010101"/>
    <w:charset w:val="86"/>
    <w:family w:val="modern"/>
    <w:pitch w:val="default"/>
    <w:sig w:usb0="00000203" w:usb1="288F0000" w:usb2="00000006" w:usb3="00000000" w:csb0="00040001" w:csb1="00000000"/>
  </w:font>
  <w:font w:name="等线">
    <w:panose1 w:val="02010600030101010101"/>
    <w:charset w:val="86"/>
    <w:family w:val="auto"/>
    <w:pitch w:val="default"/>
    <w:sig w:usb0="A00002BF" w:usb1="38CF7CFA" w:usb2="00000016" w:usb3="00000000" w:csb0="0004000F" w:csb1="00000000"/>
  </w:font>
  <w:font w:name="Verdana">
    <w:panose1 w:val="020B0604030504040204"/>
    <w:charset w:val="00"/>
    <w:family w:val="swiss"/>
    <w:pitch w:val="default"/>
    <w:sig w:usb0="A00006FF" w:usb1="4000205B" w:usb2="00000010" w:usb3="00000000" w:csb0="2000019F" w:csb1="00000000"/>
  </w:font>
  <w:font w:name="Yu Gothic">
    <w:panose1 w:val="020B0400000000000000"/>
    <w:charset w:val="80"/>
    <w:family w:val="auto"/>
    <w:pitch w:val="default"/>
    <w:sig w:usb0="E00002FF" w:usb1="2AC7FDFF" w:usb2="00000016" w:usb3="00000000" w:csb0="2002009F" w:csb1="00000000"/>
  </w:font>
  <w:font w:name="仿宋">
    <w:panose1 w:val="02010609060101010101"/>
    <w:charset w:val="86"/>
    <w:family w:val="auto"/>
    <w:pitch w:val="default"/>
    <w:sig w:usb0="800002BF" w:usb1="38CF7CFA" w:usb2="00000016" w:usb3="00000000" w:csb0="00040001" w:csb1="00000000"/>
  </w:font>
  <w:font w:name="@楷体">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644B3C6">
    <w:pPr>
      <w:spacing w:line="173" w:lineRule="auto"/>
      <w:ind w:left="4093"/>
      <w:rPr>
        <w:rFonts w:hint="eastAsia" w:ascii="黑体" w:hAnsi="黑体" w:eastAsia="黑体" w:cs="黑体"/>
        <w:sz w:val="18"/>
        <w:szCs w:val="18"/>
        <w:lang w:val="en-US" w:eastAsia="zh-CN"/>
      </w:rPr>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CF2468E">
                          <w:pPr>
                            <w:pStyle w:val="25"/>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14:paraId="0CF2468E">
                    <w:pPr>
                      <w:pStyle w:val="25"/>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1730069">
    <w:pPr>
      <w:pStyle w:val="25"/>
      <w:jc w:val="center"/>
      <w:rPr>
        <w:rFonts w:hint="eastAsia"/>
      </w:rPr>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sdt>
                          <w:sdtPr>
                            <w:id w:val="147479094"/>
                          </w:sdtPr>
                          <w:sdtContent>
                            <w:p w14:paraId="61A1D4FA">
                              <w:pPr>
                                <w:pStyle w:val="25"/>
                                <w:jc w:val="center"/>
                              </w:pPr>
                              <w:r>
                                <w:fldChar w:fldCharType="begin"/>
                              </w:r>
                              <w:r>
                                <w:instrText xml:space="preserve">PAGE   \* MERGEFORMAT</w:instrText>
                              </w:r>
                              <w:r>
                                <w:fldChar w:fldCharType="separate"/>
                              </w:r>
                              <w:r>
                                <w:rPr>
                                  <w:lang w:val="zh-CN"/>
                                </w:rPr>
                                <w:t>2</w:t>
                              </w:r>
                              <w:r>
                                <w:fldChar w:fldCharType="end"/>
                              </w:r>
                            </w:p>
                          </w:sdtContent>
                        </w:sdt>
                        <w:p w14:paraId="7F846621"/>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GA044yAgAAYQQAAA4AAABkcnMvZTJvRG9jLnhtbK1UzY7TMBC+I/EO&#10;lu80aStW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pm/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4YDTjjICAABhBAAADgAAAAAAAAABACAAAAAfAQAAZHJzL2Uyb0RvYy54bWxQSwUG&#10;AAAAAAYABgBZAQAAwwUAAAAA&#10;">
              <v:fill on="f" focussize="0,0"/>
              <v:stroke on="f" weight="0.5pt"/>
              <v:imagedata o:title=""/>
              <o:lock v:ext="edit" aspectratio="f"/>
              <v:textbox inset="0mm,0mm,0mm,0mm" style="mso-fit-shape-to-text:t;">
                <w:txbxContent>
                  <w:sdt>
                    <w:sdtPr>
                      <w:id w:val="147479094"/>
                    </w:sdtPr>
                    <w:sdtContent>
                      <w:p w14:paraId="61A1D4FA">
                        <w:pPr>
                          <w:pStyle w:val="25"/>
                          <w:jc w:val="center"/>
                        </w:pPr>
                        <w:r>
                          <w:fldChar w:fldCharType="begin"/>
                        </w:r>
                        <w:r>
                          <w:instrText xml:space="preserve">PAGE   \* MERGEFORMAT</w:instrText>
                        </w:r>
                        <w:r>
                          <w:fldChar w:fldCharType="separate"/>
                        </w:r>
                        <w:r>
                          <w:rPr>
                            <w:lang w:val="zh-CN"/>
                          </w:rPr>
                          <w:t>2</w:t>
                        </w:r>
                        <w:r>
                          <w:fldChar w:fldCharType="end"/>
                        </w:r>
                      </w:p>
                    </w:sdtContent>
                  </w:sdt>
                  <w:p w14:paraId="7F846621"/>
                </w:txbxContent>
              </v:textbox>
            </v:shape>
          </w:pict>
        </mc:Fallback>
      </mc:AlternateContent>
    </w:r>
  </w:p>
  <w:p w14:paraId="40C41BBD">
    <w:pPr>
      <w:pStyle w:val="25"/>
      <w:ind w:right="720"/>
      <w:jc w:val="center"/>
      <w:rPr>
        <w:rFonts w:hint="eastAsia"/>
      </w:rPr>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03F47CE">
    <w:pPr>
      <w:pStyle w:val="26"/>
      <w:pBdr>
        <w:bottom w:val="none" w:color="auto" w:sz="0" w:space="1"/>
      </w:pBdr>
      <w:jc w:val="both"/>
      <w:rPr>
        <w:rFonts w:hint="eastAsia"/>
        <w:b w:val="0"/>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1A75DC2"/>
    <w:multiLevelType w:val="singleLevel"/>
    <w:tmpl w:val="91A75DC2"/>
    <w:lvl w:ilvl="0" w:tentative="0">
      <w:start w:val="7"/>
      <w:numFmt w:val="chineseCounting"/>
      <w:suff w:val="nothing"/>
      <w:lvlText w:val="%1、"/>
      <w:lvlJc w:val="left"/>
      <w:rPr>
        <w:rFonts w:hint="eastAsia"/>
      </w:rPr>
    </w:lvl>
  </w:abstractNum>
  <w:abstractNum w:abstractNumId="1">
    <w:nsid w:val="BBC0D3BF"/>
    <w:multiLevelType w:val="singleLevel"/>
    <w:tmpl w:val="BBC0D3BF"/>
    <w:lvl w:ilvl="0" w:tentative="0">
      <w:start w:val="1"/>
      <w:numFmt w:val="decimal"/>
      <w:lvlText w:val="%1)"/>
      <w:lvlJc w:val="left"/>
      <w:pPr>
        <w:ind w:left="425" w:hanging="425"/>
      </w:pPr>
      <w:rPr>
        <w:rFonts w:hint="default"/>
      </w:rPr>
    </w:lvl>
  </w:abstractNum>
  <w:abstractNum w:abstractNumId="2">
    <w:nsid w:val="6D9701FB"/>
    <w:multiLevelType w:val="multilevel"/>
    <w:tmpl w:val="6D9701FB"/>
    <w:lvl w:ilvl="0" w:tentative="0">
      <w:start w:val="1"/>
      <w:numFmt w:val="decimal"/>
      <w:lvlText w:val="%1、"/>
      <w:lvlJc w:val="left"/>
      <w:pPr>
        <w:tabs>
          <w:tab w:val="left" w:pos="803"/>
        </w:tabs>
        <w:ind w:left="803" w:hanging="360"/>
      </w:pPr>
      <w:rPr>
        <w:rFonts w:hint="default"/>
      </w:rPr>
    </w:lvl>
    <w:lvl w:ilvl="1" w:tentative="0">
      <w:start w:val="1"/>
      <w:numFmt w:val="lowerLetter"/>
      <w:lvlText w:val="%2)"/>
      <w:lvlJc w:val="left"/>
      <w:pPr>
        <w:tabs>
          <w:tab w:val="left" w:pos="1283"/>
        </w:tabs>
        <w:ind w:left="1283" w:hanging="420"/>
      </w:pPr>
    </w:lvl>
    <w:lvl w:ilvl="2" w:tentative="0">
      <w:start w:val="1"/>
      <w:numFmt w:val="lowerRoman"/>
      <w:lvlText w:val="%3."/>
      <w:lvlJc w:val="right"/>
      <w:pPr>
        <w:tabs>
          <w:tab w:val="left" w:pos="1703"/>
        </w:tabs>
        <w:ind w:left="1703" w:hanging="420"/>
      </w:pPr>
    </w:lvl>
    <w:lvl w:ilvl="3" w:tentative="0">
      <w:start w:val="1"/>
      <w:numFmt w:val="decimal"/>
      <w:lvlText w:val="%4."/>
      <w:lvlJc w:val="left"/>
      <w:pPr>
        <w:tabs>
          <w:tab w:val="left" w:pos="2123"/>
        </w:tabs>
        <w:ind w:left="2123" w:hanging="420"/>
      </w:pPr>
    </w:lvl>
    <w:lvl w:ilvl="4" w:tentative="0">
      <w:start w:val="1"/>
      <w:numFmt w:val="lowerLetter"/>
      <w:lvlText w:val="%5)"/>
      <w:lvlJc w:val="left"/>
      <w:pPr>
        <w:tabs>
          <w:tab w:val="left" w:pos="2543"/>
        </w:tabs>
        <w:ind w:left="2543" w:hanging="420"/>
      </w:pPr>
    </w:lvl>
    <w:lvl w:ilvl="5" w:tentative="0">
      <w:start w:val="1"/>
      <w:numFmt w:val="lowerRoman"/>
      <w:lvlText w:val="%6."/>
      <w:lvlJc w:val="right"/>
      <w:pPr>
        <w:tabs>
          <w:tab w:val="left" w:pos="2963"/>
        </w:tabs>
        <w:ind w:left="2963" w:hanging="420"/>
      </w:pPr>
    </w:lvl>
    <w:lvl w:ilvl="6" w:tentative="0">
      <w:start w:val="1"/>
      <w:numFmt w:val="decimal"/>
      <w:lvlText w:val="%7."/>
      <w:lvlJc w:val="left"/>
      <w:pPr>
        <w:tabs>
          <w:tab w:val="left" w:pos="3383"/>
        </w:tabs>
        <w:ind w:left="3383" w:hanging="420"/>
      </w:pPr>
    </w:lvl>
    <w:lvl w:ilvl="7" w:tentative="0">
      <w:start w:val="1"/>
      <w:numFmt w:val="lowerLetter"/>
      <w:lvlText w:val="%8)"/>
      <w:lvlJc w:val="left"/>
      <w:pPr>
        <w:tabs>
          <w:tab w:val="left" w:pos="3803"/>
        </w:tabs>
        <w:ind w:left="3803" w:hanging="420"/>
      </w:pPr>
    </w:lvl>
    <w:lvl w:ilvl="8" w:tentative="0">
      <w:start w:val="1"/>
      <w:numFmt w:val="lowerRoman"/>
      <w:lvlText w:val="%9."/>
      <w:lvlJc w:val="right"/>
      <w:pPr>
        <w:tabs>
          <w:tab w:val="left" w:pos="4223"/>
        </w:tabs>
        <w:ind w:left="4223" w:hanging="420"/>
      </w:p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drawingGridHorizontalSpacing w:val="211"/>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ZTA4NzIyN2MxYTlmMzQ1NGE2MjU5NWRkMjhlOGMxYTAifQ=="/>
  </w:docVars>
  <w:rsids>
    <w:rsidRoot w:val="00F953DF"/>
    <w:rsid w:val="00000B90"/>
    <w:rsid w:val="000023CC"/>
    <w:rsid w:val="00002437"/>
    <w:rsid w:val="00002836"/>
    <w:rsid w:val="00002B42"/>
    <w:rsid w:val="00002D89"/>
    <w:rsid w:val="0000614D"/>
    <w:rsid w:val="00007369"/>
    <w:rsid w:val="00010CB2"/>
    <w:rsid w:val="0001100D"/>
    <w:rsid w:val="0001144A"/>
    <w:rsid w:val="000118A3"/>
    <w:rsid w:val="00011A00"/>
    <w:rsid w:val="00012286"/>
    <w:rsid w:val="000132DB"/>
    <w:rsid w:val="000136AD"/>
    <w:rsid w:val="00014466"/>
    <w:rsid w:val="00014487"/>
    <w:rsid w:val="00014B89"/>
    <w:rsid w:val="00015716"/>
    <w:rsid w:val="0001640B"/>
    <w:rsid w:val="000173B6"/>
    <w:rsid w:val="000175AB"/>
    <w:rsid w:val="00017AE7"/>
    <w:rsid w:val="00020408"/>
    <w:rsid w:val="000224D7"/>
    <w:rsid w:val="0002288F"/>
    <w:rsid w:val="00022D39"/>
    <w:rsid w:val="00023255"/>
    <w:rsid w:val="0002366C"/>
    <w:rsid w:val="000236A8"/>
    <w:rsid w:val="00024091"/>
    <w:rsid w:val="00024368"/>
    <w:rsid w:val="000250F7"/>
    <w:rsid w:val="00025978"/>
    <w:rsid w:val="00025B64"/>
    <w:rsid w:val="00025F5D"/>
    <w:rsid w:val="00025FFA"/>
    <w:rsid w:val="0002686B"/>
    <w:rsid w:val="00026EE5"/>
    <w:rsid w:val="00026FC6"/>
    <w:rsid w:val="00031079"/>
    <w:rsid w:val="00031329"/>
    <w:rsid w:val="000317F3"/>
    <w:rsid w:val="00031DF4"/>
    <w:rsid w:val="00032357"/>
    <w:rsid w:val="0003237C"/>
    <w:rsid w:val="00033142"/>
    <w:rsid w:val="00033B32"/>
    <w:rsid w:val="00033B53"/>
    <w:rsid w:val="00033BB5"/>
    <w:rsid w:val="000346BC"/>
    <w:rsid w:val="00035C6C"/>
    <w:rsid w:val="00035FF4"/>
    <w:rsid w:val="0003686B"/>
    <w:rsid w:val="00037401"/>
    <w:rsid w:val="00037A11"/>
    <w:rsid w:val="000409C5"/>
    <w:rsid w:val="0004127D"/>
    <w:rsid w:val="000415E8"/>
    <w:rsid w:val="000418A6"/>
    <w:rsid w:val="00041AA9"/>
    <w:rsid w:val="00041DA9"/>
    <w:rsid w:val="00042F1E"/>
    <w:rsid w:val="0004345C"/>
    <w:rsid w:val="000438D1"/>
    <w:rsid w:val="00043CAC"/>
    <w:rsid w:val="00043D3D"/>
    <w:rsid w:val="00043FB7"/>
    <w:rsid w:val="0004498B"/>
    <w:rsid w:val="00044D2C"/>
    <w:rsid w:val="000451E6"/>
    <w:rsid w:val="00045A4B"/>
    <w:rsid w:val="00045BAC"/>
    <w:rsid w:val="000475B6"/>
    <w:rsid w:val="000477FC"/>
    <w:rsid w:val="00047B86"/>
    <w:rsid w:val="000503EC"/>
    <w:rsid w:val="0005061B"/>
    <w:rsid w:val="00050741"/>
    <w:rsid w:val="000507FE"/>
    <w:rsid w:val="00050877"/>
    <w:rsid w:val="00051881"/>
    <w:rsid w:val="00051C58"/>
    <w:rsid w:val="00051E5C"/>
    <w:rsid w:val="00052AC7"/>
    <w:rsid w:val="00052B65"/>
    <w:rsid w:val="00053063"/>
    <w:rsid w:val="00053149"/>
    <w:rsid w:val="00053709"/>
    <w:rsid w:val="000539FF"/>
    <w:rsid w:val="00054068"/>
    <w:rsid w:val="0005407C"/>
    <w:rsid w:val="000541D1"/>
    <w:rsid w:val="000543B7"/>
    <w:rsid w:val="00054529"/>
    <w:rsid w:val="00055081"/>
    <w:rsid w:val="00055B97"/>
    <w:rsid w:val="00055C23"/>
    <w:rsid w:val="00056A7B"/>
    <w:rsid w:val="00056BC6"/>
    <w:rsid w:val="00060577"/>
    <w:rsid w:val="00060C5E"/>
    <w:rsid w:val="00060DBC"/>
    <w:rsid w:val="000612A2"/>
    <w:rsid w:val="00063533"/>
    <w:rsid w:val="00065A79"/>
    <w:rsid w:val="00065B20"/>
    <w:rsid w:val="00065E27"/>
    <w:rsid w:val="0006776D"/>
    <w:rsid w:val="00070CF1"/>
    <w:rsid w:val="00071159"/>
    <w:rsid w:val="000716A4"/>
    <w:rsid w:val="00072538"/>
    <w:rsid w:val="00073C59"/>
    <w:rsid w:val="00073E4B"/>
    <w:rsid w:val="00074206"/>
    <w:rsid w:val="000757BC"/>
    <w:rsid w:val="000764F2"/>
    <w:rsid w:val="000766D8"/>
    <w:rsid w:val="00077D23"/>
    <w:rsid w:val="00080074"/>
    <w:rsid w:val="000802E4"/>
    <w:rsid w:val="000805FB"/>
    <w:rsid w:val="00080900"/>
    <w:rsid w:val="00080929"/>
    <w:rsid w:val="00080EBC"/>
    <w:rsid w:val="0008105A"/>
    <w:rsid w:val="0008149E"/>
    <w:rsid w:val="00081920"/>
    <w:rsid w:val="00084613"/>
    <w:rsid w:val="00085AC5"/>
    <w:rsid w:val="0008669D"/>
    <w:rsid w:val="000873B2"/>
    <w:rsid w:val="00087906"/>
    <w:rsid w:val="000907D5"/>
    <w:rsid w:val="000911E3"/>
    <w:rsid w:val="0009187E"/>
    <w:rsid w:val="00091D0A"/>
    <w:rsid w:val="00092586"/>
    <w:rsid w:val="00092B46"/>
    <w:rsid w:val="00092D15"/>
    <w:rsid w:val="0009322F"/>
    <w:rsid w:val="00093862"/>
    <w:rsid w:val="00093A04"/>
    <w:rsid w:val="00093AA3"/>
    <w:rsid w:val="00093BA8"/>
    <w:rsid w:val="00093D5E"/>
    <w:rsid w:val="00093F62"/>
    <w:rsid w:val="00094841"/>
    <w:rsid w:val="000951F6"/>
    <w:rsid w:val="00095811"/>
    <w:rsid w:val="00095B2B"/>
    <w:rsid w:val="00095B2C"/>
    <w:rsid w:val="00095E65"/>
    <w:rsid w:val="00096D7D"/>
    <w:rsid w:val="00097489"/>
    <w:rsid w:val="00097761"/>
    <w:rsid w:val="00097BFD"/>
    <w:rsid w:val="00097DD4"/>
    <w:rsid w:val="000A07B9"/>
    <w:rsid w:val="000A11A8"/>
    <w:rsid w:val="000A32E0"/>
    <w:rsid w:val="000A47F6"/>
    <w:rsid w:val="000A5303"/>
    <w:rsid w:val="000A58AE"/>
    <w:rsid w:val="000A6BFF"/>
    <w:rsid w:val="000A741B"/>
    <w:rsid w:val="000A79E5"/>
    <w:rsid w:val="000A7DD9"/>
    <w:rsid w:val="000A7F69"/>
    <w:rsid w:val="000B07CF"/>
    <w:rsid w:val="000B2CBF"/>
    <w:rsid w:val="000B3059"/>
    <w:rsid w:val="000B3578"/>
    <w:rsid w:val="000B3FCE"/>
    <w:rsid w:val="000B553F"/>
    <w:rsid w:val="000B6510"/>
    <w:rsid w:val="000B6C47"/>
    <w:rsid w:val="000B72AB"/>
    <w:rsid w:val="000B7891"/>
    <w:rsid w:val="000C020E"/>
    <w:rsid w:val="000C03C1"/>
    <w:rsid w:val="000C0AB1"/>
    <w:rsid w:val="000C0C98"/>
    <w:rsid w:val="000C0FDB"/>
    <w:rsid w:val="000C1218"/>
    <w:rsid w:val="000C2112"/>
    <w:rsid w:val="000C2404"/>
    <w:rsid w:val="000C25DF"/>
    <w:rsid w:val="000C26D1"/>
    <w:rsid w:val="000C2995"/>
    <w:rsid w:val="000C3674"/>
    <w:rsid w:val="000C3D77"/>
    <w:rsid w:val="000C4A9C"/>
    <w:rsid w:val="000C4F06"/>
    <w:rsid w:val="000C4FD4"/>
    <w:rsid w:val="000C69FA"/>
    <w:rsid w:val="000C7357"/>
    <w:rsid w:val="000C750E"/>
    <w:rsid w:val="000C79D8"/>
    <w:rsid w:val="000C7D1F"/>
    <w:rsid w:val="000C7DD1"/>
    <w:rsid w:val="000D063F"/>
    <w:rsid w:val="000D0A41"/>
    <w:rsid w:val="000D12A9"/>
    <w:rsid w:val="000D1C8E"/>
    <w:rsid w:val="000D2C58"/>
    <w:rsid w:val="000D2C7D"/>
    <w:rsid w:val="000D2C7E"/>
    <w:rsid w:val="000D2D5D"/>
    <w:rsid w:val="000D39DD"/>
    <w:rsid w:val="000D424C"/>
    <w:rsid w:val="000D45FB"/>
    <w:rsid w:val="000D4975"/>
    <w:rsid w:val="000D5461"/>
    <w:rsid w:val="000D55F8"/>
    <w:rsid w:val="000D56F6"/>
    <w:rsid w:val="000D6615"/>
    <w:rsid w:val="000D6621"/>
    <w:rsid w:val="000D709F"/>
    <w:rsid w:val="000E016A"/>
    <w:rsid w:val="000E01BC"/>
    <w:rsid w:val="000E048B"/>
    <w:rsid w:val="000E0F23"/>
    <w:rsid w:val="000E11FE"/>
    <w:rsid w:val="000E1BCB"/>
    <w:rsid w:val="000E2166"/>
    <w:rsid w:val="000E27B0"/>
    <w:rsid w:val="000E2E78"/>
    <w:rsid w:val="000E3024"/>
    <w:rsid w:val="000E3534"/>
    <w:rsid w:val="000E460F"/>
    <w:rsid w:val="000E4749"/>
    <w:rsid w:val="000E5035"/>
    <w:rsid w:val="000E5EE8"/>
    <w:rsid w:val="000E6D23"/>
    <w:rsid w:val="000E7A60"/>
    <w:rsid w:val="000F029F"/>
    <w:rsid w:val="000F02D6"/>
    <w:rsid w:val="000F0495"/>
    <w:rsid w:val="000F04EE"/>
    <w:rsid w:val="000F05DE"/>
    <w:rsid w:val="000F14CF"/>
    <w:rsid w:val="000F28A7"/>
    <w:rsid w:val="000F29BA"/>
    <w:rsid w:val="000F30B5"/>
    <w:rsid w:val="000F35EF"/>
    <w:rsid w:val="000F3909"/>
    <w:rsid w:val="000F3E56"/>
    <w:rsid w:val="000F4564"/>
    <w:rsid w:val="000F4EB7"/>
    <w:rsid w:val="000F528A"/>
    <w:rsid w:val="000F5414"/>
    <w:rsid w:val="000F6247"/>
    <w:rsid w:val="000F6B1D"/>
    <w:rsid w:val="000F6DD2"/>
    <w:rsid w:val="000F7420"/>
    <w:rsid w:val="000F7AC3"/>
    <w:rsid w:val="00100683"/>
    <w:rsid w:val="001017B3"/>
    <w:rsid w:val="00101D56"/>
    <w:rsid w:val="001024FD"/>
    <w:rsid w:val="0010280A"/>
    <w:rsid w:val="001036C0"/>
    <w:rsid w:val="0010401B"/>
    <w:rsid w:val="00104A6E"/>
    <w:rsid w:val="00104B6B"/>
    <w:rsid w:val="0010556C"/>
    <w:rsid w:val="0010577D"/>
    <w:rsid w:val="00105FD1"/>
    <w:rsid w:val="001066FC"/>
    <w:rsid w:val="0010670C"/>
    <w:rsid w:val="0010673D"/>
    <w:rsid w:val="00106EC3"/>
    <w:rsid w:val="00111C4B"/>
    <w:rsid w:val="0011205F"/>
    <w:rsid w:val="001144F6"/>
    <w:rsid w:val="00114A08"/>
    <w:rsid w:val="00114EC5"/>
    <w:rsid w:val="00115B44"/>
    <w:rsid w:val="00116B16"/>
    <w:rsid w:val="00116D85"/>
    <w:rsid w:val="001174D8"/>
    <w:rsid w:val="00120334"/>
    <w:rsid w:val="00120B41"/>
    <w:rsid w:val="001215E8"/>
    <w:rsid w:val="00121814"/>
    <w:rsid w:val="00121B00"/>
    <w:rsid w:val="0012248B"/>
    <w:rsid w:val="0012255A"/>
    <w:rsid w:val="00122A02"/>
    <w:rsid w:val="00122FD5"/>
    <w:rsid w:val="00123F24"/>
    <w:rsid w:val="001245E9"/>
    <w:rsid w:val="00124D19"/>
    <w:rsid w:val="00125510"/>
    <w:rsid w:val="00125C39"/>
    <w:rsid w:val="00126D17"/>
    <w:rsid w:val="001275FA"/>
    <w:rsid w:val="00127717"/>
    <w:rsid w:val="00127D6D"/>
    <w:rsid w:val="0013018C"/>
    <w:rsid w:val="0013155C"/>
    <w:rsid w:val="0013327A"/>
    <w:rsid w:val="00133C92"/>
    <w:rsid w:val="00134AB1"/>
    <w:rsid w:val="00135137"/>
    <w:rsid w:val="0013566B"/>
    <w:rsid w:val="00135A84"/>
    <w:rsid w:val="00136204"/>
    <w:rsid w:val="001370E7"/>
    <w:rsid w:val="0013758D"/>
    <w:rsid w:val="001400B1"/>
    <w:rsid w:val="00140737"/>
    <w:rsid w:val="00140AFB"/>
    <w:rsid w:val="001413E7"/>
    <w:rsid w:val="0014167B"/>
    <w:rsid w:val="00141696"/>
    <w:rsid w:val="00141E2E"/>
    <w:rsid w:val="00142D0A"/>
    <w:rsid w:val="001434CD"/>
    <w:rsid w:val="001444E8"/>
    <w:rsid w:val="00144678"/>
    <w:rsid w:val="0014472E"/>
    <w:rsid w:val="00144E83"/>
    <w:rsid w:val="00145113"/>
    <w:rsid w:val="001467EA"/>
    <w:rsid w:val="00146E28"/>
    <w:rsid w:val="00146F88"/>
    <w:rsid w:val="00147033"/>
    <w:rsid w:val="00147288"/>
    <w:rsid w:val="001477CD"/>
    <w:rsid w:val="00150642"/>
    <w:rsid w:val="00150970"/>
    <w:rsid w:val="00150D76"/>
    <w:rsid w:val="001510BE"/>
    <w:rsid w:val="00151D99"/>
    <w:rsid w:val="0015273F"/>
    <w:rsid w:val="00152786"/>
    <w:rsid w:val="00152A3E"/>
    <w:rsid w:val="001540AE"/>
    <w:rsid w:val="001544AF"/>
    <w:rsid w:val="001547BB"/>
    <w:rsid w:val="00154824"/>
    <w:rsid w:val="00155846"/>
    <w:rsid w:val="00155BC2"/>
    <w:rsid w:val="001569B2"/>
    <w:rsid w:val="00157251"/>
    <w:rsid w:val="00157C18"/>
    <w:rsid w:val="00157D92"/>
    <w:rsid w:val="00160509"/>
    <w:rsid w:val="0016054A"/>
    <w:rsid w:val="00160822"/>
    <w:rsid w:val="00160979"/>
    <w:rsid w:val="00162152"/>
    <w:rsid w:val="001628D4"/>
    <w:rsid w:val="00164319"/>
    <w:rsid w:val="00164E14"/>
    <w:rsid w:val="00166AE4"/>
    <w:rsid w:val="00167057"/>
    <w:rsid w:val="00172F53"/>
    <w:rsid w:val="001731DB"/>
    <w:rsid w:val="001735F5"/>
    <w:rsid w:val="001738E9"/>
    <w:rsid w:val="00173AA0"/>
    <w:rsid w:val="001743F3"/>
    <w:rsid w:val="001749A6"/>
    <w:rsid w:val="00174BC5"/>
    <w:rsid w:val="001751BA"/>
    <w:rsid w:val="001756B0"/>
    <w:rsid w:val="00175E78"/>
    <w:rsid w:val="001762EA"/>
    <w:rsid w:val="00176DE7"/>
    <w:rsid w:val="00176FA7"/>
    <w:rsid w:val="00176FEE"/>
    <w:rsid w:val="001776E6"/>
    <w:rsid w:val="00180772"/>
    <w:rsid w:val="00180833"/>
    <w:rsid w:val="00180D3C"/>
    <w:rsid w:val="001818E7"/>
    <w:rsid w:val="001819DF"/>
    <w:rsid w:val="00181C27"/>
    <w:rsid w:val="001821C4"/>
    <w:rsid w:val="00182F51"/>
    <w:rsid w:val="0018340C"/>
    <w:rsid w:val="001835BB"/>
    <w:rsid w:val="00183AA7"/>
    <w:rsid w:val="00183BE2"/>
    <w:rsid w:val="00184866"/>
    <w:rsid w:val="00184E5D"/>
    <w:rsid w:val="001855A4"/>
    <w:rsid w:val="00185998"/>
    <w:rsid w:val="00185F48"/>
    <w:rsid w:val="001860D1"/>
    <w:rsid w:val="00186E87"/>
    <w:rsid w:val="00186F02"/>
    <w:rsid w:val="00187100"/>
    <w:rsid w:val="001874D7"/>
    <w:rsid w:val="00190390"/>
    <w:rsid w:val="00190464"/>
    <w:rsid w:val="001904B2"/>
    <w:rsid w:val="00190A72"/>
    <w:rsid w:val="001910D6"/>
    <w:rsid w:val="0019275F"/>
    <w:rsid w:val="00192CAB"/>
    <w:rsid w:val="001932E6"/>
    <w:rsid w:val="00195543"/>
    <w:rsid w:val="001957B2"/>
    <w:rsid w:val="0019584A"/>
    <w:rsid w:val="00195B40"/>
    <w:rsid w:val="001962AE"/>
    <w:rsid w:val="00196996"/>
    <w:rsid w:val="001969A2"/>
    <w:rsid w:val="001972BC"/>
    <w:rsid w:val="00197321"/>
    <w:rsid w:val="00197DFB"/>
    <w:rsid w:val="001A08AC"/>
    <w:rsid w:val="001A0A8C"/>
    <w:rsid w:val="001A0D25"/>
    <w:rsid w:val="001A127A"/>
    <w:rsid w:val="001A2935"/>
    <w:rsid w:val="001A2B2A"/>
    <w:rsid w:val="001A3E9C"/>
    <w:rsid w:val="001A44B2"/>
    <w:rsid w:val="001A4C41"/>
    <w:rsid w:val="001A5A6B"/>
    <w:rsid w:val="001A61DA"/>
    <w:rsid w:val="001A63A7"/>
    <w:rsid w:val="001A6420"/>
    <w:rsid w:val="001A694E"/>
    <w:rsid w:val="001A7186"/>
    <w:rsid w:val="001B0894"/>
    <w:rsid w:val="001B225A"/>
    <w:rsid w:val="001B2312"/>
    <w:rsid w:val="001B3039"/>
    <w:rsid w:val="001B332B"/>
    <w:rsid w:val="001B3517"/>
    <w:rsid w:val="001B40A5"/>
    <w:rsid w:val="001B5963"/>
    <w:rsid w:val="001B5F35"/>
    <w:rsid w:val="001B611A"/>
    <w:rsid w:val="001B74E6"/>
    <w:rsid w:val="001B75CA"/>
    <w:rsid w:val="001C04A4"/>
    <w:rsid w:val="001C0DA9"/>
    <w:rsid w:val="001C13A0"/>
    <w:rsid w:val="001C142F"/>
    <w:rsid w:val="001C1461"/>
    <w:rsid w:val="001C1C1B"/>
    <w:rsid w:val="001C225F"/>
    <w:rsid w:val="001C2485"/>
    <w:rsid w:val="001C3177"/>
    <w:rsid w:val="001C337D"/>
    <w:rsid w:val="001C365C"/>
    <w:rsid w:val="001C435C"/>
    <w:rsid w:val="001C50C7"/>
    <w:rsid w:val="001C5CEC"/>
    <w:rsid w:val="001C5D6F"/>
    <w:rsid w:val="001C5EDA"/>
    <w:rsid w:val="001C67EB"/>
    <w:rsid w:val="001C6B5A"/>
    <w:rsid w:val="001C74D5"/>
    <w:rsid w:val="001C75A2"/>
    <w:rsid w:val="001C7D9B"/>
    <w:rsid w:val="001D13A6"/>
    <w:rsid w:val="001D176A"/>
    <w:rsid w:val="001D2445"/>
    <w:rsid w:val="001D24A4"/>
    <w:rsid w:val="001D27B5"/>
    <w:rsid w:val="001D28DA"/>
    <w:rsid w:val="001D3C92"/>
    <w:rsid w:val="001D425F"/>
    <w:rsid w:val="001D4327"/>
    <w:rsid w:val="001D450E"/>
    <w:rsid w:val="001D4BCF"/>
    <w:rsid w:val="001D50BC"/>
    <w:rsid w:val="001D55B6"/>
    <w:rsid w:val="001D591A"/>
    <w:rsid w:val="001D59F1"/>
    <w:rsid w:val="001D5AC3"/>
    <w:rsid w:val="001D601D"/>
    <w:rsid w:val="001D6063"/>
    <w:rsid w:val="001D6992"/>
    <w:rsid w:val="001E04F1"/>
    <w:rsid w:val="001E0B1B"/>
    <w:rsid w:val="001E0D2B"/>
    <w:rsid w:val="001E0E3E"/>
    <w:rsid w:val="001E0EDC"/>
    <w:rsid w:val="001E0F96"/>
    <w:rsid w:val="001E0FF9"/>
    <w:rsid w:val="001E17FF"/>
    <w:rsid w:val="001E19B9"/>
    <w:rsid w:val="001E2C44"/>
    <w:rsid w:val="001E31C0"/>
    <w:rsid w:val="001E3210"/>
    <w:rsid w:val="001E3514"/>
    <w:rsid w:val="001E38D2"/>
    <w:rsid w:val="001E41E2"/>
    <w:rsid w:val="001E4367"/>
    <w:rsid w:val="001E43B8"/>
    <w:rsid w:val="001E47A1"/>
    <w:rsid w:val="001E536B"/>
    <w:rsid w:val="001E571E"/>
    <w:rsid w:val="001E5B5F"/>
    <w:rsid w:val="001E669F"/>
    <w:rsid w:val="001E7C96"/>
    <w:rsid w:val="001E7D0B"/>
    <w:rsid w:val="001F009B"/>
    <w:rsid w:val="001F04DD"/>
    <w:rsid w:val="001F18CC"/>
    <w:rsid w:val="001F1C63"/>
    <w:rsid w:val="001F247D"/>
    <w:rsid w:val="001F28C3"/>
    <w:rsid w:val="001F2BF9"/>
    <w:rsid w:val="001F3A0B"/>
    <w:rsid w:val="001F404D"/>
    <w:rsid w:val="001F40F6"/>
    <w:rsid w:val="001F4EBE"/>
    <w:rsid w:val="001F531B"/>
    <w:rsid w:val="001F546B"/>
    <w:rsid w:val="001F58DE"/>
    <w:rsid w:val="001F5F3D"/>
    <w:rsid w:val="001F604E"/>
    <w:rsid w:val="001F6595"/>
    <w:rsid w:val="001F670B"/>
    <w:rsid w:val="001F6D38"/>
    <w:rsid w:val="001F77AF"/>
    <w:rsid w:val="001F7B06"/>
    <w:rsid w:val="00200481"/>
    <w:rsid w:val="00200ADA"/>
    <w:rsid w:val="0020230F"/>
    <w:rsid w:val="0020290A"/>
    <w:rsid w:val="00202BD3"/>
    <w:rsid w:val="0020385C"/>
    <w:rsid w:val="0020405A"/>
    <w:rsid w:val="0020459D"/>
    <w:rsid w:val="00204903"/>
    <w:rsid w:val="0020498F"/>
    <w:rsid w:val="00204F2B"/>
    <w:rsid w:val="002051C2"/>
    <w:rsid w:val="00205315"/>
    <w:rsid w:val="00205354"/>
    <w:rsid w:val="00205784"/>
    <w:rsid w:val="00205B27"/>
    <w:rsid w:val="00205E9E"/>
    <w:rsid w:val="00205F3E"/>
    <w:rsid w:val="002063CE"/>
    <w:rsid w:val="00206AC4"/>
    <w:rsid w:val="00210B1E"/>
    <w:rsid w:val="002114ED"/>
    <w:rsid w:val="002119A8"/>
    <w:rsid w:val="00212950"/>
    <w:rsid w:val="00212A02"/>
    <w:rsid w:val="00212BFC"/>
    <w:rsid w:val="0021337E"/>
    <w:rsid w:val="002145FD"/>
    <w:rsid w:val="00214E01"/>
    <w:rsid w:val="002152CB"/>
    <w:rsid w:val="002153EC"/>
    <w:rsid w:val="002157B9"/>
    <w:rsid w:val="00215B26"/>
    <w:rsid w:val="00215E4D"/>
    <w:rsid w:val="002168A4"/>
    <w:rsid w:val="00216D58"/>
    <w:rsid w:val="0021747C"/>
    <w:rsid w:val="00221678"/>
    <w:rsid w:val="00221926"/>
    <w:rsid w:val="00221BF6"/>
    <w:rsid w:val="00221FF3"/>
    <w:rsid w:val="002226B0"/>
    <w:rsid w:val="00223680"/>
    <w:rsid w:val="00223C3D"/>
    <w:rsid w:val="0022476D"/>
    <w:rsid w:val="00224AC6"/>
    <w:rsid w:val="00224F75"/>
    <w:rsid w:val="0022707B"/>
    <w:rsid w:val="00230836"/>
    <w:rsid w:val="002309D9"/>
    <w:rsid w:val="002314A7"/>
    <w:rsid w:val="0023162E"/>
    <w:rsid w:val="00232A52"/>
    <w:rsid w:val="00233641"/>
    <w:rsid w:val="00235453"/>
    <w:rsid w:val="0023563D"/>
    <w:rsid w:val="00235C47"/>
    <w:rsid w:val="0023639E"/>
    <w:rsid w:val="002364CD"/>
    <w:rsid w:val="002366B6"/>
    <w:rsid w:val="00236908"/>
    <w:rsid w:val="002370C2"/>
    <w:rsid w:val="0023721B"/>
    <w:rsid w:val="002374BC"/>
    <w:rsid w:val="00237F10"/>
    <w:rsid w:val="00240133"/>
    <w:rsid w:val="002401E8"/>
    <w:rsid w:val="0024033C"/>
    <w:rsid w:val="00240B28"/>
    <w:rsid w:val="00241118"/>
    <w:rsid w:val="0024166B"/>
    <w:rsid w:val="002421EB"/>
    <w:rsid w:val="00242C8C"/>
    <w:rsid w:val="00242F03"/>
    <w:rsid w:val="00243F71"/>
    <w:rsid w:val="00244221"/>
    <w:rsid w:val="002462C2"/>
    <w:rsid w:val="00246E7F"/>
    <w:rsid w:val="00247319"/>
    <w:rsid w:val="00247A00"/>
    <w:rsid w:val="00247B30"/>
    <w:rsid w:val="00250C48"/>
    <w:rsid w:val="00250F39"/>
    <w:rsid w:val="00252F88"/>
    <w:rsid w:val="0025314E"/>
    <w:rsid w:val="0025397D"/>
    <w:rsid w:val="0025432A"/>
    <w:rsid w:val="00254775"/>
    <w:rsid w:val="00254858"/>
    <w:rsid w:val="00254948"/>
    <w:rsid w:val="0025499A"/>
    <w:rsid w:val="00254C2D"/>
    <w:rsid w:val="002557C6"/>
    <w:rsid w:val="00255A34"/>
    <w:rsid w:val="00255CAC"/>
    <w:rsid w:val="00255EBB"/>
    <w:rsid w:val="002567B4"/>
    <w:rsid w:val="002569B6"/>
    <w:rsid w:val="00256F2F"/>
    <w:rsid w:val="002579D1"/>
    <w:rsid w:val="00257BDC"/>
    <w:rsid w:val="00260AB9"/>
    <w:rsid w:val="002611EF"/>
    <w:rsid w:val="00261477"/>
    <w:rsid w:val="0026337D"/>
    <w:rsid w:val="002643BB"/>
    <w:rsid w:val="00265ADF"/>
    <w:rsid w:val="002664AA"/>
    <w:rsid w:val="0026732C"/>
    <w:rsid w:val="00267916"/>
    <w:rsid w:val="002702C2"/>
    <w:rsid w:val="00270D91"/>
    <w:rsid w:val="00270F1F"/>
    <w:rsid w:val="0027137D"/>
    <w:rsid w:val="00271505"/>
    <w:rsid w:val="002715B5"/>
    <w:rsid w:val="0027168E"/>
    <w:rsid w:val="00271ACA"/>
    <w:rsid w:val="00271CCA"/>
    <w:rsid w:val="00272620"/>
    <w:rsid w:val="0027273E"/>
    <w:rsid w:val="0027390B"/>
    <w:rsid w:val="0027421E"/>
    <w:rsid w:val="00274585"/>
    <w:rsid w:val="002748CF"/>
    <w:rsid w:val="00274E0D"/>
    <w:rsid w:val="00274EB9"/>
    <w:rsid w:val="00275BDD"/>
    <w:rsid w:val="00276168"/>
    <w:rsid w:val="00276426"/>
    <w:rsid w:val="00280B16"/>
    <w:rsid w:val="00282358"/>
    <w:rsid w:val="00282D0B"/>
    <w:rsid w:val="002838C4"/>
    <w:rsid w:val="002838E7"/>
    <w:rsid w:val="0028526D"/>
    <w:rsid w:val="00285377"/>
    <w:rsid w:val="00285BB9"/>
    <w:rsid w:val="002873D0"/>
    <w:rsid w:val="00287587"/>
    <w:rsid w:val="002876FD"/>
    <w:rsid w:val="002877C0"/>
    <w:rsid w:val="0028784C"/>
    <w:rsid w:val="00287E73"/>
    <w:rsid w:val="00291F37"/>
    <w:rsid w:val="0029238B"/>
    <w:rsid w:val="00292B0F"/>
    <w:rsid w:val="0029424F"/>
    <w:rsid w:val="00295075"/>
    <w:rsid w:val="0029558B"/>
    <w:rsid w:val="00296454"/>
    <w:rsid w:val="00296AD8"/>
    <w:rsid w:val="0029798F"/>
    <w:rsid w:val="002A026F"/>
    <w:rsid w:val="002A06CA"/>
    <w:rsid w:val="002A109D"/>
    <w:rsid w:val="002A1B83"/>
    <w:rsid w:val="002A333C"/>
    <w:rsid w:val="002A4471"/>
    <w:rsid w:val="002A48FF"/>
    <w:rsid w:val="002A507B"/>
    <w:rsid w:val="002A5CFE"/>
    <w:rsid w:val="002A6761"/>
    <w:rsid w:val="002A6A3B"/>
    <w:rsid w:val="002A738E"/>
    <w:rsid w:val="002A7D5C"/>
    <w:rsid w:val="002A7FB6"/>
    <w:rsid w:val="002B0C88"/>
    <w:rsid w:val="002B12CB"/>
    <w:rsid w:val="002B1DCD"/>
    <w:rsid w:val="002B27F8"/>
    <w:rsid w:val="002B2978"/>
    <w:rsid w:val="002B2E25"/>
    <w:rsid w:val="002B3D35"/>
    <w:rsid w:val="002B493B"/>
    <w:rsid w:val="002B49F9"/>
    <w:rsid w:val="002B4DE6"/>
    <w:rsid w:val="002B5CE0"/>
    <w:rsid w:val="002B5EA7"/>
    <w:rsid w:val="002B602B"/>
    <w:rsid w:val="002B630C"/>
    <w:rsid w:val="002B63D4"/>
    <w:rsid w:val="002B747F"/>
    <w:rsid w:val="002B78D7"/>
    <w:rsid w:val="002B791A"/>
    <w:rsid w:val="002B7D19"/>
    <w:rsid w:val="002B7FB1"/>
    <w:rsid w:val="002C09FD"/>
    <w:rsid w:val="002C10A0"/>
    <w:rsid w:val="002C14B5"/>
    <w:rsid w:val="002C2A19"/>
    <w:rsid w:val="002C2A92"/>
    <w:rsid w:val="002C3672"/>
    <w:rsid w:val="002C3BA5"/>
    <w:rsid w:val="002C3E47"/>
    <w:rsid w:val="002C57CD"/>
    <w:rsid w:val="002C6278"/>
    <w:rsid w:val="002C6CB8"/>
    <w:rsid w:val="002C7270"/>
    <w:rsid w:val="002C7736"/>
    <w:rsid w:val="002C7784"/>
    <w:rsid w:val="002D0243"/>
    <w:rsid w:val="002D046D"/>
    <w:rsid w:val="002D0BC6"/>
    <w:rsid w:val="002D15E5"/>
    <w:rsid w:val="002D2614"/>
    <w:rsid w:val="002D3626"/>
    <w:rsid w:val="002D3755"/>
    <w:rsid w:val="002D385F"/>
    <w:rsid w:val="002D3FE9"/>
    <w:rsid w:val="002D47BB"/>
    <w:rsid w:val="002D4C57"/>
    <w:rsid w:val="002D5A27"/>
    <w:rsid w:val="002D6C26"/>
    <w:rsid w:val="002D6FFB"/>
    <w:rsid w:val="002D7074"/>
    <w:rsid w:val="002D71AD"/>
    <w:rsid w:val="002D7909"/>
    <w:rsid w:val="002D7EEA"/>
    <w:rsid w:val="002E03BD"/>
    <w:rsid w:val="002E0734"/>
    <w:rsid w:val="002E2014"/>
    <w:rsid w:val="002E22AC"/>
    <w:rsid w:val="002E290E"/>
    <w:rsid w:val="002E35C9"/>
    <w:rsid w:val="002E449D"/>
    <w:rsid w:val="002E4E21"/>
    <w:rsid w:val="002E4E92"/>
    <w:rsid w:val="002E5EB4"/>
    <w:rsid w:val="002E6ADB"/>
    <w:rsid w:val="002E6B25"/>
    <w:rsid w:val="002E72B8"/>
    <w:rsid w:val="002E7FEE"/>
    <w:rsid w:val="002F0C8E"/>
    <w:rsid w:val="002F0FEB"/>
    <w:rsid w:val="002F2823"/>
    <w:rsid w:val="002F3101"/>
    <w:rsid w:val="002F34AB"/>
    <w:rsid w:val="002F4E4E"/>
    <w:rsid w:val="002F5762"/>
    <w:rsid w:val="002F5EED"/>
    <w:rsid w:val="002F62E7"/>
    <w:rsid w:val="002F7C4A"/>
    <w:rsid w:val="003003B7"/>
    <w:rsid w:val="00300DB1"/>
    <w:rsid w:val="00300FC8"/>
    <w:rsid w:val="003013C8"/>
    <w:rsid w:val="00301A68"/>
    <w:rsid w:val="00301FD9"/>
    <w:rsid w:val="003027E4"/>
    <w:rsid w:val="0030367F"/>
    <w:rsid w:val="00303680"/>
    <w:rsid w:val="00303B7A"/>
    <w:rsid w:val="00304296"/>
    <w:rsid w:val="003048EC"/>
    <w:rsid w:val="00304F8E"/>
    <w:rsid w:val="0030520A"/>
    <w:rsid w:val="003064D4"/>
    <w:rsid w:val="00307442"/>
    <w:rsid w:val="00307F97"/>
    <w:rsid w:val="0031029E"/>
    <w:rsid w:val="0031064E"/>
    <w:rsid w:val="0031084C"/>
    <w:rsid w:val="00311141"/>
    <w:rsid w:val="00311B57"/>
    <w:rsid w:val="00311CDA"/>
    <w:rsid w:val="00312F49"/>
    <w:rsid w:val="0031429D"/>
    <w:rsid w:val="00314448"/>
    <w:rsid w:val="00315264"/>
    <w:rsid w:val="003161E8"/>
    <w:rsid w:val="0031647F"/>
    <w:rsid w:val="00317118"/>
    <w:rsid w:val="00317444"/>
    <w:rsid w:val="00317CF0"/>
    <w:rsid w:val="003203EB"/>
    <w:rsid w:val="0032046C"/>
    <w:rsid w:val="003208C0"/>
    <w:rsid w:val="003210AA"/>
    <w:rsid w:val="00321F27"/>
    <w:rsid w:val="003231C7"/>
    <w:rsid w:val="00323A90"/>
    <w:rsid w:val="003240FD"/>
    <w:rsid w:val="00324424"/>
    <w:rsid w:val="00324457"/>
    <w:rsid w:val="00324D4E"/>
    <w:rsid w:val="00324FE5"/>
    <w:rsid w:val="003250B8"/>
    <w:rsid w:val="003253D2"/>
    <w:rsid w:val="00325458"/>
    <w:rsid w:val="003263A9"/>
    <w:rsid w:val="0032685F"/>
    <w:rsid w:val="00326F43"/>
    <w:rsid w:val="003274CF"/>
    <w:rsid w:val="00327D7F"/>
    <w:rsid w:val="00330EA3"/>
    <w:rsid w:val="0033100B"/>
    <w:rsid w:val="00332357"/>
    <w:rsid w:val="003330B0"/>
    <w:rsid w:val="00333D72"/>
    <w:rsid w:val="00334A9E"/>
    <w:rsid w:val="0033621F"/>
    <w:rsid w:val="00336229"/>
    <w:rsid w:val="00336740"/>
    <w:rsid w:val="00336D41"/>
    <w:rsid w:val="00340299"/>
    <w:rsid w:val="003403EF"/>
    <w:rsid w:val="00341255"/>
    <w:rsid w:val="00341574"/>
    <w:rsid w:val="00341C27"/>
    <w:rsid w:val="003425F8"/>
    <w:rsid w:val="003426EA"/>
    <w:rsid w:val="00343AD1"/>
    <w:rsid w:val="00344288"/>
    <w:rsid w:val="003443A8"/>
    <w:rsid w:val="00344EDD"/>
    <w:rsid w:val="00345018"/>
    <w:rsid w:val="0034538E"/>
    <w:rsid w:val="00345E55"/>
    <w:rsid w:val="0034637C"/>
    <w:rsid w:val="00346D8D"/>
    <w:rsid w:val="003474E6"/>
    <w:rsid w:val="00350076"/>
    <w:rsid w:val="003500B0"/>
    <w:rsid w:val="003503FA"/>
    <w:rsid w:val="0035171C"/>
    <w:rsid w:val="00351E42"/>
    <w:rsid w:val="00352200"/>
    <w:rsid w:val="003535E2"/>
    <w:rsid w:val="00353A66"/>
    <w:rsid w:val="00353E10"/>
    <w:rsid w:val="0035402B"/>
    <w:rsid w:val="003548AC"/>
    <w:rsid w:val="00354DF9"/>
    <w:rsid w:val="00354FD0"/>
    <w:rsid w:val="0035538E"/>
    <w:rsid w:val="003554B7"/>
    <w:rsid w:val="00356DAE"/>
    <w:rsid w:val="00357539"/>
    <w:rsid w:val="00357FE5"/>
    <w:rsid w:val="00360AB1"/>
    <w:rsid w:val="00360FEE"/>
    <w:rsid w:val="00361261"/>
    <w:rsid w:val="003612A2"/>
    <w:rsid w:val="00361533"/>
    <w:rsid w:val="0036182E"/>
    <w:rsid w:val="00361A4A"/>
    <w:rsid w:val="00361F28"/>
    <w:rsid w:val="003620EA"/>
    <w:rsid w:val="00362E49"/>
    <w:rsid w:val="00364C60"/>
    <w:rsid w:val="00365219"/>
    <w:rsid w:val="00365320"/>
    <w:rsid w:val="003654DA"/>
    <w:rsid w:val="003658E0"/>
    <w:rsid w:val="00365B40"/>
    <w:rsid w:val="00366155"/>
    <w:rsid w:val="003670A9"/>
    <w:rsid w:val="00367889"/>
    <w:rsid w:val="00370A89"/>
    <w:rsid w:val="003710EE"/>
    <w:rsid w:val="00371242"/>
    <w:rsid w:val="0037215A"/>
    <w:rsid w:val="003721F1"/>
    <w:rsid w:val="00372538"/>
    <w:rsid w:val="00372C75"/>
    <w:rsid w:val="00373118"/>
    <w:rsid w:val="00373E30"/>
    <w:rsid w:val="00373E43"/>
    <w:rsid w:val="00373FE5"/>
    <w:rsid w:val="00374DA3"/>
    <w:rsid w:val="00375811"/>
    <w:rsid w:val="00375CAB"/>
    <w:rsid w:val="00376114"/>
    <w:rsid w:val="003765D1"/>
    <w:rsid w:val="003766E9"/>
    <w:rsid w:val="00377875"/>
    <w:rsid w:val="003779E5"/>
    <w:rsid w:val="00377EF0"/>
    <w:rsid w:val="003803CE"/>
    <w:rsid w:val="00380647"/>
    <w:rsid w:val="0038099D"/>
    <w:rsid w:val="00380B43"/>
    <w:rsid w:val="00380D9A"/>
    <w:rsid w:val="00380F42"/>
    <w:rsid w:val="0038156B"/>
    <w:rsid w:val="0038167A"/>
    <w:rsid w:val="00382BA9"/>
    <w:rsid w:val="003830BE"/>
    <w:rsid w:val="0038453A"/>
    <w:rsid w:val="003854AA"/>
    <w:rsid w:val="00385E9C"/>
    <w:rsid w:val="00385F67"/>
    <w:rsid w:val="00386539"/>
    <w:rsid w:val="003866AC"/>
    <w:rsid w:val="00386D0E"/>
    <w:rsid w:val="003879B2"/>
    <w:rsid w:val="00390822"/>
    <w:rsid w:val="00390AB2"/>
    <w:rsid w:val="00391BE8"/>
    <w:rsid w:val="00392310"/>
    <w:rsid w:val="003925DD"/>
    <w:rsid w:val="00392827"/>
    <w:rsid w:val="00392875"/>
    <w:rsid w:val="00392EE9"/>
    <w:rsid w:val="003931DD"/>
    <w:rsid w:val="0039332B"/>
    <w:rsid w:val="0039337A"/>
    <w:rsid w:val="00393756"/>
    <w:rsid w:val="00394550"/>
    <w:rsid w:val="00395252"/>
    <w:rsid w:val="00395627"/>
    <w:rsid w:val="00395FA5"/>
    <w:rsid w:val="0039693B"/>
    <w:rsid w:val="00396CC1"/>
    <w:rsid w:val="00396DE9"/>
    <w:rsid w:val="00397E68"/>
    <w:rsid w:val="003A03EE"/>
    <w:rsid w:val="003A199C"/>
    <w:rsid w:val="003A247C"/>
    <w:rsid w:val="003A30BA"/>
    <w:rsid w:val="003A4298"/>
    <w:rsid w:val="003A4331"/>
    <w:rsid w:val="003A631B"/>
    <w:rsid w:val="003A74DB"/>
    <w:rsid w:val="003A78F1"/>
    <w:rsid w:val="003B00B9"/>
    <w:rsid w:val="003B01AF"/>
    <w:rsid w:val="003B0C51"/>
    <w:rsid w:val="003B0CCB"/>
    <w:rsid w:val="003B0DA6"/>
    <w:rsid w:val="003B1868"/>
    <w:rsid w:val="003B1D29"/>
    <w:rsid w:val="003B3301"/>
    <w:rsid w:val="003B3ABF"/>
    <w:rsid w:val="003B4461"/>
    <w:rsid w:val="003B5823"/>
    <w:rsid w:val="003B5A76"/>
    <w:rsid w:val="003B602A"/>
    <w:rsid w:val="003B62DA"/>
    <w:rsid w:val="003B7C90"/>
    <w:rsid w:val="003B7E77"/>
    <w:rsid w:val="003B7EFB"/>
    <w:rsid w:val="003C03AE"/>
    <w:rsid w:val="003C040F"/>
    <w:rsid w:val="003C10CA"/>
    <w:rsid w:val="003C13AB"/>
    <w:rsid w:val="003C2318"/>
    <w:rsid w:val="003C2F63"/>
    <w:rsid w:val="003C301A"/>
    <w:rsid w:val="003C35F3"/>
    <w:rsid w:val="003C4706"/>
    <w:rsid w:val="003C5057"/>
    <w:rsid w:val="003C5A9F"/>
    <w:rsid w:val="003C795F"/>
    <w:rsid w:val="003D0FD5"/>
    <w:rsid w:val="003D103F"/>
    <w:rsid w:val="003D173E"/>
    <w:rsid w:val="003D2ED1"/>
    <w:rsid w:val="003D34C8"/>
    <w:rsid w:val="003D4B43"/>
    <w:rsid w:val="003D5F03"/>
    <w:rsid w:val="003D6075"/>
    <w:rsid w:val="003D6D6A"/>
    <w:rsid w:val="003D6DDB"/>
    <w:rsid w:val="003D72FD"/>
    <w:rsid w:val="003D732C"/>
    <w:rsid w:val="003D78A3"/>
    <w:rsid w:val="003E0BA6"/>
    <w:rsid w:val="003E13DB"/>
    <w:rsid w:val="003E1538"/>
    <w:rsid w:val="003E180F"/>
    <w:rsid w:val="003E2914"/>
    <w:rsid w:val="003E3048"/>
    <w:rsid w:val="003E3364"/>
    <w:rsid w:val="003E3815"/>
    <w:rsid w:val="003E62B9"/>
    <w:rsid w:val="003E6628"/>
    <w:rsid w:val="003E6B05"/>
    <w:rsid w:val="003E7E4C"/>
    <w:rsid w:val="003E7F93"/>
    <w:rsid w:val="003F006A"/>
    <w:rsid w:val="003F0100"/>
    <w:rsid w:val="003F07A1"/>
    <w:rsid w:val="003F3452"/>
    <w:rsid w:val="003F358D"/>
    <w:rsid w:val="003F3E27"/>
    <w:rsid w:val="003F474F"/>
    <w:rsid w:val="003F4B6A"/>
    <w:rsid w:val="003F4D9E"/>
    <w:rsid w:val="003F67A5"/>
    <w:rsid w:val="003F6DBB"/>
    <w:rsid w:val="003F6E5D"/>
    <w:rsid w:val="003F6FD1"/>
    <w:rsid w:val="003F7CFD"/>
    <w:rsid w:val="004000EA"/>
    <w:rsid w:val="004014A4"/>
    <w:rsid w:val="00401ABA"/>
    <w:rsid w:val="004026F7"/>
    <w:rsid w:val="00403407"/>
    <w:rsid w:val="00404663"/>
    <w:rsid w:val="004053F8"/>
    <w:rsid w:val="00405700"/>
    <w:rsid w:val="004057ED"/>
    <w:rsid w:val="00405974"/>
    <w:rsid w:val="00406DF7"/>
    <w:rsid w:val="00406EED"/>
    <w:rsid w:val="00407218"/>
    <w:rsid w:val="0040726A"/>
    <w:rsid w:val="00407CD9"/>
    <w:rsid w:val="00410013"/>
    <w:rsid w:val="004113E4"/>
    <w:rsid w:val="00411601"/>
    <w:rsid w:val="0041277D"/>
    <w:rsid w:val="00412DCA"/>
    <w:rsid w:val="004138D5"/>
    <w:rsid w:val="00414F04"/>
    <w:rsid w:val="00414F1A"/>
    <w:rsid w:val="00415867"/>
    <w:rsid w:val="00415E23"/>
    <w:rsid w:val="0041644A"/>
    <w:rsid w:val="004207E7"/>
    <w:rsid w:val="004208AA"/>
    <w:rsid w:val="00420FE0"/>
    <w:rsid w:val="00421AEF"/>
    <w:rsid w:val="00421CB9"/>
    <w:rsid w:val="004223B4"/>
    <w:rsid w:val="00422E82"/>
    <w:rsid w:val="00422EE9"/>
    <w:rsid w:val="004239C8"/>
    <w:rsid w:val="00423B17"/>
    <w:rsid w:val="00424022"/>
    <w:rsid w:val="004246AA"/>
    <w:rsid w:val="004249FA"/>
    <w:rsid w:val="004262B9"/>
    <w:rsid w:val="004272D4"/>
    <w:rsid w:val="00427376"/>
    <w:rsid w:val="004305A7"/>
    <w:rsid w:val="00430A3D"/>
    <w:rsid w:val="00431BEE"/>
    <w:rsid w:val="004337B3"/>
    <w:rsid w:val="0043393F"/>
    <w:rsid w:val="00433E47"/>
    <w:rsid w:val="004357D6"/>
    <w:rsid w:val="00436C49"/>
    <w:rsid w:val="004375F7"/>
    <w:rsid w:val="00437749"/>
    <w:rsid w:val="00440726"/>
    <w:rsid w:val="004410D7"/>
    <w:rsid w:val="00441709"/>
    <w:rsid w:val="004418EC"/>
    <w:rsid w:val="00442091"/>
    <w:rsid w:val="004427E3"/>
    <w:rsid w:val="00442A7A"/>
    <w:rsid w:val="0044328A"/>
    <w:rsid w:val="00443F19"/>
    <w:rsid w:val="0044448D"/>
    <w:rsid w:val="00444CF4"/>
    <w:rsid w:val="00444D66"/>
    <w:rsid w:val="0044517D"/>
    <w:rsid w:val="00445FC9"/>
    <w:rsid w:val="0044617E"/>
    <w:rsid w:val="0044637B"/>
    <w:rsid w:val="004464A1"/>
    <w:rsid w:val="0044693B"/>
    <w:rsid w:val="00446A2C"/>
    <w:rsid w:val="00447509"/>
    <w:rsid w:val="0044789C"/>
    <w:rsid w:val="004478D1"/>
    <w:rsid w:val="00447A5E"/>
    <w:rsid w:val="00450849"/>
    <w:rsid w:val="00450E9F"/>
    <w:rsid w:val="00451AD5"/>
    <w:rsid w:val="00451C8C"/>
    <w:rsid w:val="00451FF7"/>
    <w:rsid w:val="00452316"/>
    <w:rsid w:val="00452E14"/>
    <w:rsid w:val="004537DD"/>
    <w:rsid w:val="00453CD2"/>
    <w:rsid w:val="00454B34"/>
    <w:rsid w:val="00455169"/>
    <w:rsid w:val="00455477"/>
    <w:rsid w:val="00457494"/>
    <w:rsid w:val="0045768B"/>
    <w:rsid w:val="004577B5"/>
    <w:rsid w:val="0046011A"/>
    <w:rsid w:val="00460515"/>
    <w:rsid w:val="00461254"/>
    <w:rsid w:val="004616D1"/>
    <w:rsid w:val="00461A80"/>
    <w:rsid w:val="00462338"/>
    <w:rsid w:val="004627AC"/>
    <w:rsid w:val="00463405"/>
    <w:rsid w:val="00463850"/>
    <w:rsid w:val="00463A6D"/>
    <w:rsid w:val="00464E00"/>
    <w:rsid w:val="00465C45"/>
    <w:rsid w:val="00465EF1"/>
    <w:rsid w:val="00466373"/>
    <w:rsid w:val="00466487"/>
    <w:rsid w:val="00466801"/>
    <w:rsid w:val="00466C6D"/>
    <w:rsid w:val="00466E01"/>
    <w:rsid w:val="00467526"/>
    <w:rsid w:val="004704A7"/>
    <w:rsid w:val="004715AC"/>
    <w:rsid w:val="00472648"/>
    <w:rsid w:val="00472FFC"/>
    <w:rsid w:val="004739B9"/>
    <w:rsid w:val="00473B4F"/>
    <w:rsid w:val="00473D96"/>
    <w:rsid w:val="00473E44"/>
    <w:rsid w:val="00474B4A"/>
    <w:rsid w:val="00475066"/>
    <w:rsid w:val="0047520A"/>
    <w:rsid w:val="00475675"/>
    <w:rsid w:val="00475F2E"/>
    <w:rsid w:val="00476251"/>
    <w:rsid w:val="0047712D"/>
    <w:rsid w:val="00477302"/>
    <w:rsid w:val="00477925"/>
    <w:rsid w:val="00477F01"/>
    <w:rsid w:val="00480A2E"/>
    <w:rsid w:val="004810CC"/>
    <w:rsid w:val="00481150"/>
    <w:rsid w:val="00481758"/>
    <w:rsid w:val="004819F7"/>
    <w:rsid w:val="00483826"/>
    <w:rsid w:val="0048383E"/>
    <w:rsid w:val="00483A58"/>
    <w:rsid w:val="00484355"/>
    <w:rsid w:val="004847E4"/>
    <w:rsid w:val="00484842"/>
    <w:rsid w:val="00484A70"/>
    <w:rsid w:val="0048532C"/>
    <w:rsid w:val="0048557C"/>
    <w:rsid w:val="0048615D"/>
    <w:rsid w:val="0048681F"/>
    <w:rsid w:val="0048723E"/>
    <w:rsid w:val="00487525"/>
    <w:rsid w:val="004901C9"/>
    <w:rsid w:val="00490983"/>
    <w:rsid w:val="00491661"/>
    <w:rsid w:val="00491E57"/>
    <w:rsid w:val="00491E85"/>
    <w:rsid w:val="00492898"/>
    <w:rsid w:val="00493ED7"/>
    <w:rsid w:val="00493F41"/>
    <w:rsid w:val="004964F0"/>
    <w:rsid w:val="00496714"/>
    <w:rsid w:val="00496BF1"/>
    <w:rsid w:val="00496E85"/>
    <w:rsid w:val="004977BE"/>
    <w:rsid w:val="00497A59"/>
    <w:rsid w:val="00497FEC"/>
    <w:rsid w:val="004A00B5"/>
    <w:rsid w:val="004A1408"/>
    <w:rsid w:val="004A16CB"/>
    <w:rsid w:val="004A36C1"/>
    <w:rsid w:val="004A3898"/>
    <w:rsid w:val="004A446B"/>
    <w:rsid w:val="004A46E1"/>
    <w:rsid w:val="004A522A"/>
    <w:rsid w:val="004A577A"/>
    <w:rsid w:val="004A5A86"/>
    <w:rsid w:val="004A651C"/>
    <w:rsid w:val="004A6E06"/>
    <w:rsid w:val="004B00A3"/>
    <w:rsid w:val="004B07F5"/>
    <w:rsid w:val="004B08FF"/>
    <w:rsid w:val="004B10E9"/>
    <w:rsid w:val="004B50A4"/>
    <w:rsid w:val="004B5D16"/>
    <w:rsid w:val="004B60C0"/>
    <w:rsid w:val="004B66FA"/>
    <w:rsid w:val="004B6DDD"/>
    <w:rsid w:val="004B6E95"/>
    <w:rsid w:val="004B7355"/>
    <w:rsid w:val="004B747B"/>
    <w:rsid w:val="004B75D5"/>
    <w:rsid w:val="004B7A6B"/>
    <w:rsid w:val="004C03D7"/>
    <w:rsid w:val="004C09D3"/>
    <w:rsid w:val="004C13A2"/>
    <w:rsid w:val="004C153C"/>
    <w:rsid w:val="004C1AB3"/>
    <w:rsid w:val="004C2527"/>
    <w:rsid w:val="004C314E"/>
    <w:rsid w:val="004C3BA3"/>
    <w:rsid w:val="004C3BC8"/>
    <w:rsid w:val="004C3E9E"/>
    <w:rsid w:val="004C4809"/>
    <w:rsid w:val="004C5AAF"/>
    <w:rsid w:val="004C67D2"/>
    <w:rsid w:val="004C6CC4"/>
    <w:rsid w:val="004C75D2"/>
    <w:rsid w:val="004D09BE"/>
    <w:rsid w:val="004D0E64"/>
    <w:rsid w:val="004D38C3"/>
    <w:rsid w:val="004D3CDD"/>
    <w:rsid w:val="004D44C5"/>
    <w:rsid w:val="004D4AD4"/>
    <w:rsid w:val="004D4CF3"/>
    <w:rsid w:val="004D4D5D"/>
    <w:rsid w:val="004D553E"/>
    <w:rsid w:val="004D61B5"/>
    <w:rsid w:val="004D63E5"/>
    <w:rsid w:val="004D6CA6"/>
    <w:rsid w:val="004E050E"/>
    <w:rsid w:val="004E063A"/>
    <w:rsid w:val="004E0DCE"/>
    <w:rsid w:val="004E17B7"/>
    <w:rsid w:val="004E22E0"/>
    <w:rsid w:val="004E23CF"/>
    <w:rsid w:val="004E2716"/>
    <w:rsid w:val="004E33B1"/>
    <w:rsid w:val="004E3483"/>
    <w:rsid w:val="004E3C17"/>
    <w:rsid w:val="004E4206"/>
    <w:rsid w:val="004E424C"/>
    <w:rsid w:val="004E450E"/>
    <w:rsid w:val="004E458F"/>
    <w:rsid w:val="004E4BDC"/>
    <w:rsid w:val="004E5379"/>
    <w:rsid w:val="004E5981"/>
    <w:rsid w:val="004E5F2D"/>
    <w:rsid w:val="004E6298"/>
    <w:rsid w:val="004E6E5C"/>
    <w:rsid w:val="004E7A3E"/>
    <w:rsid w:val="004E7CF3"/>
    <w:rsid w:val="004E7D92"/>
    <w:rsid w:val="004F03E1"/>
    <w:rsid w:val="004F0A34"/>
    <w:rsid w:val="004F15B5"/>
    <w:rsid w:val="004F1F8F"/>
    <w:rsid w:val="004F2857"/>
    <w:rsid w:val="004F2909"/>
    <w:rsid w:val="004F2A23"/>
    <w:rsid w:val="004F36E2"/>
    <w:rsid w:val="004F38E2"/>
    <w:rsid w:val="004F4456"/>
    <w:rsid w:val="004F469D"/>
    <w:rsid w:val="004F47FB"/>
    <w:rsid w:val="004F52EA"/>
    <w:rsid w:val="004F5956"/>
    <w:rsid w:val="004F5E63"/>
    <w:rsid w:val="004F6490"/>
    <w:rsid w:val="004F67C8"/>
    <w:rsid w:val="004F6F9B"/>
    <w:rsid w:val="004F71D4"/>
    <w:rsid w:val="004F7792"/>
    <w:rsid w:val="004F7DB7"/>
    <w:rsid w:val="00500B75"/>
    <w:rsid w:val="00501075"/>
    <w:rsid w:val="00501292"/>
    <w:rsid w:val="00501F6F"/>
    <w:rsid w:val="00502CEE"/>
    <w:rsid w:val="00503B73"/>
    <w:rsid w:val="00504C52"/>
    <w:rsid w:val="005056A6"/>
    <w:rsid w:val="00506405"/>
    <w:rsid w:val="00506965"/>
    <w:rsid w:val="0050797C"/>
    <w:rsid w:val="00507F5E"/>
    <w:rsid w:val="00510283"/>
    <w:rsid w:val="00510313"/>
    <w:rsid w:val="0051054A"/>
    <w:rsid w:val="00510AA8"/>
    <w:rsid w:val="005119D5"/>
    <w:rsid w:val="00511D10"/>
    <w:rsid w:val="00511D20"/>
    <w:rsid w:val="005123D2"/>
    <w:rsid w:val="005127C4"/>
    <w:rsid w:val="005129CD"/>
    <w:rsid w:val="00513534"/>
    <w:rsid w:val="005138AD"/>
    <w:rsid w:val="00513F5F"/>
    <w:rsid w:val="0051402D"/>
    <w:rsid w:val="00514897"/>
    <w:rsid w:val="00514929"/>
    <w:rsid w:val="00514BF7"/>
    <w:rsid w:val="00514D11"/>
    <w:rsid w:val="0051529B"/>
    <w:rsid w:val="0051644C"/>
    <w:rsid w:val="005166A8"/>
    <w:rsid w:val="00516915"/>
    <w:rsid w:val="005207E7"/>
    <w:rsid w:val="00522709"/>
    <w:rsid w:val="005229E3"/>
    <w:rsid w:val="00523678"/>
    <w:rsid w:val="00524906"/>
    <w:rsid w:val="0052582B"/>
    <w:rsid w:val="00525E5A"/>
    <w:rsid w:val="00526435"/>
    <w:rsid w:val="00526D8E"/>
    <w:rsid w:val="00526F5A"/>
    <w:rsid w:val="00527403"/>
    <w:rsid w:val="005275A1"/>
    <w:rsid w:val="0052775C"/>
    <w:rsid w:val="00530642"/>
    <w:rsid w:val="00530A62"/>
    <w:rsid w:val="00530E5B"/>
    <w:rsid w:val="00531BB4"/>
    <w:rsid w:val="005324FB"/>
    <w:rsid w:val="00532B89"/>
    <w:rsid w:val="00532BCA"/>
    <w:rsid w:val="00532F00"/>
    <w:rsid w:val="00533962"/>
    <w:rsid w:val="00534743"/>
    <w:rsid w:val="005351D2"/>
    <w:rsid w:val="00535744"/>
    <w:rsid w:val="0053615A"/>
    <w:rsid w:val="00536695"/>
    <w:rsid w:val="00536AEA"/>
    <w:rsid w:val="00536E5D"/>
    <w:rsid w:val="00537354"/>
    <w:rsid w:val="0053735B"/>
    <w:rsid w:val="0054022E"/>
    <w:rsid w:val="00540A18"/>
    <w:rsid w:val="00541777"/>
    <w:rsid w:val="00541D1D"/>
    <w:rsid w:val="00542CB8"/>
    <w:rsid w:val="00542E1F"/>
    <w:rsid w:val="00543D13"/>
    <w:rsid w:val="00545230"/>
    <w:rsid w:val="0054549D"/>
    <w:rsid w:val="00545857"/>
    <w:rsid w:val="00546F43"/>
    <w:rsid w:val="005475E8"/>
    <w:rsid w:val="00547DAB"/>
    <w:rsid w:val="00550323"/>
    <w:rsid w:val="0055042E"/>
    <w:rsid w:val="005504AE"/>
    <w:rsid w:val="005504B8"/>
    <w:rsid w:val="005508E8"/>
    <w:rsid w:val="0055113A"/>
    <w:rsid w:val="005514DB"/>
    <w:rsid w:val="00551AB6"/>
    <w:rsid w:val="00551E88"/>
    <w:rsid w:val="005521CA"/>
    <w:rsid w:val="00552209"/>
    <w:rsid w:val="00552299"/>
    <w:rsid w:val="00552BDB"/>
    <w:rsid w:val="00552FE9"/>
    <w:rsid w:val="005533F6"/>
    <w:rsid w:val="005536A3"/>
    <w:rsid w:val="00553915"/>
    <w:rsid w:val="00555198"/>
    <w:rsid w:val="00555363"/>
    <w:rsid w:val="005554FE"/>
    <w:rsid w:val="0055590E"/>
    <w:rsid w:val="00555D30"/>
    <w:rsid w:val="005560F3"/>
    <w:rsid w:val="005562D8"/>
    <w:rsid w:val="00556328"/>
    <w:rsid w:val="00557BA2"/>
    <w:rsid w:val="00557F01"/>
    <w:rsid w:val="005619FB"/>
    <w:rsid w:val="00561D00"/>
    <w:rsid w:val="00562B32"/>
    <w:rsid w:val="005634E8"/>
    <w:rsid w:val="00563573"/>
    <w:rsid w:val="00563794"/>
    <w:rsid w:val="00563C6F"/>
    <w:rsid w:val="00564433"/>
    <w:rsid w:val="00564BA7"/>
    <w:rsid w:val="00565C23"/>
    <w:rsid w:val="005662B6"/>
    <w:rsid w:val="00566365"/>
    <w:rsid w:val="00566A78"/>
    <w:rsid w:val="00566F53"/>
    <w:rsid w:val="005678D8"/>
    <w:rsid w:val="0056790B"/>
    <w:rsid w:val="00570B75"/>
    <w:rsid w:val="005718FB"/>
    <w:rsid w:val="00571DB0"/>
    <w:rsid w:val="005728CA"/>
    <w:rsid w:val="00572915"/>
    <w:rsid w:val="00573222"/>
    <w:rsid w:val="005765D8"/>
    <w:rsid w:val="00577202"/>
    <w:rsid w:val="005773B7"/>
    <w:rsid w:val="00577AFA"/>
    <w:rsid w:val="00577D35"/>
    <w:rsid w:val="00581103"/>
    <w:rsid w:val="00581644"/>
    <w:rsid w:val="005823CF"/>
    <w:rsid w:val="00582AE6"/>
    <w:rsid w:val="00584395"/>
    <w:rsid w:val="005848BE"/>
    <w:rsid w:val="00585969"/>
    <w:rsid w:val="005876F9"/>
    <w:rsid w:val="0058776B"/>
    <w:rsid w:val="00590954"/>
    <w:rsid w:val="00590C77"/>
    <w:rsid w:val="00590DC5"/>
    <w:rsid w:val="0059112F"/>
    <w:rsid w:val="0059123F"/>
    <w:rsid w:val="0059162E"/>
    <w:rsid w:val="00592622"/>
    <w:rsid w:val="00592951"/>
    <w:rsid w:val="00593744"/>
    <w:rsid w:val="00593E40"/>
    <w:rsid w:val="00593F71"/>
    <w:rsid w:val="00595253"/>
    <w:rsid w:val="005959F8"/>
    <w:rsid w:val="005960F1"/>
    <w:rsid w:val="005972C5"/>
    <w:rsid w:val="0059772C"/>
    <w:rsid w:val="005A0CC4"/>
    <w:rsid w:val="005A1274"/>
    <w:rsid w:val="005A1519"/>
    <w:rsid w:val="005A153A"/>
    <w:rsid w:val="005A1BEE"/>
    <w:rsid w:val="005A1C61"/>
    <w:rsid w:val="005A34E4"/>
    <w:rsid w:val="005A3755"/>
    <w:rsid w:val="005A3C98"/>
    <w:rsid w:val="005A3E1A"/>
    <w:rsid w:val="005A43AE"/>
    <w:rsid w:val="005A45BF"/>
    <w:rsid w:val="005A46D0"/>
    <w:rsid w:val="005A4716"/>
    <w:rsid w:val="005A51C9"/>
    <w:rsid w:val="005A6535"/>
    <w:rsid w:val="005B1323"/>
    <w:rsid w:val="005B18C3"/>
    <w:rsid w:val="005B1FA9"/>
    <w:rsid w:val="005B34A3"/>
    <w:rsid w:val="005B39A4"/>
    <w:rsid w:val="005B3FDF"/>
    <w:rsid w:val="005B4441"/>
    <w:rsid w:val="005B4F03"/>
    <w:rsid w:val="005B5781"/>
    <w:rsid w:val="005B5E05"/>
    <w:rsid w:val="005B6371"/>
    <w:rsid w:val="005B6743"/>
    <w:rsid w:val="005B6850"/>
    <w:rsid w:val="005B7364"/>
    <w:rsid w:val="005B7556"/>
    <w:rsid w:val="005B7D54"/>
    <w:rsid w:val="005B7D6F"/>
    <w:rsid w:val="005C0897"/>
    <w:rsid w:val="005C1377"/>
    <w:rsid w:val="005C1C6D"/>
    <w:rsid w:val="005C2C51"/>
    <w:rsid w:val="005C3013"/>
    <w:rsid w:val="005C38F9"/>
    <w:rsid w:val="005C4874"/>
    <w:rsid w:val="005C53A1"/>
    <w:rsid w:val="005C54A4"/>
    <w:rsid w:val="005C7265"/>
    <w:rsid w:val="005D0FA8"/>
    <w:rsid w:val="005D2725"/>
    <w:rsid w:val="005D2AF7"/>
    <w:rsid w:val="005D3DCF"/>
    <w:rsid w:val="005D43CD"/>
    <w:rsid w:val="005D482F"/>
    <w:rsid w:val="005D498F"/>
    <w:rsid w:val="005D4B07"/>
    <w:rsid w:val="005D4B3E"/>
    <w:rsid w:val="005D4E28"/>
    <w:rsid w:val="005D522B"/>
    <w:rsid w:val="005D52F8"/>
    <w:rsid w:val="005D5B49"/>
    <w:rsid w:val="005D648B"/>
    <w:rsid w:val="005D6C0B"/>
    <w:rsid w:val="005D6FD9"/>
    <w:rsid w:val="005D71B6"/>
    <w:rsid w:val="005D7219"/>
    <w:rsid w:val="005D7261"/>
    <w:rsid w:val="005D740E"/>
    <w:rsid w:val="005D7D42"/>
    <w:rsid w:val="005D7EF6"/>
    <w:rsid w:val="005E00A6"/>
    <w:rsid w:val="005E09F7"/>
    <w:rsid w:val="005E0CF7"/>
    <w:rsid w:val="005E0DB5"/>
    <w:rsid w:val="005E15FF"/>
    <w:rsid w:val="005E20B6"/>
    <w:rsid w:val="005E372B"/>
    <w:rsid w:val="005E3FC2"/>
    <w:rsid w:val="005E458B"/>
    <w:rsid w:val="005E5FE0"/>
    <w:rsid w:val="005E7780"/>
    <w:rsid w:val="005F0225"/>
    <w:rsid w:val="005F033F"/>
    <w:rsid w:val="005F05B4"/>
    <w:rsid w:val="005F106A"/>
    <w:rsid w:val="005F1301"/>
    <w:rsid w:val="005F15DA"/>
    <w:rsid w:val="005F1C49"/>
    <w:rsid w:val="005F28AE"/>
    <w:rsid w:val="005F339C"/>
    <w:rsid w:val="005F35D6"/>
    <w:rsid w:val="005F3755"/>
    <w:rsid w:val="005F3A72"/>
    <w:rsid w:val="005F3E12"/>
    <w:rsid w:val="005F416D"/>
    <w:rsid w:val="005F4B60"/>
    <w:rsid w:val="005F50CA"/>
    <w:rsid w:val="005F738C"/>
    <w:rsid w:val="0060089B"/>
    <w:rsid w:val="00600E10"/>
    <w:rsid w:val="00600E36"/>
    <w:rsid w:val="0060175B"/>
    <w:rsid w:val="00601E79"/>
    <w:rsid w:val="00602197"/>
    <w:rsid w:val="00602A53"/>
    <w:rsid w:val="00602ED5"/>
    <w:rsid w:val="006031D7"/>
    <w:rsid w:val="00603A86"/>
    <w:rsid w:val="00603DF5"/>
    <w:rsid w:val="0060459B"/>
    <w:rsid w:val="00604CB5"/>
    <w:rsid w:val="006050A4"/>
    <w:rsid w:val="00605AAE"/>
    <w:rsid w:val="00606CE6"/>
    <w:rsid w:val="00607A1D"/>
    <w:rsid w:val="00607D22"/>
    <w:rsid w:val="006103FB"/>
    <w:rsid w:val="00610413"/>
    <w:rsid w:val="00610AF0"/>
    <w:rsid w:val="00611988"/>
    <w:rsid w:val="00611F30"/>
    <w:rsid w:val="00612ACB"/>
    <w:rsid w:val="00612C5B"/>
    <w:rsid w:val="006135F9"/>
    <w:rsid w:val="00613CE0"/>
    <w:rsid w:val="00613ED8"/>
    <w:rsid w:val="00613F93"/>
    <w:rsid w:val="00614D63"/>
    <w:rsid w:val="0061585D"/>
    <w:rsid w:val="006162E1"/>
    <w:rsid w:val="0061642A"/>
    <w:rsid w:val="00616D36"/>
    <w:rsid w:val="006172EA"/>
    <w:rsid w:val="0062065B"/>
    <w:rsid w:val="006213FD"/>
    <w:rsid w:val="006214EE"/>
    <w:rsid w:val="0062276B"/>
    <w:rsid w:val="006229FF"/>
    <w:rsid w:val="00623217"/>
    <w:rsid w:val="006233B5"/>
    <w:rsid w:val="00623F33"/>
    <w:rsid w:val="00624590"/>
    <w:rsid w:val="00624BFA"/>
    <w:rsid w:val="00625782"/>
    <w:rsid w:val="00625A61"/>
    <w:rsid w:val="00626190"/>
    <w:rsid w:val="00626496"/>
    <w:rsid w:val="006265D3"/>
    <w:rsid w:val="006265DB"/>
    <w:rsid w:val="00626B60"/>
    <w:rsid w:val="00627402"/>
    <w:rsid w:val="006308CE"/>
    <w:rsid w:val="00631172"/>
    <w:rsid w:val="00631C7B"/>
    <w:rsid w:val="00632A54"/>
    <w:rsid w:val="006337E0"/>
    <w:rsid w:val="00633811"/>
    <w:rsid w:val="00633E9B"/>
    <w:rsid w:val="00634415"/>
    <w:rsid w:val="0063476E"/>
    <w:rsid w:val="00636601"/>
    <w:rsid w:val="006370C6"/>
    <w:rsid w:val="00637B80"/>
    <w:rsid w:val="00637C87"/>
    <w:rsid w:val="0064031F"/>
    <w:rsid w:val="00640A0F"/>
    <w:rsid w:val="00640BF7"/>
    <w:rsid w:val="00640FAB"/>
    <w:rsid w:val="0064102C"/>
    <w:rsid w:val="00641365"/>
    <w:rsid w:val="00641BC7"/>
    <w:rsid w:val="00642EF6"/>
    <w:rsid w:val="006432D5"/>
    <w:rsid w:val="006438F6"/>
    <w:rsid w:val="00643912"/>
    <w:rsid w:val="00645250"/>
    <w:rsid w:val="00645CE9"/>
    <w:rsid w:val="006462EA"/>
    <w:rsid w:val="00646825"/>
    <w:rsid w:val="00647232"/>
    <w:rsid w:val="00650438"/>
    <w:rsid w:val="006521FB"/>
    <w:rsid w:val="00652BAA"/>
    <w:rsid w:val="00652EAB"/>
    <w:rsid w:val="00653376"/>
    <w:rsid w:val="00653DB5"/>
    <w:rsid w:val="00654915"/>
    <w:rsid w:val="00655260"/>
    <w:rsid w:val="006559B4"/>
    <w:rsid w:val="00655C07"/>
    <w:rsid w:val="00656DBC"/>
    <w:rsid w:val="00660A42"/>
    <w:rsid w:val="00661D87"/>
    <w:rsid w:val="00662022"/>
    <w:rsid w:val="006622A2"/>
    <w:rsid w:val="00662817"/>
    <w:rsid w:val="00663380"/>
    <w:rsid w:val="00663C89"/>
    <w:rsid w:val="006642C5"/>
    <w:rsid w:val="006646B6"/>
    <w:rsid w:val="006647F3"/>
    <w:rsid w:val="0066505B"/>
    <w:rsid w:val="006651E8"/>
    <w:rsid w:val="00665939"/>
    <w:rsid w:val="0066600F"/>
    <w:rsid w:val="00666270"/>
    <w:rsid w:val="006666F0"/>
    <w:rsid w:val="00666786"/>
    <w:rsid w:val="006670DD"/>
    <w:rsid w:val="006672CB"/>
    <w:rsid w:val="00667790"/>
    <w:rsid w:val="0066797F"/>
    <w:rsid w:val="006705B7"/>
    <w:rsid w:val="00670883"/>
    <w:rsid w:val="00671306"/>
    <w:rsid w:val="00673ED6"/>
    <w:rsid w:val="0067483A"/>
    <w:rsid w:val="00675287"/>
    <w:rsid w:val="00675C52"/>
    <w:rsid w:val="00675F73"/>
    <w:rsid w:val="00676B1F"/>
    <w:rsid w:val="00676D41"/>
    <w:rsid w:val="006777B0"/>
    <w:rsid w:val="00677938"/>
    <w:rsid w:val="00677ADB"/>
    <w:rsid w:val="00680147"/>
    <w:rsid w:val="0068066C"/>
    <w:rsid w:val="006807B5"/>
    <w:rsid w:val="0068081C"/>
    <w:rsid w:val="00680BE1"/>
    <w:rsid w:val="0068135F"/>
    <w:rsid w:val="006816D2"/>
    <w:rsid w:val="0068230F"/>
    <w:rsid w:val="006827C5"/>
    <w:rsid w:val="00682EE4"/>
    <w:rsid w:val="00683554"/>
    <w:rsid w:val="0068379C"/>
    <w:rsid w:val="00685118"/>
    <w:rsid w:val="00685122"/>
    <w:rsid w:val="0068553D"/>
    <w:rsid w:val="00685B7D"/>
    <w:rsid w:val="006862CA"/>
    <w:rsid w:val="006866D6"/>
    <w:rsid w:val="00686BEC"/>
    <w:rsid w:val="00686C5F"/>
    <w:rsid w:val="006875A9"/>
    <w:rsid w:val="00690348"/>
    <w:rsid w:val="006906C5"/>
    <w:rsid w:val="006906F8"/>
    <w:rsid w:val="00690B9C"/>
    <w:rsid w:val="00690E0C"/>
    <w:rsid w:val="006914A5"/>
    <w:rsid w:val="006915CA"/>
    <w:rsid w:val="00691A3F"/>
    <w:rsid w:val="00692A65"/>
    <w:rsid w:val="006935B5"/>
    <w:rsid w:val="006954F9"/>
    <w:rsid w:val="00695B14"/>
    <w:rsid w:val="00695C77"/>
    <w:rsid w:val="006962F4"/>
    <w:rsid w:val="00696882"/>
    <w:rsid w:val="0069766C"/>
    <w:rsid w:val="00697977"/>
    <w:rsid w:val="006A084E"/>
    <w:rsid w:val="006A0950"/>
    <w:rsid w:val="006A1333"/>
    <w:rsid w:val="006A159E"/>
    <w:rsid w:val="006A1DD1"/>
    <w:rsid w:val="006A230C"/>
    <w:rsid w:val="006A2419"/>
    <w:rsid w:val="006A2444"/>
    <w:rsid w:val="006A2FE9"/>
    <w:rsid w:val="006A3178"/>
    <w:rsid w:val="006A4217"/>
    <w:rsid w:val="006A490E"/>
    <w:rsid w:val="006A51EA"/>
    <w:rsid w:val="006A62EB"/>
    <w:rsid w:val="006A67EA"/>
    <w:rsid w:val="006A6A11"/>
    <w:rsid w:val="006A723B"/>
    <w:rsid w:val="006A78AF"/>
    <w:rsid w:val="006B2A2E"/>
    <w:rsid w:val="006B3DC6"/>
    <w:rsid w:val="006B452D"/>
    <w:rsid w:val="006B4CA3"/>
    <w:rsid w:val="006B4DA5"/>
    <w:rsid w:val="006B5345"/>
    <w:rsid w:val="006B5FB4"/>
    <w:rsid w:val="006B63D1"/>
    <w:rsid w:val="006B6CAF"/>
    <w:rsid w:val="006B7908"/>
    <w:rsid w:val="006C0C8E"/>
    <w:rsid w:val="006C0D68"/>
    <w:rsid w:val="006C0FA1"/>
    <w:rsid w:val="006C13AA"/>
    <w:rsid w:val="006C1984"/>
    <w:rsid w:val="006C2036"/>
    <w:rsid w:val="006C2087"/>
    <w:rsid w:val="006C22C2"/>
    <w:rsid w:val="006C23DC"/>
    <w:rsid w:val="006C3148"/>
    <w:rsid w:val="006C4554"/>
    <w:rsid w:val="006C47BC"/>
    <w:rsid w:val="006C543B"/>
    <w:rsid w:val="006C5559"/>
    <w:rsid w:val="006C6D43"/>
    <w:rsid w:val="006C6E8A"/>
    <w:rsid w:val="006C70F2"/>
    <w:rsid w:val="006C7A99"/>
    <w:rsid w:val="006D0266"/>
    <w:rsid w:val="006D0A87"/>
    <w:rsid w:val="006D154C"/>
    <w:rsid w:val="006D1961"/>
    <w:rsid w:val="006D2BEC"/>
    <w:rsid w:val="006D5630"/>
    <w:rsid w:val="006D63AE"/>
    <w:rsid w:val="006D7525"/>
    <w:rsid w:val="006E0036"/>
    <w:rsid w:val="006E0C9C"/>
    <w:rsid w:val="006E0E3D"/>
    <w:rsid w:val="006E1097"/>
    <w:rsid w:val="006E1320"/>
    <w:rsid w:val="006E1F1F"/>
    <w:rsid w:val="006E201F"/>
    <w:rsid w:val="006E28C5"/>
    <w:rsid w:val="006E28E8"/>
    <w:rsid w:val="006E2960"/>
    <w:rsid w:val="006E2B7B"/>
    <w:rsid w:val="006E2D1A"/>
    <w:rsid w:val="006E2F92"/>
    <w:rsid w:val="006E3BF7"/>
    <w:rsid w:val="006E4416"/>
    <w:rsid w:val="006E49EA"/>
    <w:rsid w:val="006E4C46"/>
    <w:rsid w:val="006E527A"/>
    <w:rsid w:val="006E5E78"/>
    <w:rsid w:val="006E6805"/>
    <w:rsid w:val="006E69EA"/>
    <w:rsid w:val="006E7B84"/>
    <w:rsid w:val="006F0B59"/>
    <w:rsid w:val="006F17D2"/>
    <w:rsid w:val="006F1881"/>
    <w:rsid w:val="006F18BA"/>
    <w:rsid w:val="006F20BF"/>
    <w:rsid w:val="006F32CA"/>
    <w:rsid w:val="006F3633"/>
    <w:rsid w:val="006F3EF5"/>
    <w:rsid w:val="006F4472"/>
    <w:rsid w:val="006F4A1E"/>
    <w:rsid w:val="006F4BCF"/>
    <w:rsid w:val="006F4DF6"/>
    <w:rsid w:val="006F53B0"/>
    <w:rsid w:val="006F55AE"/>
    <w:rsid w:val="006F5887"/>
    <w:rsid w:val="006F5C16"/>
    <w:rsid w:val="006F5D3E"/>
    <w:rsid w:val="006F6111"/>
    <w:rsid w:val="006F6933"/>
    <w:rsid w:val="006F6B15"/>
    <w:rsid w:val="006F7498"/>
    <w:rsid w:val="006F787D"/>
    <w:rsid w:val="007000E9"/>
    <w:rsid w:val="0070016F"/>
    <w:rsid w:val="007003F9"/>
    <w:rsid w:val="007008C3"/>
    <w:rsid w:val="0070091F"/>
    <w:rsid w:val="00702A6A"/>
    <w:rsid w:val="00702DE6"/>
    <w:rsid w:val="00703A94"/>
    <w:rsid w:val="00703AC1"/>
    <w:rsid w:val="00704345"/>
    <w:rsid w:val="0070468E"/>
    <w:rsid w:val="00704868"/>
    <w:rsid w:val="00704A0B"/>
    <w:rsid w:val="00704ADF"/>
    <w:rsid w:val="0070572B"/>
    <w:rsid w:val="0070574A"/>
    <w:rsid w:val="00705ED7"/>
    <w:rsid w:val="00705FB3"/>
    <w:rsid w:val="00706899"/>
    <w:rsid w:val="007077C6"/>
    <w:rsid w:val="00707EA0"/>
    <w:rsid w:val="0071007C"/>
    <w:rsid w:val="00710297"/>
    <w:rsid w:val="0071061D"/>
    <w:rsid w:val="00710885"/>
    <w:rsid w:val="00710E0B"/>
    <w:rsid w:val="00711AE5"/>
    <w:rsid w:val="00711C1B"/>
    <w:rsid w:val="00711C3D"/>
    <w:rsid w:val="007121AD"/>
    <w:rsid w:val="00712886"/>
    <w:rsid w:val="00712963"/>
    <w:rsid w:val="00713A4D"/>
    <w:rsid w:val="0071401D"/>
    <w:rsid w:val="00714582"/>
    <w:rsid w:val="0071499A"/>
    <w:rsid w:val="00716BB6"/>
    <w:rsid w:val="00716FB6"/>
    <w:rsid w:val="007172BB"/>
    <w:rsid w:val="00717697"/>
    <w:rsid w:val="0072034A"/>
    <w:rsid w:val="00720598"/>
    <w:rsid w:val="00721E86"/>
    <w:rsid w:val="007222E6"/>
    <w:rsid w:val="0072239C"/>
    <w:rsid w:val="007223DB"/>
    <w:rsid w:val="00722710"/>
    <w:rsid w:val="00722FBD"/>
    <w:rsid w:val="0072372D"/>
    <w:rsid w:val="0072376B"/>
    <w:rsid w:val="007240E9"/>
    <w:rsid w:val="007256FE"/>
    <w:rsid w:val="007257EB"/>
    <w:rsid w:val="00725A46"/>
    <w:rsid w:val="00725B41"/>
    <w:rsid w:val="007271BF"/>
    <w:rsid w:val="007275AC"/>
    <w:rsid w:val="00727B18"/>
    <w:rsid w:val="00730381"/>
    <w:rsid w:val="00730715"/>
    <w:rsid w:val="00730B58"/>
    <w:rsid w:val="00730DDC"/>
    <w:rsid w:val="0073100A"/>
    <w:rsid w:val="0073131B"/>
    <w:rsid w:val="00732546"/>
    <w:rsid w:val="00732793"/>
    <w:rsid w:val="00733837"/>
    <w:rsid w:val="00733CEF"/>
    <w:rsid w:val="00734017"/>
    <w:rsid w:val="007341A9"/>
    <w:rsid w:val="00734677"/>
    <w:rsid w:val="007347CB"/>
    <w:rsid w:val="007347FA"/>
    <w:rsid w:val="007352FB"/>
    <w:rsid w:val="00735359"/>
    <w:rsid w:val="00735365"/>
    <w:rsid w:val="007353F4"/>
    <w:rsid w:val="00736099"/>
    <w:rsid w:val="00736AFD"/>
    <w:rsid w:val="007411D7"/>
    <w:rsid w:val="007413C2"/>
    <w:rsid w:val="00741B0A"/>
    <w:rsid w:val="00741D3F"/>
    <w:rsid w:val="00741EC4"/>
    <w:rsid w:val="007441FB"/>
    <w:rsid w:val="00744410"/>
    <w:rsid w:val="00744ADC"/>
    <w:rsid w:val="00745948"/>
    <w:rsid w:val="007459EF"/>
    <w:rsid w:val="00745C31"/>
    <w:rsid w:val="0074614E"/>
    <w:rsid w:val="0074794D"/>
    <w:rsid w:val="007500D3"/>
    <w:rsid w:val="007505D8"/>
    <w:rsid w:val="00751B24"/>
    <w:rsid w:val="007526B9"/>
    <w:rsid w:val="00752852"/>
    <w:rsid w:val="00752DB2"/>
    <w:rsid w:val="00752DB8"/>
    <w:rsid w:val="00753A81"/>
    <w:rsid w:val="0075417C"/>
    <w:rsid w:val="007556EC"/>
    <w:rsid w:val="007566F5"/>
    <w:rsid w:val="00756880"/>
    <w:rsid w:val="00757528"/>
    <w:rsid w:val="00757DE0"/>
    <w:rsid w:val="00757F3B"/>
    <w:rsid w:val="007604B1"/>
    <w:rsid w:val="00761C95"/>
    <w:rsid w:val="0076205A"/>
    <w:rsid w:val="007621B7"/>
    <w:rsid w:val="007628EF"/>
    <w:rsid w:val="0076397B"/>
    <w:rsid w:val="00763AA1"/>
    <w:rsid w:val="00763F02"/>
    <w:rsid w:val="00764FAA"/>
    <w:rsid w:val="0076593C"/>
    <w:rsid w:val="00766FA0"/>
    <w:rsid w:val="00771315"/>
    <w:rsid w:val="00771BAD"/>
    <w:rsid w:val="00771D98"/>
    <w:rsid w:val="007734A8"/>
    <w:rsid w:val="00773ACF"/>
    <w:rsid w:val="00774032"/>
    <w:rsid w:val="00774CF2"/>
    <w:rsid w:val="00774F89"/>
    <w:rsid w:val="007757B2"/>
    <w:rsid w:val="0077585B"/>
    <w:rsid w:val="00775897"/>
    <w:rsid w:val="00775C44"/>
    <w:rsid w:val="00775D71"/>
    <w:rsid w:val="00776765"/>
    <w:rsid w:val="00776A13"/>
    <w:rsid w:val="007771E2"/>
    <w:rsid w:val="00777F9F"/>
    <w:rsid w:val="007801DC"/>
    <w:rsid w:val="0078058C"/>
    <w:rsid w:val="00780CBD"/>
    <w:rsid w:val="00781B5B"/>
    <w:rsid w:val="00781E4D"/>
    <w:rsid w:val="00782290"/>
    <w:rsid w:val="00782506"/>
    <w:rsid w:val="007836E4"/>
    <w:rsid w:val="00783CC6"/>
    <w:rsid w:val="00784300"/>
    <w:rsid w:val="007843FE"/>
    <w:rsid w:val="00784531"/>
    <w:rsid w:val="00784BF5"/>
    <w:rsid w:val="00785865"/>
    <w:rsid w:val="00785909"/>
    <w:rsid w:val="00785ADE"/>
    <w:rsid w:val="00786192"/>
    <w:rsid w:val="007863CC"/>
    <w:rsid w:val="00786D58"/>
    <w:rsid w:val="00787179"/>
    <w:rsid w:val="00790AA6"/>
    <w:rsid w:val="00791085"/>
    <w:rsid w:val="00791147"/>
    <w:rsid w:val="00791BF2"/>
    <w:rsid w:val="0079404D"/>
    <w:rsid w:val="00794EBF"/>
    <w:rsid w:val="00795B1A"/>
    <w:rsid w:val="00795B1C"/>
    <w:rsid w:val="0079627E"/>
    <w:rsid w:val="00796873"/>
    <w:rsid w:val="00796A17"/>
    <w:rsid w:val="00796E3D"/>
    <w:rsid w:val="007A0515"/>
    <w:rsid w:val="007A08C3"/>
    <w:rsid w:val="007A15FB"/>
    <w:rsid w:val="007A1B5F"/>
    <w:rsid w:val="007A20FA"/>
    <w:rsid w:val="007A2404"/>
    <w:rsid w:val="007A2D5E"/>
    <w:rsid w:val="007A30AA"/>
    <w:rsid w:val="007A3340"/>
    <w:rsid w:val="007A4738"/>
    <w:rsid w:val="007A4774"/>
    <w:rsid w:val="007A4AC8"/>
    <w:rsid w:val="007A53D5"/>
    <w:rsid w:val="007A612B"/>
    <w:rsid w:val="007A6178"/>
    <w:rsid w:val="007A6CBD"/>
    <w:rsid w:val="007A754D"/>
    <w:rsid w:val="007A7D94"/>
    <w:rsid w:val="007B00D8"/>
    <w:rsid w:val="007B1173"/>
    <w:rsid w:val="007B1BF7"/>
    <w:rsid w:val="007B1CD6"/>
    <w:rsid w:val="007B1F51"/>
    <w:rsid w:val="007B2622"/>
    <w:rsid w:val="007B2D31"/>
    <w:rsid w:val="007B3FDF"/>
    <w:rsid w:val="007B4A70"/>
    <w:rsid w:val="007B513B"/>
    <w:rsid w:val="007B5AD3"/>
    <w:rsid w:val="007B600C"/>
    <w:rsid w:val="007B67C6"/>
    <w:rsid w:val="007B77F4"/>
    <w:rsid w:val="007B7845"/>
    <w:rsid w:val="007C07B0"/>
    <w:rsid w:val="007C12AA"/>
    <w:rsid w:val="007C1C8C"/>
    <w:rsid w:val="007C1D29"/>
    <w:rsid w:val="007C3933"/>
    <w:rsid w:val="007C4265"/>
    <w:rsid w:val="007C4383"/>
    <w:rsid w:val="007C4BF8"/>
    <w:rsid w:val="007C50E4"/>
    <w:rsid w:val="007C5664"/>
    <w:rsid w:val="007C5B79"/>
    <w:rsid w:val="007C5B97"/>
    <w:rsid w:val="007C5B98"/>
    <w:rsid w:val="007C5E59"/>
    <w:rsid w:val="007C6544"/>
    <w:rsid w:val="007C7ED6"/>
    <w:rsid w:val="007D0AB9"/>
    <w:rsid w:val="007D1AB2"/>
    <w:rsid w:val="007D1BEE"/>
    <w:rsid w:val="007D2638"/>
    <w:rsid w:val="007D2D0E"/>
    <w:rsid w:val="007D31C4"/>
    <w:rsid w:val="007D44F6"/>
    <w:rsid w:val="007D64AE"/>
    <w:rsid w:val="007D670E"/>
    <w:rsid w:val="007D6A41"/>
    <w:rsid w:val="007D6C02"/>
    <w:rsid w:val="007D7572"/>
    <w:rsid w:val="007D7BE9"/>
    <w:rsid w:val="007D7F67"/>
    <w:rsid w:val="007E0DA1"/>
    <w:rsid w:val="007E0E04"/>
    <w:rsid w:val="007E26F6"/>
    <w:rsid w:val="007E27AB"/>
    <w:rsid w:val="007E27E8"/>
    <w:rsid w:val="007E29AA"/>
    <w:rsid w:val="007E2AD2"/>
    <w:rsid w:val="007E32D7"/>
    <w:rsid w:val="007E348B"/>
    <w:rsid w:val="007E48DF"/>
    <w:rsid w:val="007E4BB3"/>
    <w:rsid w:val="007E5C50"/>
    <w:rsid w:val="007E66CA"/>
    <w:rsid w:val="007E7C01"/>
    <w:rsid w:val="007E7CA0"/>
    <w:rsid w:val="007E7D02"/>
    <w:rsid w:val="007E7DBE"/>
    <w:rsid w:val="007F03D9"/>
    <w:rsid w:val="007F1131"/>
    <w:rsid w:val="007F197F"/>
    <w:rsid w:val="007F1B9E"/>
    <w:rsid w:val="007F1F90"/>
    <w:rsid w:val="007F20D2"/>
    <w:rsid w:val="007F2D40"/>
    <w:rsid w:val="007F2D4B"/>
    <w:rsid w:val="007F2FD5"/>
    <w:rsid w:val="007F34C0"/>
    <w:rsid w:val="007F3797"/>
    <w:rsid w:val="007F3EAF"/>
    <w:rsid w:val="007F4BB1"/>
    <w:rsid w:val="007F615B"/>
    <w:rsid w:val="007F6571"/>
    <w:rsid w:val="007F667F"/>
    <w:rsid w:val="007F72B3"/>
    <w:rsid w:val="007F743B"/>
    <w:rsid w:val="007F7519"/>
    <w:rsid w:val="007F76B0"/>
    <w:rsid w:val="007F7741"/>
    <w:rsid w:val="007F781C"/>
    <w:rsid w:val="007F7828"/>
    <w:rsid w:val="00801463"/>
    <w:rsid w:val="00801EF3"/>
    <w:rsid w:val="00802A05"/>
    <w:rsid w:val="008030D6"/>
    <w:rsid w:val="00803569"/>
    <w:rsid w:val="00803752"/>
    <w:rsid w:val="0080398B"/>
    <w:rsid w:val="00803DD8"/>
    <w:rsid w:val="008055FF"/>
    <w:rsid w:val="00805ED8"/>
    <w:rsid w:val="00805F76"/>
    <w:rsid w:val="0080629A"/>
    <w:rsid w:val="00807A8C"/>
    <w:rsid w:val="00807ED7"/>
    <w:rsid w:val="00810BF1"/>
    <w:rsid w:val="00811C3F"/>
    <w:rsid w:val="00811DBB"/>
    <w:rsid w:val="00812419"/>
    <w:rsid w:val="00813239"/>
    <w:rsid w:val="0081329E"/>
    <w:rsid w:val="00814972"/>
    <w:rsid w:val="00814D4A"/>
    <w:rsid w:val="008153F6"/>
    <w:rsid w:val="008156A2"/>
    <w:rsid w:val="00815825"/>
    <w:rsid w:val="00815B87"/>
    <w:rsid w:val="008161B7"/>
    <w:rsid w:val="00816428"/>
    <w:rsid w:val="008167F6"/>
    <w:rsid w:val="00816ABF"/>
    <w:rsid w:val="00820970"/>
    <w:rsid w:val="00821B27"/>
    <w:rsid w:val="00822053"/>
    <w:rsid w:val="00822394"/>
    <w:rsid w:val="008230A2"/>
    <w:rsid w:val="00823EDE"/>
    <w:rsid w:val="00824E00"/>
    <w:rsid w:val="0082537E"/>
    <w:rsid w:val="00825A7E"/>
    <w:rsid w:val="0082689A"/>
    <w:rsid w:val="00826973"/>
    <w:rsid w:val="00827A79"/>
    <w:rsid w:val="0083038C"/>
    <w:rsid w:val="00830E3F"/>
    <w:rsid w:val="00831440"/>
    <w:rsid w:val="00832297"/>
    <w:rsid w:val="00832825"/>
    <w:rsid w:val="00832942"/>
    <w:rsid w:val="00832BE4"/>
    <w:rsid w:val="0083355E"/>
    <w:rsid w:val="008346FF"/>
    <w:rsid w:val="0083498C"/>
    <w:rsid w:val="008356F3"/>
    <w:rsid w:val="00835EB6"/>
    <w:rsid w:val="00836172"/>
    <w:rsid w:val="00836485"/>
    <w:rsid w:val="00836661"/>
    <w:rsid w:val="008370D1"/>
    <w:rsid w:val="0083785B"/>
    <w:rsid w:val="00837B7B"/>
    <w:rsid w:val="00837F2C"/>
    <w:rsid w:val="0084032B"/>
    <w:rsid w:val="00840D6C"/>
    <w:rsid w:val="0084163D"/>
    <w:rsid w:val="00841708"/>
    <w:rsid w:val="008418DD"/>
    <w:rsid w:val="00842145"/>
    <w:rsid w:val="008423B0"/>
    <w:rsid w:val="00842B26"/>
    <w:rsid w:val="00842E45"/>
    <w:rsid w:val="00844414"/>
    <w:rsid w:val="00844534"/>
    <w:rsid w:val="00844872"/>
    <w:rsid w:val="00844DE6"/>
    <w:rsid w:val="008457A6"/>
    <w:rsid w:val="00845A06"/>
    <w:rsid w:val="00845D11"/>
    <w:rsid w:val="00846401"/>
    <w:rsid w:val="00846758"/>
    <w:rsid w:val="00846DA1"/>
    <w:rsid w:val="008473A0"/>
    <w:rsid w:val="008500B5"/>
    <w:rsid w:val="00851627"/>
    <w:rsid w:val="00851713"/>
    <w:rsid w:val="00852C76"/>
    <w:rsid w:val="00852D60"/>
    <w:rsid w:val="00853126"/>
    <w:rsid w:val="008536A6"/>
    <w:rsid w:val="008538D9"/>
    <w:rsid w:val="00853E7F"/>
    <w:rsid w:val="00854FA4"/>
    <w:rsid w:val="00855526"/>
    <w:rsid w:val="008558AB"/>
    <w:rsid w:val="008561ED"/>
    <w:rsid w:val="00856B5B"/>
    <w:rsid w:val="00857EBA"/>
    <w:rsid w:val="00860059"/>
    <w:rsid w:val="00861CCD"/>
    <w:rsid w:val="008624F9"/>
    <w:rsid w:val="00864429"/>
    <w:rsid w:val="008647A8"/>
    <w:rsid w:val="00864BE1"/>
    <w:rsid w:val="008653F7"/>
    <w:rsid w:val="0086622A"/>
    <w:rsid w:val="008669FA"/>
    <w:rsid w:val="00870191"/>
    <w:rsid w:val="008701C4"/>
    <w:rsid w:val="008704F5"/>
    <w:rsid w:val="00871198"/>
    <w:rsid w:val="008720E2"/>
    <w:rsid w:val="008721B5"/>
    <w:rsid w:val="00873145"/>
    <w:rsid w:val="0087352B"/>
    <w:rsid w:val="008737A3"/>
    <w:rsid w:val="0087388F"/>
    <w:rsid w:val="00873B6F"/>
    <w:rsid w:val="00873D13"/>
    <w:rsid w:val="00873E71"/>
    <w:rsid w:val="00873EF6"/>
    <w:rsid w:val="008741E9"/>
    <w:rsid w:val="00874656"/>
    <w:rsid w:val="0087485B"/>
    <w:rsid w:val="008757B2"/>
    <w:rsid w:val="0087595D"/>
    <w:rsid w:val="00875DAD"/>
    <w:rsid w:val="00876701"/>
    <w:rsid w:val="008774CA"/>
    <w:rsid w:val="00877A38"/>
    <w:rsid w:val="00877B19"/>
    <w:rsid w:val="00877E21"/>
    <w:rsid w:val="00880B4C"/>
    <w:rsid w:val="0088150D"/>
    <w:rsid w:val="0088152F"/>
    <w:rsid w:val="0088212E"/>
    <w:rsid w:val="0088251F"/>
    <w:rsid w:val="00882AD9"/>
    <w:rsid w:val="0088313B"/>
    <w:rsid w:val="00883C78"/>
    <w:rsid w:val="008847C0"/>
    <w:rsid w:val="00885944"/>
    <w:rsid w:val="00885AF8"/>
    <w:rsid w:val="00885D7B"/>
    <w:rsid w:val="008860EB"/>
    <w:rsid w:val="00887570"/>
    <w:rsid w:val="0088767C"/>
    <w:rsid w:val="00890602"/>
    <w:rsid w:val="00890637"/>
    <w:rsid w:val="00890CCC"/>
    <w:rsid w:val="00890D12"/>
    <w:rsid w:val="00890EA3"/>
    <w:rsid w:val="00891051"/>
    <w:rsid w:val="00891A10"/>
    <w:rsid w:val="0089300D"/>
    <w:rsid w:val="00893731"/>
    <w:rsid w:val="00893900"/>
    <w:rsid w:val="008940AF"/>
    <w:rsid w:val="00894342"/>
    <w:rsid w:val="00894F6D"/>
    <w:rsid w:val="008953FC"/>
    <w:rsid w:val="00895612"/>
    <w:rsid w:val="00896180"/>
    <w:rsid w:val="00896BCB"/>
    <w:rsid w:val="00896E32"/>
    <w:rsid w:val="0089723B"/>
    <w:rsid w:val="00897ED1"/>
    <w:rsid w:val="00897FF0"/>
    <w:rsid w:val="008A09AF"/>
    <w:rsid w:val="008A211B"/>
    <w:rsid w:val="008A2D94"/>
    <w:rsid w:val="008A30CD"/>
    <w:rsid w:val="008A329D"/>
    <w:rsid w:val="008A4399"/>
    <w:rsid w:val="008A60A4"/>
    <w:rsid w:val="008A6563"/>
    <w:rsid w:val="008A6F6B"/>
    <w:rsid w:val="008A70A3"/>
    <w:rsid w:val="008A7C72"/>
    <w:rsid w:val="008B0865"/>
    <w:rsid w:val="008B08AF"/>
    <w:rsid w:val="008B0B0E"/>
    <w:rsid w:val="008B0E18"/>
    <w:rsid w:val="008B106E"/>
    <w:rsid w:val="008B1182"/>
    <w:rsid w:val="008B14F8"/>
    <w:rsid w:val="008B16AC"/>
    <w:rsid w:val="008B1863"/>
    <w:rsid w:val="008B1D33"/>
    <w:rsid w:val="008B295B"/>
    <w:rsid w:val="008B2AF1"/>
    <w:rsid w:val="008B312E"/>
    <w:rsid w:val="008B391F"/>
    <w:rsid w:val="008B4CDE"/>
    <w:rsid w:val="008B50B2"/>
    <w:rsid w:val="008B52AD"/>
    <w:rsid w:val="008B57BD"/>
    <w:rsid w:val="008B5A86"/>
    <w:rsid w:val="008B685F"/>
    <w:rsid w:val="008B6DC8"/>
    <w:rsid w:val="008B7313"/>
    <w:rsid w:val="008B7C04"/>
    <w:rsid w:val="008B7EE5"/>
    <w:rsid w:val="008C06BD"/>
    <w:rsid w:val="008C0F89"/>
    <w:rsid w:val="008C17B2"/>
    <w:rsid w:val="008C1A46"/>
    <w:rsid w:val="008C23B9"/>
    <w:rsid w:val="008C2727"/>
    <w:rsid w:val="008C4FE3"/>
    <w:rsid w:val="008C5475"/>
    <w:rsid w:val="008C5590"/>
    <w:rsid w:val="008C576F"/>
    <w:rsid w:val="008C637F"/>
    <w:rsid w:val="008C66BF"/>
    <w:rsid w:val="008C72C8"/>
    <w:rsid w:val="008C767B"/>
    <w:rsid w:val="008C7688"/>
    <w:rsid w:val="008C77E5"/>
    <w:rsid w:val="008C7B63"/>
    <w:rsid w:val="008D00D8"/>
    <w:rsid w:val="008D09A9"/>
    <w:rsid w:val="008D0E76"/>
    <w:rsid w:val="008D155B"/>
    <w:rsid w:val="008D1C31"/>
    <w:rsid w:val="008D1C5E"/>
    <w:rsid w:val="008D1E40"/>
    <w:rsid w:val="008D216E"/>
    <w:rsid w:val="008D26E7"/>
    <w:rsid w:val="008D2AF8"/>
    <w:rsid w:val="008D2DC7"/>
    <w:rsid w:val="008D3F26"/>
    <w:rsid w:val="008D4ABB"/>
    <w:rsid w:val="008D6040"/>
    <w:rsid w:val="008D633F"/>
    <w:rsid w:val="008D646B"/>
    <w:rsid w:val="008D6D1E"/>
    <w:rsid w:val="008D7309"/>
    <w:rsid w:val="008D73F0"/>
    <w:rsid w:val="008D7C90"/>
    <w:rsid w:val="008E0753"/>
    <w:rsid w:val="008E0A03"/>
    <w:rsid w:val="008E0A90"/>
    <w:rsid w:val="008E0BD9"/>
    <w:rsid w:val="008E1457"/>
    <w:rsid w:val="008E17DD"/>
    <w:rsid w:val="008E2509"/>
    <w:rsid w:val="008E2574"/>
    <w:rsid w:val="008E260A"/>
    <w:rsid w:val="008E290E"/>
    <w:rsid w:val="008E2D48"/>
    <w:rsid w:val="008E3149"/>
    <w:rsid w:val="008E325B"/>
    <w:rsid w:val="008E34FB"/>
    <w:rsid w:val="008E39AF"/>
    <w:rsid w:val="008E3B25"/>
    <w:rsid w:val="008E3CED"/>
    <w:rsid w:val="008E4377"/>
    <w:rsid w:val="008E4D9A"/>
    <w:rsid w:val="008E4F6D"/>
    <w:rsid w:val="008E4FCF"/>
    <w:rsid w:val="008E50E8"/>
    <w:rsid w:val="008E5E1F"/>
    <w:rsid w:val="008E74ED"/>
    <w:rsid w:val="008E7B92"/>
    <w:rsid w:val="008E7D46"/>
    <w:rsid w:val="008E7DC3"/>
    <w:rsid w:val="008E7E7C"/>
    <w:rsid w:val="008E7ED0"/>
    <w:rsid w:val="008F00C8"/>
    <w:rsid w:val="008F03A2"/>
    <w:rsid w:val="008F0B7A"/>
    <w:rsid w:val="008F0C27"/>
    <w:rsid w:val="008F0C7B"/>
    <w:rsid w:val="008F0FEB"/>
    <w:rsid w:val="008F19AE"/>
    <w:rsid w:val="008F2821"/>
    <w:rsid w:val="008F2C77"/>
    <w:rsid w:val="008F2CBF"/>
    <w:rsid w:val="008F39E1"/>
    <w:rsid w:val="008F3E2B"/>
    <w:rsid w:val="008F40F0"/>
    <w:rsid w:val="008F46B5"/>
    <w:rsid w:val="008F4DDA"/>
    <w:rsid w:val="008F4FEE"/>
    <w:rsid w:val="008F52FF"/>
    <w:rsid w:val="008F68C3"/>
    <w:rsid w:val="008F6980"/>
    <w:rsid w:val="008F71E1"/>
    <w:rsid w:val="008F77FC"/>
    <w:rsid w:val="008F7954"/>
    <w:rsid w:val="0090087E"/>
    <w:rsid w:val="009008A7"/>
    <w:rsid w:val="00901376"/>
    <w:rsid w:val="00901E09"/>
    <w:rsid w:val="00901FAD"/>
    <w:rsid w:val="00902624"/>
    <w:rsid w:val="00902694"/>
    <w:rsid w:val="009030CA"/>
    <w:rsid w:val="00903FED"/>
    <w:rsid w:val="009042ED"/>
    <w:rsid w:val="00905683"/>
    <w:rsid w:val="00905EC3"/>
    <w:rsid w:val="00906AD5"/>
    <w:rsid w:val="00907F7C"/>
    <w:rsid w:val="00910698"/>
    <w:rsid w:val="00910EB0"/>
    <w:rsid w:val="009113D0"/>
    <w:rsid w:val="009114AB"/>
    <w:rsid w:val="00911AB8"/>
    <w:rsid w:val="00911FB5"/>
    <w:rsid w:val="0091206C"/>
    <w:rsid w:val="00912A64"/>
    <w:rsid w:val="00912D9A"/>
    <w:rsid w:val="00913229"/>
    <w:rsid w:val="00913A8F"/>
    <w:rsid w:val="00914120"/>
    <w:rsid w:val="00914B4C"/>
    <w:rsid w:val="00914DD0"/>
    <w:rsid w:val="00916AEE"/>
    <w:rsid w:val="0091730D"/>
    <w:rsid w:val="00917445"/>
    <w:rsid w:val="009178F7"/>
    <w:rsid w:val="009204AA"/>
    <w:rsid w:val="00920EFF"/>
    <w:rsid w:val="00920FE8"/>
    <w:rsid w:val="009211D2"/>
    <w:rsid w:val="009215AB"/>
    <w:rsid w:val="009215C6"/>
    <w:rsid w:val="00921C2E"/>
    <w:rsid w:val="00921CC5"/>
    <w:rsid w:val="00922688"/>
    <w:rsid w:val="0092334A"/>
    <w:rsid w:val="00923A87"/>
    <w:rsid w:val="009247D3"/>
    <w:rsid w:val="009252FF"/>
    <w:rsid w:val="009255FF"/>
    <w:rsid w:val="0092588A"/>
    <w:rsid w:val="00925CEF"/>
    <w:rsid w:val="00925E2A"/>
    <w:rsid w:val="009260D3"/>
    <w:rsid w:val="009262F3"/>
    <w:rsid w:val="009264D3"/>
    <w:rsid w:val="00926FB5"/>
    <w:rsid w:val="00927445"/>
    <w:rsid w:val="009278B8"/>
    <w:rsid w:val="0093239F"/>
    <w:rsid w:val="009326FA"/>
    <w:rsid w:val="009331AB"/>
    <w:rsid w:val="00933350"/>
    <w:rsid w:val="0093434D"/>
    <w:rsid w:val="00934562"/>
    <w:rsid w:val="00934E04"/>
    <w:rsid w:val="0093536E"/>
    <w:rsid w:val="009365D2"/>
    <w:rsid w:val="00936C87"/>
    <w:rsid w:val="00936D16"/>
    <w:rsid w:val="00936F0C"/>
    <w:rsid w:val="00941442"/>
    <w:rsid w:val="0094192E"/>
    <w:rsid w:val="00943DBA"/>
    <w:rsid w:val="00943EA7"/>
    <w:rsid w:val="00945293"/>
    <w:rsid w:val="009453F3"/>
    <w:rsid w:val="0094556A"/>
    <w:rsid w:val="009455EE"/>
    <w:rsid w:val="009458F1"/>
    <w:rsid w:val="00945E0B"/>
    <w:rsid w:val="0094657B"/>
    <w:rsid w:val="00947FD4"/>
    <w:rsid w:val="009503F3"/>
    <w:rsid w:val="00950587"/>
    <w:rsid w:val="00951043"/>
    <w:rsid w:val="00951567"/>
    <w:rsid w:val="0095285B"/>
    <w:rsid w:val="00952AD5"/>
    <w:rsid w:val="00952CDF"/>
    <w:rsid w:val="00953531"/>
    <w:rsid w:val="00953988"/>
    <w:rsid w:val="00953C9F"/>
    <w:rsid w:val="00954440"/>
    <w:rsid w:val="00954D5A"/>
    <w:rsid w:val="00955964"/>
    <w:rsid w:val="00955C54"/>
    <w:rsid w:val="00957236"/>
    <w:rsid w:val="00957505"/>
    <w:rsid w:val="00957649"/>
    <w:rsid w:val="009577F1"/>
    <w:rsid w:val="00957F19"/>
    <w:rsid w:val="00960F8A"/>
    <w:rsid w:val="009610F7"/>
    <w:rsid w:val="00961231"/>
    <w:rsid w:val="009619C5"/>
    <w:rsid w:val="00962334"/>
    <w:rsid w:val="00963546"/>
    <w:rsid w:val="00963952"/>
    <w:rsid w:val="00964301"/>
    <w:rsid w:val="00964604"/>
    <w:rsid w:val="00964965"/>
    <w:rsid w:val="00965126"/>
    <w:rsid w:val="00965730"/>
    <w:rsid w:val="00965C36"/>
    <w:rsid w:val="00965CBB"/>
    <w:rsid w:val="00965EBC"/>
    <w:rsid w:val="00966561"/>
    <w:rsid w:val="00966684"/>
    <w:rsid w:val="00966B5C"/>
    <w:rsid w:val="00966C6A"/>
    <w:rsid w:val="009702BA"/>
    <w:rsid w:val="0097126E"/>
    <w:rsid w:val="00972E8D"/>
    <w:rsid w:val="0097385C"/>
    <w:rsid w:val="00974328"/>
    <w:rsid w:val="00974C42"/>
    <w:rsid w:val="00974F02"/>
    <w:rsid w:val="009750F4"/>
    <w:rsid w:val="00975507"/>
    <w:rsid w:val="0097551E"/>
    <w:rsid w:val="009761E7"/>
    <w:rsid w:val="00976411"/>
    <w:rsid w:val="009767B3"/>
    <w:rsid w:val="00976DA4"/>
    <w:rsid w:val="00976FDB"/>
    <w:rsid w:val="00977073"/>
    <w:rsid w:val="00977958"/>
    <w:rsid w:val="00977A68"/>
    <w:rsid w:val="00977FF7"/>
    <w:rsid w:val="00980BBC"/>
    <w:rsid w:val="00980D3E"/>
    <w:rsid w:val="00980D79"/>
    <w:rsid w:val="009824BE"/>
    <w:rsid w:val="00982DED"/>
    <w:rsid w:val="00983BF9"/>
    <w:rsid w:val="00983CE7"/>
    <w:rsid w:val="00984150"/>
    <w:rsid w:val="00984AC0"/>
    <w:rsid w:val="00985909"/>
    <w:rsid w:val="00985A7C"/>
    <w:rsid w:val="009865DD"/>
    <w:rsid w:val="00986A30"/>
    <w:rsid w:val="00987BA5"/>
    <w:rsid w:val="00987CB3"/>
    <w:rsid w:val="009917CC"/>
    <w:rsid w:val="009918AA"/>
    <w:rsid w:val="00992036"/>
    <w:rsid w:val="009923C4"/>
    <w:rsid w:val="00992D21"/>
    <w:rsid w:val="0099474F"/>
    <w:rsid w:val="00995553"/>
    <w:rsid w:val="0099559F"/>
    <w:rsid w:val="00995C4E"/>
    <w:rsid w:val="00995DC1"/>
    <w:rsid w:val="009965C3"/>
    <w:rsid w:val="00996777"/>
    <w:rsid w:val="00996892"/>
    <w:rsid w:val="00997171"/>
    <w:rsid w:val="009972CC"/>
    <w:rsid w:val="009979BE"/>
    <w:rsid w:val="009979EC"/>
    <w:rsid w:val="009A0F4A"/>
    <w:rsid w:val="009A24DF"/>
    <w:rsid w:val="009A262E"/>
    <w:rsid w:val="009A362C"/>
    <w:rsid w:val="009A3831"/>
    <w:rsid w:val="009A5315"/>
    <w:rsid w:val="009A532C"/>
    <w:rsid w:val="009A5806"/>
    <w:rsid w:val="009A59C5"/>
    <w:rsid w:val="009A5B18"/>
    <w:rsid w:val="009A5FE8"/>
    <w:rsid w:val="009A6247"/>
    <w:rsid w:val="009A7047"/>
    <w:rsid w:val="009A7107"/>
    <w:rsid w:val="009A714D"/>
    <w:rsid w:val="009B013D"/>
    <w:rsid w:val="009B21C4"/>
    <w:rsid w:val="009B22BB"/>
    <w:rsid w:val="009B2306"/>
    <w:rsid w:val="009B338C"/>
    <w:rsid w:val="009B3CFE"/>
    <w:rsid w:val="009B4B23"/>
    <w:rsid w:val="009B6ED1"/>
    <w:rsid w:val="009B70FF"/>
    <w:rsid w:val="009B758C"/>
    <w:rsid w:val="009B7A6C"/>
    <w:rsid w:val="009C0E5A"/>
    <w:rsid w:val="009C1140"/>
    <w:rsid w:val="009C1204"/>
    <w:rsid w:val="009C1B93"/>
    <w:rsid w:val="009C1FB5"/>
    <w:rsid w:val="009C267E"/>
    <w:rsid w:val="009C2F36"/>
    <w:rsid w:val="009C3395"/>
    <w:rsid w:val="009C40A2"/>
    <w:rsid w:val="009C4901"/>
    <w:rsid w:val="009C4D95"/>
    <w:rsid w:val="009C5446"/>
    <w:rsid w:val="009C552A"/>
    <w:rsid w:val="009C5917"/>
    <w:rsid w:val="009C59FD"/>
    <w:rsid w:val="009C5A23"/>
    <w:rsid w:val="009C5F78"/>
    <w:rsid w:val="009C6081"/>
    <w:rsid w:val="009C6512"/>
    <w:rsid w:val="009C6C0A"/>
    <w:rsid w:val="009C6CFE"/>
    <w:rsid w:val="009D0A51"/>
    <w:rsid w:val="009D0BEE"/>
    <w:rsid w:val="009D1AF5"/>
    <w:rsid w:val="009D1D67"/>
    <w:rsid w:val="009D2CAD"/>
    <w:rsid w:val="009D36F1"/>
    <w:rsid w:val="009D410F"/>
    <w:rsid w:val="009D47BE"/>
    <w:rsid w:val="009D494A"/>
    <w:rsid w:val="009D4F62"/>
    <w:rsid w:val="009D520D"/>
    <w:rsid w:val="009D5256"/>
    <w:rsid w:val="009D5616"/>
    <w:rsid w:val="009D57B2"/>
    <w:rsid w:val="009D5A4B"/>
    <w:rsid w:val="009D5EC1"/>
    <w:rsid w:val="009D6549"/>
    <w:rsid w:val="009D6BD1"/>
    <w:rsid w:val="009D6C4E"/>
    <w:rsid w:val="009D6CFE"/>
    <w:rsid w:val="009D6E15"/>
    <w:rsid w:val="009D765C"/>
    <w:rsid w:val="009D767F"/>
    <w:rsid w:val="009E01BD"/>
    <w:rsid w:val="009E05BA"/>
    <w:rsid w:val="009E0BBF"/>
    <w:rsid w:val="009E0BD1"/>
    <w:rsid w:val="009E0BE4"/>
    <w:rsid w:val="009E0D17"/>
    <w:rsid w:val="009E0F3A"/>
    <w:rsid w:val="009E10A4"/>
    <w:rsid w:val="009E1F48"/>
    <w:rsid w:val="009E22F4"/>
    <w:rsid w:val="009E23A5"/>
    <w:rsid w:val="009E25F2"/>
    <w:rsid w:val="009E3597"/>
    <w:rsid w:val="009E35BB"/>
    <w:rsid w:val="009E4399"/>
    <w:rsid w:val="009E444A"/>
    <w:rsid w:val="009E4951"/>
    <w:rsid w:val="009E4D36"/>
    <w:rsid w:val="009E51DE"/>
    <w:rsid w:val="009E56DD"/>
    <w:rsid w:val="009E60B7"/>
    <w:rsid w:val="009E6570"/>
    <w:rsid w:val="009E6844"/>
    <w:rsid w:val="009E685A"/>
    <w:rsid w:val="009E7007"/>
    <w:rsid w:val="009E7CA5"/>
    <w:rsid w:val="009E7F4E"/>
    <w:rsid w:val="009F0488"/>
    <w:rsid w:val="009F0ECF"/>
    <w:rsid w:val="009F115D"/>
    <w:rsid w:val="009F1797"/>
    <w:rsid w:val="009F17DA"/>
    <w:rsid w:val="009F18ED"/>
    <w:rsid w:val="009F2123"/>
    <w:rsid w:val="009F2C30"/>
    <w:rsid w:val="009F3638"/>
    <w:rsid w:val="009F3E1F"/>
    <w:rsid w:val="009F4153"/>
    <w:rsid w:val="009F4D70"/>
    <w:rsid w:val="009F5730"/>
    <w:rsid w:val="009F5D31"/>
    <w:rsid w:val="009F6014"/>
    <w:rsid w:val="009F6AEC"/>
    <w:rsid w:val="00A00914"/>
    <w:rsid w:val="00A01217"/>
    <w:rsid w:val="00A0182B"/>
    <w:rsid w:val="00A02035"/>
    <w:rsid w:val="00A0260F"/>
    <w:rsid w:val="00A02A65"/>
    <w:rsid w:val="00A040F6"/>
    <w:rsid w:val="00A04A03"/>
    <w:rsid w:val="00A0519F"/>
    <w:rsid w:val="00A05354"/>
    <w:rsid w:val="00A05CE9"/>
    <w:rsid w:val="00A06095"/>
    <w:rsid w:val="00A0676D"/>
    <w:rsid w:val="00A067B1"/>
    <w:rsid w:val="00A06DA2"/>
    <w:rsid w:val="00A07BBD"/>
    <w:rsid w:val="00A101FB"/>
    <w:rsid w:val="00A112FE"/>
    <w:rsid w:val="00A12909"/>
    <w:rsid w:val="00A12AA9"/>
    <w:rsid w:val="00A131DA"/>
    <w:rsid w:val="00A1386F"/>
    <w:rsid w:val="00A13E91"/>
    <w:rsid w:val="00A14B64"/>
    <w:rsid w:val="00A158AF"/>
    <w:rsid w:val="00A15DFB"/>
    <w:rsid w:val="00A168E3"/>
    <w:rsid w:val="00A16ABB"/>
    <w:rsid w:val="00A178A6"/>
    <w:rsid w:val="00A17943"/>
    <w:rsid w:val="00A17B33"/>
    <w:rsid w:val="00A17F5B"/>
    <w:rsid w:val="00A20033"/>
    <w:rsid w:val="00A20141"/>
    <w:rsid w:val="00A20551"/>
    <w:rsid w:val="00A2076F"/>
    <w:rsid w:val="00A209D7"/>
    <w:rsid w:val="00A20EBC"/>
    <w:rsid w:val="00A21676"/>
    <w:rsid w:val="00A227E0"/>
    <w:rsid w:val="00A2343F"/>
    <w:rsid w:val="00A23858"/>
    <w:rsid w:val="00A25629"/>
    <w:rsid w:val="00A265D2"/>
    <w:rsid w:val="00A26E39"/>
    <w:rsid w:val="00A274D2"/>
    <w:rsid w:val="00A27930"/>
    <w:rsid w:val="00A2795A"/>
    <w:rsid w:val="00A279E1"/>
    <w:rsid w:val="00A30212"/>
    <w:rsid w:val="00A30300"/>
    <w:rsid w:val="00A30771"/>
    <w:rsid w:val="00A30C7D"/>
    <w:rsid w:val="00A310DD"/>
    <w:rsid w:val="00A3134B"/>
    <w:rsid w:val="00A31CCE"/>
    <w:rsid w:val="00A31E90"/>
    <w:rsid w:val="00A3218F"/>
    <w:rsid w:val="00A33C52"/>
    <w:rsid w:val="00A34971"/>
    <w:rsid w:val="00A34B81"/>
    <w:rsid w:val="00A34CA3"/>
    <w:rsid w:val="00A34F0D"/>
    <w:rsid w:val="00A36150"/>
    <w:rsid w:val="00A36CEB"/>
    <w:rsid w:val="00A3779A"/>
    <w:rsid w:val="00A377C3"/>
    <w:rsid w:val="00A37B50"/>
    <w:rsid w:val="00A402D3"/>
    <w:rsid w:val="00A40382"/>
    <w:rsid w:val="00A40F2F"/>
    <w:rsid w:val="00A41620"/>
    <w:rsid w:val="00A424C8"/>
    <w:rsid w:val="00A42600"/>
    <w:rsid w:val="00A42D68"/>
    <w:rsid w:val="00A431CB"/>
    <w:rsid w:val="00A438D6"/>
    <w:rsid w:val="00A43E45"/>
    <w:rsid w:val="00A4418B"/>
    <w:rsid w:val="00A44AE3"/>
    <w:rsid w:val="00A454DD"/>
    <w:rsid w:val="00A4550E"/>
    <w:rsid w:val="00A46B94"/>
    <w:rsid w:val="00A50294"/>
    <w:rsid w:val="00A50370"/>
    <w:rsid w:val="00A510E6"/>
    <w:rsid w:val="00A51AD1"/>
    <w:rsid w:val="00A51FC8"/>
    <w:rsid w:val="00A526CC"/>
    <w:rsid w:val="00A529BB"/>
    <w:rsid w:val="00A532C5"/>
    <w:rsid w:val="00A5341D"/>
    <w:rsid w:val="00A5359C"/>
    <w:rsid w:val="00A536B2"/>
    <w:rsid w:val="00A538DD"/>
    <w:rsid w:val="00A53909"/>
    <w:rsid w:val="00A53E4A"/>
    <w:rsid w:val="00A541A6"/>
    <w:rsid w:val="00A5575F"/>
    <w:rsid w:val="00A56320"/>
    <w:rsid w:val="00A56EB4"/>
    <w:rsid w:val="00A57387"/>
    <w:rsid w:val="00A57392"/>
    <w:rsid w:val="00A574B1"/>
    <w:rsid w:val="00A575C6"/>
    <w:rsid w:val="00A606D8"/>
    <w:rsid w:val="00A60F4E"/>
    <w:rsid w:val="00A6163B"/>
    <w:rsid w:val="00A61BA2"/>
    <w:rsid w:val="00A6308A"/>
    <w:rsid w:val="00A631B8"/>
    <w:rsid w:val="00A63246"/>
    <w:rsid w:val="00A63259"/>
    <w:rsid w:val="00A633AB"/>
    <w:rsid w:val="00A63F48"/>
    <w:rsid w:val="00A64681"/>
    <w:rsid w:val="00A64FA5"/>
    <w:rsid w:val="00A66725"/>
    <w:rsid w:val="00A67941"/>
    <w:rsid w:val="00A67C68"/>
    <w:rsid w:val="00A70075"/>
    <w:rsid w:val="00A70B0F"/>
    <w:rsid w:val="00A70BF1"/>
    <w:rsid w:val="00A70E2C"/>
    <w:rsid w:val="00A7222D"/>
    <w:rsid w:val="00A72A0C"/>
    <w:rsid w:val="00A72BD2"/>
    <w:rsid w:val="00A74952"/>
    <w:rsid w:val="00A74A78"/>
    <w:rsid w:val="00A74D59"/>
    <w:rsid w:val="00A75016"/>
    <w:rsid w:val="00A75559"/>
    <w:rsid w:val="00A7557E"/>
    <w:rsid w:val="00A75850"/>
    <w:rsid w:val="00A75863"/>
    <w:rsid w:val="00A75CD2"/>
    <w:rsid w:val="00A766D0"/>
    <w:rsid w:val="00A76D30"/>
    <w:rsid w:val="00A775C1"/>
    <w:rsid w:val="00A77778"/>
    <w:rsid w:val="00A77AE7"/>
    <w:rsid w:val="00A806DF"/>
    <w:rsid w:val="00A821FC"/>
    <w:rsid w:val="00A82BBC"/>
    <w:rsid w:val="00A8301F"/>
    <w:rsid w:val="00A83707"/>
    <w:rsid w:val="00A83DA4"/>
    <w:rsid w:val="00A84B54"/>
    <w:rsid w:val="00A856B3"/>
    <w:rsid w:val="00A90E7F"/>
    <w:rsid w:val="00A90F6E"/>
    <w:rsid w:val="00A92440"/>
    <w:rsid w:val="00A92569"/>
    <w:rsid w:val="00A927AC"/>
    <w:rsid w:val="00A9305A"/>
    <w:rsid w:val="00A93E8B"/>
    <w:rsid w:val="00A95391"/>
    <w:rsid w:val="00A9540A"/>
    <w:rsid w:val="00A95AA3"/>
    <w:rsid w:val="00A97229"/>
    <w:rsid w:val="00A97666"/>
    <w:rsid w:val="00A97D3C"/>
    <w:rsid w:val="00AA0520"/>
    <w:rsid w:val="00AA19CF"/>
    <w:rsid w:val="00AA28D6"/>
    <w:rsid w:val="00AA2A35"/>
    <w:rsid w:val="00AA2D2B"/>
    <w:rsid w:val="00AA3B99"/>
    <w:rsid w:val="00AA4AEC"/>
    <w:rsid w:val="00AA4FCD"/>
    <w:rsid w:val="00AA5416"/>
    <w:rsid w:val="00AA5918"/>
    <w:rsid w:val="00AA64A1"/>
    <w:rsid w:val="00AA6795"/>
    <w:rsid w:val="00AA69C4"/>
    <w:rsid w:val="00AA7541"/>
    <w:rsid w:val="00AB21B6"/>
    <w:rsid w:val="00AB255E"/>
    <w:rsid w:val="00AB284E"/>
    <w:rsid w:val="00AB28CD"/>
    <w:rsid w:val="00AB2B07"/>
    <w:rsid w:val="00AB3C18"/>
    <w:rsid w:val="00AB3C43"/>
    <w:rsid w:val="00AB456E"/>
    <w:rsid w:val="00AB4D65"/>
    <w:rsid w:val="00AB5BBB"/>
    <w:rsid w:val="00AB5D18"/>
    <w:rsid w:val="00AB616A"/>
    <w:rsid w:val="00AB63A1"/>
    <w:rsid w:val="00AB65C1"/>
    <w:rsid w:val="00AB672C"/>
    <w:rsid w:val="00AB6DEC"/>
    <w:rsid w:val="00AB6E27"/>
    <w:rsid w:val="00AB7043"/>
    <w:rsid w:val="00AB7DB8"/>
    <w:rsid w:val="00AC0E08"/>
    <w:rsid w:val="00AC20B3"/>
    <w:rsid w:val="00AC2CC9"/>
    <w:rsid w:val="00AC2FEE"/>
    <w:rsid w:val="00AC41EA"/>
    <w:rsid w:val="00AC4A2B"/>
    <w:rsid w:val="00AC4D29"/>
    <w:rsid w:val="00AC4E71"/>
    <w:rsid w:val="00AC5E0F"/>
    <w:rsid w:val="00AC691C"/>
    <w:rsid w:val="00AC6FFC"/>
    <w:rsid w:val="00AC7417"/>
    <w:rsid w:val="00AC74A1"/>
    <w:rsid w:val="00AD0296"/>
    <w:rsid w:val="00AD0B3E"/>
    <w:rsid w:val="00AD0C16"/>
    <w:rsid w:val="00AD13D8"/>
    <w:rsid w:val="00AD17DA"/>
    <w:rsid w:val="00AD19AC"/>
    <w:rsid w:val="00AD1B7C"/>
    <w:rsid w:val="00AD1BFC"/>
    <w:rsid w:val="00AD2FBE"/>
    <w:rsid w:val="00AD38BF"/>
    <w:rsid w:val="00AD3DD0"/>
    <w:rsid w:val="00AD47C2"/>
    <w:rsid w:val="00AD4D93"/>
    <w:rsid w:val="00AD4E64"/>
    <w:rsid w:val="00AD5241"/>
    <w:rsid w:val="00AD5266"/>
    <w:rsid w:val="00AD54E2"/>
    <w:rsid w:val="00AD59ED"/>
    <w:rsid w:val="00AD638C"/>
    <w:rsid w:val="00AD68D1"/>
    <w:rsid w:val="00AD6FD0"/>
    <w:rsid w:val="00AD7375"/>
    <w:rsid w:val="00AD7797"/>
    <w:rsid w:val="00AD7BE5"/>
    <w:rsid w:val="00AD7C70"/>
    <w:rsid w:val="00AE0A95"/>
    <w:rsid w:val="00AE1087"/>
    <w:rsid w:val="00AE147D"/>
    <w:rsid w:val="00AE18AB"/>
    <w:rsid w:val="00AE1A88"/>
    <w:rsid w:val="00AE1EB0"/>
    <w:rsid w:val="00AE21D0"/>
    <w:rsid w:val="00AE3FF5"/>
    <w:rsid w:val="00AE47AC"/>
    <w:rsid w:val="00AE500A"/>
    <w:rsid w:val="00AE50AF"/>
    <w:rsid w:val="00AE5641"/>
    <w:rsid w:val="00AE566F"/>
    <w:rsid w:val="00AE56D4"/>
    <w:rsid w:val="00AE5E97"/>
    <w:rsid w:val="00AE6799"/>
    <w:rsid w:val="00AE67CA"/>
    <w:rsid w:val="00AE6D27"/>
    <w:rsid w:val="00AE7558"/>
    <w:rsid w:val="00AE776F"/>
    <w:rsid w:val="00AE7D90"/>
    <w:rsid w:val="00AF0B52"/>
    <w:rsid w:val="00AF108B"/>
    <w:rsid w:val="00AF1B76"/>
    <w:rsid w:val="00AF2026"/>
    <w:rsid w:val="00AF2345"/>
    <w:rsid w:val="00AF3BDC"/>
    <w:rsid w:val="00AF42AF"/>
    <w:rsid w:val="00AF474F"/>
    <w:rsid w:val="00AF4893"/>
    <w:rsid w:val="00AF50EC"/>
    <w:rsid w:val="00AF5772"/>
    <w:rsid w:val="00AF725F"/>
    <w:rsid w:val="00B000B7"/>
    <w:rsid w:val="00B003C7"/>
    <w:rsid w:val="00B006EC"/>
    <w:rsid w:val="00B010CA"/>
    <w:rsid w:val="00B01655"/>
    <w:rsid w:val="00B016E2"/>
    <w:rsid w:val="00B01C7E"/>
    <w:rsid w:val="00B039C0"/>
    <w:rsid w:val="00B04FD1"/>
    <w:rsid w:val="00B0606D"/>
    <w:rsid w:val="00B0606E"/>
    <w:rsid w:val="00B064A3"/>
    <w:rsid w:val="00B065FC"/>
    <w:rsid w:val="00B0675D"/>
    <w:rsid w:val="00B10C01"/>
    <w:rsid w:val="00B10E6E"/>
    <w:rsid w:val="00B1150C"/>
    <w:rsid w:val="00B115D3"/>
    <w:rsid w:val="00B11882"/>
    <w:rsid w:val="00B118E7"/>
    <w:rsid w:val="00B11925"/>
    <w:rsid w:val="00B11F10"/>
    <w:rsid w:val="00B13419"/>
    <w:rsid w:val="00B134C9"/>
    <w:rsid w:val="00B137DA"/>
    <w:rsid w:val="00B13AF2"/>
    <w:rsid w:val="00B13BE6"/>
    <w:rsid w:val="00B13F12"/>
    <w:rsid w:val="00B1453F"/>
    <w:rsid w:val="00B14C88"/>
    <w:rsid w:val="00B1627E"/>
    <w:rsid w:val="00B17631"/>
    <w:rsid w:val="00B2083D"/>
    <w:rsid w:val="00B20A3B"/>
    <w:rsid w:val="00B20CFB"/>
    <w:rsid w:val="00B21A1B"/>
    <w:rsid w:val="00B21C71"/>
    <w:rsid w:val="00B21D8F"/>
    <w:rsid w:val="00B22060"/>
    <w:rsid w:val="00B22848"/>
    <w:rsid w:val="00B22D1F"/>
    <w:rsid w:val="00B2352F"/>
    <w:rsid w:val="00B2353D"/>
    <w:rsid w:val="00B23A62"/>
    <w:rsid w:val="00B246DF"/>
    <w:rsid w:val="00B2480C"/>
    <w:rsid w:val="00B2509C"/>
    <w:rsid w:val="00B2636D"/>
    <w:rsid w:val="00B27A60"/>
    <w:rsid w:val="00B27AFF"/>
    <w:rsid w:val="00B27DAE"/>
    <w:rsid w:val="00B27F6C"/>
    <w:rsid w:val="00B30539"/>
    <w:rsid w:val="00B30F81"/>
    <w:rsid w:val="00B314F1"/>
    <w:rsid w:val="00B3177A"/>
    <w:rsid w:val="00B31F9E"/>
    <w:rsid w:val="00B32051"/>
    <w:rsid w:val="00B34C59"/>
    <w:rsid w:val="00B3514A"/>
    <w:rsid w:val="00B36A6E"/>
    <w:rsid w:val="00B36C94"/>
    <w:rsid w:val="00B37B82"/>
    <w:rsid w:val="00B37CFD"/>
    <w:rsid w:val="00B412CE"/>
    <w:rsid w:val="00B41893"/>
    <w:rsid w:val="00B41DE2"/>
    <w:rsid w:val="00B41EFC"/>
    <w:rsid w:val="00B42735"/>
    <w:rsid w:val="00B42805"/>
    <w:rsid w:val="00B43170"/>
    <w:rsid w:val="00B451A2"/>
    <w:rsid w:val="00B45742"/>
    <w:rsid w:val="00B46345"/>
    <w:rsid w:val="00B467C3"/>
    <w:rsid w:val="00B4714E"/>
    <w:rsid w:val="00B4729B"/>
    <w:rsid w:val="00B50104"/>
    <w:rsid w:val="00B502FB"/>
    <w:rsid w:val="00B5150B"/>
    <w:rsid w:val="00B51B14"/>
    <w:rsid w:val="00B51CA0"/>
    <w:rsid w:val="00B52766"/>
    <w:rsid w:val="00B52E3D"/>
    <w:rsid w:val="00B5322E"/>
    <w:rsid w:val="00B5356A"/>
    <w:rsid w:val="00B55947"/>
    <w:rsid w:val="00B55B34"/>
    <w:rsid w:val="00B5616C"/>
    <w:rsid w:val="00B56285"/>
    <w:rsid w:val="00B56D30"/>
    <w:rsid w:val="00B576AD"/>
    <w:rsid w:val="00B57ABB"/>
    <w:rsid w:val="00B57B45"/>
    <w:rsid w:val="00B600ED"/>
    <w:rsid w:val="00B60530"/>
    <w:rsid w:val="00B61484"/>
    <w:rsid w:val="00B6161D"/>
    <w:rsid w:val="00B63C9D"/>
    <w:rsid w:val="00B63CD5"/>
    <w:rsid w:val="00B642F7"/>
    <w:rsid w:val="00B64F90"/>
    <w:rsid w:val="00B65251"/>
    <w:rsid w:val="00B6549D"/>
    <w:rsid w:val="00B65D36"/>
    <w:rsid w:val="00B66B9F"/>
    <w:rsid w:val="00B67DF5"/>
    <w:rsid w:val="00B7041B"/>
    <w:rsid w:val="00B7286C"/>
    <w:rsid w:val="00B72C5D"/>
    <w:rsid w:val="00B7300B"/>
    <w:rsid w:val="00B73288"/>
    <w:rsid w:val="00B73399"/>
    <w:rsid w:val="00B73411"/>
    <w:rsid w:val="00B73855"/>
    <w:rsid w:val="00B74169"/>
    <w:rsid w:val="00B7471C"/>
    <w:rsid w:val="00B7658F"/>
    <w:rsid w:val="00B76838"/>
    <w:rsid w:val="00B76AD3"/>
    <w:rsid w:val="00B772AC"/>
    <w:rsid w:val="00B77FB9"/>
    <w:rsid w:val="00B801CA"/>
    <w:rsid w:val="00B80D0C"/>
    <w:rsid w:val="00B80E21"/>
    <w:rsid w:val="00B8131F"/>
    <w:rsid w:val="00B8136B"/>
    <w:rsid w:val="00B813AC"/>
    <w:rsid w:val="00B81EFB"/>
    <w:rsid w:val="00B83143"/>
    <w:rsid w:val="00B837D1"/>
    <w:rsid w:val="00B84045"/>
    <w:rsid w:val="00B843DA"/>
    <w:rsid w:val="00B84AC0"/>
    <w:rsid w:val="00B8518D"/>
    <w:rsid w:val="00B8563D"/>
    <w:rsid w:val="00B8687C"/>
    <w:rsid w:val="00B86D42"/>
    <w:rsid w:val="00B8719A"/>
    <w:rsid w:val="00B87D24"/>
    <w:rsid w:val="00B87DC7"/>
    <w:rsid w:val="00B900D6"/>
    <w:rsid w:val="00B902C6"/>
    <w:rsid w:val="00B91171"/>
    <w:rsid w:val="00B91E63"/>
    <w:rsid w:val="00B91EB7"/>
    <w:rsid w:val="00B93F9A"/>
    <w:rsid w:val="00B94BA9"/>
    <w:rsid w:val="00B953FF"/>
    <w:rsid w:val="00B958D2"/>
    <w:rsid w:val="00B95D24"/>
    <w:rsid w:val="00B9626D"/>
    <w:rsid w:val="00B96912"/>
    <w:rsid w:val="00B96ACD"/>
    <w:rsid w:val="00B96CC8"/>
    <w:rsid w:val="00B96DD9"/>
    <w:rsid w:val="00B96E97"/>
    <w:rsid w:val="00B973F7"/>
    <w:rsid w:val="00B9755B"/>
    <w:rsid w:val="00B979F6"/>
    <w:rsid w:val="00BA03BB"/>
    <w:rsid w:val="00BA096F"/>
    <w:rsid w:val="00BA0EE9"/>
    <w:rsid w:val="00BA1098"/>
    <w:rsid w:val="00BA1306"/>
    <w:rsid w:val="00BA1BD6"/>
    <w:rsid w:val="00BA1FD6"/>
    <w:rsid w:val="00BA3844"/>
    <w:rsid w:val="00BA49AE"/>
    <w:rsid w:val="00BA4E4F"/>
    <w:rsid w:val="00BA6B55"/>
    <w:rsid w:val="00BB02C6"/>
    <w:rsid w:val="00BB0FE7"/>
    <w:rsid w:val="00BB140B"/>
    <w:rsid w:val="00BB1BB0"/>
    <w:rsid w:val="00BB20F9"/>
    <w:rsid w:val="00BB2437"/>
    <w:rsid w:val="00BB2679"/>
    <w:rsid w:val="00BB2AA8"/>
    <w:rsid w:val="00BB2B1F"/>
    <w:rsid w:val="00BB3606"/>
    <w:rsid w:val="00BB3ED9"/>
    <w:rsid w:val="00BB418F"/>
    <w:rsid w:val="00BB4203"/>
    <w:rsid w:val="00BB48BE"/>
    <w:rsid w:val="00BB5401"/>
    <w:rsid w:val="00BB5625"/>
    <w:rsid w:val="00BB6EE3"/>
    <w:rsid w:val="00BB7243"/>
    <w:rsid w:val="00BB74B6"/>
    <w:rsid w:val="00BC056E"/>
    <w:rsid w:val="00BC0BC1"/>
    <w:rsid w:val="00BC12EC"/>
    <w:rsid w:val="00BC13C0"/>
    <w:rsid w:val="00BC1565"/>
    <w:rsid w:val="00BC1E1D"/>
    <w:rsid w:val="00BC21BD"/>
    <w:rsid w:val="00BC27B9"/>
    <w:rsid w:val="00BC2856"/>
    <w:rsid w:val="00BC2A83"/>
    <w:rsid w:val="00BC317D"/>
    <w:rsid w:val="00BC42BF"/>
    <w:rsid w:val="00BC42E1"/>
    <w:rsid w:val="00BC43FB"/>
    <w:rsid w:val="00BC4A39"/>
    <w:rsid w:val="00BC553D"/>
    <w:rsid w:val="00BC5841"/>
    <w:rsid w:val="00BC6368"/>
    <w:rsid w:val="00BC6DEB"/>
    <w:rsid w:val="00BC6FBF"/>
    <w:rsid w:val="00BC7A4B"/>
    <w:rsid w:val="00BD01D0"/>
    <w:rsid w:val="00BD03AF"/>
    <w:rsid w:val="00BD10DA"/>
    <w:rsid w:val="00BD124E"/>
    <w:rsid w:val="00BD14A5"/>
    <w:rsid w:val="00BD1AAC"/>
    <w:rsid w:val="00BD1C5F"/>
    <w:rsid w:val="00BD1FA9"/>
    <w:rsid w:val="00BD29AC"/>
    <w:rsid w:val="00BD3600"/>
    <w:rsid w:val="00BD38C7"/>
    <w:rsid w:val="00BD43B3"/>
    <w:rsid w:val="00BD4752"/>
    <w:rsid w:val="00BD515F"/>
    <w:rsid w:val="00BD5165"/>
    <w:rsid w:val="00BD5BAC"/>
    <w:rsid w:val="00BD5BD6"/>
    <w:rsid w:val="00BD64FE"/>
    <w:rsid w:val="00BD67DF"/>
    <w:rsid w:val="00BE0191"/>
    <w:rsid w:val="00BE01D2"/>
    <w:rsid w:val="00BE0F32"/>
    <w:rsid w:val="00BE1C48"/>
    <w:rsid w:val="00BE3133"/>
    <w:rsid w:val="00BE3951"/>
    <w:rsid w:val="00BE3C33"/>
    <w:rsid w:val="00BE44AD"/>
    <w:rsid w:val="00BE45DC"/>
    <w:rsid w:val="00BE4CF4"/>
    <w:rsid w:val="00BE5A95"/>
    <w:rsid w:val="00BE5DE3"/>
    <w:rsid w:val="00BE6E4B"/>
    <w:rsid w:val="00BE6EC9"/>
    <w:rsid w:val="00BE7309"/>
    <w:rsid w:val="00BE7F83"/>
    <w:rsid w:val="00BF06D8"/>
    <w:rsid w:val="00BF0DC1"/>
    <w:rsid w:val="00BF14CA"/>
    <w:rsid w:val="00BF18DB"/>
    <w:rsid w:val="00BF2BEC"/>
    <w:rsid w:val="00BF2F20"/>
    <w:rsid w:val="00BF3163"/>
    <w:rsid w:val="00BF334F"/>
    <w:rsid w:val="00BF3AE2"/>
    <w:rsid w:val="00BF42B4"/>
    <w:rsid w:val="00BF51EB"/>
    <w:rsid w:val="00BF60F4"/>
    <w:rsid w:val="00BF66DB"/>
    <w:rsid w:val="00BF6842"/>
    <w:rsid w:val="00BF6F96"/>
    <w:rsid w:val="00BF7CBE"/>
    <w:rsid w:val="00BF7ECE"/>
    <w:rsid w:val="00C007A0"/>
    <w:rsid w:val="00C00981"/>
    <w:rsid w:val="00C01CCC"/>
    <w:rsid w:val="00C01EFE"/>
    <w:rsid w:val="00C02429"/>
    <w:rsid w:val="00C02864"/>
    <w:rsid w:val="00C02E3C"/>
    <w:rsid w:val="00C03CC2"/>
    <w:rsid w:val="00C0405E"/>
    <w:rsid w:val="00C0437A"/>
    <w:rsid w:val="00C047FA"/>
    <w:rsid w:val="00C04DB2"/>
    <w:rsid w:val="00C04F9E"/>
    <w:rsid w:val="00C050E7"/>
    <w:rsid w:val="00C059D9"/>
    <w:rsid w:val="00C05E93"/>
    <w:rsid w:val="00C06841"/>
    <w:rsid w:val="00C07934"/>
    <w:rsid w:val="00C10BD1"/>
    <w:rsid w:val="00C10EBE"/>
    <w:rsid w:val="00C115E7"/>
    <w:rsid w:val="00C12833"/>
    <w:rsid w:val="00C12D37"/>
    <w:rsid w:val="00C14B81"/>
    <w:rsid w:val="00C14C57"/>
    <w:rsid w:val="00C153B3"/>
    <w:rsid w:val="00C15603"/>
    <w:rsid w:val="00C15B9D"/>
    <w:rsid w:val="00C15C9C"/>
    <w:rsid w:val="00C1629F"/>
    <w:rsid w:val="00C16D87"/>
    <w:rsid w:val="00C17BA5"/>
    <w:rsid w:val="00C17E18"/>
    <w:rsid w:val="00C20874"/>
    <w:rsid w:val="00C20B04"/>
    <w:rsid w:val="00C22843"/>
    <w:rsid w:val="00C22846"/>
    <w:rsid w:val="00C228B6"/>
    <w:rsid w:val="00C22B58"/>
    <w:rsid w:val="00C2340C"/>
    <w:rsid w:val="00C23D59"/>
    <w:rsid w:val="00C24577"/>
    <w:rsid w:val="00C246F4"/>
    <w:rsid w:val="00C25015"/>
    <w:rsid w:val="00C25074"/>
    <w:rsid w:val="00C260A2"/>
    <w:rsid w:val="00C2635D"/>
    <w:rsid w:val="00C2737E"/>
    <w:rsid w:val="00C27B3D"/>
    <w:rsid w:val="00C302F1"/>
    <w:rsid w:val="00C3144E"/>
    <w:rsid w:val="00C3151C"/>
    <w:rsid w:val="00C31536"/>
    <w:rsid w:val="00C32813"/>
    <w:rsid w:val="00C32880"/>
    <w:rsid w:val="00C33A9B"/>
    <w:rsid w:val="00C34264"/>
    <w:rsid w:val="00C342EB"/>
    <w:rsid w:val="00C3475E"/>
    <w:rsid w:val="00C34C96"/>
    <w:rsid w:val="00C35499"/>
    <w:rsid w:val="00C35856"/>
    <w:rsid w:val="00C35E7B"/>
    <w:rsid w:val="00C36306"/>
    <w:rsid w:val="00C365CB"/>
    <w:rsid w:val="00C367AE"/>
    <w:rsid w:val="00C370F9"/>
    <w:rsid w:val="00C404A6"/>
    <w:rsid w:val="00C4102B"/>
    <w:rsid w:val="00C41150"/>
    <w:rsid w:val="00C41F77"/>
    <w:rsid w:val="00C4200E"/>
    <w:rsid w:val="00C423E5"/>
    <w:rsid w:val="00C434FC"/>
    <w:rsid w:val="00C43FC2"/>
    <w:rsid w:val="00C4486F"/>
    <w:rsid w:val="00C44A21"/>
    <w:rsid w:val="00C45839"/>
    <w:rsid w:val="00C45E1A"/>
    <w:rsid w:val="00C46724"/>
    <w:rsid w:val="00C46A86"/>
    <w:rsid w:val="00C46E3E"/>
    <w:rsid w:val="00C500AB"/>
    <w:rsid w:val="00C50A33"/>
    <w:rsid w:val="00C50F4A"/>
    <w:rsid w:val="00C5124A"/>
    <w:rsid w:val="00C52AAD"/>
    <w:rsid w:val="00C544D8"/>
    <w:rsid w:val="00C5485A"/>
    <w:rsid w:val="00C54FAA"/>
    <w:rsid w:val="00C55608"/>
    <w:rsid w:val="00C55661"/>
    <w:rsid w:val="00C5586B"/>
    <w:rsid w:val="00C55FFA"/>
    <w:rsid w:val="00C56BFE"/>
    <w:rsid w:val="00C56D83"/>
    <w:rsid w:val="00C56EE8"/>
    <w:rsid w:val="00C56F20"/>
    <w:rsid w:val="00C57725"/>
    <w:rsid w:val="00C60428"/>
    <w:rsid w:val="00C604FA"/>
    <w:rsid w:val="00C6171D"/>
    <w:rsid w:val="00C6193D"/>
    <w:rsid w:val="00C61B1A"/>
    <w:rsid w:val="00C61D35"/>
    <w:rsid w:val="00C61FAB"/>
    <w:rsid w:val="00C6224D"/>
    <w:rsid w:val="00C6381F"/>
    <w:rsid w:val="00C64407"/>
    <w:rsid w:val="00C6551C"/>
    <w:rsid w:val="00C65FCC"/>
    <w:rsid w:val="00C674FB"/>
    <w:rsid w:val="00C70BEE"/>
    <w:rsid w:val="00C712DC"/>
    <w:rsid w:val="00C71425"/>
    <w:rsid w:val="00C7174D"/>
    <w:rsid w:val="00C71B63"/>
    <w:rsid w:val="00C720B5"/>
    <w:rsid w:val="00C7374C"/>
    <w:rsid w:val="00C73C8D"/>
    <w:rsid w:val="00C74602"/>
    <w:rsid w:val="00C75123"/>
    <w:rsid w:val="00C75FC4"/>
    <w:rsid w:val="00C763C0"/>
    <w:rsid w:val="00C7687B"/>
    <w:rsid w:val="00C76EA7"/>
    <w:rsid w:val="00C773DD"/>
    <w:rsid w:val="00C77B1C"/>
    <w:rsid w:val="00C802E8"/>
    <w:rsid w:val="00C809C6"/>
    <w:rsid w:val="00C80DE9"/>
    <w:rsid w:val="00C8228E"/>
    <w:rsid w:val="00C82BBF"/>
    <w:rsid w:val="00C84A69"/>
    <w:rsid w:val="00C85973"/>
    <w:rsid w:val="00C859CB"/>
    <w:rsid w:val="00C85DA9"/>
    <w:rsid w:val="00C85F83"/>
    <w:rsid w:val="00C861E1"/>
    <w:rsid w:val="00C91AAD"/>
    <w:rsid w:val="00C91F13"/>
    <w:rsid w:val="00C9216E"/>
    <w:rsid w:val="00C92A80"/>
    <w:rsid w:val="00C92E2F"/>
    <w:rsid w:val="00C93357"/>
    <w:rsid w:val="00C939A3"/>
    <w:rsid w:val="00C94A31"/>
    <w:rsid w:val="00C94BEF"/>
    <w:rsid w:val="00C9524E"/>
    <w:rsid w:val="00C9556C"/>
    <w:rsid w:val="00C95C49"/>
    <w:rsid w:val="00C96780"/>
    <w:rsid w:val="00C9678F"/>
    <w:rsid w:val="00C96D1D"/>
    <w:rsid w:val="00C96E43"/>
    <w:rsid w:val="00C97522"/>
    <w:rsid w:val="00CA02A5"/>
    <w:rsid w:val="00CA0E84"/>
    <w:rsid w:val="00CA0F4B"/>
    <w:rsid w:val="00CA2061"/>
    <w:rsid w:val="00CA2750"/>
    <w:rsid w:val="00CA33DB"/>
    <w:rsid w:val="00CA52EC"/>
    <w:rsid w:val="00CA5821"/>
    <w:rsid w:val="00CA5B91"/>
    <w:rsid w:val="00CA6CD5"/>
    <w:rsid w:val="00CA6CFA"/>
    <w:rsid w:val="00CA7008"/>
    <w:rsid w:val="00CA7FED"/>
    <w:rsid w:val="00CB04EB"/>
    <w:rsid w:val="00CB085A"/>
    <w:rsid w:val="00CB0BA8"/>
    <w:rsid w:val="00CB10A1"/>
    <w:rsid w:val="00CB1541"/>
    <w:rsid w:val="00CB1F45"/>
    <w:rsid w:val="00CB1F86"/>
    <w:rsid w:val="00CB22BA"/>
    <w:rsid w:val="00CB24D8"/>
    <w:rsid w:val="00CB2CF9"/>
    <w:rsid w:val="00CB32F5"/>
    <w:rsid w:val="00CB34CC"/>
    <w:rsid w:val="00CB43CB"/>
    <w:rsid w:val="00CB4F6F"/>
    <w:rsid w:val="00CB5A36"/>
    <w:rsid w:val="00CB6217"/>
    <w:rsid w:val="00CB66CB"/>
    <w:rsid w:val="00CB6D89"/>
    <w:rsid w:val="00CB6DE6"/>
    <w:rsid w:val="00CB6EA3"/>
    <w:rsid w:val="00CC0989"/>
    <w:rsid w:val="00CC1496"/>
    <w:rsid w:val="00CC2574"/>
    <w:rsid w:val="00CC37CC"/>
    <w:rsid w:val="00CC3B3F"/>
    <w:rsid w:val="00CC3DA9"/>
    <w:rsid w:val="00CC4141"/>
    <w:rsid w:val="00CC41E9"/>
    <w:rsid w:val="00CC48B3"/>
    <w:rsid w:val="00CC49F5"/>
    <w:rsid w:val="00CC4C10"/>
    <w:rsid w:val="00CC4E82"/>
    <w:rsid w:val="00CC636E"/>
    <w:rsid w:val="00CC63F3"/>
    <w:rsid w:val="00CC72D3"/>
    <w:rsid w:val="00CC7393"/>
    <w:rsid w:val="00CC75A6"/>
    <w:rsid w:val="00CC7DDD"/>
    <w:rsid w:val="00CC7DFB"/>
    <w:rsid w:val="00CD0502"/>
    <w:rsid w:val="00CD0682"/>
    <w:rsid w:val="00CD0724"/>
    <w:rsid w:val="00CD073B"/>
    <w:rsid w:val="00CD07DA"/>
    <w:rsid w:val="00CD1105"/>
    <w:rsid w:val="00CD1536"/>
    <w:rsid w:val="00CD160C"/>
    <w:rsid w:val="00CD1A39"/>
    <w:rsid w:val="00CD235C"/>
    <w:rsid w:val="00CD2AC1"/>
    <w:rsid w:val="00CD2B3E"/>
    <w:rsid w:val="00CD2C93"/>
    <w:rsid w:val="00CD42D0"/>
    <w:rsid w:val="00CD4A1B"/>
    <w:rsid w:val="00CD4C56"/>
    <w:rsid w:val="00CD5440"/>
    <w:rsid w:val="00CD59C6"/>
    <w:rsid w:val="00CD5A96"/>
    <w:rsid w:val="00CD659D"/>
    <w:rsid w:val="00CD6B23"/>
    <w:rsid w:val="00CD7311"/>
    <w:rsid w:val="00CD76E4"/>
    <w:rsid w:val="00CD7774"/>
    <w:rsid w:val="00CE050A"/>
    <w:rsid w:val="00CE1340"/>
    <w:rsid w:val="00CE14F5"/>
    <w:rsid w:val="00CE14FB"/>
    <w:rsid w:val="00CE164D"/>
    <w:rsid w:val="00CE16EF"/>
    <w:rsid w:val="00CE1C8A"/>
    <w:rsid w:val="00CE1C8C"/>
    <w:rsid w:val="00CE244B"/>
    <w:rsid w:val="00CE2805"/>
    <w:rsid w:val="00CE2AB1"/>
    <w:rsid w:val="00CE2BD7"/>
    <w:rsid w:val="00CE2C28"/>
    <w:rsid w:val="00CE2D20"/>
    <w:rsid w:val="00CE2D3A"/>
    <w:rsid w:val="00CE31F6"/>
    <w:rsid w:val="00CE3963"/>
    <w:rsid w:val="00CE42C8"/>
    <w:rsid w:val="00CE5E95"/>
    <w:rsid w:val="00CE6230"/>
    <w:rsid w:val="00CE68B8"/>
    <w:rsid w:val="00CE71FD"/>
    <w:rsid w:val="00CE72D0"/>
    <w:rsid w:val="00CF01E5"/>
    <w:rsid w:val="00CF1090"/>
    <w:rsid w:val="00CF1C6D"/>
    <w:rsid w:val="00CF215A"/>
    <w:rsid w:val="00CF22CC"/>
    <w:rsid w:val="00CF2373"/>
    <w:rsid w:val="00CF23C8"/>
    <w:rsid w:val="00CF3258"/>
    <w:rsid w:val="00CF34DA"/>
    <w:rsid w:val="00CF3D59"/>
    <w:rsid w:val="00CF3DB8"/>
    <w:rsid w:val="00CF4127"/>
    <w:rsid w:val="00CF4558"/>
    <w:rsid w:val="00CF45C7"/>
    <w:rsid w:val="00CF4B37"/>
    <w:rsid w:val="00CF55FD"/>
    <w:rsid w:val="00CF5B2C"/>
    <w:rsid w:val="00CF5CB9"/>
    <w:rsid w:val="00CF7706"/>
    <w:rsid w:val="00D025F1"/>
    <w:rsid w:val="00D03506"/>
    <w:rsid w:val="00D03551"/>
    <w:rsid w:val="00D05AF7"/>
    <w:rsid w:val="00D0613E"/>
    <w:rsid w:val="00D066A0"/>
    <w:rsid w:val="00D06E0C"/>
    <w:rsid w:val="00D070EE"/>
    <w:rsid w:val="00D1044F"/>
    <w:rsid w:val="00D115B4"/>
    <w:rsid w:val="00D11D91"/>
    <w:rsid w:val="00D11EC2"/>
    <w:rsid w:val="00D129C6"/>
    <w:rsid w:val="00D147C0"/>
    <w:rsid w:val="00D15854"/>
    <w:rsid w:val="00D16939"/>
    <w:rsid w:val="00D17CA3"/>
    <w:rsid w:val="00D20B3B"/>
    <w:rsid w:val="00D20ED8"/>
    <w:rsid w:val="00D21A51"/>
    <w:rsid w:val="00D21EC3"/>
    <w:rsid w:val="00D220D1"/>
    <w:rsid w:val="00D22608"/>
    <w:rsid w:val="00D22B95"/>
    <w:rsid w:val="00D23786"/>
    <w:rsid w:val="00D23AFD"/>
    <w:rsid w:val="00D23E33"/>
    <w:rsid w:val="00D24153"/>
    <w:rsid w:val="00D245E8"/>
    <w:rsid w:val="00D24CFC"/>
    <w:rsid w:val="00D254A5"/>
    <w:rsid w:val="00D25589"/>
    <w:rsid w:val="00D25BCA"/>
    <w:rsid w:val="00D26585"/>
    <w:rsid w:val="00D26AFF"/>
    <w:rsid w:val="00D26C0F"/>
    <w:rsid w:val="00D26D3C"/>
    <w:rsid w:val="00D27020"/>
    <w:rsid w:val="00D277B8"/>
    <w:rsid w:val="00D27AA4"/>
    <w:rsid w:val="00D30251"/>
    <w:rsid w:val="00D3030B"/>
    <w:rsid w:val="00D30539"/>
    <w:rsid w:val="00D30563"/>
    <w:rsid w:val="00D30839"/>
    <w:rsid w:val="00D313C8"/>
    <w:rsid w:val="00D31AD2"/>
    <w:rsid w:val="00D31C5D"/>
    <w:rsid w:val="00D31FDE"/>
    <w:rsid w:val="00D322C0"/>
    <w:rsid w:val="00D3236B"/>
    <w:rsid w:val="00D32CDA"/>
    <w:rsid w:val="00D33744"/>
    <w:rsid w:val="00D33962"/>
    <w:rsid w:val="00D34028"/>
    <w:rsid w:val="00D35270"/>
    <w:rsid w:val="00D366F2"/>
    <w:rsid w:val="00D36986"/>
    <w:rsid w:val="00D369C0"/>
    <w:rsid w:val="00D36A41"/>
    <w:rsid w:val="00D36B26"/>
    <w:rsid w:val="00D37375"/>
    <w:rsid w:val="00D37E14"/>
    <w:rsid w:val="00D407EC"/>
    <w:rsid w:val="00D40C43"/>
    <w:rsid w:val="00D40D18"/>
    <w:rsid w:val="00D41620"/>
    <w:rsid w:val="00D42AC4"/>
    <w:rsid w:val="00D42DE0"/>
    <w:rsid w:val="00D43C81"/>
    <w:rsid w:val="00D440AC"/>
    <w:rsid w:val="00D44197"/>
    <w:rsid w:val="00D442EE"/>
    <w:rsid w:val="00D4521D"/>
    <w:rsid w:val="00D455AB"/>
    <w:rsid w:val="00D4582B"/>
    <w:rsid w:val="00D45F9F"/>
    <w:rsid w:val="00D46B29"/>
    <w:rsid w:val="00D46B6F"/>
    <w:rsid w:val="00D46F45"/>
    <w:rsid w:val="00D47442"/>
    <w:rsid w:val="00D477B6"/>
    <w:rsid w:val="00D508F9"/>
    <w:rsid w:val="00D50B66"/>
    <w:rsid w:val="00D51504"/>
    <w:rsid w:val="00D51998"/>
    <w:rsid w:val="00D51B76"/>
    <w:rsid w:val="00D51BA2"/>
    <w:rsid w:val="00D5202C"/>
    <w:rsid w:val="00D52114"/>
    <w:rsid w:val="00D52196"/>
    <w:rsid w:val="00D52705"/>
    <w:rsid w:val="00D52E08"/>
    <w:rsid w:val="00D53A86"/>
    <w:rsid w:val="00D53D7F"/>
    <w:rsid w:val="00D543B0"/>
    <w:rsid w:val="00D54E23"/>
    <w:rsid w:val="00D554A6"/>
    <w:rsid w:val="00D55E06"/>
    <w:rsid w:val="00D561B2"/>
    <w:rsid w:val="00D561C4"/>
    <w:rsid w:val="00D56EA7"/>
    <w:rsid w:val="00D5757B"/>
    <w:rsid w:val="00D577D7"/>
    <w:rsid w:val="00D6029E"/>
    <w:rsid w:val="00D60C3E"/>
    <w:rsid w:val="00D60F3C"/>
    <w:rsid w:val="00D61148"/>
    <w:rsid w:val="00D6130F"/>
    <w:rsid w:val="00D630EB"/>
    <w:rsid w:val="00D6367B"/>
    <w:rsid w:val="00D64718"/>
    <w:rsid w:val="00D6558B"/>
    <w:rsid w:val="00D656F7"/>
    <w:rsid w:val="00D65C5D"/>
    <w:rsid w:val="00D65C70"/>
    <w:rsid w:val="00D665B5"/>
    <w:rsid w:val="00D678E7"/>
    <w:rsid w:val="00D67968"/>
    <w:rsid w:val="00D7007E"/>
    <w:rsid w:val="00D702AD"/>
    <w:rsid w:val="00D72FC3"/>
    <w:rsid w:val="00D730C6"/>
    <w:rsid w:val="00D743C7"/>
    <w:rsid w:val="00D74A52"/>
    <w:rsid w:val="00D74C40"/>
    <w:rsid w:val="00D74F13"/>
    <w:rsid w:val="00D758EC"/>
    <w:rsid w:val="00D75DE1"/>
    <w:rsid w:val="00D76268"/>
    <w:rsid w:val="00D76C8E"/>
    <w:rsid w:val="00D803F8"/>
    <w:rsid w:val="00D804E8"/>
    <w:rsid w:val="00D8192B"/>
    <w:rsid w:val="00D81BF4"/>
    <w:rsid w:val="00D81F40"/>
    <w:rsid w:val="00D82740"/>
    <w:rsid w:val="00D82C51"/>
    <w:rsid w:val="00D83174"/>
    <w:rsid w:val="00D83670"/>
    <w:rsid w:val="00D83B74"/>
    <w:rsid w:val="00D83F8E"/>
    <w:rsid w:val="00D8471E"/>
    <w:rsid w:val="00D84EA7"/>
    <w:rsid w:val="00D84FC2"/>
    <w:rsid w:val="00D862BF"/>
    <w:rsid w:val="00D879F7"/>
    <w:rsid w:val="00D87C70"/>
    <w:rsid w:val="00D90031"/>
    <w:rsid w:val="00D9043F"/>
    <w:rsid w:val="00D9091D"/>
    <w:rsid w:val="00D90D39"/>
    <w:rsid w:val="00D90DD3"/>
    <w:rsid w:val="00D913AC"/>
    <w:rsid w:val="00D91584"/>
    <w:rsid w:val="00D9199B"/>
    <w:rsid w:val="00D92205"/>
    <w:rsid w:val="00D925EA"/>
    <w:rsid w:val="00D931D8"/>
    <w:rsid w:val="00D93357"/>
    <w:rsid w:val="00D93EA2"/>
    <w:rsid w:val="00D94041"/>
    <w:rsid w:val="00D94D51"/>
    <w:rsid w:val="00D94EA9"/>
    <w:rsid w:val="00D94F7D"/>
    <w:rsid w:val="00D95DAB"/>
    <w:rsid w:val="00D9799A"/>
    <w:rsid w:val="00DA0374"/>
    <w:rsid w:val="00DA0D86"/>
    <w:rsid w:val="00DA1577"/>
    <w:rsid w:val="00DA1BC9"/>
    <w:rsid w:val="00DA3093"/>
    <w:rsid w:val="00DA326B"/>
    <w:rsid w:val="00DA3B1C"/>
    <w:rsid w:val="00DA3E4C"/>
    <w:rsid w:val="00DA4E90"/>
    <w:rsid w:val="00DA5B82"/>
    <w:rsid w:val="00DA62CB"/>
    <w:rsid w:val="00DA6A95"/>
    <w:rsid w:val="00DA70B7"/>
    <w:rsid w:val="00DA7704"/>
    <w:rsid w:val="00DB0DD7"/>
    <w:rsid w:val="00DB2166"/>
    <w:rsid w:val="00DB31E8"/>
    <w:rsid w:val="00DB358F"/>
    <w:rsid w:val="00DB4AD5"/>
    <w:rsid w:val="00DB4E80"/>
    <w:rsid w:val="00DB664E"/>
    <w:rsid w:val="00DB6E80"/>
    <w:rsid w:val="00DB7088"/>
    <w:rsid w:val="00DB7508"/>
    <w:rsid w:val="00DB774F"/>
    <w:rsid w:val="00DB7872"/>
    <w:rsid w:val="00DB7912"/>
    <w:rsid w:val="00DC0257"/>
    <w:rsid w:val="00DC1510"/>
    <w:rsid w:val="00DC19F1"/>
    <w:rsid w:val="00DC1FD8"/>
    <w:rsid w:val="00DC2DC3"/>
    <w:rsid w:val="00DC3BF9"/>
    <w:rsid w:val="00DC3C0D"/>
    <w:rsid w:val="00DC407A"/>
    <w:rsid w:val="00DC4D0F"/>
    <w:rsid w:val="00DC50FE"/>
    <w:rsid w:val="00DC5553"/>
    <w:rsid w:val="00DC557F"/>
    <w:rsid w:val="00DC5A6B"/>
    <w:rsid w:val="00DC6EAF"/>
    <w:rsid w:val="00DC6EDE"/>
    <w:rsid w:val="00DC7888"/>
    <w:rsid w:val="00DD084F"/>
    <w:rsid w:val="00DD0867"/>
    <w:rsid w:val="00DD0E63"/>
    <w:rsid w:val="00DD1055"/>
    <w:rsid w:val="00DD17DD"/>
    <w:rsid w:val="00DD1A39"/>
    <w:rsid w:val="00DD20D0"/>
    <w:rsid w:val="00DD2596"/>
    <w:rsid w:val="00DD2C1E"/>
    <w:rsid w:val="00DD3027"/>
    <w:rsid w:val="00DD3127"/>
    <w:rsid w:val="00DD4391"/>
    <w:rsid w:val="00DD43E8"/>
    <w:rsid w:val="00DD4BFB"/>
    <w:rsid w:val="00DD4C69"/>
    <w:rsid w:val="00DD59C8"/>
    <w:rsid w:val="00DD5FB7"/>
    <w:rsid w:val="00DD6B31"/>
    <w:rsid w:val="00DD6D36"/>
    <w:rsid w:val="00DD7DC2"/>
    <w:rsid w:val="00DE0A5A"/>
    <w:rsid w:val="00DE12C8"/>
    <w:rsid w:val="00DE19CA"/>
    <w:rsid w:val="00DE1EB7"/>
    <w:rsid w:val="00DE2752"/>
    <w:rsid w:val="00DE29D2"/>
    <w:rsid w:val="00DE31C1"/>
    <w:rsid w:val="00DE3AC4"/>
    <w:rsid w:val="00DE408D"/>
    <w:rsid w:val="00DE4313"/>
    <w:rsid w:val="00DE4E47"/>
    <w:rsid w:val="00DE5641"/>
    <w:rsid w:val="00DE5AA2"/>
    <w:rsid w:val="00DE607D"/>
    <w:rsid w:val="00DE68BC"/>
    <w:rsid w:val="00DE69AC"/>
    <w:rsid w:val="00DE6F66"/>
    <w:rsid w:val="00DE7590"/>
    <w:rsid w:val="00DF0809"/>
    <w:rsid w:val="00DF12E9"/>
    <w:rsid w:val="00DF173D"/>
    <w:rsid w:val="00DF1982"/>
    <w:rsid w:val="00DF2034"/>
    <w:rsid w:val="00DF216D"/>
    <w:rsid w:val="00DF22BF"/>
    <w:rsid w:val="00DF25A3"/>
    <w:rsid w:val="00DF27F9"/>
    <w:rsid w:val="00DF296C"/>
    <w:rsid w:val="00DF2D4E"/>
    <w:rsid w:val="00DF2F76"/>
    <w:rsid w:val="00DF533B"/>
    <w:rsid w:val="00DF54CD"/>
    <w:rsid w:val="00DF5684"/>
    <w:rsid w:val="00DF5F59"/>
    <w:rsid w:val="00DF6910"/>
    <w:rsid w:val="00DF724A"/>
    <w:rsid w:val="00DF74B3"/>
    <w:rsid w:val="00DF7A88"/>
    <w:rsid w:val="00DF7E54"/>
    <w:rsid w:val="00E00083"/>
    <w:rsid w:val="00E0124E"/>
    <w:rsid w:val="00E02473"/>
    <w:rsid w:val="00E025BC"/>
    <w:rsid w:val="00E0266C"/>
    <w:rsid w:val="00E027F1"/>
    <w:rsid w:val="00E029BD"/>
    <w:rsid w:val="00E02ADC"/>
    <w:rsid w:val="00E0399B"/>
    <w:rsid w:val="00E03B0F"/>
    <w:rsid w:val="00E03C4E"/>
    <w:rsid w:val="00E03FB0"/>
    <w:rsid w:val="00E044F8"/>
    <w:rsid w:val="00E047CA"/>
    <w:rsid w:val="00E06D7C"/>
    <w:rsid w:val="00E06F88"/>
    <w:rsid w:val="00E079AD"/>
    <w:rsid w:val="00E07C70"/>
    <w:rsid w:val="00E101EF"/>
    <w:rsid w:val="00E11226"/>
    <w:rsid w:val="00E11A95"/>
    <w:rsid w:val="00E11C8F"/>
    <w:rsid w:val="00E120C1"/>
    <w:rsid w:val="00E121B9"/>
    <w:rsid w:val="00E131EB"/>
    <w:rsid w:val="00E134AA"/>
    <w:rsid w:val="00E13960"/>
    <w:rsid w:val="00E148CF"/>
    <w:rsid w:val="00E1554C"/>
    <w:rsid w:val="00E15EE6"/>
    <w:rsid w:val="00E16296"/>
    <w:rsid w:val="00E16481"/>
    <w:rsid w:val="00E164A1"/>
    <w:rsid w:val="00E16FAA"/>
    <w:rsid w:val="00E171C4"/>
    <w:rsid w:val="00E17237"/>
    <w:rsid w:val="00E17862"/>
    <w:rsid w:val="00E209B2"/>
    <w:rsid w:val="00E215E4"/>
    <w:rsid w:val="00E22303"/>
    <w:rsid w:val="00E234BE"/>
    <w:rsid w:val="00E23901"/>
    <w:rsid w:val="00E24164"/>
    <w:rsid w:val="00E243E2"/>
    <w:rsid w:val="00E250E2"/>
    <w:rsid w:val="00E262F6"/>
    <w:rsid w:val="00E26369"/>
    <w:rsid w:val="00E26CEA"/>
    <w:rsid w:val="00E2723E"/>
    <w:rsid w:val="00E305E2"/>
    <w:rsid w:val="00E31813"/>
    <w:rsid w:val="00E31B8D"/>
    <w:rsid w:val="00E31D25"/>
    <w:rsid w:val="00E33460"/>
    <w:rsid w:val="00E334A4"/>
    <w:rsid w:val="00E335E7"/>
    <w:rsid w:val="00E347EC"/>
    <w:rsid w:val="00E348CC"/>
    <w:rsid w:val="00E34B25"/>
    <w:rsid w:val="00E34BBA"/>
    <w:rsid w:val="00E35103"/>
    <w:rsid w:val="00E3551A"/>
    <w:rsid w:val="00E3573F"/>
    <w:rsid w:val="00E35EB6"/>
    <w:rsid w:val="00E3697E"/>
    <w:rsid w:val="00E3711D"/>
    <w:rsid w:val="00E37A18"/>
    <w:rsid w:val="00E37E2B"/>
    <w:rsid w:val="00E37F26"/>
    <w:rsid w:val="00E40B6E"/>
    <w:rsid w:val="00E40CE1"/>
    <w:rsid w:val="00E42304"/>
    <w:rsid w:val="00E42524"/>
    <w:rsid w:val="00E42A7F"/>
    <w:rsid w:val="00E43599"/>
    <w:rsid w:val="00E437CC"/>
    <w:rsid w:val="00E43A33"/>
    <w:rsid w:val="00E43C03"/>
    <w:rsid w:val="00E43F2C"/>
    <w:rsid w:val="00E44298"/>
    <w:rsid w:val="00E44AB3"/>
    <w:rsid w:val="00E45255"/>
    <w:rsid w:val="00E46743"/>
    <w:rsid w:val="00E468B9"/>
    <w:rsid w:val="00E46EA5"/>
    <w:rsid w:val="00E46F36"/>
    <w:rsid w:val="00E47265"/>
    <w:rsid w:val="00E47E33"/>
    <w:rsid w:val="00E47E90"/>
    <w:rsid w:val="00E510BC"/>
    <w:rsid w:val="00E51132"/>
    <w:rsid w:val="00E516A6"/>
    <w:rsid w:val="00E51752"/>
    <w:rsid w:val="00E51C26"/>
    <w:rsid w:val="00E52352"/>
    <w:rsid w:val="00E5322D"/>
    <w:rsid w:val="00E5367D"/>
    <w:rsid w:val="00E53948"/>
    <w:rsid w:val="00E545B0"/>
    <w:rsid w:val="00E5538A"/>
    <w:rsid w:val="00E5544C"/>
    <w:rsid w:val="00E559AB"/>
    <w:rsid w:val="00E55FE2"/>
    <w:rsid w:val="00E56077"/>
    <w:rsid w:val="00E56A4F"/>
    <w:rsid w:val="00E56A5C"/>
    <w:rsid w:val="00E5731E"/>
    <w:rsid w:val="00E57352"/>
    <w:rsid w:val="00E5737B"/>
    <w:rsid w:val="00E6078C"/>
    <w:rsid w:val="00E60CD5"/>
    <w:rsid w:val="00E60F31"/>
    <w:rsid w:val="00E6162B"/>
    <w:rsid w:val="00E61869"/>
    <w:rsid w:val="00E625E9"/>
    <w:rsid w:val="00E6343F"/>
    <w:rsid w:val="00E64950"/>
    <w:rsid w:val="00E6533F"/>
    <w:rsid w:val="00E6566F"/>
    <w:rsid w:val="00E65688"/>
    <w:rsid w:val="00E66AEC"/>
    <w:rsid w:val="00E66EFD"/>
    <w:rsid w:val="00E67C9B"/>
    <w:rsid w:val="00E67E03"/>
    <w:rsid w:val="00E7042D"/>
    <w:rsid w:val="00E71429"/>
    <w:rsid w:val="00E720EB"/>
    <w:rsid w:val="00E737B5"/>
    <w:rsid w:val="00E73A19"/>
    <w:rsid w:val="00E74133"/>
    <w:rsid w:val="00E742F7"/>
    <w:rsid w:val="00E745AC"/>
    <w:rsid w:val="00E748BD"/>
    <w:rsid w:val="00E74974"/>
    <w:rsid w:val="00E74990"/>
    <w:rsid w:val="00E74D58"/>
    <w:rsid w:val="00E75A33"/>
    <w:rsid w:val="00E75D7F"/>
    <w:rsid w:val="00E75EF6"/>
    <w:rsid w:val="00E76040"/>
    <w:rsid w:val="00E76AF3"/>
    <w:rsid w:val="00E77352"/>
    <w:rsid w:val="00E77EFB"/>
    <w:rsid w:val="00E80590"/>
    <w:rsid w:val="00E80BC6"/>
    <w:rsid w:val="00E80BE5"/>
    <w:rsid w:val="00E81FEF"/>
    <w:rsid w:val="00E829F3"/>
    <w:rsid w:val="00E82FF2"/>
    <w:rsid w:val="00E83054"/>
    <w:rsid w:val="00E835BD"/>
    <w:rsid w:val="00E837D8"/>
    <w:rsid w:val="00E83895"/>
    <w:rsid w:val="00E83B9C"/>
    <w:rsid w:val="00E84917"/>
    <w:rsid w:val="00E8491A"/>
    <w:rsid w:val="00E852B5"/>
    <w:rsid w:val="00E85BB7"/>
    <w:rsid w:val="00E86338"/>
    <w:rsid w:val="00E864D7"/>
    <w:rsid w:val="00E90054"/>
    <w:rsid w:val="00E90746"/>
    <w:rsid w:val="00E90E95"/>
    <w:rsid w:val="00E90EC9"/>
    <w:rsid w:val="00E916F0"/>
    <w:rsid w:val="00E9255A"/>
    <w:rsid w:val="00E931F0"/>
    <w:rsid w:val="00E93858"/>
    <w:rsid w:val="00E93D6E"/>
    <w:rsid w:val="00E96CA8"/>
    <w:rsid w:val="00E9740C"/>
    <w:rsid w:val="00E977EF"/>
    <w:rsid w:val="00E97CE3"/>
    <w:rsid w:val="00E97ECC"/>
    <w:rsid w:val="00EA0396"/>
    <w:rsid w:val="00EA098F"/>
    <w:rsid w:val="00EA1451"/>
    <w:rsid w:val="00EA1E92"/>
    <w:rsid w:val="00EA2498"/>
    <w:rsid w:val="00EA24F7"/>
    <w:rsid w:val="00EA4572"/>
    <w:rsid w:val="00EA45D0"/>
    <w:rsid w:val="00EA4C1A"/>
    <w:rsid w:val="00EA6634"/>
    <w:rsid w:val="00EA7925"/>
    <w:rsid w:val="00EB03F6"/>
    <w:rsid w:val="00EB0A3C"/>
    <w:rsid w:val="00EB0BFB"/>
    <w:rsid w:val="00EB0F3D"/>
    <w:rsid w:val="00EB1146"/>
    <w:rsid w:val="00EB1CA2"/>
    <w:rsid w:val="00EB1DC4"/>
    <w:rsid w:val="00EB25A1"/>
    <w:rsid w:val="00EB2801"/>
    <w:rsid w:val="00EB2872"/>
    <w:rsid w:val="00EB2A78"/>
    <w:rsid w:val="00EB3BCC"/>
    <w:rsid w:val="00EB4E63"/>
    <w:rsid w:val="00EB5C59"/>
    <w:rsid w:val="00EB5E7A"/>
    <w:rsid w:val="00EB6423"/>
    <w:rsid w:val="00EB7AB3"/>
    <w:rsid w:val="00EB7C92"/>
    <w:rsid w:val="00EC0478"/>
    <w:rsid w:val="00EC0479"/>
    <w:rsid w:val="00EC0881"/>
    <w:rsid w:val="00EC09E6"/>
    <w:rsid w:val="00EC0D5B"/>
    <w:rsid w:val="00EC168C"/>
    <w:rsid w:val="00EC2339"/>
    <w:rsid w:val="00EC2948"/>
    <w:rsid w:val="00EC3570"/>
    <w:rsid w:val="00EC4F4F"/>
    <w:rsid w:val="00EC57BB"/>
    <w:rsid w:val="00EC57CB"/>
    <w:rsid w:val="00EC5BD5"/>
    <w:rsid w:val="00EC72B9"/>
    <w:rsid w:val="00EC74D8"/>
    <w:rsid w:val="00EC762E"/>
    <w:rsid w:val="00EC7E69"/>
    <w:rsid w:val="00ED0729"/>
    <w:rsid w:val="00ED072D"/>
    <w:rsid w:val="00ED0C55"/>
    <w:rsid w:val="00ED240D"/>
    <w:rsid w:val="00ED24A1"/>
    <w:rsid w:val="00ED2E14"/>
    <w:rsid w:val="00ED2F80"/>
    <w:rsid w:val="00ED4269"/>
    <w:rsid w:val="00ED4AED"/>
    <w:rsid w:val="00ED513F"/>
    <w:rsid w:val="00ED6AF9"/>
    <w:rsid w:val="00ED79BB"/>
    <w:rsid w:val="00ED7B93"/>
    <w:rsid w:val="00EE0D16"/>
    <w:rsid w:val="00EE2144"/>
    <w:rsid w:val="00EE21BC"/>
    <w:rsid w:val="00EE2E1B"/>
    <w:rsid w:val="00EE3A99"/>
    <w:rsid w:val="00EE42C6"/>
    <w:rsid w:val="00EE44AD"/>
    <w:rsid w:val="00EE457C"/>
    <w:rsid w:val="00EE45C7"/>
    <w:rsid w:val="00EE4FC7"/>
    <w:rsid w:val="00EE5916"/>
    <w:rsid w:val="00EE5D06"/>
    <w:rsid w:val="00EE6A6A"/>
    <w:rsid w:val="00EE6C65"/>
    <w:rsid w:val="00EE77BB"/>
    <w:rsid w:val="00EE7B59"/>
    <w:rsid w:val="00EF1A90"/>
    <w:rsid w:val="00EF1F3B"/>
    <w:rsid w:val="00EF3F41"/>
    <w:rsid w:val="00EF48F9"/>
    <w:rsid w:val="00EF4E98"/>
    <w:rsid w:val="00EF5A9B"/>
    <w:rsid w:val="00EF619E"/>
    <w:rsid w:val="00EF7037"/>
    <w:rsid w:val="00F006BC"/>
    <w:rsid w:val="00F01232"/>
    <w:rsid w:val="00F0124E"/>
    <w:rsid w:val="00F01402"/>
    <w:rsid w:val="00F0181A"/>
    <w:rsid w:val="00F02434"/>
    <w:rsid w:val="00F0243B"/>
    <w:rsid w:val="00F0344C"/>
    <w:rsid w:val="00F03F45"/>
    <w:rsid w:val="00F04C0F"/>
    <w:rsid w:val="00F055B7"/>
    <w:rsid w:val="00F062B0"/>
    <w:rsid w:val="00F07536"/>
    <w:rsid w:val="00F078DB"/>
    <w:rsid w:val="00F102D2"/>
    <w:rsid w:val="00F1037F"/>
    <w:rsid w:val="00F1069E"/>
    <w:rsid w:val="00F1074B"/>
    <w:rsid w:val="00F1084C"/>
    <w:rsid w:val="00F10997"/>
    <w:rsid w:val="00F1138A"/>
    <w:rsid w:val="00F11F7A"/>
    <w:rsid w:val="00F12115"/>
    <w:rsid w:val="00F122F1"/>
    <w:rsid w:val="00F123AF"/>
    <w:rsid w:val="00F1271D"/>
    <w:rsid w:val="00F12D82"/>
    <w:rsid w:val="00F12F06"/>
    <w:rsid w:val="00F131FF"/>
    <w:rsid w:val="00F1331F"/>
    <w:rsid w:val="00F13390"/>
    <w:rsid w:val="00F13E81"/>
    <w:rsid w:val="00F13F78"/>
    <w:rsid w:val="00F14179"/>
    <w:rsid w:val="00F14353"/>
    <w:rsid w:val="00F1445E"/>
    <w:rsid w:val="00F15441"/>
    <w:rsid w:val="00F16205"/>
    <w:rsid w:val="00F162CB"/>
    <w:rsid w:val="00F1630B"/>
    <w:rsid w:val="00F163E4"/>
    <w:rsid w:val="00F16430"/>
    <w:rsid w:val="00F16880"/>
    <w:rsid w:val="00F16D83"/>
    <w:rsid w:val="00F20CCC"/>
    <w:rsid w:val="00F2112E"/>
    <w:rsid w:val="00F212C4"/>
    <w:rsid w:val="00F21F4D"/>
    <w:rsid w:val="00F23410"/>
    <w:rsid w:val="00F23CE1"/>
    <w:rsid w:val="00F23D46"/>
    <w:rsid w:val="00F246EB"/>
    <w:rsid w:val="00F24778"/>
    <w:rsid w:val="00F25B61"/>
    <w:rsid w:val="00F300CF"/>
    <w:rsid w:val="00F305D7"/>
    <w:rsid w:val="00F305EE"/>
    <w:rsid w:val="00F30620"/>
    <w:rsid w:val="00F312C3"/>
    <w:rsid w:val="00F328BE"/>
    <w:rsid w:val="00F328D8"/>
    <w:rsid w:val="00F32B72"/>
    <w:rsid w:val="00F32F78"/>
    <w:rsid w:val="00F33893"/>
    <w:rsid w:val="00F34297"/>
    <w:rsid w:val="00F360D7"/>
    <w:rsid w:val="00F3646D"/>
    <w:rsid w:val="00F36EB5"/>
    <w:rsid w:val="00F37185"/>
    <w:rsid w:val="00F37243"/>
    <w:rsid w:val="00F37E65"/>
    <w:rsid w:val="00F41843"/>
    <w:rsid w:val="00F420EE"/>
    <w:rsid w:val="00F42B3A"/>
    <w:rsid w:val="00F4395F"/>
    <w:rsid w:val="00F43D54"/>
    <w:rsid w:val="00F43DF7"/>
    <w:rsid w:val="00F442A8"/>
    <w:rsid w:val="00F444B0"/>
    <w:rsid w:val="00F44CE3"/>
    <w:rsid w:val="00F44DEB"/>
    <w:rsid w:val="00F454E2"/>
    <w:rsid w:val="00F45CE5"/>
    <w:rsid w:val="00F45E40"/>
    <w:rsid w:val="00F4638D"/>
    <w:rsid w:val="00F46AFC"/>
    <w:rsid w:val="00F46EB5"/>
    <w:rsid w:val="00F46FE7"/>
    <w:rsid w:val="00F4732C"/>
    <w:rsid w:val="00F50980"/>
    <w:rsid w:val="00F50BA2"/>
    <w:rsid w:val="00F52E88"/>
    <w:rsid w:val="00F53A27"/>
    <w:rsid w:val="00F53ABC"/>
    <w:rsid w:val="00F54196"/>
    <w:rsid w:val="00F54DEB"/>
    <w:rsid w:val="00F551E6"/>
    <w:rsid w:val="00F55D89"/>
    <w:rsid w:val="00F55FD3"/>
    <w:rsid w:val="00F56189"/>
    <w:rsid w:val="00F563FE"/>
    <w:rsid w:val="00F565A6"/>
    <w:rsid w:val="00F570A2"/>
    <w:rsid w:val="00F5760E"/>
    <w:rsid w:val="00F5771F"/>
    <w:rsid w:val="00F5776E"/>
    <w:rsid w:val="00F577D9"/>
    <w:rsid w:val="00F6014A"/>
    <w:rsid w:val="00F608BF"/>
    <w:rsid w:val="00F60E4A"/>
    <w:rsid w:val="00F615AB"/>
    <w:rsid w:val="00F61B98"/>
    <w:rsid w:val="00F62FB1"/>
    <w:rsid w:val="00F64727"/>
    <w:rsid w:val="00F6472D"/>
    <w:rsid w:val="00F64D70"/>
    <w:rsid w:val="00F65A93"/>
    <w:rsid w:val="00F65DA8"/>
    <w:rsid w:val="00F65E56"/>
    <w:rsid w:val="00F65EAD"/>
    <w:rsid w:val="00F664D5"/>
    <w:rsid w:val="00F66E3A"/>
    <w:rsid w:val="00F6711F"/>
    <w:rsid w:val="00F67336"/>
    <w:rsid w:val="00F71B02"/>
    <w:rsid w:val="00F71EA9"/>
    <w:rsid w:val="00F72170"/>
    <w:rsid w:val="00F72574"/>
    <w:rsid w:val="00F732A9"/>
    <w:rsid w:val="00F73713"/>
    <w:rsid w:val="00F73CA8"/>
    <w:rsid w:val="00F74143"/>
    <w:rsid w:val="00F742D8"/>
    <w:rsid w:val="00F74CCA"/>
    <w:rsid w:val="00F74D95"/>
    <w:rsid w:val="00F775A6"/>
    <w:rsid w:val="00F779EE"/>
    <w:rsid w:val="00F77EF9"/>
    <w:rsid w:val="00F77FC5"/>
    <w:rsid w:val="00F8026F"/>
    <w:rsid w:val="00F804F2"/>
    <w:rsid w:val="00F80E5D"/>
    <w:rsid w:val="00F816C9"/>
    <w:rsid w:val="00F81B45"/>
    <w:rsid w:val="00F823E0"/>
    <w:rsid w:val="00F825FB"/>
    <w:rsid w:val="00F82CA6"/>
    <w:rsid w:val="00F831DE"/>
    <w:rsid w:val="00F8349A"/>
    <w:rsid w:val="00F83846"/>
    <w:rsid w:val="00F83EBF"/>
    <w:rsid w:val="00F852E8"/>
    <w:rsid w:val="00F85576"/>
    <w:rsid w:val="00F8657C"/>
    <w:rsid w:val="00F86B9B"/>
    <w:rsid w:val="00F87E24"/>
    <w:rsid w:val="00F901CC"/>
    <w:rsid w:val="00F90F47"/>
    <w:rsid w:val="00F916B4"/>
    <w:rsid w:val="00F919D8"/>
    <w:rsid w:val="00F932A4"/>
    <w:rsid w:val="00F9394F"/>
    <w:rsid w:val="00F94209"/>
    <w:rsid w:val="00F9439C"/>
    <w:rsid w:val="00F94744"/>
    <w:rsid w:val="00F94938"/>
    <w:rsid w:val="00F94E9F"/>
    <w:rsid w:val="00F95071"/>
    <w:rsid w:val="00F95197"/>
    <w:rsid w:val="00F953A3"/>
    <w:rsid w:val="00F953DF"/>
    <w:rsid w:val="00F96057"/>
    <w:rsid w:val="00F960FB"/>
    <w:rsid w:val="00F96F78"/>
    <w:rsid w:val="00F97621"/>
    <w:rsid w:val="00FA0E96"/>
    <w:rsid w:val="00FA1768"/>
    <w:rsid w:val="00FA1B52"/>
    <w:rsid w:val="00FA2B82"/>
    <w:rsid w:val="00FA3654"/>
    <w:rsid w:val="00FA3679"/>
    <w:rsid w:val="00FA3717"/>
    <w:rsid w:val="00FA3F28"/>
    <w:rsid w:val="00FA4157"/>
    <w:rsid w:val="00FA43DA"/>
    <w:rsid w:val="00FA4428"/>
    <w:rsid w:val="00FA4577"/>
    <w:rsid w:val="00FA48FE"/>
    <w:rsid w:val="00FA4D46"/>
    <w:rsid w:val="00FA6B58"/>
    <w:rsid w:val="00FA6BF6"/>
    <w:rsid w:val="00FA777F"/>
    <w:rsid w:val="00FB04CC"/>
    <w:rsid w:val="00FB08F4"/>
    <w:rsid w:val="00FB1656"/>
    <w:rsid w:val="00FB1686"/>
    <w:rsid w:val="00FB373A"/>
    <w:rsid w:val="00FB3E0A"/>
    <w:rsid w:val="00FB3E30"/>
    <w:rsid w:val="00FB3FE1"/>
    <w:rsid w:val="00FB5437"/>
    <w:rsid w:val="00FB6D34"/>
    <w:rsid w:val="00FB7322"/>
    <w:rsid w:val="00FC0298"/>
    <w:rsid w:val="00FC035F"/>
    <w:rsid w:val="00FC048D"/>
    <w:rsid w:val="00FC1419"/>
    <w:rsid w:val="00FC1FCF"/>
    <w:rsid w:val="00FC2E0F"/>
    <w:rsid w:val="00FC3014"/>
    <w:rsid w:val="00FC401C"/>
    <w:rsid w:val="00FC4BB6"/>
    <w:rsid w:val="00FC4F43"/>
    <w:rsid w:val="00FC603F"/>
    <w:rsid w:val="00FC67E7"/>
    <w:rsid w:val="00FC6AEB"/>
    <w:rsid w:val="00FC74CC"/>
    <w:rsid w:val="00FC775D"/>
    <w:rsid w:val="00FC775E"/>
    <w:rsid w:val="00FC7C97"/>
    <w:rsid w:val="00FD022D"/>
    <w:rsid w:val="00FD0356"/>
    <w:rsid w:val="00FD03FA"/>
    <w:rsid w:val="00FD07BC"/>
    <w:rsid w:val="00FD0E5A"/>
    <w:rsid w:val="00FD2238"/>
    <w:rsid w:val="00FD24E6"/>
    <w:rsid w:val="00FD28FB"/>
    <w:rsid w:val="00FD2C4D"/>
    <w:rsid w:val="00FD2D57"/>
    <w:rsid w:val="00FD3237"/>
    <w:rsid w:val="00FD3C39"/>
    <w:rsid w:val="00FD4A10"/>
    <w:rsid w:val="00FD5572"/>
    <w:rsid w:val="00FD5817"/>
    <w:rsid w:val="00FD59C2"/>
    <w:rsid w:val="00FD5C6F"/>
    <w:rsid w:val="00FD5E95"/>
    <w:rsid w:val="00FD7F3A"/>
    <w:rsid w:val="00FE0689"/>
    <w:rsid w:val="00FE086E"/>
    <w:rsid w:val="00FE0AB8"/>
    <w:rsid w:val="00FE1D78"/>
    <w:rsid w:val="00FE26FB"/>
    <w:rsid w:val="00FE2D9A"/>
    <w:rsid w:val="00FE2E76"/>
    <w:rsid w:val="00FE37F1"/>
    <w:rsid w:val="00FE3EA4"/>
    <w:rsid w:val="00FE40B5"/>
    <w:rsid w:val="00FE4816"/>
    <w:rsid w:val="00FE4E0F"/>
    <w:rsid w:val="00FE52B6"/>
    <w:rsid w:val="00FE557B"/>
    <w:rsid w:val="00FE563A"/>
    <w:rsid w:val="00FE5D22"/>
    <w:rsid w:val="00FE6168"/>
    <w:rsid w:val="00FE6177"/>
    <w:rsid w:val="00FE6798"/>
    <w:rsid w:val="00FE6838"/>
    <w:rsid w:val="00FE6E59"/>
    <w:rsid w:val="00FE79D5"/>
    <w:rsid w:val="00FF022F"/>
    <w:rsid w:val="00FF0C30"/>
    <w:rsid w:val="00FF284E"/>
    <w:rsid w:val="00FF28CE"/>
    <w:rsid w:val="00FF2F0C"/>
    <w:rsid w:val="00FF399D"/>
    <w:rsid w:val="00FF3A90"/>
    <w:rsid w:val="00FF3C9D"/>
    <w:rsid w:val="00FF41BD"/>
    <w:rsid w:val="00FF4487"/>
    <w:rsid w:val="00FF44CD"/>
    <w:rsid w:val="00FF44E5"/>
    <w:rsid w:val="00FF4AD5"/>
    <w:rsid w:val="00FF4E5E"/>
    <w:rsid w:val="00FF5F76"/>
    <w:rsid w:val="00FF6AA7"/>
    <w:rsid w:val="00FF7079"/>
    <w:rsid w:val="00FF774B"/>
    <w:rsid w:val="00FF790B"/>
    <w:rsid w:val="00FF7DE8"/>
    <w:rsid w:val="03A4285C"/>
    <w:rsid w:val="064A53E9"/>
    <w:rsid w:val="064B0503"/>
    <w:rsid w:val="06D34ED5"/>
    <w:rsid w:val="08503D1C"/>
    <w:rsid w:val="090B6E5D"/>
    <w:rsid w:val="099934E2"/>
    <w:rsid w:val="0A8335BA"/>
    <w:rsid w:val="0B1234E1"/>
    <w:rsid w:val="0B3729EA"/>
    <w:rsid w:val="0D431DED"/>
    <w:rsid w:val="0DCB770B"/>
    <w:rsid w:val="10645CD7"/>
    <w:rsid w:val="10E06A17"/>
    <w:rsid w:val="125B0CF7"/>
    <w:rsid w:val="128A1672"/>
    <w:rsid w:val="12DE000F"/>
    <w:rsid w:val="135841B6"/>
    <w:rsid w:val="14081719"/>
    <w:rsid w:val="145063B9"/>
    <w:rsid w:val="163B0E12"/>
    <w:rsid w:val="166149F5"/>
    <w:rsid w:val="18F83315"/>
    <w:rsid w:val="1AD3769B"/>
    <w:rsid w:val="1BE35486"/>
    <w:rsid w:val="1C0C161E"/>
    <w:rsid w:val="1C345240"/>
    <w:rsid w:val="1C5B1E7A"/>
    <w:rsid w:val="1C8C45B0"/>
    <w:rsid w:val="1E4B5E7C"/>
    <w:rsid w:val="1F563009"/>
    <w:rsid w:val="20466A61"/>
    <w:rsid w:val="22AA5273"/>
    <w:rsid w:val="264360F8"/>
    <w:rsid w:val="268B3DD7"/>
    <w:rsid w:val="280D2159"/>
    <w:rsid w:val="29766DF7"/>
    <w:rsid w:val="29D64619"/>
    <w:rsid w:val="2BAB1DF4"/>
    <w:rsid w:val="2C2742A0"/>
    <w:rsid w:val="2D6C3BC9"/>
    <w:rsid w:val="2EF80F41"/>
    <w:rsid w:val="3039594F"/>
    <w:rsid w:val="315E667F"/>
    <w:rsid w:val="32A9552F"/>
    <w:rsid w:val="347B28F0"/>
    <w:rsid w:val="34DD3DAB"/>
    <w:rsid w:val="37A83240"/>
    <w:rsid w:val="37E52578"/>
    <w:rsid w:val="382223E8"/>
    <w:rsid w:val="39D12026"/>
    <w:rsid w:val="3B3333A6"/>
    <w:rsid w:val="3B921290"/>
    <w:rsid w:val="3C841BB6"/>
    <w:rsid w:val="3CAB5993"/>
    <w:rsid w:val="3F5035D6"/>
    <w:rsid w:val="41597B99"/>
    <w:rsid w:val="41812753"/>
    <w:rsid w:val="451D667A"/>
    <w:rsid w:val="45F95EE1"/>
    <w:rsid w:val="465D2048"/>
    <w:rsid w:val="47884D42"/>
    <w:rsid w:val="47B3570B"/>
    <w:rsid w:val="48190D83"/>
    <w:rsid w:val="48E51FA5"/>
    <w:rsid w:val="4C71302B"/>
    <w:rsid w:val="4D7E642C"/>
    <w:rsid w:val="4E97659F"/>
    <w:rsid w:val="4F2A2200"/>
    <w:rsid w:val="505126D5"/>
    <w:rsid w:val="5138107B"/>
    <w:rsid w:val="517D3DBB"/>
    <w:rsid w:val="51FD4BF7"/>
    <w:rsid w:val="52025514"/>
    <w:rsid w:val="52637223"/>
    <w:rsid w:val="553C5221"/>
    <w:rsid w:val="568A41F6"/>
    <w:rsid w:val="5754551B"/>
    <w:rsid w:val="586871FC"/>
    <w:rsid w:val="5A204A60"/>
    <w:rsid w:val="5A386216"/>
    <w:rsid w:val="5B36247C"/>
    <w:rsid w:val="5BD77170"/>
    <w:rsid w:val="5CA026AB"/>
    <w:rsid w:val="5DDE0F37"/>
    <w:rsid w:val="5DED1C27"/>
    <w:rsid w:val="5E3C1CBE"/>
    <w:rsid w:val="5FBA2AA5"/>
    <w:rsid w:val="627E5545"/>
    <w:rsid w:val="630809D1"/>
    <w:rsid w:val="636D1CEA"/>
    <w:rsid w:val="63BF1861"/>
    <w:rsid w:val="6D9C71A1"/>
    <w:rsid w:val="703D7505"/>
    <w:rsid w:val="72E8797B"/>
    <w:rsid w:val="75C46081"/>
    <w:rsid w:val="75E84578"/>
    <w:rsid w:val="77964EB9"/>
    <w:rsid w:val="77CC4535"/>
    <w:rsid w:val="780B16F3"/>
    <w:rsid w:val="78C07823"/>
    <w:rsid w:val="7BA42977"/>
    <w:rsid w:val="7C535605"/>
    <w:rsid w:val="7C9B230A"/>
    <w:rsid w:val="7F5412BE"/>
    <w:rsid w:val="7F797063"/>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Calibri" w:hAnsi="Calibri" w:eastAsia="宋体" w:cs="Calibr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uiPriority="0" w:name="index 1"/>
    <w:lsdException w:uiPriority="0" w:name="index 2"/>
    <w:lsdException w:uiPriority="0" w:name="index 3"/>
    <w:lsdException w:uiPriority="0" w:name="index 4"/>
    <w:lsdException w:uiPriority="0" w:name="index 5"/>
    <w:lsdException w:uiPriority="0" w:name="index 6"/>
    <w:lsdException w:uiPriority="0" w:name="index 7"/>
    <w:lsdException w:uiPriority="0" w:name="index 8"/>
    <w:lsdException w:uiPriority="0" w:name="index 9"/>
    <w:lsdException w:qFormat="1" w:unhideWhenUsed="0" w:uiPriority="0" w:name="toc 1"/>
    <w:lsdException w:qFormat="1" w:unhideWhenUsed="0" w:uiPriority="0" w:name="toc 2"/>
    <w:lsdException w:qFormat="1" w:unhideWhenUsed="0" w:uiPriority="0" w:name="toc 3"/>
    <w:lsdException w:uiPriority="0" w:name="toc 4"/>
    <w:lsdException w:uiPriority="0" w:name="toc 5"/>
    <w:lsdException w:qFormat="1" w:unhideWhenUsed="0" w:uiPriority="39" w:semiHidden="0" w:name="toc 6"/>
    <w:lsdException w:uiPriority="0" w:name="toc 7"/>
    <w:lsdException w:uiPriority="0" w:name="toc 8"/>
    <w:lsdException w:uiPriority="0" w:name="toc 9"/>
    <w:lsdException w:qFormat="1" w:unhideWhenUsed="0" w:uiPriority="0" w:semiHidden="0" w:name="Normal Indent"/>
    <w:lsdException w:uiPriority="0" w:name="footnote text"/>
    <w:lsdException w:qFormat="1" w:unhideWhenUsed="0" w:uiPriority="0" w:name="annotation text"/>
    <w:lsdException w:qFormat="1" w:unhideWhenUsed="0" w:uiPriority="0" w:semiHidden="0" w:name="header"/>
    <w:lsdException w:qFormat="1" w:unhideWhenUsed="0" w:uiPriority="99" w:semiHidden="0" w:name="footer"/>
    <w:lsdException w:uiPriority="0" w:name="index heading"/>
    <w:lsdException w:qFormat="1" w:unhideWhenUsed="0" w:uiPriority="0" w:semiHidden="0" w:name="caption"/>
    <w:lsdException w:uiPriority="0" w:name="table of figures"/>
    <w:lsdException w:uiPriority="0" w:name="envelope address"/>
    <w:lsdException w:uiPriority="0" w:name="envelope return"/>
    <w:lsdException w:uiPriority="0" w:name="footnote reference"/>
    <w:lsdException w:qFormat="1" w:unhideWhenUsed="0" w:uiPriority="0" w:name="annotation reference"/>
    <w:lsdException w:uiPriority="0" w:name="line number"/>
    <w:lsdException w:qFormat="1" w:unhideWhenUsed="0" w:uiPriority="0" w:semiHidden="0" w:name="page number"/>
    <w:lsdException w:uiPriority="0" w:name="endnote reference"/>
    <w:lsdException w:uiPriority="0" w:name="endnote text"/>
    <w:lsdException w:unhideWhenUsed="0" w:uiPriority="0" w:semiHidden="0" w:name="table of authorities"/>
    <w:lsdException w:uiPriority="0" w:name="macro"/>
    <w:lsdException w:qFormat="1" w:unhideWhenUsed="0" w:uiPriority="0" w:semiHidden="0" w:name="toa heading"/>
    <w:lsdException w:unhideWhenUsed="0" w:uiPriority="0" w:semiHidden="0" w:name="List"/>
    <w:lsdException w:qFormat="1" w:unhideWhenUsed="0" w:uiPriority="0" w:semiHidden="0" w:name="List Bullet"/>
    <w:lsdException w:uiPriority="0" w:name="List Number"/>
    <w:lsdException w:uiPriority="0" w:name="List 2"/>
    <w:lsdException w:uiPriority="0" w:name="List 3"/>
    <w:lsdException w:uiPriority="0" w:name="List 4"/>
    <w:lsdException w:uiPriority="0" w:name="List 5"/>
    <w:lsdException w:uiPriority="0" w:name="List Bullet 2"/>
    <w:lsdException w:uiPriority="0" w:name="List Bullet 3"/>
    <w:lsdException w:uiPriority="0" w:name="List Bullet 4"/>
    <w:lsdException w:uiPriority="0" w:name="List Bullet 5"/>
    <w:lsdException w:uiPriority="0" w:name="List Number 2"/>
    <w:lsdException w:qFormat="1" w:unhideWhenUsed="0" w:uiPriority="0" w:semiHidden="0" w:name="List Number 3"/>
    <w:lsdException w:uiPriority="0" w:name="List Number 4"/>
    <w:lsdException w:uiPriority="0" w:name="List Number 5"/>
    <w:lsdException w:qFormat="1" w:unhideWhenUsed="0" w:uiPriority="0" w:semiHidden="0" w:name="Title"/>
    <w:lsdException w:uiPriority="0" w:name="Closing"/>
    <w:lsdException w:uiPriority="0" w:name="Signature"/>
    <w:lsdException w:qFormat="1" w:uiPriority="1" w:name="Default Paragraph Font"/>
    <w:lsdException w:qFormat="1" w:unhideWhenUsed="0" w:uiPriority="0" w:semiHidden="0" w:name="Body Text"/>
    <w:lsdException w:qFormat="1" w:unhideWhenUsed="0" w:uiPriority="0" w:semiHidden="0" w:name="Body Text Indent"/>
    <w:lsdException w:uiPriority="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iPriority="0" w:name="Message Header"/>
    <w:lsdException w:qFormat="1" w:unhideWhenUsed="0" w:uiPriority="0" w:semiHidden="0" w:name="Subtitle"/>
    <w:lsdException w:uiPriority="0" w:name="Salutation"/>
    <w:lsdException w:qFormat="1" w:unhideWhenUsed="0" w:uiPriority="0" w:semiHidden="0" w:name="Date"/>
    <w:lsdException w:qFormat="1" w:unhideWhenUsed="0" w:uiPriority="0" w:semiHidden="0" w:name="Body Text First Indent"/>
    <w:lsdException w:uiPriority="0" w:name="Body Text First Indent 2"/>
    <w:lsdException w:uiPriority="0" w:name="Note Heading"/>
    <w:lsdException w:uiPriority="0" w:name="Body Text 2"/>
    <w:lsdException w:uiPriority="0" w:name="Body Text 3"/>
    <w:lsdException w:qFormat="1" w:unhideWhenUsed="0" w:uiPriority="0" w:semiHidden="0" w:name="Body Text Indent 2"/>
    <w:lsdException w:qFormat="1" w:unhideWhenUsed="0" w:uiPriority="0" w:semiHidden="0" w:name="Body Text Indent 3"/>
    <w:lsdException w:uiPriority="0" w:name="Block Text"/>
    <w:lsdException w:qFormat="1" w:unhideWhenUsed="0" w:uiPriority="0" w:semiHidden="0" w:name="Hyperlink"/>
    <w:lsdException w:uiPriority="0" w:name="FollowedHyperlink"/>
    <w:lsdException w:qFormat="1" w:unhideWhenUsed="0" w:uiPriority="22" w:semiHidden="0" w:name="Strong"/>
    <w:lsdException w:qFormat="1" w:unhideWhenUsed="0" w:uiPriority="0" w:semiHidden="0" w:name="Emphasis"/>
    <w:lsdException w:qFormat="1" w:unhideWhenUsed="0" w:uiPriority="0" w:name="Document Map"/>
    <w:lsdException w:qFormat="1" w:unhideWhenUsed="0" w:uiPriority="0" w:semiHidden="0" w:name="Plain Text"/>
    <w:lsdException w:uiPriority="0" w:name="E-mail Signature"/>
    <w:lsdException w:qFormat="1" w:unhideWhenUsed="0" w:uiPriority="99" w:semiHidden="0" w:name="Normal (Web)"/>
    <w:lsdException w:uiPriority="0" w:name="HTML Acronym"/>
    <w:lsdException w:uiPriority="0" w:name="HTML Address"/>
    <w:lsdException w:uiPriority="0" w:name="HTML Cite"/>
    <w:lsdException w:uiPriority="0" w:name="HTML Code"/>
    <w:lsdException w:uiPriority="0" w:name="HTML Definition"/>
    <w:lsdException w:uiPriority="0" w:name="HTML Keyboard"/>
    <w:lsdException w:uiPriority="0" w:name="HTML Preformatted"/>
    <w:lsdException w:uiPriority="0" w:name="HTML Sample"/>
    <w:lsdException w:uiPriority="0" w:name="HTML Typewriter"/>
    <w:lsdException w:uiPriority="0" w:name="HTML Variable"/>
    <w:lsdException w:qFormat="1" w:uiPriority="99" w:name="Normal Table"/>
    <w:lsdException w:qFormat="1" w:unhideWhenUsed="0" w:uiPriority="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qFormat="1"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b/>
      <w:bCs/>
      <w:color w:val="000000"/>
      <w:sz w:val="21"/>
      <w:szCs w:val="21"/>
      <w:lang w:val="en-US" w:eastAsia="zh-CN" w:bidi="ar-SA"/>
    </w:rPr>
  </w:style>
  <w:style w:type="paragraph" w:styleId="2">
    <w:name w:val="heading 1"/>
    <w:basedOn w:val="1"/>
    <w:next w:val="3"/>
    <w:qFormat/>
    <w:uiPriority w:val="0"/>
    <w:pPr>
      <w:keepNext/>
      <w:keepLines/>
      <w:tabs>
        <w:tab w:val="left" w:pos="432"/>
      </w:tabs>
      <w:spacing w:before="340" w:afterLines="50" w:line="578" w:lineRule="auto"/>
      <w:ind w:left="432" w:hanging="432"/>
      <w:outlineLvl w:val="0"/>
    </w:pPr>
    <w:rPr>
      <w:rFonts w:ascii="Yu Mincho Light" w:hAnsi="Yu Mincho Light" w:eastAsia="Yu Mincho Light"/>
      <w:b w:val="0"/>
      <w:bCs w:val="0"/>
      <w:spacing w:val="20"/>
      <w:kern w:val="44"/>
      <w:sz w:val="36"/>
      <w:szCs w:val="44"/>
    </w:rPr>
  </w:style>
  <w:style w:type="paragraph" w:styleId="3">
    <w:name w:val="heading 2"/>
    <w:basedOn w:val="1"/>
    <w:next w:val="1"/>
    <w:link w:val="50"/>
    <w:qFormat/>
    <w:uiPriority w:val="0"/>
    <w:pPr>
      <w:keepNext/>
      <w:keepLines/>
      <w:tabs>
        <w:tab w:val="left" w:pos="576"/>
      </w:tabs>
      <w:spacing w:before="260" w:afterLines="50" w:line="416" w:lineRule="auto"/>
      <w:ind w:left="576" w:hanging="576"/>
      <w:outlineLvl w:val="1"/>
    </w:pPr>
    <w:rPr>
      <w:rFonts w:ascii="Yu Mincho Light" w:hAnsi="Yu Mincho Light" w:eastAsia="Yu Mincho Light" w:cs="Yu Mincho Light"/>
      <w:b w:val="0"/>
      <w:bCs w:val="0"/>
      <w:spacing w:val="20"/>
      <w:sz w:val="32"/>
      <w:szCs w:val="32"/>
    </w:rPr>
  </w:style>
  <w:style w:type="paragraph" w:styleId="4">
    <w:name w:val="heading 3"/>
    <w:basedOn w:val="1"/>
    <w:next w:val="5"/>
    <w:link w:val="66"/>
    <w:qFormat/>
    <w:uiPriority w:val="0"/>
    <w:pPr>
      <w:keepNext/>
      <w:keepLines/>
      <w:tabs>
        <w:tab w:val="left" w:pos="720"/>
      </w:tabs>
      <w:spacing w:before="260" w:afterLines="50" w:line="416" w:lineRule="auto"/>
      <w:ind w:left="720" w:hanging="720"/>
      <w:outlineLvl w:val="2"/>
    </w:pPr>
    <w:rPr>
      <w:rFonts w:ascii="Yu Mincho Light" w:hAnsi="Yu Mincho Light" w:eastAsia="Yu Mincho Light"/>
      <w:b w:val="0"/>
      <w:bCs w:val="0"/>
      <w:spacing w:val="20"/>
      <w:sz w:val="30"/>
      <w:szCs w:val="32"/>
    </w:rPr>
  </w:style>
  <w:style w:type="paragraph" w:styleId="6">
    <w:name w:val="heading 4"/>
    <w:basedOn w:val="1"/>
    <w:next w:val="1"/>
    <w:qFormat/>
    <w:uiPriority w:val="0"/>
    <w:pPr>
      <w:keepNext/>
      <w:keepLines/>
      <w:tabs>
        <w:tab w:val="left" w:pos="1079"/>
      </w:tabs>
      <w:spacing w:before="280" w:afterLines="50" w:line="377" w:lineRule="auto"/>
      <w:ind w:left="1077" w:hanging="1077"/>
      <w:outlineLvl w:val="3"/>
    </w:pPr>
    <w:rPr>
      <w:rFonts w:ascii="Yu Mincho Light" w:hAnsi="Yu Mincho Light" w:eastAsia="Yu Mincho Light"/>
      <w:b w:val="0"/>
      <w:bCs w:val="0"/>
      <w:spacing w:val="10"/>
      <w:sz w:val="28"/>
      <w:szCs w:val="28"/>
    </w:rPr>
  </w:style>
  <w:style w:type="paragraph" w:styleId="7">
    <w:name w:val="heading 5"/>
    <w:basedOn w:val="1"/>
    <w:next w:val="5"/>
    <w:qFormat/>
    <w:uiPriority w:val="0"/>
    <w:pPr>
      <w:keepNext/>
      <w:keepLines/>
      <w:tabs>
        <w:tab w:val="left" w:pos="1260"/>
      </w:tabs>
      <w:spacing w:before="280" w:afterLines="50" w:line="377" w:lineRule="auto"/>
      <w:ind w:left="1259" w:hanging="1259"/>
      <w:outlineLvl w:val="4"/>
    </w:pPr>
    <w:rPr>
      <w:rFonts w:ascii="Yu Mincho Light" w:hAnsi="Yu Mincho Light" w:eastAsia="Yu Mincho Light"/>
      <w:b w:val="0"/>
      <w:bCs w:val="0"/>
      <w:spacing w:val="10"/>
      <w:sz w:val="28"/>
      <w:szCs w:val="28"/>
    </w:rPr>
  </w:style>
  <w:style w:type="paragraph" w:styleId="8">
    <w:name w:val="heading 6"/>
    <w:basedOn w:val="1"/>
    <w:next w:val="5"/>
    <w:qFormat/>
    <w:uiPriority w:val="0"/>
    <w:pPr>
      <w:keepNext/>
      <w:keepLines/>
      <w:tabs>
        <w:tab w:val="left" w:pos="1428"/>
      </w:tabs>
      <w:spacing w:before="240" w:afterLines="50" w:line="319" w:lineRule="auto"/>
      <w:ind w:left="550" w:hanging="550" w:hangingChars="550"/>
      <w:outlineLvl w:val="5"/>
    </w:pPr>
    <w:rPr>
      <w:rFonts w:ascii="Yu Mincho Light" w:hAnsi="Yu Mincho Light" w:eastAsia="Yu Mincho Light"/>
      <w:b w:val="0"/>
      <w:bCs w:val="0"/>
      <w:spacing w:val="10"/>
      <w:sz w:val="24"/>
    </w:rPr>
  </w:style>
  <w:style w:type="paragraph" w:styleId="9">
    <w:name w:val="heading 7"/>
    <w:basedOn w:val="1"/>
    <w:next w:val="5"/>
    <w:qFormat/>
    <w:uiPriority w:val="0"/>
    <w:pPr>
      <w:keepNext/>
      <w:keepLines/>
      <w:tabs>
        <w:tab w:val="left" w:pos="1638"/>
      </w:tabs>
      <w:spacing w:before="240" w:afterLines="50" w:line="319" w:lineRule="auto"/>
      <w:ind w:left="1633" w:hanging="1633"/>
      <w:outlineLvl w:val="6"/>
    </w:pPr>
    <w:rPr>
      <w:rFonts w:ascii="Yu Mincho Light" w:hAnsi="Yu Mincho Light" w:eastAsia="Yu Mincho Light"/>
      <w:b w:val="0"/>
      <w:bCs w:val="0"/>
      <w:sz w:val="24"/>
    </w:rPr>
  </w:style>
  <w:style w:type="paragraph" w:styleId="10">
    <w:name w:val="heading 8"/>
    <w:basedOn w:val="1"/>
    <w:next w:val="5"/>
    <w:qFormat/>
    <w:uiPriority w:val="0"/>
    <w:pPr>
      <w:keepNext/>
      <w:keepLines/>
      <w:tabs>
        <w:tab w:val="left" w:pos="1800"/>
      </w:tabs>
      <w:spacing w:before="240" w:afterLines="50" w:line="319" w:lineRule="auto"/>
      <w:ind w:left="1797" w:hanging="1797"/>
      <w:outlineLvl w:val="7"/>
    </w:pPr>
    <w:rPr>
      <w:rFonts w:ascii="Yu Mincho Light" w:hAnsi="Yu Mincho Light" w:eastAsia="Yu Mincho Light"/>
      <w:sz w:val="24"/>
    </w:rPr>
  </w:style>
  <w:style w:type="paragraph" w:styleId="11">
    <w:name w:val="heading 9"/>
    <w:basedOn w:val="1"/>
    <w:next w:val="5"/>
    <w:qFormat/>
    <w:uiPriority w:val="0"/>
    <w:pPr>
      <w:keepNext/>
      <w:keepLines/>
      <w:tabs>
        <w:tab w:val="left" w:pos="1980"/>
      </w:tabs>
      <w:spacing w:before="240" w:afterLines="50" w:line="319" w:lineRule="auto"/>
      <w:ind w:left="1979" w:hanging="1979"/>
      <w:outlineLvl w:val="8"/>
    </w:pPr>
    <w:rPr>
      <w:rFonts w:ascii="Yu Mincho Light" w:hAnsi="Yu Mincho Light" w:eastAsia="Yu Mincho Light"/>
    </w:rPr>
  </w:style>
  <w:style w:type="character" w:default="1" w:styleId="37">
    <w:name w:val="Default Paragraph Font"/>
    <w:semiHidden/>
    <w:unhideWhenUsed/>
    <w:qFormat/>
    <w:uiPriority w:val="1"/>
  </w:style>
  <w:style w:type="table" w:default="1" w:styleId="35">
    <w:name w:val="Normal Table"/>
    <w:semiHidden/>
    <w:unhideWhenUsed/>
    <w:qFormat/>
    <w:uiPriority w:val="99"/>
    <w:tblPr>
      <w:tblCellMar>
        <w:top w:w="0" w:type="dxa"/>
        <w:left w:w="108" w:type="dxa"/>
        <w:bottom w:w="0" w:type="dxa"/>
        <w:right w:w="108" w:type="dxa"/>
      </w:tblCellMar>
    </w:tblPr>
  </w:style>
  <w:style w:type="paragraph" w:styleId="5">
    <w:name w:val="Normal Indent"/>
    <w:basedOn w:val="1"/>
    <w:link w:val="53"/>
    <w:qFormat/>
    <w:uiPriority w:val="0"/>
    <w:pPr>
      <w:ind w:firstLine="420" w:firstLineChars="200"/>
    </w:pPr>
    <w:rPr>
      <w:rFonts w:ascii="Yu Mincho Light" w:hAnsi="Yu Mincho Light" w:eastAsia="Yu Mincho Light" w:cs="Yu Mincho Light"/>
    </w:rPr>
  </w:style>
  <w:style w:type="paragraph" w:styleId="12">
    <w:name w:val="caption"/>
    <w:basedOn w:val="1"/>
    <w:next w:val="1"/>
    <w:qFormat/>
    <w:uiPriority w:val="0"/>
    <w:rPr>
      <w:rFonts w:ascii="Yu Mincho Light" w:hAnsi="Yu Mincho Light" w:eastAsia="Yu Mincho Light" w:cs="Yu Mincho Light"/>
      <w:sz w:val="20"/>
      <w:szCs w:val="20"/>
    </w:rPr>
  </w:style>
  <w:style w:type="paragraph" w:styleId="13">
    <w:name w:val="List Bullet"/>
    <w:basedOn w:val="1"/>
    <w:qFormat/>
    <w:uiPriority w:val="0"/>
    <w:pPr>
      <w:spacing w:line="360" w:lineRule="auto"/>
    </w:pPr>
    <w:rPr>
      <w:rFonts w:ascii="Yu Mincho Light" w:eastAsia="Yu Mincho Light" w:cs="Yu Mincho Light"/>
      <w:b w:val="0"/>
      <w:bCs w:val="0"/>
      <w:color w:val="auto"/>
      <w:kern w:val="2"/>
      <w:sz w:val="20"/>
      <w:szCs w:val="20"/>
    </w:rPr>
  </w:style>
  <w:style w:type="paragraph" w:styleId="14">
    <w:name w:val="Document Map"/>
    <w:basedOn w:val="1"/>
    <w:semiHidden/>
    <w:qFormat/>
    <w:uiPriority w:val="0"/>
    <w:pPr>
      <w:shd w:val="clear" w:color="auto" w:fill="000080"/>
    </w:pPr>
    <w:rPr>
      <w:rFonts w:ascii="Yu Mincho Light" w:hAnsi="Yu Mincho Light" w:eastAsia="Yu Mincho Light" w:cs="Yu Mincho Light"/>
      <w:b w:val="0"/>
      <w:bCs w:val="0"/>
      <w:color w:val="auto"/>
      <w:kern w:val="2"/>
      <w:szCs w:val="24"/>
    </w:rPr>
  </w:style>
  <w:style w:type="paragraph" w:styleId="15">
    <w:name w:val="toa heading"/>
    <w:basedOn w:val="1"/>
    <w:next w:val="1"/>
    <w:qFormat/>
    <w:uiPriority w:val="0"/>
    <w:pPr>
      <w:spacing w:before="120"/>
    </w:pPr>
    <w:rPr>
      <w:rFonts w:ascii="Yu Mincho Light" w:hAnsi="Yu Mincho Light" w:cs="Yu Mincho Light"/>
      <w:sz w:val="24"/>
    </w:rPr>
  </w:style>
  <w:style w:type="paragraph" w:styleId="16">
    <w:name w:val="annotation text"/>
    <w:basedOn w:val="1"/>
    <w:semiHidden/>
    <w:qFormat/>
    <w:uiPriority w:val="0"/>
    <w:pPr>
      <w:jc w:val="left"/>
    </w:pPr>
    <w:rPr>
      <w:rFonts w:ascii="Yu Mincho Light" w:hAnsi="Yu Mincho Light" w:eastAsia="Yu Mincho Light" w:cs="Yu Mincho Light"/>
      <w:b w:val="0"/>
      <w:bCs w:val="0"/>
      <w:color w:val="auto"/>
      <w:kern w:val="2"/>
      <w:szCs w:val="24"/>
    </w:rPr>
  </w:style>
  <w:style w:type="paragraph" w:styleId="17">
    <w:name w:val="Body Text"/>
    <w:basedOn w:val="1"/>
    <w:qFormat/>
    <w:uiPriority w:val="0"/>
    <w:pPr>
      <w:spacing w:after="120"/>
    </w:pPr>
    <w:rPr>
      <w:rFonts w:ascii="Yu Mincho Light" w:hAnsi="Yu Mincho Light" w:eastAsia="Yu Mincho Light" w:cs="Yu Mincho Light"/>
      <w:b w:val="0"/>
      <w:bCs w:val="0"/>
      <w:color w:val="auto"/>
      <w:kern w:val="2"/>
      <w:szCs w:val="24"/>
    </w:rPr>
  </w:style>
  <w:style w:type="paragraph" w:styleId="18">
    <w:name w:val="Body Text Indent"/>
    <w:basedOn w:val="1"/>
    <w:qFormat/>
    <w:uiPriority w:val="0"/>
    <w:pPr>
      <w:spacing w:after="120"/>
      <w:ind w:left="420" w:leftChars="200"/>
    </w:pPr>
    <w:rPr>
      <w:rFonts w:ascii="Yu Mincho Light" w:hAnsi="Yu Mincho Light" w:eastAsia="Yu Mincho Light" w:cs="Yu Mincho Light"/>
      <w:b w:val="0"/>
      <w:bCs w:val="0"/>
      <w:color w:val="auto"/>
      <w:kern w:val="2"/>
      <w:szCs w:val="24"/>
    </w:rPr>
  </w:style>
  <w:style w:type="paragraph" w:styleId="19">
    <w:name w:val="List Number 3"/>
    <w:basedOn w:val="1"/>
    <w:qFormat/>
    <w:uiPriority w:val="0"/>
    <w:pPr>
      <w:widowControl/>
      <w:tabs>
        <w:tab w:val="left" w:pos="2260"/>
      </w:tabs>
      <w:spacing w:afterLines="50"/>
      <w:ind w:left="2260" w:hanging="340"/>
      <w:jc w:val="left"/>
    </w:pPr>
    <w:rPr>
      <w:rFonts w:ascii="Yu Mincho Light" w:hAnsi="Yu Mincho Light" w:eastAsia="Yu Mincho Light" w:cs="Yu Mincho Light"/>
      <w:b w:val="0"/>
      <w:bCs w:val="0"/>
      <w:color w:val="auto"/>
      <w:sz w:val="24"/>
      <w:szCs w:val="20"/>
    </w:rPr>
  </w:style>
  <w:style w:type="paragraph" w:styleId="20">
    <w:name w:val="toc 3"/>
    <w:basedOn w:val="1"/>
    <w:next w:val="1"/>
    <w:semiHidden/>
    <w:qFormat/>
    <w:uiPriority w:val="0"/>
    <w:pPr>
      <w:tabs>
        <w:tab w:val="right" w:leader="dot" w:pos="8987"/>
      </w:tabs>
      <w:adjustRightInd w:val="0"/>
      <w:snapToGrid w:val="0"/>
      <w:spacing w:beforeLines="50" w:afterLines="50" w:line="400" w:lineRule="atLeast"/>
      <w:textAlignment w:val="baseline"/>
    </w:pPr>
    <w:rPr>
      <w:rFonts w:ascii="Yu Mincho Light" w:hAnsi="Yu Mincho Light" w:cs="Yu Mincho Light"/>
      <w:bCs w:val="0"/>
      <w:sz w:val="28"/>
      <w:szCs w:val="28"/>
    </w:rPr>
  </w:style>
  <w:style w:type="paragraph" w:styleId="21">
    <w:name w:val="Plain Text"/>
    <w:basedOn w:val="1"/>
    <w:link w:val="71"/>
    <w:qFormat/>
    <w:uiPriority w:val="0"/>
    <w:rPr>
      <w:rFonts w:ascii="Yu Mincho Light" w:hAnsi="Yu Mincho Light" w:eastAsia="Yu Mincho Light"/>
      <w:szCs w:val="20"/>
    </w:rPr>
  </w:style>
  <w:style w:type="paragraph" w:styleId="22">
    <w:name w:val="Date"/>
    <w:basedOn w:val="1"/>
    <w:next w:val="1"/>
    <w:qFormat/>
    <w:uiPriority w:val="0"/>
    <w:pPr>
      <w:ind w:left="100" w:leftChars="2500"/>
    </w:pPr>
    <w:rPr>
      <w:sz w:val="24"/>
    </w:rPr>
  </w:style>
  <w:style w:type="paragraph" w:styleId="23">
    <w:name w:val="Body Text Indent 2"/>
    <w:basedOn w:val="1"/>
    <w:link w:val="121"/>
    <w:qFormat/>
    <w:uiPriority w:val="0"/>
    <w:pPr>
      <w:widowControl/>
      <w:spacing w:line="480" w:lineRule="atLeast"/>
      <w:ind w:firstLine="480"/>
    </w:pPr>
    <w:rPr>
      <w:rFonts w:ascii="Yu Mincho Light"/>
      <w:sz w:val="24"/>
      <w:szCs w:val="20"/>
    </w:rPr>
  </w:style>
  <w:style w:type="paragraph" w:styleId="24">
    <w:name w:val="Balloon Text"/>
    <w:basedOn w:val="1"/>
    <w:link w:val="122"/>
    <w:qFormat/>
    <w:uiPriority w:val="0"/>
    <w:rPr>
      <w:sz w:val="18"/>
      <w:szCs w:val="18"/>
    </w:rPr>
  </w:style>
  <w:style w:type="paragraph" w:styleId="25">
    <w:name w:val="footer"/>
    <w:basedOn w:val="1"/>
    <w:link w:val="43"/>
    <w:qFormat/>
    <w:uiPriority w:val="99"/>
    <w:pPr>
      <w:tabs>
        <w:tab w:val="center" w:pos="4153"/>
        <w:tab w:val="right" w:pos="8306"/>
      </w:tabs>
      <w:snapToGrid w:val="0"/>
      <w:jc w:val="left"/>
    </w:pPr>
    <w:rPr>
      <w:rFonts w:ascii="Yu Mincho Light" w:hAnsi="Yu Mincho Light" w:eastAsia="Yu Mincho Light"/>
      <w:sz w:val="18"/>
      <w:szCs w:val="18"/>
    </w:rPr>
  </w:style>
  <w:style w:type="paragraph" w:styleId="26">
    <w:name w:val="header"/>
    <w:basedOn w:val="1"/>
    <w:link w:val="48"/>
    <w:qFormat/>
    <w:uiPriority w:val="0"/>
    <w:pPr>
      <w:pBdr>
        <w:bottom w:val="single" w:color="auto" w:sz="6" w:space="1"/>
      </w:pBdr>
      <w:tabs>
        <w:tab w:val="center" w:pos="4153"/>
        <w:tab w:val="right" w:pos="8306"/>
      </w:tabs>
      <w:snapToGrid w:val="0"/>
      <w:jc w:val="center"/>
    </w:pPr>
    <w:rPr>
      <w:rFonts w:ascii="Yu Mincho Light" w:hAnsi="Yu Mincho Light" w:eastAsia="Yu Mincho Light" w:cs="Yu Mincho Light"/>
      <w:sz w:val="18"/>
      <w:szCs w:val="18"/>
    </w:rPr>
  </w:style>
  <w:style w:type="paragraph" w:styleId="27">
    <w:name w:val="toc 1"/>
    <w:basedOn w:val="1"/>
    <w:next w:val="1"/>
    <w:semiHidden/>
    <w:qFormat/>
    <w:uiPriority w:val="0"/>
    <w:pPr>
      <w:jc w:val="center"/>
    </w:pPr>
    <w:rPr>
      <w:rFonts w:ascii="Yu Mincho Light" w:hAnsi="Yu Mincho Light" w:eastAsia="Yu Mincho Light" w:cs="Yu Mincho Light"/>
      <w:b w:val="0"/>
      <w:bCs w:val="0"/>
      <w:color w:val="auto"/>
      <w:kern w:val="2"/>
      <w:szCs w:val="24"/>
    </w:rPr>
  </w:style>
  <w:style w:type="paragraph" w:styleId="28">
    <w:name w:val="toc 6"/>
    <w:basedOn w:val="1"/>
    <w:next w:val="1"/>
    <w:qFormat/>
    <w:uiPriority w:val="39"/>
    <w:pPr>
      <w:ind w:left="1050"/>
      <w:jc w:val="left"/>
    </w:pPr>
    <w:rPr>
      <w:rFonts w:ascii="Century Gothic" w:hAnsi="Century Gothic"/>
      <w:sz w:val="18"/>
      <w:szCs w:val="18"/>
    </w:rPr>
  </w:style>
  <w:style w:type="paragraph" w:styleId="29">
    <w:name w:val="Body Text Indent 3"/>
    <w:basedOn w:val="1"/>
    <w:qFormat/>
    <w:uiPriority w:val="0"/>
    <w:pPr>
      <w:spacing w:after="120"/>
      <w:ind w:left="420" w:leftChars="200"/>
    </w:pPr>
    <w:rPr>
      <w:sz w:val="16"/>
      <w:szCs w:val="16"/>
    </w:rPr>
  </w:style>
  <w:style w:type="paragraph" w:styleId="30">
    <w:name w:val="toc 2"/>
    <w:basedOn w:val="1"/>
    <w:next w:val="1"/>
    <w:semiHidden/>
    <w:qFormat/>
    <w:uiPriority w:val="0"/>
    <w:pPr>
      <w:ind w:left="420" w:leftChars="200"/>
    </w:pPr>
    <w:rPr>
      <w:rFonts w:ascii="Yu Mincho Light" w:hAnsi="Yu Mincho Light" w:eastAsia="Yu Mincho Light" w:cs="Yu Mincho Light"/>
      <w:b w:val="0"/>
      <w:bCs w:val="0"/>
      <w:color w:val="auto"/>
      <w:kern w:val="2"/>
      <w:szCs w:val="24"/>
    </w:rPr>
  </w:style>
  <w:style w:type="paragraph" w:styleId="31">
    <w:name w:val="Normal (Web)"/>
    <w:basedOn w:val="1"/>
    <w:qFormat/>
    <w:uiPriority w:val="99"/>
    <w:pPr>
      <w:widowControl/>
      <w:spacing w:afterLines="50"/>
      <w:jc w:val="left"/>
    </w:pPr>
    <w:rPr>
      <w:rFonts w:ascii="Yu Mincho Light" w:hAnsi="Yu Mincho Light" w:eastAsia="Yu Mincho Light" w:cs="Yu Mincho Light"/>
      <w:b w:val="0"/>
      <w:bCs w:val="0"/>
      <w:color w:val="auto"/>
      <w:sz w:val="24"/>
      <w:szCs w:val="24"/>
    </w:rPr>
  </w:style>
  <w:style w:type="paragraph" w:styleId="32">
    <w:name w:val="Title"/>
    <w:basedOn w:val="1"/>
    <w:next w:val="1"/>
    <w:link w:val="123"/>
    <w:qFormat/>
    <w:uiPriority w:val="0"/>
    <w:pPr>
      <w:spacing w:before="240" w:after="60"/>
      <w:jc w:val="center"/>
      <w:outlineLvl w:val="0"/>
    </w:pPr>
    <w:rPr>
      <w:rFonts w:ascii="Cambria" w:hAnsi="Cambria" w:eastAsia="Cambria" w:cs="Cambria"/>
      <w:bCs w:val="0"/>
      <w:kern w:val="1"/>
      <w:sz w:val="32"/>
      <w:szCs w:val="32"/>
    </w:rPr>
  </w:style>
  <w:style w:type="paragraph" w:styleId="33">
    <w:name w:val="annotation subject"/>
    <w:basedOn w:val="16"/>
    <w:next w:val="16"/>
    <w:semiHidden/>
    <w:qFormat/>
    <w:uiPriority w:val="0"/>
    <w:rPr>
      <w:b/>
      <w:bCs/>
      <w:color w:val="000000"/>
      <w:kern w:val="0"/>
      <w:szCs w:val="21"/>
    </w:rPr>
  </w:style>
  <w:style w:type="paragraph" w:styleId="34">
    <w:name w:val="Body Text First Indent"/>
    <w:basedOn w:val="17"/>
    <w:next w:val="28"/>
    <w:qFormat/>
    <w:uiPriority w:val="0"/>
    <w:pPr>
      <w:ind w:firstLine="420" w:firstLineChars="100"/>
    </w:pPr>
    <w:rPr>
      <w:rFonts w:ascii="仿宋_GB2312" w:hAnsi="宋体" w:eastAsia="仿宋_GB2312" w:cs="宋体"/>
      <w:b/>
      <w:bCs/>
      <w:color w:val="000000"/>
      <w:kern w:val="0"/>
      <w:szCs w:val="21"/>
    </w:rPr>
  </w:style>
  <w:style w:type="table" w:styleId="36">
    <w:name w:val="Table Grid"/>
    <w:basedOn w:val="35"/>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38">
    <w:name w:val="Strong"/>
    <w:qFormat/>
    <w:uiPriority w:val="22"/>
    <w:rPr>
      <w:b/>
      <w:bCs/>
    </w:rPr>
  </w:style>
  <w:style w:type="character" w:styleId="39">
    <w:name w:val="page number"/>
    <w:basedOn w:val="37"/>
    <w:qFormat/>
    <w:uiPriority w:val="0"/>
  </w:style>
  <w:style w:type="character" w:styleId="40">
    <w:name w:val="Hyperlink"/>
    <w:qFormat/>
    <w:uiPriority w:val="0"/>
    <w:rPr>
      <w:color w:val="0000FF"/>
      <w:u w:val="single"/>
    </w:rPr>
  </w:style>
  <w:style w:type="character" w:styleId="41">
    <w:name w:val="annotation reference"/>
    <w:semiHidden/>
    <w:qFormat/>
    <w:uiPriority w:val="0"/>
    <w:rPr>
      <w:sz w:val="21"/>
      <w:szCs w:val="21"/>
    </w:rPr>
  </w:style>
  <w:style w:type="paragraph" w:customStyle="1" w:styleId="42">
    <w:name w:val="表格文字"/>
    <w:basedOn w:val="1"/>
    <w:next w:val="17"/>
    <w:qFormat/>
    <w:uiPriority w:val="0"/>
    <w:pPr>
      <w:jc w:val="left"/>
      <w:textAlignment w:val="top"/>
    </w:pPr>
    <w:rPr>
      <w:b w:val="0"/>
      <w:bCs w:val="0"/>
      <w:color w:val="auto"/>
      <w:kern w:val="2"/>
      <w:sz w:val="18"/>
      <w:szCs w:val="24"/>
    </w:rPr>
  </w:style>
  <w:style w:type="character" w:customStyle="1" w:styleId="43">
    <w:name w:val="页脚 字符"/>
    <w:link w:val="25"/>
    <w:qFormat/>
    <w:uiPriority w:val="99"/>
    <w:rPr>
      <w:rFonts w:ascii="Yu Mincho Light" w:hAnsi="Yu Mincho Light" w:eastAsia="Yu Mincho Light" w:cs="Yu Mincho Light"/>
      <w:b/>
      <w:bCs/>
      <w:color w:val="000000"/>
      <w:sz w:val="18"/>
      <w:szCs w:val="18"/>
    </w:rPr>
  </w:style>
  <w:style w:type="character" w:customStyle="1" w:styleId="44">
    <w:name w:val="ca-2"/>
    <w:basedOn w:val="37"/>
    <w:qFormat/>
    <w:uiPriority w:val="0"/>
  </w:style>
  <w:style w:type="character" w:customStyle="1" w:styleId="45">
    <w:name w:val="正文缩进 字符"/>
    <w:qFormat/>
    <w:uiPriority w:val="0"/>
    <w:rPr>
      <w:kern w:val="2"/>
      <w:sz w:val="21"/>
    </w:rPr>
  </w:style>
  <w:style w:type="character" w:customStyle="1" w:styleId="46">
    <w:name w:val="ca-3"/>
    <w:basedOn w:val="37"/>
    <w:qFormat/>
    <w:uiPriority w:val="0"/>
  </w:style>
  <w:style w:type="character" w:customStyle="1" w:styleId="47">
    <w:name w:val="bookmark-item"/>
    <w:basedOn w:val="37"/>
    <w:qFormat/>
    <w:uiPriority w:val="0"/>
  </w:style>
  <w:style w:type="character" w:customStyle="1" w:styleId="48">
    <w:name w:val="页眉 字符1"/>
    <w:link w:val="26"/>
    <w:qFormat/>
    <w:uiPriority w:val="0"/>
    <w:rPr>
      <w:rFonts w:ascii="Yu Mincho Light" w:hAnsi="Yu Mincho Light" w:eastAsia="Yu Mincho Light" w:cs="Yu Mincho Light"/>
      <w:b/>
      <w:bCs/>
      <w:color w:val="000000"/>
      <w:sz w:val="18"/>
      <w:szCs w:val="18"/>
      <w:lang w:val="en-US" w:eastAsia="zh-CN" w:bidi="ar-SA"/>
    </w:rPr>
  </w:style>
  <w:style w:type="character" w:customStyle="1" w:styleId="49">
    <w:name w:val="Plain Text Char"/>
    <w:semiHidden/>
    <w:qFormat/>
    <w:locked/>
    <w:uiPriority w:val="0"/>
    <w:rPr>
      <w:rFonts w:ascii="Yu Mincho Light" w:hAnsi="Yu Mincho Light" w:eastAsia="Yu Mincho Light" w:cs="Yu Mincho Light"/>
      <w:b/>
      <w:color w:val="000000"/>
      <w:kern w:val="0"/>
      <w:sz w:val="20"/>
      <w:szCs w:val="20"/>
    </w:rPr>
  </w:style>
  <w:style w:type="character" w:customStyle="1" w:styleId="50">
    <w:name w:val="标题 2 字符"/>
    <w:link w:val="3"/>
    <w:qFormat/>
    <w:uiPriority w:val="0"/>
    <w:rPr>
      <w:rFonts w:ascii="Yu Mincho Light" w:hAnsi="Yu Mincho Light" w:eastAsia="Yu Mincho Light" w:cs="Yu Mincho Light"/>
      <w:color w:val="000000"/>
      <w:spacing w:val="20"/>
      <w:sz w:val="32"/>
      <w:szCs w:val="32"/>
    </w:rPr>
  </w:style>
  <w:style w:type="character" w:customStyle="1" w:styleId="51">
    <w:name w:val="列表段落 字符"/>
    <w:link w:val="52"/>
    <w:qFormat/>
    <w:locked/>
    <w:uiPriority w:val="0"/>
    <w:rPr>
      <w:rFonts w:ascii="Yu Mincho Light" w:hAnsi="Yu Mincho Light" w:eastAsia="Yu Mincho Light"/>
      <w:kern w:val="2"/>
      <w:sz w:val="21"/>
      <w:szCs w:val="22"/>
      <w:lang w:val="en-US" w:eastAsia="zh-CN" w:bidi="ar-SA"/>
    </w:rPr>
  </w:style>
  <w:style w:type="paragraph" w:styleId="52">
    <w:name w:val="List Paragraph"/>
    <w:basedOn w:val="1"/>
    <w:link w:val="51"/>
    <w:qFormat/>
    <w:uiPriority w:val="34"/>
    <w:pPr>
      <w:ind w:firstLine="420" w:firstLineChars="200"/>
    </w:pPr>
    <w:rPr>
      <w:rFonts w:ascii="Yu Mincho Light" w:hAnsi="Yu Mincho Light" w:eastAsia="Yu Mincho Light"/>
      <w:b w:val="0"/>
      <w:bCs w:val="0"/>
      <w:color w:val="auto"/>
      <w:kern w:val="2"/>
      <w:szCs w:val="22"/>
    </w:rPr>
  </w:style>
  <w:style w:type="character" w:customStyle="1" w:styleId="53">
    <w:name w:val="正文缩进 字符1"/>
    <w:link w:val="5"/>
    <w:qFormat/>
    <w:uiPriority w:val="0"/>
    <w:rPr>
      <w:rFonts w:ascii="Yu Mincho Light" w:hAnsi="Yu Mincho Light" w:eastAsia="Yu Mincho Light" w:cs="Yu Mincho Light"/>
      <w:b/>
      <w:bCs/>
      <w:color w:val="000000"/>
      <w:sz w:val="21"/>
      <w:szCs w:val="21"/>
      <w:lang w:val="en-US" w:eastAsia="zh-CN" w:bidi="ar-SA"/>
    </w:rPr>
  </w:style>
  <w:style w:type="character" w:customStyle="1" w:styleId="54">
    <w:name w:val="Char Char"/>
    <w:qFormat/>
    <w:uiPriority w:val="0"/>
    <w:rPr>
      <w:rFonts w:ascii="Yu Mincho Light" w:hAnsi="Yu Mincho Light" w:eastAsia="Yu Mincho Light"/>
      <w:b/>
      <w:bCs/>
      <w:color w:val="000000"/>
      <w:sz w:val="21"/>
      <w:lang w:val="en-US" w:eastAsia="zh-CN" w:bidi="ar-SA"/>
    </w:rPr>
  </w:style>
  <w:style w:type="character" w:customStyle="1" w:styleId="55">
    <w:name w:val="unnamed11"/>
    <w:basedOn w:val="37"/>
    <w:qFormat/>
    <w:uiPriority w:val="0"/>
  </w:style>
  <w:style w:type="character" w:customStyle="1" w:styleId="56">
    <w:name w:val="apple-converted-space"/>
    <w:basedOn w:val="37"/>
    <w:qFormat/>
    <w:uiPriority w:val="0"/>
  </w:style>
  <w:style w:type="character" w:customStyle="1" w:styleId="57">
    <w:name w:val="纯文本 Char3"/>
    <w:qFormat/>
    <w:uiPriority w:val="0"/>
    <w:rPr>
      <w:rFonts w:ascii="宋体" w:hAnsi="Courier New"/>
      <w:kern w:val="2"/>
      <w:sz w:val="21"/>
    </w:rPr>
  </w:style>
  <w:style w:type="character" w:customStyle="1" w:styleId="58">
    <w:name w:val="纯文本 Char1"/>
    <w:qFormat/>
    <w:uiPriority w:val="0"/>
    <w:rPr>
      <w:rFonts w:ascii="宋体" w:hAnsi="Courier New" w:eastAsia="仿宋_GB2312" w:cs="宋体"/>
      <w:b/>
      <w:bCs/>
      <w:color w:val="000000"/>
      <w:sz w:val="21"/>
    </w:rPr>
  </w:style>
  <w:style w:type="character" w:customStyle="1" w:styleId="59">
    <w:name w:val="Texte Char Char"/>
    <w:qFormat/>
    <w:uiPriority w:val="0"/>
    <w:rPr>
      <w:rFonts w:ascii="Yu Mincho Light" w:hAnsi="Yu Mincho Light" w:eastAsia="Yu Mincho Light"/>
      <w:kern w:val="2"/>
      <w:sz w:val="21"/>
      <w:lang w:val="en-US" w:eastAsia="zh-CN" w:bidi="ar-SA"/>
    </w:rPr>
  </w:style>
  <w:style w:type="character" w:customStyle="1" w:styleId="60">
    <w:name w:val="正文缩进 Char"/>
    <w:qFormat/>
    <w:uiPriority w:val="0"/>
    <w:rPr>
      <w:rFonts w:ascii="Yu Mincho Light" w:hAnsi="Yu Mincho Light" w:eastAsia="Yu Mincho Light" w:cs="Yu Mincho Light"/>
      <w:b/>
      <w:bCs/>
      <w:color w:val="000000"/>
      <w:sz w:val="21"/>
      <w:szCs w:val="21"/>
    </w:rPr>
  </w:style>
  <w:style w:type="character" w:customStyle="1" w:styleId="61">
    <w:name w:val="ca-4"/>
    <w:basedOn w:val="37"/>
    <w:qFormat/>
    <w:uiPriority w:val="0"/>
  </w:style>
  <w:style w:type="character" w:customStyle="1" w:styleId="62">
    <w:name w:val="普通文字 Char Char1"/>
    <w:qFormat/>
    <w:uiPriority w:val="0"/>
    <w:rPr>
      <w:rFonts w:ascii="Yu Mincho Light" w:hAnsi="Yu Mincho Light" w:eastAsia="Yu Mincho Light"/>
      <w:kern w:val="2"/>
      <w:sz w:val="21"/>
      <w:lang w:val="en-US" w:eastAsia="zh-CN" w:bidi="ar-SA"/>
    </w:rPr>
  </w:style>
  <w:style w:type="character" w:customStyle="1" w:styleId="63">
    <w:name w:val="自定义正文 Char"/>
    <w:link w:val="64"/>
    <w:qFormat/>
    <w:uiPriority w:val="0"/>
    <w:rPr>
      <w:kern w:val="2"/>
      <w:sz w:val="24"/>
      <w:lang w:bidi="ar-SA"/>
    </w:rPr>
  </w:style>
  <w:style w:type="paragraph" w:customStyle="1" w:styleId="64">
    <w:name w:val="自定义正文"/>
    <w:basedOn w:val="1"/>
    <w:link w:val="63"/>
    <w:qFormat/>
    <w:uiPriority w:val="0"/>
    <w:pPr>
      <w:spacing w:afterLines="50" w:line="360" w:lineRule="auto"/>
      <w:ind w:firstLine="200" w:firstLineChars="200"/>
      <w:jc w:val="left"/>
    </w:pPr>
    <w:rPr>
      <w:b w:val="0"/>
      <w:bCs w:val="0"/>
      <w:color w:val="auto"/>
      <w:kern w:val="2"/>
      <w:sz w:val="24"/>
      <w:szCs w:val="20"/>
    </w:rPr>
  </w:style>
  <w:style w:type="character" w:customStyle="1" w:styleId="65">
    <w:name w:val="页眉 字符"/>
    <w:qFormat/>
    <w:uiPriority w:val="0"/>
    <w:rPr>
      <w:kern w:val="2"/>
      <w:sz w:val="18"/>
      <w:szCs w:val="18"/>
    </w:rPr>
  </w:style>
  <w:style w:type="character" w:customStyle="1" w:styleId="66">
    <w:name w:val="标题 3 字符"/>
    <w:link w:val="4"/>
    <w:qFormat/>
    <w:uiPriority w:val="0"/>
    <w:rPr>
      <w:rFonts w:ascii="Yu Mincho Light" w:hAnsi="Yu Mincho Light" w:eastAsia="Yu Mincho Light"/>
      <w:color w:val="000000"/>
      <w:spacing w:val="20"/>
      <w:sz w:val="30"/>
      <w:szCs w:val="32"/>
    </w:rPr>
  </w:style>
  <w:style w:type="character" w:customStyle="1" w:styleId="67">
    <w:name w:val="正文 1.5 倍行距 Char"/>
    <w:link w:val="68"/>
    <w:qFormat/>
    <w:uiPriority w:val="0"/>
    <w:rPr>
      <w:sz w:val="24"/>
      <w:lang w:bidi="ar-SA"/>
    </w:rPr>
  </w:style>
  <w:style w:type="paragraph" w:customStyle="1" w:styleId="68">
    <w:name w:val="正文 1.5 倍行距"/>
    <w:basedOn w:val="1"/>
    <w:link w:val="67"/>
    <w:qFormat/>
    <w:uiPriority w:val="0"/>
    <w:pPr>
      <w:autoSpaceDE w:val="0"/>
      <w:autoSpaceDN w:val="0"/>
      <w:adjustRightInd w:val="0"/>
      <w:spacing w:line="360" w:lineRule="auto"/>
      <w:ind w:firstLine="480" w:firstLineChars="200"/>
      <w:textAlignment w:val="baseline"/>
    </w:pPr>
    <w:rPr>
      <w:b w:val="0"/>
      <w:bCs w:val="0"/>
      <w:color w:val="auto"/>
      <w:sz w:val="24"/>
      <w:szCs w:val="20"/>
    </w:rPr>
  </w:style>
  <w:style w:type="character" w:customStyle="1" w:styleId="69">
    <w:name w:val="apple-style-span"/>
    <w:basedOn w:val="37"/>
    <w:qFormat/>
    <w:uiPriority w:val="0"/>
  </w:style>
  <w:style w:type="character" w:customStyle="1" w:styleId="70">
    <w:name w:val="ca-5"/>
    <w:basedOn w:val="37"/>
    <w:qFormat/>
    <w:uiPriority w:val="0"/>
  </w:style>
  <w:style w:type="character" w:customStyle="1" w:styleId="71">
    <w:name w:val="纯文本 字符2"/>
    <w:link w:val="21"/>
    <w:qFormat/>
    <w:uiPriority w:val="0"/>
    <w:rPr>
      <w:rFonts w:ascii="Yu Mincho Light" w:hAnsi="Yu Mincho Light" w:eastAsia="Yu Mincho Light" w:cs="Yu Mincho Light"/>
      <w:b/>
      <w:bCs/>
      <w:color w:val="000000"/>
      <w:sz w:val="21"/>
    </w:rPr>
  </w:style>
  <w:style w:type="character" w:customStyle="1" w:styleId="72">
    <w:name w:val="unnamed51"/>
    <w:qFormat/>
    <w:uiPriority w:val="0"/>
    <w:rPr>
      <w:sz w:val="22"/>
      <w:szCs w:val="22"/>
    </w:rPr>
  </w:style>
  <w:style w:type="character" w:customStyle="1" w:styleId="73">
    <w:name w:val="sub"/>
    <w:basedOn w:val="37"/>
    <w:qFormat/>
    <w:uiPriority w:val="0"/>
  </w:style>
  <w:style w:type="character" w:customStyle="1" w:styleId="74">
    <w:name w:val="ca-1"/>
    <w:basedOn w:val="37"/>
    <w:qFormat/>
    <w:uiPriority w:val="0"/>
  </w:style>
  <w:style w:type="character" w:customStyle="1" w:styleId="75">
    <w:name w:val="纯文本 字符"/>
    <w:qFormat/>
    <w:uiPriority w:val="0"/>
    <w:rPr>
      <w:rFonts w:ascii="Yu Mincho Light" w:hAnsi="Yu Mincho Light"/>
      <w:kern w:val="2"/>
      <w:sz w:val="21"/>
    </w:rPr>
  </w:style>
  <w:style w:type="character" w:customStyle="1" w:styleId="76">
    <w:name w:val="强调1"/>
    <w:qFormat/>
    <w:uiPriority w:val="0"/>
    <w:rPr>
      <w:caps/>
      <w:sz w:val="18"/>
    </w:rPr>
  </w:style>
  <w:style w:type="character" w:customStyle="1" w:styleId="77">
    <w:name w:val="正文缩进 Char1"/>
    <w:qFormat/>
    <w:uiPriority w:val="0"/>
    <w:rPr>
      <w:kern w:val="2"/>
      <w:sz w:val="21"/>
    </w:rPr>
  </w:style>
  <w:style w:type="paragraph" w:customStyle="1" w:styleId="78">
    <w:name w:val="无间隔1"/>
    <w:qFormat/>
    <w:uiPriority w:val="0"/>
    <w:pPr>
      <w:widowControl w:val="0"/>
      <w:jc w:val="both"/>
    </w:pPr>
    <w:rPr>
      <w:rFonts w:ascii="Times New Roman" w:hAnsi="Times New Roman" w:eastAsia="宋体" w:cs="Times New Roman"/>
      <w:b/>
      <w:color w:val="000000"/>
      <w:sz w:val="21"/>
      <w:lang w:val="en-US" w:eastAsia="zh-CN" w:bidi="ar-SA"/>
    </w:rPr>
  </w:style>
  <w:style w:type="paragraph" w:customStyle="1" w:styleId="79">
    <w:name w:val="列出段落1"/>
    <w:basedOn w:val="1"/>
    <w:qFormat/>
    <w:uiPriority w:val="0"/>
    <w:pPr>
      <w:ind w:firstLine="420" w:firstLineChars="200"/>
    </w:pPr>
    <w:rPr>
      <w:rFonts w:ascii="Yu Mincho Light" w:hAnsi="Yu Mincho Light" w:eastAsia="Yu Mincho Light" w:cs="Yu Mincho Light"/>
      <w:b w:val="0"/>
      <w:bCs w:val="0"/>
      <w:color w:val="auto"/>
      <w:kern w:val="2"/>
      <w:szCs w:val="20"/>
    </w:rPr>
  </w:style>
  <w:style w:type="paragraph" w:customStyle="1" w:styleId="80">
    <w:name w:val="xl35"/>
    <w:basedOn w:val="1"/>
    <w:qFormat/>
    <w:uiPriority w:val="0"/>
    <w:pPr>
      <w:widowControl/>
      <w:pBdr>
        <w:left w:val="single" w:color="auto" w:sz="4" w:space="0"/>
        <w:bottom w:val="single" w:color="auto" w:sz="4" w:space="0"/>
        <w:right w:val="single" w:color="auto" w:sz="4" w:space="0"/>
      </w:pBdr>
      <w:spacing w:before="100" w:beforeAutospacing="1" w:after="100" w:afterAutospacing="1"/>
      <w:textAlignment w:val="center"/>
    </w:pPr>
    <w:rPr>
      <w:rFonts w:ascii="Yu Mincho Light" w:hAnsi="Yu Mincho Light" w:eastAsia="Yu Mincho Light" w:cs="Yu Mincho Light"/>
      <w:b w:val="0"/>
      <w:bCs w:val="0"/>
      <w:color w:val="auto"/>
      <w:sz w:val="24"/>
      <w:szCs w:val="24"/>
    </w:rPr>
  </w:style>
  <w:style w:type="paragraph" w:customStyle="1" w:styleId="81">
    <w:name w:val="1"/>
    <w:basedOn w:val="14"/>
    <w:qFormat/>
    <w:uiPriority w:val="0"/>
    <w:rPr>
      <w:sz w:val="24"/>
    </w:rPr>
  </w:style>
  <w:style w:type="paragraph" w:customStyle="1" w:styleId="82">
    <w:name w:val="p16"/>
    <w:qFormat/>
    <w:uiPriority w:val="0"/>
    <w:pPr>
      <w:jc w:val="both"/>
    </w:pPr>
    <w:rPr>
      <w:rFonts w:ascii="宋体" w:hAnsi="宋体" w:eastAsia="宋体" w:cs="宋体"/>
      <w:sz w:val="21"/>
      <w:szCs w:val="21"/>
      <w:lang w:val="en-US" w:eastAsia="zh-CN" w:bidi="ar-SA"/>
    </w:rPr>
  </w:style>
  <w:style w:type="paragraph" w:customStyle="1" w:styleId="83">
    <w:name w:val="pa-6"/>
    <w:basedOn w:val="1"/>
    <w:qFormat/>
    <w:uiPriority w:val="0"/>
    <w:pPr>
      <w:widowControl/>
      <w:spacing w:before="100" w:beforeAutospacing="1" w:after="100" w:afterAutospacing="1"/>
      <w:jc w:val="left"/>
    </w:pPr>
    <w:rPr>
      <w:rFonts w:ascii="Yu Mincho Light" w:eastAsia="Yu Mincho Light"/>
      <w:b w:val="0"/>
      <w:bCs w:val="0"/>
      <w:color w:val="auto"/>
      <w:sz w:val="24"/>
      <w:szCs w:val="24"/>
    </w:rPr>
  </w:style>
  <w:style w:type="paragraph" w:customStyle="1" w:styleId="84">
    <w:name w:val="Char Char Char Char"/>
    <w:basedOn w:val="14"/>
    <w:qFormat/>
    <w:uiPriority w:val="0"/>
    <w:rPr>
      <w:sz w:val="24"/>
    </w:rPr>
  </w:style>
  <w:style w:type="paragraph" w:customStyle="1" w:styleId="85">
    <w:name w:val="图注"/>
    <w:basedOn w:val="12"/>
    <w:qFormat/>
    <w:uiPriority w:val="0"/>
    <w:pPr>
      <w:jc w:val="center"/>
    </w:pPr>
    <w:rPr>
      <w:b w:val="0"/>
      <w:bCs w:val="0"/>
      <w:color w:val="auto"/>
      <w:spacing w:val="30"/>
      <w:kern w:val="2"/>
      <w:sz w:val="21"/>
    </w:rPr>
  </w:style>
  <w:style w:type="paragraph" w:customStyle="1" w:styleId="86">
    <w:name w:val="xl77"/>
    <w:basedOn w:val="1"/>
    <w:qFormat/>
    <w:uiPriority w:val="0"/>
    <w:pPr>
      <w:widowControl/>
      <w:pBdr>
        <w:left w:val="single" w:color="auto" w:sz="4" w:space="0"/>
        <w:bottom w:val="single" w:color="auto" w:sz="4" w:space="0"/>
        <w:right w:val="single" w:color="auto" w:sz="4" w:space="0"/>
      </w:pBdr>
      <w:spacing w:before="100" w:beforeAutospacing="1" w:after="100" w:afterAutospacing="1"/>
      <w:jc w:val="center"/>
      <w:textAlignment w:val="center"/>
    </w:pPr>
    <w:rPr>
      <w:rFonts w:ascii="Yu Mincho Light" w:hAnsi="Yu Mincho Light" w:eastAsia="Yu Mincho Light" w:cs="Yu Mincho Light"/>
      <w:color w:val="auto"/>
      <w:sz w:val="28"/>
      <w:szCs w:val="28"/>
    </w:rPr>
  </w:style>
  <w:style w:type="paragraph" w:customStyle="1" w:styleId="87">
    <w:name w:val="Char Char1"/>
    <w:basedOn w:val="14"/>
    <w:qFormat/>
    <w:uiPriority w:val="0"/>
    <w:rPr>
      <w:sz w:val="24"/>
    </w:rPr>
  </w:style>
  <w:style w:type="paragraph" w:customStyle="1" w:styleId="88">
    <w:name w:val="pa-4"/>
    <w:basedOn w:val="1"/>
    <w:qFormat/>
    <w:uiPriority w:val="0"/>
    <w:pPr>
      <w:widowControl/>
      <w:spacing w:before="100" w:beforeAutospacing="1" w:after="100" w:afterAutospacing="1"/>
      <w:jc w:val="left"/>
    </w:pPr>
    <w:rPr>
      <w:rFonts w:ascii="Yu Mincho Light" w:eastAsia="Yu Mincho Light"/>
      <w:b w:val="0"/>
      <w:bCs w:val="0"/>
      <w:color w:val="auto"/>
      <w:sz w:val="24"/>
      <w:szCs w:val="24"/>
    </w:rPr>
  </w:style>
  <w:style w:type="paragraph" w:customStyle="1" w:styleId="89">
    <w:name w:val="Char Char Char Char Char"/>
    <w:basedOn w:val="1"/>
    <w:qFormat/>
    <w:uiPriority w:val="0"/>
    <w:pPr>
      <w:widowControl/>
      <w:spacing w:after="160" w:line="240" w:lineRule="exact"/>
      <w:jc w:val="left"/>
    </w:pPr>
    <w:rPr>
      <w:rFonts w:ascii="Yu Mincho Light" w:hAnsi="Yu Mincho Light" w:eastAsia="Yu Mincho Light" w:cs="Yu Mincho Light"/>
      <w:b w:val="0"/>
      <w:bCs w:val="0"/>
      <w:color w:val="auto"/>
      <w:szCs w:val="20"/>
      <w:lang w:eastAsia="en-US"/>
    </w:rPr>
  </w:style>
  <w:style w:type="paragraph" w:customStyle="1" w:styleId="90">
    <w:name w:val="正文段"/>
    <w:basedOn w:val="1"/>
    <w:qFormat/>
    <w:uiPriority w:val="0"/>
    <w:pPr>
      <w:widowControl/>
      <w:snapToGrid w:val="0"/>
      <w:spacing w:afterLines="50"/>
      <w:ind w:firstLine="200" w:firstLineChars="200"/>
    </w:pPr>
    <w:rPr>
      <w:rFonts w:ascii="Yu Mincho Light" w:hAnsi="Yu Mincho Light" w:eastAsia="Yu Mincho Light" w:cs="Yu Mincho Light"/>
      <w:b w:val="0"/>
      <w:bCs w:val="0"/>
      <w:color w:val="auto"/>
      <w:sz w:val="24"/>
      <w:szCs w:val="20"/>
    </w:rPr>
  </w:style>
  <w:style w:type="paragraph" w:customStyle="1" w:styleId="91">
    <w:name w:val="Char Char Char Char1"/>
    <w:basedOn w:val="1"/>
    <w:qFormat/>
    <w:uiPriority w:val="0"/>
  </w:style>
  <w:style w:type="paragraph" w:customStyle="1" w:styleId="92">
    <w:name w:val="默认段落字体 Para Char Char Char Char"/>
    <w:basedOn w:val="1"/>
    <w:qFormat/>
    <w:uiPriority w:val="0"/>
    <w:pPr>
      <w:adjustRightInd w:val="0"/>
      <w:spacing w:line="360" w:lineRule="auto"/>
    </w:pPr>
    <w:rPr>
      <w:rFonts w:ascii="Yu Mincho Light" w:hAnsi="Yu Mincho Light" w:eastAsia="Yu Mincho Light" w:cs="Yu Mincho Light"/>
      <w:b w:val="0"/>
      <w:bCs w:val="0"/>
      <w:color w:val="auto"/>
      <w:sz w:val="24"/>
      <w:szCs w:val="20"/>
    </w:rPr>
  </w:style>
  <w:style w:type="paragraph" w:customStyle="1" w:styleId="93">
    <w:name w:val="表内文字"/>
    <w:basedOn w:val="1"/>
    <w:qFormat/>
    <w:uiPriority w:val="0"/>
    <w:pPr>
      <w:spacing w:line="500" w:lineRule="atLeast"/>
      <w:jc w:val="center"/>
    </w:pPr>
    <w:rPr>
      <w:rFonts w:ascii="Yu Mincho Light" w:hAnsi="Yu Mincho Light" w:eastAsia="Yu Mincho Light" w:cs="Yu Mincho Light"/>
      <w:b w:val="0"/>
      <w:bCs w:val="0"/>
      <w:color w:val="auto"/>
      <w:kern w:val="2"/>
      <w:sz w:val="28"/>
      <w:szCs w:val="24"/>
    </w:rPr>
  </w:style>
  <w:style w:type="paragraph" w:customStyle="1" w:styleId="94">
    <w:name w:val="Default"/>
    <w:qFormat/>
    <w:uiPriority w:val="0"/>
    <w:pPr>
      <w:widowControl w:val="0"/>
      <w:autoSpaceDE w:val="0"/>
      <w:autoSpaceDN w:val="0"/>
      <w:adjustRightInd w:val="0"/>
    </w:pPr>
    <w:rPr>
      <w:rFonts w:ascii="Times New Roman" w:hAnsi="Times New Roman" w:eastAsia="宋体" w:cs="Times New Roman"/>
      <w:color w:val="000000"/>
      <w:sz w:val="24"/>
      <w:szCs w:val="24"/>
      <w:lang w:val="en-US" w:eastAsia="zh-CN" w:bidi="ar-SA"/>
    </w:rPr>
  </w:style>
  <w:style w:type="paragraph" w:customStyle="1" w:styleId="95">
    <w:name w:val="Char1"/>
    <w:basedOn w:val="1"/>
    <w:qFormat/>
    <w:uiPriority w:val="0"/>
    <w:rPr>
      <w:rFonts w:hAnsi="Yu Mincho Light" w:cs="Yu Mincho Light"/>
      <w:bCs w:val="0"/>
      <w:color w:val="auto"/>
      <w:kern w:val="2"/>
      <w:sz w:val="32"/>
      <w:szCs w:val="32"/>
    </w:rPr>
  </w:style>
  <w:style w:type="paragraph" w:customStyle="1" w:styleId="96">
    <w:name w:val="Table Paragraph"/>
    <w:basedOn w:val="1"/>
    <w:qFormat/>
    <w:uiPriority w:val="1"/>
    <w:rPr>
      <w:rFonts w:ascii="Cambria Math" w:hAnsi="Cambria Math" w:eastAsia="Cambria Math" w:cs="Cambria Math"/>
      <w:b w:val="0"/>
      <w:bCs w:val="0"/>
      <w:color w:val="auto"/>
      <w:kern w:val="2"/>
      <w:szCs w:val="24"/>
      <w:lang w:val="zh-CN" w:bidi="zh-CN"/>
    </w:rPr>
  </w:style>
  <w:style w:type="paragraph" w:customStyle="1" w:styleId="97">
    <w:name w:val="Char1 Char Char Char"/>
    <w:basedOn w:val="1"/>
    <w:qFormat/>
    <w:uiPriority w:val="0"/>
    <w:rPr>
      <w:rFonts w:hAnsi="Yu Mincho Light" w:cs="Yu Mincho Light"/>
      <w:bCs w:val="0"/>
      <w:color w:val="auto"/>
      <w:kern w:val="2"/>
      <w:sz w:val="32"/>
      <w:szCs w:val="32"/>
    </w:rPr>
  </w:style>
  <w:style w:type="paragraph" w:customStyle="1" w:styleId="98">
    <w:name w:val="Char Char1 Char Char Char Char Char Char Char Char Char Char"/>
    <w:basedOn w:val="1"/>
    <w:qFormat/>
    <w:uiPriority w:val="0"/>
    <w:rPr>
      <w:rFonts w:ascii="Yu Mincho Light" w:hAnsi="Yu Mincho Light" w:eastAsia="Yu Mincho Light" w:cs="Yu Mincho Light"/>
      <w:b w:val="0"/>
      <w:bCs w:val="0"/>
      <w:color w:val="auto"/>
      <w:kern w:val="2"/>
      <w:sz w:val="24"/>
      <w:szCs w:val="20"/>
    </w:rPr>
  </w:style>
  <w:style w:type="paragraph" w:customStyle="1" w:styleId="99">
    <w:name w:val="Char Char Char Char Char Char Char Char Char1 Char"/>
    <w:basedOn w:val="1"/>
    <w:qFormat/>
    <w:uiPriority w:val="0"/>
    <w:rPr>
      <w:rFonts w:hAnsi="Yu Mincho Light" w:cs="Yu Mincho Light"/>
      <w:bCs w:val="0"/>
      <w:color w:val="auto"/>
      <w:kern w:val="2"/>
      <w:sz w:val="32"/>
      <w:szCs w:val="32"/>
    </w:rPr>
  </w:style>
  <w:style w:type="paragraph" w:customStyle="1" w:styleId="100">
    <w:name w:val="Body Text(ch)"/>
    <w:basedOn w:val="1"/>
    <w:next w:val="17"/>
    <w:qFormat/>
    <w:uiPriority w:val="0"/>
    <w:pPr>
      <w:spacing w:line="500" w:lineRule="exact"/>
      <w:jc w:val="center"/>
    </w:pPr>
    <w:rPr>
      <w:rFonts w:ascii="Yu Mincho Light" w:hAnsi="Yu Mincho Light" w:eastAsia="Yu Mincho Light" w:cs="Yu Mincho Light"/>
      <w:b w:val="0"/>
      <w:bCs w:val="0"/>
      <w:color w:val="auto"/>
      <w:kern w:val="2"/>
      <w:szCs w:val="24"/>
    </w:rPr>
  </w:style>
  <w:style w:type="paragraph" w:customStyle="1" w:styleId="101">
    <w:name w:val="Char11"/>
    <w:basedOn w:val="1"/>
    <w:qFormat/>
    <w:uiPriority w:val="0"/>
    <w:pPr>
      <w:tabs>
        <w:tab w:val="left" w:pos="840"/>
      </w:tabs>
      <w:ind w:left="840" w:hanging="420"/>
    </w:pPr>
    <w:rPr>
      <w:rFonts w:ascii="Yu Mincho Light" w:hAnsi="Yu Mincho Light" w:eastAsia="Yu Mincho Light" w:cs="Yu Mincho Light"/>
      <w:b w:val="0"/>
      <w:bCs w:val="0"/>
      <w:color w:val="auto"/>
      <w:kern w:val="2"/>
      <w:sz w:val="24"/>
      <w:szCs w:val="24"/>
    </w:rPr>
  </w:style>
  <w:style w:type="paragraph" w:customStyle="1" w:styleId="102">
    <w:name w:val="样式3"/>
    <w:basedOn w:val="1"/>
    <w:qFormat/>
    <w:uiPriority w:val="0"/>
    <w:pPr>
      <w:tabs>
        <w:tab w:val="left" w:pos="567"/>
      </w:tabs>
      <w:ind w:left="567" w:hanging="567"/>
    </w:pPr>
    <w:rPr>
      <w:rFonts w:ascii="Yu Mincho Light" w:hAnsi="Yu Mincho Light" w:eastAsia="Yu Mincho Light" w:cs="Yu Mincho Light"/>
      <w:b w:val="0"/>
      <w:bCs w:val="0"/>
      <w:color w:val="auto"/>
      <w:kern w:val="2"/>
      <w:szCs w:val="24"/>
    </w:rPr>
  </w:style>
  <w:style w:type="paragraph" w:customStyle="1" w:styleId="103">
    <w:name w:val="正文－恩普"/>
    <w:basedOn w:val="5"/>
    <w:qFormat/>
    <w:uiPriority w:val="0"/>
    <w:pPr>
      <w:widowControl/>
      <w:spacing w:before="100" w:beforeAutospacing="1" w:afterLines="50" w:afterAutospacing="1" w:line="360" w:lineRule="auto"/>
      <w:ind w:firstLine="480"/>
      <w:jc w:val="left"/>
    </w:pPr>
    <w:rPr>
      <w:sz w:val="24"/>
      <w:szCs w:val="20"/>
    </w:rPr>
  </w:style>
  <w:style w:type="paragraph" w:customStyle="1" w:styleId="104">
    <w:name w:val="小点说明"/>
    <w:basedOn w:val="1"/>
    <w:qFormat/>
    <w:uiPriority w:val="0"/>
    <w:pPr>
      <w:tabs>
        <w:tab w:val="left" w:pos="0"/>
      </w:tabs>
      <w:adjustRightInd w:val="0"/>
      <w:snapToGrid w:val="0"/>
      <w:spacing w:line="340" w:lineRule="atLeast"/>
    </w:pPr>
    <w:rPr>
      <w:rFonts w:ascii="Yu Mincho Light" w:eastAsia="Yu Mincho Light" w:cs="Yu Mincho Light"/>
      <w:b w:val="0"/>
      <w:color w:val="auto"/>
      <w:szCs w:val="24"/>
      <w:lang w:val="eu-ES"/>
    </w:rPr>
  </w:style>
  <w:style w:type="paragraph" w:customStyle="1" w:styleId="105">
    <w:name w:val="Char1 Char Char Char Char Char Char"/>
    <w:basedOn w:val="1"/>
    <w:qFormat/>
    <w:uiPriority w:val="0"/>
    <w:rPr>
      <w:rFonts w:ascii="Yu Mincho Light" w:hAnsi="Yu Mincho Light" w:eastAsia="Yu Mincho Light" w:cs="Yu Mincho Light"/>
      <w:b w:val="0"/>
      <w:bCs w:val="0"/>
      <w:color w:val="auto"/>
      <w:kern w:val="2"/>
      <w:sz w:val="24"/>
      <w:szCs w:val="20"/>
    </w:rPr>
  </w:style>
  <w:style w:type="paragraph" w:customStyle="1" w:styleId="106">
    <w:name w:val="正文缩进小五"/>
    <w:basedOn w:val="1"/>
    <w:qFormat/>
    <w:uiPriority w:val="0"/>
    <w:pPr>
      <w:widowControl/>
      <w:spacing w:before="120" w:after="120"/>
      <w:ind w:firstLine="360" w:firstLineChars="200"/>
    </w:pPr>
    <w:rPr>
      <w:rFonts w:ascii="Yu Mincho Light" w:hAnsi="Yu Mincho Light" w:eastAsia="Yu Mincho Light" w:cs="Yu Mincho Light"/>
      <w:b w:val="0"/>
      <w:bCs w:val="0"/>
      <w:color w:val="auto"/>
      <w:sz w:val="18"/>
      <w:szCs w:val="18"/>
    </w:rPr>
  </w:style>
  <w:style w:type="paragraph" w:customStyle="1" w:styleId="107">
    <w:name w:val="Char Char Char Char Char Char Char"/>
    <w:basedOn w:val="1"/>
    <w:qFormat/>
    <w:uiPriority w:val="0"/>
    <w:rPr>
      <w:rFonts w:hAnsi="Yu Mincho Light" w:cs="Yu Mincho Light"/>
      <w:bCs w:val="0"/>
      <w:color w:val="auto"/>
      <w:kern w:val="2"/>
      <w:sz w:val="32"/>
      <w:szCs w:val="32"/>
    </w:rPr>
  </w:style>
  <w:style w:type="paragraph" w:customStyle="1" w:styleId="108">
    <w:name w:val="pa-7"/>
    <w:basedOn w:val="1"/>
    <w:qFormat/>
    <w:uiPriority w:val="0"/>
    <w:pPr>
      <w:widowControl/>
      <w:spacing w:before="100" w:beforeAutospacing="1" w:after="100" w:afterAutospacing="1"/>
      <w:jc w:val="left"/>
    </w:pPr>
    <w:rPr>
      <w:rFonts w:ascii="Yu Mincho Light" w:eastAsia="Yu Mincho Light"/>
      <w:b w:val="0"/>
      <w:bCs w:val="0"/>
      <w:color w:val="auto"/>
      <w:sz w:val="24"/>
      <w:szCs w:val="24"/>
    </w:rPr>
  </w:style>
  <w:style w:type="paragraph" w:customStyle="1" w:styleId="109">
    <w:name w:val="Char"/>
    <w:basedOn w:val="1"/>
    <w:qFormat/>
    <w:uiPriority w:val="0"/>
    <w:rPr>
      <w:rFonts w:hAnsi="Yu Mincho Light" w:cs="Yu Mincho Light"/>
      <w:bCs w:val="0"/>
      <w:color w:val="auto"/>
      <w:kern w:val="2"/>
      <w:sz w:val="32"/>
      <w:szCs w:val="32"/>
    </w:rPr>
  </w:style>
  <w:style w:type="paragraph" w:customStyle="1" w:styleId="110">
    <w:name w:val="Char2"/>
    <w:basedOn w:val="1"/>
    <w:qFormat/>
    <w:uiPriority w:val="0"/>
    <w:rPr>
      <w:rFonts w:ascii="Yu Mincho Light" w:eastAsia="Yu Mincho Light"/>
      <w:b w:val="0"/>
      <w:sz w:val="32"/>
      <w:szCs w:val="32"/>
    </w:rPr>
  </w:style>
  <w:style w:type="paragraph" w:customStyle="1" w:styleId="111">
    <w:name w:val="_Style 19"/>
    <w:basedOn w:val="1"/>
    <w:qFormat/>
    <w:uiPriority w:val="0"/>
  </w:style>
  <w:style w:type="paragraph" w:customStyle="1" w:styleId="112">
    <w:name w:val="Char Char Char"/>
    <w:basedOn w:val="1"/>
    <w:qFormat/>
    <w:uiPriority w:val="0"/>
    <w:rPr>
      <w:rFonts w:ascii="Yu Mincho Light" w:hAnsi="Yu Mincho Light" w:eastAsia="Yu Mincho Light" w:cs="Yu Mincho Light"/>
      <w:b w:val="0"/>
      <w:bCs w:val="0"/>
      <w:color w:val="auto"/>
      <w:kern w:val="2"/>
      <w:sz w:val="24"/>
      <w:szCs w:val="20"/>
    </w:rPr>
  </w:style>
  <w:style w:type="paragraph" w:customStyle="1" w:styleId="113">
    <w:name w:val="默认段落字体 Para Char Char Char Char Char Char Char Char Char1 Char Char Char Char Char Char Char"/>
    <w:basedOn w:val="14"/>
    <w:qFormat/>
    <w:uiPriority w:val="0"/>
    <w:rPr>
      <w:sz w:val="24"/>
    </w:rPr>
  </w:style>
  <w:style w:type="paragraph" w:customStyle="1" w:styleId="114">
    <w:name w:val="pa-1"/>
    <w:basedOn w:val="1"/>
    <w:qFormat/>
    <w:uiPriority w:val="0"/>
    <w:pPr>
      <w:widowControl/>
      <w:spacing w:before="100" w:beforeAutospacing="1" w:after="100" w:afterAutospacing="1"/>
      <w:jc w:val="left"/>
    </w:pPr>
    <w:rPr>
      <w:rFonts w:ascii="Yu Mincho Light" w:eastAsia="Yu Mincho Light"/>
      <w:b w:val="0"/>
      <w:bCs w:val="0"/>
      <w:color w:val="auto"/>
      <w:sz w:val="24"/>
      <w:szCs w:val="24"/>
    </w:rPr>
  </w:style>
  <w:style w:type="paragraph" w:customStyle="1" w:styleId="115">
    <w:name w:val="pa-5"/>
    <w:basedOn w:val="1"/>
    <w:qFormat/>
    <w:uiPriority w:val="0"/>
    <w:pPr>
      <w:widowControl/>
      <w:spacing w:before="100" w:beforeAutospacing="1" w:after="100" w:afterAutospacing="1"/>
      <w:jc w:val="left"/>
    </w:pPr>
    <w:rPr>
      <w:rFonts w:ascii="Yu Mincho Light" w:eastAsia="Yu Mincho Light"/>
      <w:b w:val="0"/>
      <w:bCs w:val="0"/>
      <w:color w:val="auto"/>
      <w:sz w:val="24"/>
      <w:szCs w:val="24"/>
    </w:rPr>
  </w:style>
  <w:style w:type="paragraph" w:customStyle="1" w:styleId="116">
    <w:name w:val="Char1 Char Char Char1"/>
    <w:basedOn w:val="1"/>
    <w:qFormat/>
    <w:uiPriority w:val="0"/>
    <w:pPr>
      <w:widowControl/>
      <w:snapToGrid w:val="0"/>
      <w:spacing w:before="120" w:after="160" w:line="360" w:lineRule="auto"/>
      <w:ind w:right="-360"/>
      <w:jc w:val="left"/>
    </w:pPr>
    <w:rPr>
      <w:rFonts w:ascii="Yu Mincho Light" w:hAnsi="Yu Mincho Light" w:eastAsia="Yu Mincho Light" w:cs="Yu Mincho Light"/>
      <w:b w:val="0"/>
      <w:bCs w:val="0"/>
      <w:color w:val="auto"/>
      <w:sz w:val="24"/>
      <w:szCs w:val="24"/>
      <w:lang w:eastAsia="en-US"/>
    </w:rPr>
  </w:style>
  <w:style w:type="paragraph" w:customStyle="1" w:styleId="117">
    <w:name w:val="表格正文"/>
    <w:basedOn w:val="1"/>
    <w:qFormat/>
    <w:uiPriority w:val="0"/>
    <w:pPr>
      <w:adjustRightInd w:val="0"/>
      <w:snapToGrid w:val="0"/>
      <w:spacing w:before="60" w:after="60"/>
      <w:jc w:val="center"/>
      <w:textAlignment w:val="baseline"/>
    </w:pPr>
    <w:rPr>
      <w:rFonts w:ascii="Yu Mincho Light" w:hAnsi="Yu Mincho Light" w:eastAsia="Yu Mincho Light" w:cs="Yu Mincho Light"/>
      <w:b w:val="0"/>
      <w:bCs w:val="0"/>
      <w:color w:val="auto"/>
      <w:sz w:val="24"/>
      <w:szCs w:val="20"/>
    </w:rPr>
  </w:style>
  <w:style w:type="paragraph" w:customStyle="1" w:styleId="118">
    <w:name w:val="年"/>
    <w:basedOn w:val="1"/>
    <w:qFormat/>
    <w:uiPriority w:val="0"/>
    <w:pPr>
      <w:tabs>
        <w:tab w:val="left" w:pos="420"/>
      </w:tabs>
      <w:adjustRightInd w:val="0"/>
      <w:snapToGrid w:val="0"/>
      <w:spacing w:line="360" w:lineRule="auto"/>
      <w:ind w:left="420" w:hanging="420"/>
    </w:pPr>
    <w:rPr>
      <w:rFonts w:ascii="Yu Mincho Light" w:eastAsia="Yu Mincho Light" w:cs="Yu Mincho Light"/>
      <w:b w:val="0"/>
      <w:color w:val="auto"/>
      <w:kern w:val="2"/>
      <w:sz w:val="24"/>
      <w:szCs w:val="20"/>
    </w:rPr>
  </w:style>
  <w:style w:type="paragraph" w:customStyle="1" w:styleId="119">
    <w:name w:val="pa-3"/>
    <w:basedOn w:val="1"/>
    <w:qFormat/>
    <w:uiPriority w:val="0"/>
    <w:pPr>
      <w:widowControl/>
      <w:spacing w:before="100" w:beforeAutospacing="1" w:after="100" w:afterAutospacing="1"/>
      <w:jc w:val="left"/>
    </w:pPr>
    <w:rPr>
      <w:rFonts w:ascii="Yu Mincho Light" w:eastAsia="Yu Mincho Light"/>
      <w:b w:val="0"/>
      <w:bCs w:val="0"/>
      <w:color w:val="auto"/>
      <w:sz w:val="24"/>
      <w:szCs w:val="24"/>
    </w:rPr>
  </w:style>
  <w:style w:type="character" w:customStyle="1" w:styleId="120">
    <w:name w:val="纯文本 字符1"/>
    <w:qFormat/>
    <w:uiPriority w:val="0"/>
    <w:rPr>
      <w:rFonts w:ascii="@仿宋_GB2312" w:hAnsi="@楷体_GB2312" w:eastAsia="@楷体_GB2312" w:cs="@仿宋_GB2312"/>
      <w:b/>
      <w:bCs/>
      <w:color w:val="000000"/>
      <w:sz w:val="21"/>
    </w:rPr>
  </w:style>
  <w:style w:type="character" w:customStyle="1" w:styleId="121">
    <w:name w:val="正文文本缩进 2 字符"/>
    <w:basedOn w:val="37"/>
    <w:link w:val="23"/>
    <w:qFormat/>
    <w:uiPriority w:val="0"/>
    <w:rPr>
      <w:rFonts w:hint="default" w:ascii="Times New Roman" w:hAnsi="Times New Roman" w:cs="Times New Roman"/>
      <w:kern w:val="2"/>
      <w:sz w:val="21"/>
      <w:szCs w:val="24"/>
    </w:rPr>
  </w:style>
  <w:style w:type="character" w:customStyle="1" w:styleId="122">
    <w:name w:val="批注框文本 字符"/>
    <w:link w:val="24"/>
    <w:qFormat/>
    <w:uiPriority w:val="0"/>
    <w:rPr>
      <w:rFonts w:ascii="Times New Roman" w:hAnsi="Times New Roman" w:cs="Times New Roman"/>
      <w:b/>
      <w:bCs/>
      <w:color w:val="000000"/>
      <w:sz w:val="18"/>
      <w:szCs w:val="18"/>
    </w:rPr>
  </w:style>
  <w:style w:type="character" w:customStyle="1" w:styleId="123">
    <w:name w:val="标题 字符"/>
    <w:basedOn w:val="37"/>
    <w:link w:val="32"/>
    <w:qFormat/>
    <w:uiPriority w:val="0"/>
    <w:rPr>
      <w:rFonts w:ascii="Cambria" w:hAnsi="Cambria" w:eastAsia="Cambria" w:cs="Cambria"/>
      <w:b/>
      <w:color w:val="000000"/>
      <w:kern w:val="1"/>
      <w:sz w:val="32"/>
      <w:szCs w:val="32"/>
    </w:rPr>
  </w:style>
  <w:style w:type="paragraph" w:customStyle="1" w:styleId="124">
    <w:name w:val="_Style 123"/>
    <w:basedOn w:val="1"/>
    <w:next w:val="1"/>
    <w:qFormat/>
    <w:uiPriority w:val="0"/>
    <w:pPr>
      <w:ind w:left="420" w:leftChars="200"/>
    </w:pPr>
    <w:rPr>
      <w:b w:val="0"/>
      <w:bCs w:val="0"/>
      <w:color w:val="auto"/>
      <w:kern w:val="2"/>
      <w:szCs w:val="24"/>
    </w:rPr>
  </w:style>
  <w:style w:type="paragraph" w:customStyle="1" w:styleId="125">
    <w:name w:val="样式 首行缩进:  2 字符"/>
    <w:basedOn w:val="1"/>
    <w:qFormat/>
    <w:uiPriority w:val="0"/>
    <w:pPr>
      <w:spacing w:line="360" w:lineRule="auto"/>
      <w:ind w:firstLine="480" w:firstLineChars="200"/>
    </w:pPr>
    <w:rPr>
      <w:rFonts w:ascii="宋体" w:hAnsi="宋体" w:cs="宋体"/>
      <w:b w:val="0"/>
      <w:bCs w:val="0"/>
      <w:kern w:val="2"/>
      <w:sz w:val="24"/>
      <w:szCs w:val="20"/>
    </w:rPr>
  </w:style>
</w:styles>
</file>

<file path=word/_rels/document.xml.rels><?xml version="1.0" encoding="UTF-8" standalone="yes"?>
<Relationships xmlns="http://schemas.openxmlformats.org/package/2006/relationships"><Relationship Id="rId9" Type="http://schemas.openxmlformats.org/officeDocument/2006/relationships/customXml" Target="../customXml/item2.xml"/><Relationship Id="rId8" Type="http://schemas.openxmlformats.org/officeDocument/2006/relationships/numbering" Target="numbering.xml"/><Relationship Id="rId7"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oter" Target="footer2.xml"/><Relationship Id="rId4" Type="http://schemas.openxmlformats.org/officeDocument/2006/relationships/header" Target="header1.xml"/><Relationship Id="rId3" Type="http://schemas.openxmlformats.org/officeDocument/2006/relationships/footer" Target="footer1.xml"/><Relationship Id="rId2" Type="http://schemas.openxmlformats.org/officeDocument/2006/relationships/settings" Target="settings.xml"/><Relationship Id="rId10" Type="http://schemas.openxmlformats.org/officeDocument/2006/relationships/fontTable" Target="fontTable.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6822749B-2C32-4A48-B17C-F98670653644}">
  <ds:schemaRefs/>
</ds:datastoreItem>
</file>

<file path=docProps/app.xml><?xml version="1.0" encoding="utf-8"?>
<Properties xmlns="http://schemas.openxmlformats.org/officeDocument/2006/extended-properties" xmlns:vt="http://schemas.openxmlformats.org/officeDocument/2006/docPropsVTypes">
  <Template>Normal</Template>
  <Company>信念技术论坛</Company>
  <Pages>42</Pages>
  <Words>2278</Words>
  <Characters>2705</Characters>
  <Lines>156</Lines>
  <Paragraphs>43</Paragraphs>
  <TotalTime>2</TotalTime>
  <ScaleCrop>false</ScaleCrop>
  <LinksUpToDate>false</LinksUpToDate>
  <CharactersWithSpaces>2748</CharactersWithSpaces>
  <Application>WPS Office_12.1.0.20754_F1E327BC-269C-435d-A152-05C5408002CA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2025-02-16T11:09:00Z</dcterms:created>
  <dc:creator>陈仕盈</dc:creator>
  <cp:keywords>苍南超然招标代理有限公司</cp:keywords>
  <cp:lastModifiedBy>世铭</cp:lastModifiedBy>
  <cp:lastPrinted>2023-03-27T05:27:00Z</cp:lastPrinted>
  <dcterms:modified xsi:type="dcterms:W3CDTF">2025-03-28T03:05:55Z</dcterms:modified>
  <dc:title>玉 环 县 政 府 采 购 中 心</dc:title>
  <cp:revision>25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2052-12.1.0.20754</vt:lpwstr>
  </property>
  <property fmtid="{D5CDD505-2E9C-101B-9397-08002B2CF9AE}" pid="3" name="ICV">
    <vt:lpwstr>FE27B0B13CB04F21AA1C5DF3DB2D18FF_13</vt:lpwstr>
  </property>
  <property fmtid="{D5CDD505-2E9C-101B-9397-08002B2CF9AE}" pid="4" name="KSOTemplateDocerSaveRecord">
    <vt:lpwstr>eyJoZGlkIjoiNTU0ZmIwYTQ3NzlmZGUxZmU3Zjk0M2IyZTNmM2IxNjAiLCJ1c2VySWQiOiIzNTI2MTA4NzMifQ==</vt:lpwstr>
  </property>
</Properties>
</file>