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8"/>
      </w:tblGrid>
      <w:tr w14:paraId="356B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9258" w:type="dxa"/>
          </w:tcPr>
          <w:p w14:paraId="12A7FDA6">
            <w:pPr>
              <w:autoSpaceDE w:val="0"/>
              <w:autoSpaceDN w:val="0"/>
              <w:adjustRightInd w:val="0"/>
              <w:snapToGrid w:val="0"/>
              <w:spacing w:line="500" w:lineRule="atLeast"/>
              <w:ind w:left="956"/>
              <w:rPr>
                <w:rFonts w:ascii="Cambria Math" w:hAnsi="Cambria Math" w:eastAsia="Cambria Math"/>
                <w:b w:val="0"/>
                <w:bCs w:val="0"/>
                <w:color w:val="auto"/>
                <w:sz w:val="32"/>
                <w:szCs w:val="32"/>
                <w:highlight w:val="none"/>
                <w:lang w:val="zh-CN"/>
              </w:rPr>
            </w:pPr>
          </w:p>
          <w:p w14:paraId="477E0773">
            <w:pPr>
              <w:autoSpaceDE w:val="0"/>
              <w:autoSpaceDN w:val="0"/>
              <w:adjustRightInd w:val="0"/>
              <w:snapToGrid w:val="0"/>
              <w:spacing w:line="500" w:lineRule="atLeast"/>
              <w:jc w:val="center"/>
              <w:rPr>
                <w:rFonts w:ascii="Cambria Math" w:hAnsi="Cambria Math" w:eastAsia="Cambria Math"/>
                <w:color w:val="auto"/>
                <w:sz w:val="32"/>
                <w:szCs w:val="32"/>
                <w:highlight w:val="none"/>
                <w:lang w:val="zh-CN"/>
              </w:rPr>
            </w:pPr>
          </w:p>
          <w:p w14:paraId="33F32910">
            <w:pPr>
              <w:jc w:val="center"/>
              <w:rPr>
                <w:rFonts w:ascii="Cambria Math" w:hAnsi="Cambria Math" w:eastAsia="Cambria Math"/>
                <w:b w:val="0"/>
                <w:color w:val="auto"/>
                <w:sz w:val="72"/>
                <w:highlight w:val="none"/>
              </w:rPr>
            </w:pPr>
            <w:r>
              <w:rPr>
                <w:rFonts w:hint="eastAsia" w:ascii="宋体" w:hAnsi="宋体"/>
                <w:b w:val="0"/>
                <w:color w:val="auto"/>
                <w:sz w:val="72"/>
                <w:highlight w:val="none"/>
              </w:rPr>
              <w:t xml:space="preserve">龙 港 </w:t>
            </w:r>
            <w:r>
              <w:rPr>
                <w:rFonts w:hint="eastAsia" w:ascii="Cambria Math" w:hAnsi="Cambria Math" w:eastAsia="Cambria Math"/>
                <w:b w:val="0"/>
                <w:color w:val="auto"/>
                <w:sz w:val="72"/>
                <w:highlight w:val="none"/>
              </w:rPr>
              <w:t>市 国 企 采 购</w:t>
            </w:r>
          </w:p>
          <w:p w14:paraId="6D773597">
            <w:pPr>
              <w:jc w:val="center"/>
              <w:rPr>
                <w:rFonts w:hint="eastAsia" w:ascii="宋体" w:hAnsi="宋体" w:cs="宋体"/>
                <w:b w:val="0"/>
                <w:color w:val="auto"/>
                <w:sz w:val="72"/>
                <w:highlight w:val="none"/>
              </w:rPr>
            </w:pPr>
            <w:r>
              <w:rPr>
                <w:rFonts w:hint="eastAsia" w:ascii="宋体" w:hAnsi="宋体" w:cs="宋体"/>
                <w:b w:val="0"/>
                <w:color w:val="auto"/>
                <w:sz w:val="72"/>
                <w:highlight w:val="none"/>
              </w:rPr>
              <w:t>招 标 文 件</w:t>
            </w:r>
          </w:p>
          <w:p w14:paraId="557F0190">
            <w:pPr>
              <w:ind w:firstLine="1200" w:firstLineChars="400"/>
              <w:rPr>
                <w:rFonts w:ascii="Cambria Math" w:hAnsi="Cambria Math"/>
                <w:b w:val="0"/>
                <w:color w:val="auto"/>
                <w:sz w:val="30"/>
                <w:szCs w:val="30"/>
                <w:highlight w:val="none"/>
              </w:rPr>
            </w:pPr>
          </w:p>
          <w:p w14:paraId="64A789A6">
            <w:pPr>
              <w:ind w:firstLine="1200" w:firstLineChars="400"/>
              <w:rPr>
                <w:rFonts w:ascii="Cambria Math" w:hAnsi="Cambria Math"/>
                <w:b w:val="0"/>
                <w:color w:val="auto"/>
                <w:sz w:val="30"/>
                <w:szCs w:val="30"/>
                <w:highlight w:val="none"/>
              </w:rPr>
            </w:pPr>
          </w:p>
          <w:p w14:paraId="55ABEDBE">
            <w:pPr>
              <w:spacing w:line="360" w:lineRule="auto"/>
              <w:ind w:left="2527" w:leftChars="569" w:hanging="1332" w:hangingChars="444"/>
              <w:rPr>
                <w:rFonts w:hint="eastAsia" w:ascii="Cambria Math" w:hAnsi="Cambria Math" w:eastAsia="宋体"/>
                <w:b w:val="0"/>
                <w:color w:val="auto"/>
                <w:sz w:val="30"/>
                <w:szCs w:val="30"/>
                <w:highlight w:val="none"/>
                <w:lang w:eastAsia="zh-CN"/>
              </w:rPr>
            </w:pPr>
            <w:r>
              <w:rPr>
                <w:rFonts w:hint="eastAsia" w:ascii="Cambria Math" w:hAnsi="Cambria Math" w:eastAsia="Cambria Math"/>
                <w:b w:val="0"/>
                <w:color w:val="auto"/>
                <w:sz w:val="30"/>
                <w:szCs w:val="30"/>
                <w:highlight w:val="none"/>
              </w:rPr>
              <w:t>项目名称：</w:t>
            </w:r>
            <w:r>
              <w:rPr>
                <w:rFonts w:hint="eastAsia" w:ascii="宋体" w:hAnsi="宋体" w:cs="宋体"/>
                <w:b w:val="0"/>
                <w:color w:val="auto"/>
                <w:sz w:val="30"/>
                <w:szCs w:val="30"/>
                <w:highlight w:val="none"/>
                <w:lang w:eastAsia="zh-CN"/>
              </w:rPr>
              <w:t>龙港水务用水客户户内漏水保险服务项目</w:t>
            </w:r>
          </w:p>
          <w:p w14:paraId="35EFBB95">
            <w:pPr>
              <w:spacing w:line="360" w:lineRule="auto"/>
              <w:ind w:firstLine="1200" w:firstLineChars="400"/>
              <w:rPr>
                <w:rFonts w:ascii="Cambria Math" w:hAnsi="Cambria Math" w:eastAsia="Cambria Math"/>
                <w:b w:val="0"/>
                <w:color w:val="auto"/>
                <w:sz w:val="30"/>
                <w:szCs w:val="30"/>
                <w:highlight w:val="none"/>
              </w:rPr>
            </w:pPr>
            <w:r>
              <w:rPr>
                <w:rFonts w:hint="eastAsia" w:ascii="Cambria Math" w:hAnsi="Cambria Math" w:eastAsia="Cambria Math"/>
                <w:b w:val="0"/>
                <w:color w:val="auto"/>
                <w:sz w:val="30"/>
                <w:szCs w:val="30"/>
                <w:highlight w:val="none"/>
              </w:rPr>
              <w:t>采购方式：公开招标</w:t>
            </w:r>
          </w:p>
          <w:p w14:paraId="2D1FDE18">
            <w:pPr>
              <w:ind w:firstLine="1200" w:firstLineChars="400"/>
              <w:rPr>
                <w:rFonts w:ascii="Cambria Math" w:hAnsi="Cambria Math" w:eastAsiaTheme="minorEastAsia"/>
                <w:b w:val="0"/>
                <w:color w:val="auto"/>
                <w:sz w:val="30"/>
                <w:szCs w:val="30"/>
                <w:highlight w:val="none"/>
              </w:rPr>
            </w:pPr>
          </w:p>
          <w:p w14:paraId="7D670DD8">
            <w:pPr>
              <w:ind w:firstLine="1200" w:firstLineChars="400"/>
              <w:rPr>
                <w:rFonts w:ascii="Cambria Math" w:hAnsi="Cambria Math" w:eastAsia="Cambria Math"/>
                <w:b w:val="0"/>
                <w:color w:val="auto"/>
                <w:sz w:val="30"/>
                <w:szCs w:val="30"/>
                <w:highlight w:val="none"/>
              </w:rPr>
            </w:pPr>
          </w:p>
          <w:p w14:paraId="2ACE85D4">
            <w:pPr>
              <w:ind w:firstLine="1200" w:firstLineChars="400"/>
              <w:rPr>
                <w:rFonts w:ascii="Cambria Math" w:hAnsi="Cambria Math"/>
                <w:b w:val="0"/>
                <w:color w:val="auto"/>
                <w:sz w:val="30"/>
                <w:szCs w:val="30"/>
                <w:highlight w:val="none"/>
              </w:rPr>
            </w:pPr>
            <w:r>
              <w:rPr>
                <w:rFonts w:hint="eastAsia" w:ascii="Cambria Math" w:hAnsi="Cambria Math" w:eastAsia="Cambria Math"/>
                <w:b w:val="0"/>
                <w:color w:val="auto"/>
                <w:sz w:val="30"/>
                <w:szCs w:val="30"/>
                <w:highlight w:val="none"/>
              </w:rPr>
              <w:t>采 购 人：</w:t>
            </w:r>
            <w:r>
              <w:rPr>
                <w:rFonts w:hint="eastAsia" w:ascii="宋体" w:hAnsi="宋体" w:cs="宋体"/>
                <w:b w:val="0"/>
                <w:color w:val="auto"/>
                <w:sz w:val="30"/>
                <w:szCs w:val="30"/>
                <w:highlight w:val="none"/>
              </w:rPr>
              <w:t>温州公用事业发展集团龙港水务有限公司</w:t>
            </w:r>
          </w:p>
          <w:p w14:paraId="530BD839">
            <w:pPr>
              <w:ind w:firstLine="1200" w:firstLineChars="400"/>
              <w:rPr>
                <w:rFonts w:ascii="Cambria Math" w:hAnsi="Cambria Math" w:eastAsia="Cambria Math"/>
                <w:b w:val="0"/>
                <w:color w:val="auto"/>
                <w:sz w:val="30"/>
                <w:szCs w:val="30"/>
                <w:highlight w:val="none"/>
              </w:rPr>
            </w:pPr>
          </w:p>
          <w:p w14:paraId="243BD936">
            <w:pPr>
              <w:rPr>
                <w:rFonts w:ascii="Cambria Math" w:hAnsi="Cambria Math" w:eastAsia="Cambria Math"/>
                <w:b w:val="0"/>
                <w:color w:val="auto"/>
                <w:sz w:val="30"/>
                <w:szCs w:val="30"/>
                <w:highlight w:val="none"/>
              </w:rPr>
            </w:pPr>
          </w:p>
          <w:p w14:paraId="41E1475D">
            <w:pPr>
              <w:ind w:firstLine="1200" w:firstLineChars="400"/>
              <w:rPr>
                <w:rFonts w:ascii="Cambria Math" w:hAnsi="Cambria Math" w:eastAsia="Cambria Math"/>
                <w:b w:val="0"/>
                <w:color w:val="auto"/>
                <w:sz w:val="30"/>
                <w:szCs w:val="30"/>
                <w:highlight w:val="none"/>
              </w:rPr>
            </w:pPr>
          </w:p>
          <w:p w14:paraId="437868C2">
            <w:pPr>
              <w:spacing w:line="360" w:lineRule="auto"/>
              <w:ind w:firstLine="1200" w:firstLineChars="400"/>
              <w:rPr>
                <w:rFonts w:ascii="Cambria Math" w:hAnsi="Cambria Math"/>
                <w:b w:val="0"/>
                <w:color w:val="auto"/>
                <w:sz w:val="30"/>
                <w:szCs w:val="30"/>
                <w:highlight w:val="none"/>
              </w:rPr>
            </w:pPr>
            <w:r>
              <w:rPr>
                <w:rFonts w:hint="eastAsia" w:ascii="Cambria Math" w:hAnsi="Cambria Math" w:eastAsia="Cambria Math"/>
                <w:b w:val="0"/>
                <w:color w:val="auto"/>
                <w:sz w:val="30"/>
                <w:szCs w:val="30"/>
                <w:highlight w:val="none"/>
              </w:rPr>
              <w:t>代理机构：</w:t>
            </w:r>
            <w:r>
              <w:rPr>
                <w:rFonts w:hint="eastAsia" w:ascii="Cambria Math" w:hAnsi="Cambria Math"/>
                <w:b w:val="0"/>
                <w:color w:val="auto"/>
                <w:sz w:val="30"/>
                <w:szCs w:val="30"/>
                <w:highlight w:val="none"/>
              </w:rPr>
              <w:t>温州超然招标代理有限公司</w:t>
            </w:r>
          </w:p>
          <w:p w14:paraId="67FE61B6">
            <w:pPr>
              <w:spacing w:line="360" w:lineRule="auto"/>
              <w:ind w:firstLine="1200" w:firstLineChars="400"/>
              <w:rPr>
                <w:rFonts w:ascii="Cambria Math" w:hAnsi="Cambria Math"/>
                <w:b w:val="0"/>
                <w:color w:val="auto"/>
                <w:sz w:val="30"/>
                <w:szCs w:val="30"/>
                <w:highlight w:val="none"/>
              </w:rPr>
            </w:pPr>
            <w:r>
              <w:rPr>
                <w:rFonts w:hint="eastAsia" w:ascii="Cambria Math" w:hAnsi="Cambria Math" w:eastAsia="Cambria Math"/>
                <w:b w:val="0"/>
                <w:color w:val="auto"/>
                <w:sz w:val="30"/>
                <w:szCs w:val="30"/>
                <w:highlight w:val="none"/>
              </w:rPr>
              <w:t>联 系 人：</w:t>
            </w:r>
            <w:r>
              <w:rPr>
                <w:rFonts w:hint="eastAsia" w:ascii="Cambria Math" w:hAnsi="Cambria Math"/>
                <w:b w:val="0"/>
                <w:color w:val="auto"/>
                <w:sz w:val="30"/>
                <w:szCs w:val="30"/>
                <w:highlight w:val="none"/>
              </w:rPr>
              <w:t>洪世铭</w:t>
            </w:r>
          </w:p>
          <w:p w14:paraId="19C0A02C">
            <w:pPr>
              <w:spacing w:line="360" w:lineRule="auto"/>
              <w:ind w:firstLine="1200" w:firstLineChars="400"/>
              <w:rPr>
                <w:rFonts w:hint="eastAsia" w:ascii="宋体" w:hAnsi="宋体"/>
                <w:b w:val="0"/>
                <w:color w:val="auto"/>
                <w:sz w:val="30"/>
                <w:szCs w:val="30"/>
                <w:highlight w:val="none"/>
              </w:rPr>
            </w:pPr>
            <w:r>
              <w:rPr>
                <w:rFonts w:hint="eastAsia" w:ascii="Cambria Math" w:hAnsi="Cambria Math" w:eastAsia="Cambria Math"/>
                <w:b w:val="0"/>
                <w:color w:val="auto"/>
                <w:sz w:val="30"/>
                <w:szCs w:val="30"/>
                <w:highlight w:val="none"/>
              </w:rPr>
              <w:t>联系电话：</w:t>
            </w:r>
            <w:r>
              <w:rPr>
                <w:rFonts w:hint="eastAsia" w:ascii="宋体" w:hAnsi="宋体"/>
                <w:b w:val="0"/>
                <w:color w:val="auto"/>
                <w:sz w:val="30"/>
                <w:szCs w:val="30"/>
                <w:highlight w:val="none"/>
              </w:rPr>
              <w:t>0577-68803069</w:t>
            </w:r>
          </w:p>
          <w:p w14:paraId="30197CE1">
            <w:pPr>
              <w:autoSpaceDE w:val="0"/>
              <w:autoSpaceDN w:val="0"/>
              <w:adjustRightInd w:val="0"/>
              <w:snapToGrid w:val="0"/>
              <w:spacing w:line="500" w:lineRule="atLeast"/>
              <w:jc w:val="center"/>
              <w:rPr>
                <w:rFonts w:ascii="Cambria Math" w:hAnsi="Cambria Math" w:eastAsia="Cambria Math"/>
                <w:b w:val="0"/>
                <w:color w:val="auto"/>
                <w:sz w:val="30"/>
                <w:szCs w:val="30"/>
                <w:highlight w:val="none"/>
              </w:rPr>
            </w:pPr>
          </w:p>
          <w:p w14:paraId="627A6957">
            <w:pPr>
              <w:autoSpaceDE w:val="0"/>
              <w:autoSpaceDN w:val="0"/>
              <w:adjustRightInd w:val="0"/>
              <w:snapToGrid w:val="0"/>
              <w:spacing w:line="500" w:lineRule="atLeast"/>
              <w:jc w:val="center"/>
              <w:rPr>
                <w:rFonts w:ascii="Cambria Math" w:hAnsi="Cambria Math" w:eastAsia="Cambria Math"/>
                <w:b w:val="0"/>
                <w:color w:val="auto"/>
                <w:sz w:val="30"/>
                <w:szCs w:val="30"/>
                <w:highlight w:val="none"/>
              </w:rPr>
            </w:pPr>
          </w:p>
          <w:p w14:paraId="747C062F">
            <w:pPr>
              <w:autoSpaceDE w:val="0"/>
              <w:autoSpaceDN w:val="0"/>
              <w:adjustRightInd w:val="0"/>
              <w:snapToGrid w:val="0"/>
              <w:spacing w:line="500" w:lineRule="atLeast"/>
              <w:jc w:val="center"/>
              <w:rPr>
                <w:rFonts w:ascii="Cambria Math" w:hAnsi="Cambria Math" w:eastAsia="Cambria Math"/>
                <w:b w:val="0"/>
                <w:color w:val="auto"/>
                <w:sz w:val="32"/>
                <w:szCs w:val="32"/>
                <w:highlight w:val="none"/>
                <w:lang w:val="zh-CN"/>
              </w:rPr>
            </w:pPr>
            <w:r>
              <w:rPr>
                <w:rFonts w:hint="eastAsia" w:ascii="宋体" w:hAnsi="宋体" w:cs="宋体"/>
                <w:b w:val="0"/>
                <w:color w:val="auto"/>
                <w:sz w:val="30"/>
                <w:szCs w:val="30"/>
                <w:highlight w:val="none"/>
              </w:rPr>
              <w:t>2025年2月</w:t>
            </w:r>
          </w:p>
        </w:tc>
      </w:tr>
    </w:tbl>
    <w:p w14:paraId="7126F053">
      <w:pPr>
        <w:pStyle w:val="4"/>
        <w:tabs>
          <w:tab w:val="left" w:pos="2725"/>
        </w:tabs>
        <w:spacing w:before="0" w:after="120" w:line="700" w:lineRule="exact"/>
        <w:ind w:left="0" w:firstLine="0"/>
        <w:jc w:val="center"/>
        <w:rPr>
          <w:rFonts w:hint="eastAsia" w:ascii="宋体" w:hAnsi="宋体" w:eastAsia="宋体" w:cs="宋体"/>
          <w:b/>
          <w:bCs/>
          <w:color w:val="auto"/>
          <w:spacing w:val="0"/>
          <w:szCs w:val="30"/>
          <w:highlight w:val="none"/>
        </w:rPr>
        <w:sectPr>
          <w:footerReference r:id="rId3" w:type="default"/>
          <w:pgSz w:w="11906" w:h="16839"/>
          <w:pgMar w:top="1431" w:right="1785" w:bottom="1171" w:left="1785" w:header="0" w:footer="992" w:gutter="0"/>
          <w:cols w:space="720" w:num="1"/>
        </w:sectPr>
      </w:pPr>
    </w:p>
    <w:p w14:paraId="6E174F97">
      <w:pPr>
        <w:pStyle w:val="4"/>
        <w:tabs>
          <w:tab w:val="left" w:pos="2725"/>
        </w:tabs>
        <w:spacing w:before="0" w:after="120" w:line="700" w:lineRule="exact"/>
        <w:ind w:left="0" w:firstLine="0"/>
        <w:jc w:val="center"/>
        <w:rPr>
          <w:rFonts w:ascii="Cambria Math" w:hAnsi="Cambria Math" w:eastAsia="Cambria Math"/>
          <w:b/>
          <w:color w:val="auto"/>
          <w:spacing w:val="0"/>
          <w:szCs w:val="30"/>
          <w:highlight w:val="none"/>
        </w:rPr>
      </w:pPr>
      <w:r>
        <w:rPr>
          <w:rFonts w:hint="eastAsia" w:ascii="宋体" w:hAnsi="宋体" w:eastAsia="宋体" w:cs="宋体"/>
          <w:b/>
          <w:bCs/>
          <w:color w:val="auto"/>
          <w:spacing w:val="0"/>
          <w:szCs w:val="30"/>
          <w:highlight w:val="none"/>
        </w:rPr>
        <w:t>温州市公用集团所属温州公用事业发展集团龙港水务有限公司关于</w:t>
      </w:r>
      <w:r>
        <w:rPr>
          <w:rFonts w:hint="eastAsia" w:ascii="宋体" w:hAnsi="宋体" w:eastAsia="宋体" w:cs="宋体"/>
          <w:b/>
          <w:bCs/>
          <w:color w:val="auto"/>
          <w:spacing w:val="0"/>
          <w:szCs w:val="30"/>
          <w:highlight w:val="none"/>
          <w:lang w:eastAsia="zh-CN"/>
        </w:rPr>
        <w:t>龙港水务用水客户户内漏水保险服务项目</w:t>
      </w:r>
      <w:r>
        <w:rPr>
          <w:rFonts w:hint="eastAsia" w:ascii="Cambria Math" w:hAnsi="Cambria Math" w:eastAsia="Cambria Math"/>
          <w:b/>
          <w:color w:val="auto"/>
          <w:spacing w:val="0"/>
          <w:szCs w:val="30"/>
          <w:highlight w:val="none"/>
        </w:rPr>
        <w:t>公开招标公告</w:t>
      </w:r>
    </w:p>
    <w:p w14:paraId="7943ABD3">
      <w:pPr>
        <w:spacing w:line="360" w:lineRule="auto"/>
        <w:rPr>
          <w:rFonts w:hint="eastAsia" w:ascii="宋体" w:hAnsi="宋体"/>
          <w:b w:val="0"/>
          <w:color w:val="auto"/>
          <w:sz w:val="22"/>
          <w:szCs w:val="22"/>
          <w:highlight w:val="none"/>
        </w:rPr>
      </w:pPr>
      <w:bookmarkStart w:id="0" w:name="OLE_LINK2"/>
      <w:bookmarkStart w:id="1" w:name="OLE_LINK1"/>
      <w:r>
        <w:rPr>
          <w:rFonts w:ascii="宋体" w:hAnsi="宋体"/>
          <w:b w:val="0"/>
          <w:color w:val="auto"/>
          <w:sz w:val="22"/>
          <w:szCs w:val="22"/>
          <w:highlight w:val="none"/>
        </w:rPr>
        <w:t>项目概况</w:t>
      </w:r>
    </w:p>
    <w:p w14:paraId="75184810">
      <w:pPr>
        <w:spacing w:line="360" w:lineRule="auto"/>
        <w:rPr>
          <w:rFonts w:hint="eastAsia" w:ascii="宋体" w:hAnsi="宋体"/>
          <w:b w:val="0"/>
          <w:color w:val="auto"/>
          <w:sz w:val="22"/>
          <w:szCs w:val="22"/>
          <w:highlight w:val="none"/>
        </w:rPr>
      </w:pPr>
      <w:r>
        <w:rPr>
          <w:rFonts w:ascii="宋体" w:hAnsi="宋体"/>
          <w:b w:val="0"/>
          <w:color w:val="auto"/>
          <w:sz w:val="22"/>
          <w:szCs w:val="22"/>
          <w:highlight w:val="none"/>
        </w:rPr>
        <w:t>   </w:t>
      </w:r>
      <w:r>
        <w:rPr>
          <w:rFonts w:hint="eastAsia" w:ascii="宋体" w:hAnsi="宋体" w:cs="宋体"/>
          <w:b w:val="0"/>
          <w:color w:val="auto"/>
          <w:sz w:val="22"/>
          <w:szCs w:val="22"/>
          <w:highlight w:val="none"/>
          <w:lang w:eastAsia="zh-CN"/>
        </w:rPr>
        <w:t>龙港水务用水客户户内漏水保险服务项目</w:t>
      </w:r>
      <w:r>
        <w:rPr>
          <w:rFonts w:hint="eastAsia" w:ascii="宋体" w:hAnsi="宋体"/>
          <w:b w:val="0"/>
          <w:color w:val="auto"/>
          <w:sz w:val="22"/>
          <w:szCs w:val="22"/>
          <w:highlight w:val="none"/>
        </w:rPr>
        <w:t>的潜在</w:t>
      </w:r>
      <w:r>
        <w:rPr>
          <w:rFonts w:ascii="宋体" w:hAnsi="宋体"/>
          <w:b w:val="0"/>
          <w:color w:val="auto"/>
          <w:sz w:val="22"/>
          <w:szCs w:val="22"/>
          <w:highlight w:val="none"/>
        </w:rPr>
        <w:t>投标人</w:t>
      </w:r>
      <w:r>
        <w:rPr>
          <w:rFonts w:hint="eastAsia" w:ascii="宋体" w:hAnsi="宋体"/>
          <w:b w:val="0"/>
          <w:color w:val="auto"/>
          <w:sz w:val="22"/>
          <w:szCs w:val="22"/>
          <w:highlight w:val="none"/>
        </w:rPr>
        <w:t>应在</w:t>
      </w:r>
      <w:r>
        <w:rPr>
          <w:rFonts w:hint="eastAsia" w:ascii="宋体" w:hAnsi="宋体" w:cs="@楷体_GB2312"/>
          <w:b w:val="0"/>
          <w:bCs w:val="0"/>
          <w:color w:val="auto"/>
          <w:sz w:val="22"/>
          <w:szCs w:val="22"/>
          <w:highlight w:val="none"/>
        </w:rPr>
        <w:t>乐采云平台（www.lecaiyun.com）</w:t>
      </w:r>
      <w:r>
        <w:rPr>
          <w:rFonts w:hint="eastAsia" w:ascii="宋体" w:hAnsi="宋体"/>
          <w:b w:val="0"/>
          <w:color w:val="auto"/>
          <w:sz w:val="22"/>
          <w:szCs w:val="22"/>
          <w:highlight w:val="none"/>
        </w:rPr>
        <w:t>获取（下载）招标文件</w:t>
      </w:r>
      <w:r>
        <w:rPr>
          <w:rFonts w:ascii="宋体" w:hAnsi="宋体"/>
          <w:b w:val="0"/>
          <w:color w:val="auto"/>
          <w:sz w:val="22"/>
          <w:szCs w:val="22"/>
          <w:highlight w:val="none"/>
        </w:rPr>
        <w:t>，并于</w:t>
      </w:r>
      <w:r>
        <w:rPr>
          <w:rFonts w:hint="eastAsia" w:ascii="宋体" w:hAnsi="宋体"/>
          <w:b w:val="0"/>
          <w:color w:val="auto"/>
          <w:sz w:val="22"/>
          <w:szCs w:val="22"/>
          <w:highlight w:val="none"/>
        </w:rPr>
        <w:t>2025</w:t>
      </w:r>
      <w:r>
        <w:rPr>
          <w:rFonts w:ascii="宋体" w:hAnsi="宋体"/>
          <w:b w:val="0"/>
          <w:color w:val="auto"/>
          <w:sz w:val="22"/>
          <w:szCs w:val="22"/>
          <w:highlight w:val="none"/>
        </w:rPr>
        <w:t>年</w:t>
      </w:r>
      <w:r>
        <w:rPr>
          <w:rFonts w:hint="eastAsia" w:ascii="宋体" w:hAnsi="宋体"/>
          <w:b w:val="0"/>
          <w:color w:val="auto"/>
          <w:sz w:val="22"/>
          <w:szCs w:val="22"/>
          <w:highlight w:val="none"/>
        </w:rPr>
        <w:t>0</w:t>
      </w:r>
      <w:r>
        <w:rPr>
          <w:rFonts w:hint="eastAsia" w:ascii="宋体" w:hAnsi="宋体"/>
          <w:b w:val="0"/>
          <w:color w:val="auto"/>
          <w:sz w:val="22"/>
          <w:szCs w:val="22"/>
          <w:highlight w:val="none"/>
          <w:lang w:val="en-US" w:eastAsia="zh-CN"/>
        </w:rPr>
        <w:t>3</w:t>
      </w:r>
      <w:r>
        <w:rPr>
          <w:rFonts w:ascii="宋体" w:hAnsi="宋体"/>
          <w:b w:val="0"/>
          <w:color w:val="auto"/>
          <w:sz w:val="22"/>
          <w:szCs w:val="22"/>
          <w:highlight w:val="none"/>
        </w:rPr>
        <w:t>月</w:t>
      </w:r>
      <w:r>
        <w:rPr>
          <w:rFonts w:hint="eastAsia" w:ascii="宋体" w:hAnsi="宋体"/>
          <w:b w:val="0"/>
          <w:color w:val="auto"/>
          <w:sz w:val="22"/>
          <w:szCs w:val="22"/>
          <w:highlight w:val="none"/>
          <w:lang w:val="en-US" w:eastAsia="zh-CN"/>
        </w:rPr>
        <w:t>18</w:t>
      </w:r>
      <w:r>
        <w:rPr>
          <w:rFonts w:ascii="宋体" w:hAnsi="宋体"/>
          <w:b w:val="0"/>
          <w:color w:val="auto"/>
          <w:sz w:val="22"/>
          <w:szCs w:val="22"/>
          <w:highlight w:val="none"/>
        </w:rPr>
        <w:t>日 14</w:t>
      </w:r>
      <w:r>
        <w:rPr>
          <w:rFonts w:hint="eastAsia" w:ascii="宋体" w:hAnsi="宋体"/>
          <w:b w:val="0"/>
          <w:color w:val="auto"/>
          <w:sz w:val="22"/>
          <w:szCs w:val="22"/>
          <w:highlight w:val="none"/>
        </w:rPr>
        <w:t>:30</w:t>
      </w:r>
      <w:r>
        <w:rPr>
          <w:rFonts w:ascii="宋体" w:hAnsi="宋体"/>
          <w:b w:val="0"/>
          <w:color w:val="auto"/>
          <w:sz w:val="22"/>
          <w:szCs w:val="22"/>
          <w:highlight w:val="none"/>
        </w:rPr>
        <w:t>（北京时间）前递交（上传）投标文件。</w:t>
      </w:r>
    </w:p>
    <w:p w14:paraId="1289F725">
      <w:pPr>
        <w:spacing w:line="360" w:lineRule="auto"/>
        <w:rPr>
          <w:rFonts w:ascii="Cambria Math" w:hAnsi="Cambria Math"/>
          <w:b w:val="0"/>
          <w:bCs w:val="0"/>
          <w:color w:val="auto"/>
          <w:sz w:val="22"/>
          <w:szCs w:val="22"/>
          <w:highlight w:val="none"/>
        </w:rPr>
      </w:pPr>
      <w:r>
        <w:rPr>
          <w:rFonts w:hint="eastAsia" w:ascii="Cambria Math" w:hAnsi="Cambria Math"/>
          <w:b w:val="0"/>
          <w:bCs w:val="0"/>
          <w:color w:val="auto"/>
          <w:sz w:val="22"/>
          <w:szCs w:val="22"/>
          <w:highlight w:val="none"/>
        </w:rPr>
        <w:t>一、项目基本情况</w:t>
      </w:r>
    </w:p>
    <w:p w14:paraId="2FAB6919">
      <w:pPr>
        <w:spacing w:line="360" w:lineRule="auto"/>
        <w:ind w:firstLine="440" w:firstLineChars="200"/>
        <w:rPr>
          <w:rFonts w:hint="eastAsia" w:ascii="宋体" w:hAnsi="宋体" w:eastAsia="宋体" w:cs="宋体"/>
          <w:b w:val="0"/>
          <w:color w:val="auto"/>
          <w:sz w:val="22"/>
          <w:szCs w:val="22"/>
          <w:highlight w:val="none"/>
          <w:lang w:eastAsia="zh-CN"/>
        </w:rPr>
      </w:pPr>
      <w:r>
        <w:rPr>
          <w:rFonts w:hint="eastAsia" w:ascii="宋体" w:hAnsi="宋体" w:cs="宋体"/>
          <w:b w:val="0"/>
          <w:color w:val="auto"/>
          <w:sz w:val="22"/>
          <w:szCs w:val="22"/>
          <w:highlight w:val="none"/>
        </w:rPr>
        <w:t>项目编号：</w:t>
      </w:r>
      <w:r>
        <w:rPr>
          <w:rFonts w:hint="eastAsia" w:ascii="宋体" w:hAnsi="宋体" w:cs="宋体"/>
          <w:b w:val="0"/>
          <w:color w:val="auto"/>
          <w:sz w:val="22"/>
          <w:szCs w:val="22"/>
          <w:highlight w:val="none"/>
          <w:lang w:eastAsia="zh-CN"/>
        </w:rPr>
        <w:t>WGSS-GYJT-Z-2025147</w:t>
      </w:r>
    </w:p>
    <w:p w14:paraId="40739B85">
      <w:pPr>
        <w:spacing w:line="360" w:lineRule="auto"/>
        <w:ind w:firstLine="440" w:firstLineChars="200"/>
        <w:rPr>
          <w:rFonts w:hint="eastAsia" w:ascii="宋体" w:hAnsi="宋体" w:eastAsia="宋体" w:cs="宋体"/>
          <w:b w:val="0"/>
          <w:color w:val="auto"/>
          <w:sz w:val="22"/>
          <w:szCs w:val="22"/>
          <w:highlight w:val="none"/>
          <w:lang w:eastAsia="zh-CN"/>
        </w:rPr>
      </w:pPr>
      <w:r>
        <w:rPr>
          <w:rFonts w:hint="eastAsia" w:ascii="宋体" w:hAnsi="宋体" w:cs="宋体"/>
          <w:b w:val="0"/>
          <w:color w:val="auto"/>
          <w:sz w:val="22"/>
          <w:szCs w:val="22"/>
          <w:highlight w:val="none"/>
        </w:rPr>
        <w:t>项目名称：</w:t>
      </w:r>
      <w:r>
        <w:rPr>
          <w:rFonts w:hint="eastAsia" w:ascii="宋体" w:hAnsi="宋体" w:cs="宋体"/>
          <w:b w:val="0"/>
          <w:color w:val="auto"/>
          <w:sz w:val="22"/>
          <w:szCs w:val="22"/>
          <w:highlight w:val="none"/>
          <w:lang w:eastAsia="zh-CN"/>
        </w:rPr>
        <w:t>龙港水务用水客户户内漏水保险服务项目</w:t>
      </w:r>
    </w:p>
    <w:p w14:paraId="1A5C6328">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预算金额（元）：600000</w:t>
      </w:r>
    </w:p>
    <w:p w14:paraId="27731005">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最高限价（元）：600000</w:t>
      </w:r>
    </w:p>
    <w:p w14:paraId="12EE797D">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采购需求：</w:t>
      </w:r>
    </w:p>
    <w:p w14:paraId="54BB13C3">
      <w:pPr>
        <w:spacing w:line="360" w:lineRule="auto"/>
        <w:ind w:firstLine="440" w:firstLineChars="200"/>
        <w:rPr>
          <w:rFonts w:hint="eastAsia" w:ascii="宋体" w:hAnsi="宋体" w:eastAsia="宋体" w:cs="宋体"/>
          <w:b w:val="0"/>
          <w:color w:val="auto"/>
          <w:sz w:val="22"/>
          <w:szCs w:val="22"/>
          <w:highlight w:val="none"/>
          <w:lang w:eastAsia="zh-CN"/>
        </w:rPr>
      </w:pPr>
      <w:r>
        <w:rPr>
          <w:rFonts w:hint="eastAsia" w:ascii="宋体" w:hAnsi="宋体" w:cs="宋体"/>
          <w:b w:val="0"/>
          <w:color w:val="auto"/>
          <w:sz w:val="22"/>
          <w:szCs w:val="22"/>
          <w:highlight w:val="none"/>
        </w:rPr>
        <w:t>标项名称：</w:t>
      </w:r>
      <w:r>
        <w:rPr>
          <w:rFonts w:hint="eastAsia" w:ascii="宋体" w:hAnsi="宋体" w:cs="宋体"/>
          <w:b w:val="0"/>
          <w:color w:val="auto"/>
          <w:sz w:val="22"/>
          <w:szCs w:val="22"/>
          <w:highlight w:val="none"/>
          <w:lang w:eastAsia="zh-CN"/>
        </w:rPr>
        <w:t>龙港水务用水客户户内漏水保险服务项目</w:t>
      </w:r>
    </w:p>
    <w:p w14:paraId="5977F2E9">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数量：1</w:t>
      </w:r>
    </w:p>
    <w:p w14:paraId="07E9E18E">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预算金额（元）：600000</w:t>
      </w:r>
    </w:p>
    <w:p w14:paraId="4B5DDD3F">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简要规格描述或项目基本概况介绍、用途：详见采购需求。</w:t>
      </w:r>
    </w:p>
    <w:p w14:paraId="3030BBAA">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备注：/</w:t>
      </w:r>
    </w:p>
    <w:p w14:paraId="11C88456">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合同履行期限：详见招标文件</w:t>
      </w:r>
    </w:p>
    <w:p w14:paraId="665CCADE">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本项目（否）接受联合体投标。</w:t>
      </w:r>
    </w:p>
    <w:p w14:paraId="7AB5692B">
      <w:pPr>
        <w:spacing w:line="360" w:lineRule="auto"/>
        <w:rPr>
          <w:rFonts w:ascii="Cambria Math" w:hAnsi="Cambria Math"/>
          <w:b w:val="0"/>
          <w:bCs w:val="0"/>
          <w:color w:val="auto"/>
          <w:sz w:val="22"/>
          <w:szCs w:val="22"/>
          <w:highlight w:val="none"/>
        </w:rPr>
      </w:pPr>
      <w:r>
        <w:rPr>
          <w:rFonts w:ascii="Cambria Math" w:hAnsi="Cambria Math"/>
          <w:b w:val="0"/>
          <w:bCs w:val="0"/>
          <w:color w:val="auto"/>
          <w:sz w:val="22"/>
          <w:szCs w:val="22"/>
          <w:highlight w:val="none"/>
        </w:rPr>
        <w:t>二、申请人的资格要求</w:t>
      </w:r>
    </w:p>
    <w:p w14:paraId="50935964">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1.符合《温州市市属国有企业采购管理办法》温国资委〔2024〕51号第十八条对供应商参加温州市国有企业采购活动应当具备的条件的要求；</w:t>
      </w:r>
    </w:p>
    <w:p w14:paraId="68E647F2">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2、未被“信用中国”（www.creditchina.gov.cn）、中国政府采购网（www.ccgp.gov.cn）列入失信被执行人、重大税收违法案件当事人名单、政府采购严重违法失信行为记录名单。</w:t>
      </w:r>
    </w:p>
    <w:p w14:paraId="1AA1E825">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3、本项目的特定资格要求：</w:t>
      </w:r>
    </w:p>
    <w:p w14:paraId="360CEBAD">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（1）单位负责人为同一人或者存在直接控股、管理关系的不同供应商，不得参加同一合同项下的国企采购活动；</w:t>
      </w:r>
    </w:p>
    <w:p w14:paraId="70980716">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2）投标人须是在中华人民共和国境内注册，经国家保险监督管理机构批准设立且持有《中华人民共和国经营保险业务许可证》，享有资产财产保险资格的全国性保险公司或其分支机构。注：依据浙江省财政厅《关于规范政府采购供应商资格设定及资格审查的通知》（浙财采监[2013]24号）的相关规定，允许满足上述条款的供应商所设立的分支机构独立参加本次项目的投标，但该分支机构必须同时满足以下条件：（1）投标截止时间前已依法办理工商、税务及社保登记；（2）取得总公司（或总机构）出具的授权，或能够提供房产权证（或其他有效财产证明材料）证明其具备实际承担责任的能力和法定的缔结合同能力。</w:t>
      </w:r>
    </w:p>
    <w:p w14:paraId="7A2A8BD9">
      <w:pPr>
        <w:spacing w:line="360" w:lineRule="auto"/>
        <w:rPr>
          <w:rFonts w:hint="eastAsia" w:ascii="宋体" w:hAnsi="宋体" w:cs="@楷体_GB2312"/>
          <w:b w:val="0"/>
          <w:color w:val="auto"/>
          <w:sz w:val="22"/>
          <w:szCs w:val="22"/>
          <w:highlight w:val="none"/>
        </w:rPr>
      </w:pPr>
      <w:r>
        <w:rPr>
          <w:rFonts w:hint="eastAsia" w:ascii="宋体" w:hAnsi="宋体" w:cs="宋体"/>
          <w:b w:val="0"/>
          <w:color w:val="auto"/>
          <w:sz w:val="22"/>
          <w:szCs w:val="22"/>
          <w:highlight w:val="none"/>
        </w:rPr>
        <w:t>三、</w:t>
      </w:r>
      <w:r>
        <w:rPr>
          <w:rFonts w:hint="eastAsia" w:ascii="宋体" w:hAnsi="宋体" w:cs="@楷体_GB2312"/>
          <w:b w:val="0"/>
          <w:color w:val="auto"/>
          <w:sz w:val="22"/>
          <w:szCs w:val="22"/>
          <w:highlight w:val="none"/>
        </w:rPr>
        <w:t>获取招标文件</w:t>
      </w:r>
      <w:r>
        <w:rPr>
          <w:rFonts w:ascii="宋体" w:hAnsi="宋体" w:cs="@楷体_GB2312"/>
          <w:b w:val="0"/>
          <w:color w:val="auto"/>
          <w:sz w:val="22"/>
          <w:szCs w:val="22"/>
          <w:highlight w:val="none"/>
        </w:rPr>
        <w:t>:</w:t>
      </w:r>
    </w:p>
    <w:p w14:paraId="0DF242EA">
      <w:pPr>
        <w:spacing w:line="360" w:lineRule="auto"/>
        <w:ind w:firstLine="440" w:firstLineChars="200"/>
        <w:rPr>
          <w:rFonts w:ascii="宋体"/>
          <w:b w:val="0"/>
          <w:bCs w:val="0"/>
          <w:color w:val="auto"/>
          <w:sz w:val="22"/>
          <w:szCs w:val="22"/>
          <w:highlight w:val="none"/>
        </w:rPr>
      </w:pPr>
      <w:r>
        <w:rPr>
          <w:rFonts w:hint="eastAsia" w:ascii="宋体"/>
          <w:b w:val="0"/>
          <w:bCs w:val="0"/>
          <w:color w:val="auto"/>
          <w:sz w:val="22"/>
          <w:szCs w:val="22"/>
          <w:highlight w:val="none"/>
        </w:rPr>
        <w:t>时间：/至2025年0</w:t>
      </w:r>
      <w:r>
        <w:rPr>
          <w:rFonts w:hint="eastAsia" w:ascii="宋体"/>
          <w:b w:val="0"/>
          <w:bCs w:val="0"/>
          <w:color w:val="auto"/>
          <w:sz w:val="22"/>
          <w:szCs w:val="22"/>
          <w:highlight w:val="none"/>
          <w:lang w:val="en-US" w:eastAsia="zh-CN"/>
        </w:rPr>
        <w:t>3</w:t>
      </w:r>
      <w:r>
        <w:rPr>
          <w:rFonts w:hint="eastAsia" w:ascii="宋体"/>
          <w:b w:val="0"/>
          <w:bCs w:val="0"/>
          <w:color w:val="auto"/>
          <w:sz w:val="22"/>
          <w:szCs w:val="22"/>
          <w:highlight w:val="none"/>
        </w:rPr>
        <w:t>月</w:t>
      </w:r>
      <w:r>
        <w:rPr>
          <w:rFonts w:hint="eastAsia" w:ascii="宋体"/>
          <w:b w:val="0"/>
          <w:bCs w:val="0"/>
          <w:color w:val="auto"/>
          <w:sz w:val="22"/>
          <w:szCs w:val="22"/>
          <w:highlight w:val="none"/>
          <w:lang w:val="en-US" w:eastAsia="zh-CN"/>
        </w:rPr>
        <w:t>18</w:t>
      </w:r>
      <w:r>
        <w:rPr>
          <w:rFonts w:hint="eastAsia" w:ascii="宋体"/>
          <w:b w:val="0"/>
          <w:bCs w:val="0"/>
          <w:color w:val="auto"/>
          <w:sz w:val="22"/>
          <w:szCs w:val="22"/>
          <w:highlight w:val="none"/>
        </w:rPr>
        <w:t xml:space="preserve">日 </w:t>
      </w:r>
      <w:r>
        <w:rPr>
          <w:rFonts w:ascii="宋体" w:hAnsi="宋体" w:cs="@楷体_GB2312"/>
          <w:b w:val="0"/>
          <w:bCs w:val="0"/>
          <w:color w:val="auto"/>
          <w:sz w:val="22"/>
          <w:szCs w:val="22"/>
          <w:highlight w:val="none"/>
        </w:rPr>
        <w:t>14</w:t>
      </w:r>
      <w:r>
        <w:rPr>
          <w:rFonts w:hint="eastAsia" w:ascii="宋体" w:hAnsi="宋体" w:cs="@楷体_GB2312"/>
          <w:b w:val="0"/>
          <w:bCs w:val="0"/>
          <w:color w:val="auto"/>
          <w:sz w:val="22"/>
          <w:szCs w:val="22"/>
          <w:highlight w:val="none"/>
        </w:rPr>
        <w:t>:30:00</w:t>
      </w:r>
      <w:r>
        <w:rPr>
          <w:rFonts w:hint="eastAsia" w:ascii="宋体"/>
          <w:b w:val="0"/>
          <w:bCs w:val="0"/>
          <w:color w:val="auto"/>
          <w:sz w:val="22"/>
          <w:szCs w:val="22"/>
          <w:highlight w:val="none"/>
        </w:rPr>
        <w:t>前</w:t>
      </w:r>
    </w:p>
    <w:p w14:paraId="68B58923">
      <w:pPr>
        <w:spacing w:line="360" w:lineRule="auto"/>
        <w:rPr>
          <w:rFonts w:ascii="宋体"/>
          <w:b w:val="0"/>
          <w:bCs w:val="0"/>
          <w:color w:val="auto"/>
          <w:sz w:val="22"/>
          <w:szCs w:val="22"/>
          <w:highlight w:val="none"/>
        </w:rPr>
      </w:pPr>
      <w:r>
        <w:rPr>
          <w:rFonts w:hint="eastAsia" w:ascii="宋体"/>
          <w:b w:val="0"/>
          <w:bCs w:val="0"/>
          <w:color w:val="auto"/>
          <w:sz w:val="22"/>
          <w:szCs w:val="22"/>
          <w:highlight w:val="none"/>
        </w:rPr>
        <w:t xml:space="preserve">    地点（网址）：乐采云平台（http://www.lecaiyun.com）</w:t>
      </w:r>
    </w:p>
    <w:p w14:paraId="3D93AD0A">
      <w:pPr>
        <w:spacing w:line="360" w:lineRule="auto"/>
        <w:ind w:firstLine="432"/>
        <w:rPr>
          <w:rFonts w:ascii="宋体"/>
          <w:b w:val="0"/>
          <w:bCs w:val="0"/>
          <w:color w:val="auto"/>
          <w:sz w:val="22"/>
          <w:szCs w:val="22"/>
          <w:highlight w:val="none"/>
        </w:rPr>
      </w:pPr>
      <w:r>
        <w:rPr>
          <w:rFonts w:hint="eastAsia" w:ascii="宋体"/>
          <w:b w:val="0"/>
          <w:bCs w:val="0"/>
          <w:color w:val="auto"/>
          <w:sz w:val="22"/>
          <w:szCs w:val="22"/>
          <w:highlight w:val="none"/>
        </w:rPr>
        <w:t>方式：线上获取；</w:t>
      </w:r>
    </w:p>
    <w:p w14:paraId="5A8AAB65">
      <w:pPr>
        <w:spacing w:line="360" w:lineRule="auto"/>
        <w:rPr>
          <w:rFonts w:ascii="宋体"/>
          <w:b w:val="0"/>
          <w:bCs w:val="0"/>
          <w:sz w:val="22"/>
          <w:szCs w:val="22"/>
          <w:highlight w:val="none"/>
        </w:rPr>
      </w:pPr>
      <w:r>
        <w:rPr>
          <w:rFonts w:hint="eastAsia" w:ascii="宋体"/>
          <w:b w:val="0"/>
          <w:bCs w:val="0"/>
          <w:color w:val="auto"/>
          <w:sz w:val="22"/>
          <w:szCs w:val="22"/>
          <w:highlight w:val="none"/>
        </w:rPr>
        <w:t xml:space="preserve">    售价（元）：0 </w:t>
      </w:r>
      <w:r>
        <w:rPr>
          <w:rFonts w:hint="eastAsia" w:ascii="宋体"/>
          <w:b w:val="0"/>
          <w:bCs w:val="0"/>
          <w:sz w:val="22"/>
          <w:szCs w:val="22"/>
          <w:highlight w:val="none"/>
        </w:rPr>
        <w:t> </w:t>
      </w:r>
    </w:p>
    <w:p w14:paraId="6697ABA4">
      <w:pPr>
        <w:spacing w:line="360" w:lineRule="auto"/>
        <w:rPr>
          <w:rFonts w:hint="eastAsia" w:ascii="宋体" w:hAnsi="宋体" w:cs="@楷体_GB2312"/>
          <w:b w:val="0"/>
          <w:color w:val="auto"/>
          <w:sz w:val="22"/>
          <w:szCs w:val="22"/>
          <w:highlight w:val="none"/>
        </w:rPr>
      </w:pPr>
      <w:r>
        <w:rPr>
          <w:rFonts w:ascii="宋体" w:hAnsi="宋体" w:cs="@楷体_GB2312"/>
          <w:b w:val="0"/>
          <w:color w:val="auto"/>
          <w:sz w:val="22"/>
          <w:szCs w:val="22"/>
          <w:highlight w:val="none"/>
        </w:rPr>
        <w:t>四、提交投标文件截止时间、开标时间和地点</w:t>
      </w:r>
    </w:p>
    <w:p w14:paraId="20F12DF8">
      <w:pPr>
        <w:spacing w:line="360" w:lineRule="auto"/>
        <w:ind w:firstLine="440" w:firstLineChars="200"/>
        <w:rPr>
          <w:rFonts w:hint="eastAsia" w:ascii="宋体" w:hAnsi="宋体" w:cs="@楷体_GB2312"/>
          <w:b w:val="0"/>
          <w:bCs w:val="0"/>
          <w:color w:val="auto"/>
          <w:sz w:val="22"/>
          <w:szCs w:val="22"/>
          <w:highlight w:val="none"/>
        </w:rPr>
      </w:pPr>
      <w:r>
        <w:rPr>
          <w:rFonts w:ascii="宋体" w:hAnsi="宋体" w:cs="@楷体_GB2312"/>
          <w:b w:val="0"/>
          <w:bCs w:val="0"/>
          <w:color w:val="auto"/>
          <w:sz w:val="22"/>
          <w:szCs w:val="22"/>
          <w:highlight w:val="none"/>
        </w:rPr>
        <w:t xml:space="preserve">提交投标文件截止时间： </w:t>
      </w:r>
      <w:r>
        <w:rPr>
          <w:rFonts w:hint="eastAsia" w:ascii="宋体" w:hAnsi="宋体" w:cs="@楷体_GB2312"/>
          <w:b w:val="0"/>
          <w:bCs w:val="0"/>
          <w:color w:val="auto"/>
          <w:sz w:val="22"/>
          <w:szCs w:val="22"/>
          <w:highlight w:val="none"/>
        </w:rPr>
        <w:t>2025</w:t>
      </w:r>
      <w:r>
        <w:rPr>
          <w:rFonts w:ascii="宋体" w:hAnsi="宋体" w:cs="@楷体_GB2312"/>
          <w:b w:val="0"/>
          <w:bCs w:val="0"/>
          <w:color w:val="auto"/>
          <w:sz w:val="22"/>
          <w:szCs w:val="22"/>
          <w:highlight w:val="none"/>
        </w:rPr>
        <w:t>年</w:t>
      </w:r>
      <w:r>
        <w:rPr>
          <w:rFonts w:hint="eastAsia" w:ascii="宋体" w:hAnsi="宋体" w:cs="@楷体_GB2312"/>
          <w:b w:val="0"/>
          <w:bCs w:val="0"/>
          <w:color w:val="auto"/>
          <w:sz w:val="22"/>
          <w:szCs w:val="22"/>
          <w:highlight w:val="none"/>
        </w:rPr>
        <w:t>0</w:t>
      </w:r>
      <w:r>
        <w:rPr>
          <w:rFonts w:hint="eastAsia" w:ascii="宋体" w:hAnsi="宋体" w:cs="@楷体_GB2312"/>
          <w:b w:val="0"/>
          <w:bCs w:val="0"/>
          <w:color w:val="auto"/>
          <w:sz w:val="22"/>
          <w:szCs w:val="22"/>
          <w:highlight w:val="none"/>
          <w:lang w:val="en-US" w:eastAsia="zh-CN"/>
        </w:rPr>
        <w:t>3</w:t>
      </w:r>
      <w:r>
        <w:rPr>
          <w:rFonts w:ascii="宋体" w:hAnsi="宋体" w:cs="@楷体_GB2312"/>
          <w:b w:val="0"/>
          <w:bCs w:val="0"/>
          <w:color w:val="auto"/>
          <w:sz w:val="22"/>
          <w:szCs w:val="22"/>
          <w:highlight w:val="none"/>
        </w:rPr>
        <w:t>月</w:t>
      </w:r>
      <w:r>
        <w:rPr>
          <w:rFonts w:hint="eastAsia" w:ascii="宋体" w:hAnsi="宋体" w:cs="@楷体_GB2312"/>
          <w:b w:val="0"/>
          <w:bCs w:val="0"/>
          <w:color w:val="auto"/>
          <w:sz w:val="22"/>
          <w:szCs w:val="22"/>
          <w:highlight w:val="none"/>
          <w:lang w:val="en-US" w:eastAsia="zh-CN"/>
        </w:rPr>
        <w:t>18</w:t>
      </w:r>
      <w:r>
        <w:rPr>
          <w:rFonts w:ascii="宋体" w:hAnsi="宋体" w:cs="@楷体_GB2312"/>
          <w:b w:val="0"/>
          <w:bCs w:val="0"/>
          <w:color w:val="auto"/>
          <w:sz w:val="22"/>
          <w:szCs w:val="22"/>
          <w:highlight w:val="none"/>
        </w:rPr>
        <w:t>日 14</w:t>
      </w:r>
      <w:r>
        <w:rPr>
          <w:rFonts w:hint="eastAsia" w:ascii="宋体" w:hAnsi="宋体" w:cs="@楷体_GB2312"/>
          <w:b w:val="0"/>
          <w:bCs w:val="0"/>
          <w:color w:val="auto"/>
          <w:sz w:val="22"/>
          <w:szCs w:val="22"/>
          <w:highlight w:val="none"/>
        </w:rPr>
        <w:t>:30:00</w:t>
      </w:r>
      <w:r>
        <w:rPr>
          <w:rFonts w:ascii="宋体" w:hAnsi="宋体" w:cs="@楷体_GB2312"/>
          <w:b w:val="0"/>
          <w:bCs w:val="0"/>
          <w:color w:val="auto"/>
          <w:sz w:val="22"/>
          <w:szCs w:val="22"/>
          <w:highlight w:val="none"/>
        </w:rPr>
        <w:t>（北京时间）</w:t>
      </w:r>
    </w:p>
    <w:p w14:paraId="5F9404C8">
      <w:pPr>
        <w:spacing w:line="360" w:lineRule="auto"/>
        <w:ind w:firstLine="440" w:firstLineChars="200"/>
        <w:rPr>
          <w:rFonts w:hint="eastAsia" w:ascii="宋体" w:hAnsi="宋体" w:cs="@楷体_GB2312"/>
          <w:b w:val="0"/>
          <w:bCs w:val="0"/>
          <w:color w:val="auto"/>
          <w:sz w:val="22"/>
          <w:szCs w:val="22"/>
          <w:highlight w:val="none"/>
        </w:rPr>
      </w:pPr>
      <w:r>
        <w:rPr>
          <w:rFonts w:ascii="宋体" w:hAnsi="宋体" w:cs="@楷体_GB2312"/>
          <w:b w:val="0"/>
          <w:bCs w:val="0"/>
          <w:color w:val="auto"/>
          <w:sz w:val="22"/>
          <w:szCs w:val="22"/>
          <w:highlight w:val="none"/>
        </w:rPr>
        <w:t>投标地点：</w:t>
      </w:r>
      <w:r>
        <w:rPr>
          <w:rFonts w:hint="eastAsia" w:ascii="宋体" w:hAnsi="宋体" w:cs="@楷体_GB2312"/>
          <w:b w:val="0"/>
          <w:bCs w:val="0"/>
          <w:color w:val="auto"/>
          <w:sz w:val="22"/>
          <w:szCs w:val="22"/>
          <w:highlight w:val="none"/>
        </w:rPr>
        <w:t>“乐采云平台（www.lecaiyun.com）”实行在线投标响应</w:t>
      </w:r>
    </w:p>
    <w:p w14:paraId="28D8BB09">
      <w:pPr>
        <w:spacing w:line="360" w:lineRule="auto"/>
        <w:ind w:firstLine="440" w:firstLineChars="200"/>
        <w:rPr>
          <w:rFonts w:hint="eastAsia" w:ascii="宋体" w:hAnsi="宋体" w:cs="@楷体_GB2312"/>
          <w:b w:val="0"/>
          <w:bCs w:val="0"/>
          <w:color w:val="auto"/>
          <w:sz w:val="22"/>
          <w:szCs w:val="22"/>
          <w:highlight w:val="none"/>
        </w:rPr>
      </w:pPr>
      <w:r>
        <w:rPr>
          <w:rFonts w:ascii="宋体" w:hAnsi="宋体" w:cs="@楷体_GB2312"/>
          <w:b w:val="0"/>
          <w:bCs w:val="0"/>
          <w:color w:val="auto"/>
          <w:sz w:val="22"/>
          <w:szCs w:val="22"/>
          <w:highlight w:val="none"/>
        </w:rPr>
        <w:t xml:space="preserve">开标时间： </w:t>
      </w:r>
      <w:r>
        <w:rPr>
          <w:rFonts w:hint="eastAsia" w:ascii="宋体" w:hAnsi="宋体" w:cs="@楷体_GB2312"/>
          <w:b w:val="0"/>
          <w:bCs w:val="0"/>
          <w:color w:val="auto"/>
          <w:sz w:val="22"/>
          <w:szCs w:val="22"/>
          <w:highlight w:val="none"/>
        </w:rPr>
        <w:t>2025</w:t>
      </w:r>
      <w:r>
        <w:rPr>
          <w:rFonts w:ascii="宋体" w:hAnsi="宋体" w:cs="@楷体_GB2312"/>
          <w:b w:val="0"/>
          <w:bCs w:val="0"/>
          <w:color w:val="auto"/>
          <w:sz w:val="22"/>
          <w:szCs w:val="22"/>
          <w:highlight w:val="none"/>
        </w:rPr>
        <w:t>年</w:t>
      </w:r>
      <w:r>
        <w:rPr>
          <w:rFonts w:hint="eastAsia" w:ascii="宋体" w:hAnsi="宋体" w:cs="@楷体_GB2312"/>
          <w:b w:val="0"/>
          <w:bCs w:val="0"/>
          <w:color w:val="auto"/>
          <w:sz w:val="22"/>
          <w:szCs w:val="22"/>
          <w:highlight w:val="none"/>
        </w:rPr>
        <w:t>0</w:t>
      </w:r>
      <w:r>
        <w:rPr>
          <w:rFonts w:hint="eastAsia" w:ascii="宋体" w:hAnsi="宋体" w:cs="@楷体_GB2312"/>
          <w:b w:val="0"/>
          <w:bCs w:val="0"/>
          <w:color w:val="auto"/>
          <w:sz w:val="22"/>
          <w:szCs w:val="22"/>
          <w:highlight w:val="none"/>
          <w:lang w:val="en-US" w:eastAsia="zh-CN"/>
        </w:rPr>
        <w:t>3</w:t>
      </w:r>
      <w:r>
        <w:rPr>
          <w:rFonts w:ascii="宋体" w:hAnsi="宋体" w:cs="@楷体_GB2312"/>
          <w:b w:val="0"/>
          <w:bCs w:val="0"/>
          <w:color w:val="auto"/>
          <w:sz w:val="22"/>
          <w:szCs w:val="22"/>
          <w:highlight w:val="none"/>
        </w:rPr>
        <w:t>月</w:t>
      </w:r>
      <w:r>
        <w:rPr>
          <w:rFonts w:hint="eastAsia" w:ascii="宋体" w:hAnsi="宋体" w:cs="@楷体_GB2312"/>
          <w:b w:val="0"/>
          <w:bCs w:val="0"/>
          <w:color w:val="auto"/>
          <w:sz w:val="22"/>
          <w:szCs w:val="22"/>
          <w:highlight w:val="none"/>
          <w:lang w:val="en-US" w:eastAsia="zh-CN"/>
        </w:rPr>
        <w:t>18</w:t>
      </w:r>
      <w:r>
        <w:rPr>
          <w:rFonts w:ascii="宋体" w:hAnsi="宋体" w:cs="@楷体_GB2312"/>
          <w:b w:val="0"/>
          <w:bCs w:val="0"/>
          <w:color w:val="auto"/>
          <w:sz w:val="22"/>
          <w:szCs w:val="22"/>
          <w:highlight w:val="none"/>
        </w:rPr>
        <w:t>日 14</w:t>
      </w:r>
      <w:r>
        <w:rPr>
          <w:rFonts w:hint="eastAsia" w:ascii="宋体" w:hAnsi="宋体" w:cs="@楷体_GB2312"/>
          <w:b w:val="0"/>
          <w:bCs w:val="0"/>
          <w:color w:val="auto"/>
          <w:sz w:val="22"/>
          <w:szCs w:val="22"/>
          <w:highlight w:val="none"/>
        </w:rPr>
        <w:t>:30:00</w:t>
      </w:r>
    </w:p>
    <w:p w14:paraId="32CF7263">
      <w:pPr>
        <w:spacing w:line="360" w:lineRule="auto"/>
        <w:ind w:firstLine="440" w:firstLineChars="200"/>
        <w:rPr>
          <w:rFonts w:hint="eastAsia" w:ascii="宋体" w:hAnsi="宋体" w:cs="@楷体_GB2312"/>
          <w:b w:val="0"/>
          <w:bCs w:val="0"/>
          <w:color w:val="auto"/>
          <w:sz w:val="22"/>
          <w:szCs w:val="22"/>
          <w:highlight w:val="none"/>
        </w:rPr>
      </w:pPr>
      <w:r>
        <w:rPr>
          <w:rFonts w:ascii="宋体" w:hAnsi="宋体" w:cs="@楷体_GB2312"/>
          <w:b w:val="0"/>
          <w:bCs w:val="0"/>
          <w:color w:val="auto"/>
          <w:sz w:val="22"/>
          <w:szCs w:val="22"/>
          <w:highlight w:val="none"/>
        </w:rPr>
        <w:t>开标地点：</w:t>
      </w:r>
      <w:r>
        <w:rPr>
          <w:rFonts w:hint="eastAsia" w:ascii="宋体" w:hAnsi="宋体" w:cs="@楷体_GB2312"/>
          <w:b w:val="0"/>
          <w:bCs w:val="0"/>
          <w:color w:val="auto"/>
          <w:sz w:val="22"/>
          <w:szCs w:val="22"/>
          <w:highlight w:val="none"/>
        </w:rPr>
        <w:t>“乐采云平台（www.lecaiyun.com）”实行在线开标评审</w:t>
      </w:r>
    </w:p>
    <w:p w14:paraId="1867A49C">
      <w:pPr>
        <w:spacing w:line="360" w:lineRule="auto"/>
        <w:ind w:firstLine="440" w:firstLineChars="200"/>
        <w:rPr>
          <w:rFonts w:hint="eastAsia" w:ascii="宋体" w:hAnsi="宋体" w:cs="@楷体_GB2312"/>
          <w:b w:val="0"/>
          <w:bCs w:val="0"/>
          <w:color w:val="auto"/>
          <w:sz w:val="22"/>
          <w:szCs w:val="22"/>
          <w:highlight w:val="none"/>
        </w:rPr>
      </w:pPr>
      <w:r>
        <w:rPr>
          <w:rFonts w:hint="eastAsia" w:ascii="宋体" w:hAnsi="宋体" w:cs="@楷体_GB2312"/>
          <w:b w:val="0"/>
          <w:bCs w:val="0"/>
          <w:color w:val="auto"/>
          <w:sz w:val="22"/>
          <w:szCs w:val="22"/>
          <w:highlight w:val="none"/>
        </w:rPr>
        <w:t>五、</w:t>
      </w:r>
      <w:r>
        <w:rPr>
          <w:rFonts w:ascii="宋体" w:hAnsi="宋体" w:cs="@楷体_GB2312"/>
          <w:b w:val="0"/>
          <w:bCs w:val="0"/>
          <w:color w:val="auto"/>
          <w:sz w:val="22"/>
          <w:szCs w:val="22"/>
          <w:highlight w:val="none"/>
        </w:rPr>
        <w:t>投标保证金：</w:t>
      </w:r>
      <w:r>
        <w:rPr>
          <w:rFonts w:hint="eastAsia" w:ascii="宋体" w:hAnsi="宋体" w:cs="@楷体_GB2312"/>
          <w:b w:val="0"/>
          <w:bCs w:val="0"/>
          <w:color w:val="auto"/>
          <w:sz w:val="22"/>
          <w:szCs w:val="22"/>
          <w:highlight w:val="none"/>
        </w:rPr>
        <w:t>按照《浙江省财政厅关于明确政府采购保证金管理工作的通知》浙财采监〔2020〕5号文件规定，投标人无需缴纳</w:t>
      </w:r>
      <w:r>
        <w:rPr>
          <w:rFonts w:ascii="宋体" w:hAnsi="宋体" w:cs="@楷体_GB2312"/>
          <w:b w:val="0"/>
          <w:bCs w:val="0"/>
          <w:color w:val="auto"/>
          <w:sz w:val="22"/>
          <w:szCs w:val="22"/>
          <w:highlight w:val="none"/>
        </w:rPr>
        <w:t>投标保证金</w:t>
      </w:r>
      <w:r>
        <w:rPr>
          <w:rFonts w:hint="eastAsia" w:ascii="宋体" w:hAnsi="宋体" w:cs="@楷体_GB2312"/>
          <w:b w:val="0"/>
          <w:bCs w:val="0"/>
          <w:color w:val="auto"/>
          <w:sz w:val="22"/>
          <w:szCs w:val="22"/>
          <w:highlight w:val="none"/>
        </w:rPr>
        <w:t>。</w:t>
      </w:r>
    </w:p>
    <w:p w14:paraId="2C3487ED">
      <w:pPr>
        <w:spacing w:line="360" w:lineRule="auto"/>
        <w:rPr>
          <w:rFonts w:hint="eastAsia" w:ascii="宋体" w:hAnsi="宋体" w:cs="@楷体_GB2312"/>
          <w:b w:val="0"/>
          <w:bCs w:val="0"/>
          <w:color w:val="auto"/>
          <w:sz w:val="22"/>
          <w:szCs w:val="22"/>
          <w:highlight w:val="none"/>
        </w:rPr>
      </w:pPr>
      <w:r>
        <w:rPr>
          <w:rFonts w:hint="eastAsia" w:ascii="宋体" w:hAnsi="宋体" w:cs="@楷体_GB2312"/>
          <w:b w:val="0"/>
          <w:bCs w:val="0"/>
          <w:color w:val="auto"/>
          <w:sz w:val="22"/>
          <w:szCs w:val="22"/>
          <w:highlight w:val="none"/>
        </w:rPr>
        <w:t>六</w:t>
      </w:r>
      <w:r>
        <w:rPr>
          <w:rFonts w:ascii="宋体" w:hAnsi="宋体" w:cs="@楷体_GB2312"/>
          <w:b w:val="0"/>
          <w:bCs w:val="0"/>
          <w:color w:val="auto"/>
          <w:sz w:val="22"/>
          <w:szCs w:val="22"/>
          <w:highlight w:val="none"/>
        </w:rPr>
        <w:t>、公告期限</w:t>
      </w:r>
    </w:p>
    <w:p w14:paraId="18C5E3BB">
      <w:pPr>
        <w:spacing w:line="360" w:lineRule="auto"/>
        <w:ind w:firstLine="440" w:firstLineChars="200"/>
        <w:rPr>
          <w:rFonts w:hint="eastAsia" w:ascii="宋体" w:hAnsi="宋体" w:cs="@楷体_GB2312"/>
          <w:b w:val="0"/>
          <w:bCs w:val="0"/>
          <w:color w:val="auto"/>
          <w:sz w:val="22"/>
          <w:szCs w:val="22"/>
          <w:highlight w:val="none"/>
        </w:rPr>
      </w:pPr>
      <w:r>
        <w:rPr>
          <w:rFonts w:ascii="宋体" w:hAnsi="宋体" w:cs="@楷体_GB2312"/>
          <w:b w:val="0"/>
          <w:bCs w:val="0"/>
          <w:color w:val="auto"/>
          <w:sz w:val="22"/>
          <w:szCs w:val="22"/>
          <w:highlight w:val="none"/>
        </w:rPr>
        <w:t>自本公告发布之日起5个工作日。</w:t>
      </w:r>
    </w:p>
    <w:p w14:paraId="72443D26">
      <w:pPr>
        <w:spacing w:line="360" w:lineRule="auto"/>
        <w:rPr>
          <w:rFonts w:hint="eastAsia" w:ascii="宋体" w:hAnsi="宋体" w:cs="@楷体_GB2312"/>
          <w:b w:val="0"/>
          <w:bCs w:val="0"/>
          <w:color w:val="auto"/>
          <w:sz w:val="22"/>
          <w:szCs w:val="22"/>
          <w:highlight w:val="none"/>
        </w:rPr>
      </w:pPr>
      <w:r>
        <w:rPr>
          <w:rFonts w:hint="eastAsia" w:ascii="宋体" w:hAnsi="宋体" w:cs="@楷体_GB2312"/>
          <w:b w:val="0"/>
          <w:bCs w:val="0"/>
          <w:color w:val="auto"/>
          <w:sz w:val="22"/>
          <w:szCs w:val="22"/>
          <w:highlight w:val="none"/>
        </w:rPr>
        <w:t>七、其他补充事宜</w:t>
      </w:r>
    </w:p>
    <w:p w14:paraId="20A3C9FE">
      <w:pPr>
        <w:spacing w:line="360" w:lineRule="auto"/>
        <w:ind w:firstLine="440" w:firstLineChars="200"/>
        <w:rPr>
          <w:rFonts w:hint="eastAsia" w:ascii="宋体" w:hAnsi="宋体" w:cs="@楷体_GB2312"/>
          <w:b w:val="0"/>
          <w:bCs w:val="0"/>
          <w:color w:val="auto"/>
          <w:sz w:val="22"/>
          <w:szCs w:val="22"/>
          <w:highlight w:val="none"/>
        </w:rPr>
      </w:pPr>
      <w:r>
        <w:rPr>
          <w:rFonts w:ascii="宋体" w:hAnsi="宋体" w:cs="@楷体_GB2312"/>
          <w:b w:val="0"/>
          <w:bCs w:val="0"/>
          <w:color w:val="auto"/>
          <w:sz w:val="22"/>
          <w:szCs w:val="22"/>
          <w:highlight w:val="none"/>
        </w:rPr>
        <w:t>1</w:t>
      </w:r>
      <w:r>
        <w:rPr>
          <w:rFonts w:hint="eastAsia" w:ascii="宋体" w:hAnsi="宋体" w:cs="@楷体_GB2312"/>
          <w:b w:val="0"/>
          <w:bCs w:val="0"/>
          <w:color w:val="auto"/>
          <w:sz w:val="22"/>
          <w:szCs w:val="22"/>
          <w:highlight w:val="none"/>
        </w:rPr>
        <w:t>、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w:t>
      </w:r>
      <w:r>
        <w:rPr>
          <w:rFonts w:hint="eastAsia" w:ascii="宋体" w:hAnsi="宋体" w:cs="@楷体_GB2312"/>
          <w:b w:val="0"/>
          <w:bCs w:val="0"/>
          <w:color w:val="auto"/>
          <w:sz w:val="22"/>
          <w:szCs w:val="22"/>
          <w:highlight w:val="none"/>
        </w:rPr>
        <w:br w:type="textWrapping"/>
      </w:r>
      <w:r>
        <w:rPr>
          <w:rFonts w:hint="eastAsia" w:ascii="宋体" w:hAnsi="宋体" w:cs="@楷体_GB2312"/>
          <w:b w:val="0"/>
          <w:bCs w:val="0"/>
          <w:color w:val="auto"/>
          <w:sz w:val="22"/>
          <w:szCs w:val="22"/>
          <w:highlight w:val="none"/>
        </w:rPr>
        <w:t xml:space="preserve">    </w:t>
      </w:r>
      <w:r>
        <w:rPr>
          <w:rFonts w:ascii="宋体" w:hAnsi="宋体" w:cs="@楷体_GB2312"/>
          <w:b w:val="0"/>
          <w:bCs w:val="0"/>
          <w:color w:val="auto"/>
          <w:sz w:val="22"/>
          <w:szCs w:val="22"/>
          <w:highlight w:val="none"/>
        </w:rPr>
        <w:t>2</w:t>
      </w:r>
      <w:r>
        <w:rPr>
          <w:rFonts w:hint="eastAsia" w:ascii="宋体" w:hAnsi="宋体" w:cs="@楷体_GB2312"/>
          <w:b w:val="0"/>
          <w:bCs w:val="0"/>
          <w:color w:val="auto"/>
          <w:sz w:val="22"/>
          <w:szCs w:val="22"/>
          <w:highlight w:val="none"/>
        </w:rPr>
        <w:t>、提交方式：质疑投诉提交书面资料。</w:t>
      </w:r>
    </w:p>
    <w:p w14:paraId="3BBD1CA7">
      <w:pPr>
        <w:spacing w:line="360" w:lineRule="auto"/>
        <w:ind w:firstLine="440" w:firstLineChars="200"/>
        <w:rPr>
          <w:rFonts w:hint="eastAsia" w:ascii="宋体" w:hAnsi="宋体" w:cs="@楷体_GB2312"/>
          <w:b w:val="0"/>
          <w:bCs w:val="0"/>
          <w:color w:val="auto"/>
          <w:sz w:val="22"/>
          <w:szCs w:val="22"/>
          <w:highlight w:val="none"/>
        </w:rPr>
      </w:pPr>
      <w:r>
        <w:rPr>
          <w:rFonts w:ascii="宋体" w:hAnsi="宋体" w:cs="@楷体_GB2312"/>
          <w:b w:val="0"/>
          <w:bCs w:val="0"/>
          <w:color w:val="auto"/>
          <w:sz w:val="22"/>
          <w:szCs w:val="22"/>
          <w:highlight w:val="none"/>
        </w:rPr>
        <w:t>3</w:t>
      </w:r>
      <w:r>
        <w:rPr>
          <w:rFonts w:hint="eastAsia" w:ascii="宋体" w:hAnsi="宋体" w:cs="@楷体_GB2312"/>
          <w:b w:val="0"/>
          <w:bCs w:val="0"/>
          <w:color w:val="auto"/>
          <w:sz w:val="22"/>
          <w:szCs w:val="22"/>
          <w:highlight w:val="none"/>
        </w:rPr>
        <w:t>、</w:t>
      </w:r>
      <w:r>
        <w:rPr>
          <w:rFonts w:ascii="宋体" w:hAnsi="宋体" w:cs="@楷体_GB2312"/>
          <w:b w:val="0"/>
          <w:bCs w:val="0"/>
          <w:color w:val="auto"/>
          <w:sz w:val="22"/>
          <w:szCs w:val="22"/>
          <w:highlight w:val="none"/>
        </w:rPr>
        <w:t>其他事项：</w:t>
      </w:r>
      <w:r>
        <w:rPr>
          <w:rFonts w:hint="eastAsia" w:ascii="宋体" w:hAnsi="宋体" w:cs="@楷体_GB2312"/>
          <w:b w:val="0"/>
          <w:bCs w:val="0"/>
          <w:color w:val="auto"/>
          <w:sz w:val="22"/>
          <w:szCs w:val="22"/>
          <w:highlight w:val="none"/>
        </w:rPr>
        <w:t>本项目为龙港市国企采购，如与相关规定不一致以本采购文件为准。</w:t>
      </w:r>
    </w:p>
    <w:p w14:paraId="0D19D652">
      <w:pPr>
        <w:pStyle w:val="17"/>
        <w:rPr>
          <w:rFonts w:hint="eastAsia" w:ascii="宋体" w:hAnsi="宋体" w:eastAsia="宋体" w:cs="Times New Roman"/>
          <w:color w:val="000000"/>
          <w:kern w:val="0"/>
          <w:szCs w:val="22"/>
          <w:highlight w:val="none"/>
        </w:rPr>
      </w:pPr>
      <w:r>
        <w:rPr>
          <w:rFonts w:hint="eastAsia" w:asciiTheme="minorEastAsia" w:hAnsiTheme="minorEastAsia" w:eastAsiaTheme="minorEastAsia"/>
          <w:sz w:val="22"/>
          <w:szCs w:val="22"/>
          <w:highlight w:val="none"/>
        </w:rPr>
        <w:t>八</w:t>
      </w:r>
      <w:r>
        <w:rPr>
          <w:rFonts w:hint="eastAsia" w:ascii="宋体" w:hAnsi="宋体" w:eastAsia="宋体" w:cs="宋体"/>
          <w:sz w:val="22"/>
          <w:szCs w:val="22"/>
          <w:highlight w:val="none"/>
        </w:rPr>
        <w:t>、对本次招标提出询问，请按以下方式联系</w:t>
      </w:r>
    </w:p>
    <w:bookmarkEnd w:id="0"/>
    <w:bookmarkEnd w:id="1"/>
    <w:p w14:paraId="13513D79">
      <w:pPr>
        <w:spacing w:line="360" w:lineRule="auto"/>
        <w:ind w:left="425"/>
        <w:rPr>
          <w:rFonts w:hint="eastAsia" w:ascii="宋体" w:hAnsi="宋体" w:cs="新宋体"/>
          <w:b w:val="0"/>
          <w:bCs w:val="0"/>
          <w:szCs w:val="22"/>
          <w:highlight w:val="none"/>
        </w:rPr>
      </w:pPr>
      <w:r>
        <w:rPr>
          <w:rFonts w:hint="eastAsia" w:ascii="宋体" w:hAnsi="宋体" w:cs="新宋体"/>
          <w:b w:val="0"/>
          <w:bCs w:val="0"/>
          <w:szCs w:val="22"/>
          <w:highlight w:val="none"/>
        </w:rPr>
        <w:t>1</w:t>
      </w:r>
      <w:r>
        <w:rPr>
          <w:rFonts w:ascii="宋体" w:hAnsi="宋体" w:cs="新宋体"/>
          <w:b w:val="0"/>
          <w:bCs w:val="0"/>
          <w:szCs w:val="22"/>
          <w:highlight w:val="none"/>
        </w:rPr>
        <w:t>.采购人</w:t>
      </w:r>
      <w:r>
        <w:rPr>
          <w:rFonts w:hint="eastAsia" w:ascii="宋体" w:hAnsi="宋体" w:cs="新宋体"/>
          <w:b w:val="0"/>
          <w:bCs w:val="0"/>
          <w:szCs w:val="22"/>
          <w:highlight w:val="none"/>
        </w:rPr>
        <w:t>信息</w:t>
      </w:r>
    </w:p>
    <w:p w14:paraId="01717205">
      <w:pPr>
        <w:spacing w:line="360" w:lineRule="auto"/>
        <w:ind w:left="425"/>
        <w:rPr>
          <w:rFonts w:hint="eastAsia" w:ascii="宋体" w:hAnsi="宋体" w:cs="新宋体"/>
          <w:b w:val="0"/>
          <w:bCs w:val="0"/>
          <w:szCs w:val="22"/>
          <w:highlight w:val="none"/>
        </w:rPr>
      </w:pPr>
      <w:r>
        <w:rPr>
          <w:rFonts w:ascii="宋体" w:hAnsi="宋体" w:cs="新宋体"/>
          <w:b w:val="0"/>
          <w:bCs w:val="0"/>
          <w:szCs w:val="22"/>
          <w:highlight w:val="none"/>
        </w:rPr>
        <w:t>名称：</w:t>
      </w:r>
      <w:r>
        <w:rPr>
          <w:rFonts w:hint="eastAsia" w:ascii="宋体" w:hAnsi="宋体" w:cs="新宋体"/>
          <w:b w:val="0"/>
          <w:bCs w:val="0"/>
          <w:szCs w:val="22"/>
          <w:highlight w:val="none"/>
        </w:rPr>
        <w:t>温州公用事业发展集团龙港水务有限公司</w:t>
      </w:r>
    </w:p>
    <w:p w14:paraId="634156C8">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地址：龙港市通港路</w:t>
      </w:r>
      <w:r>
        <w:rPr>
          <w:rFonts w:hint="eastAsia" w:ascii="宋体" w:hAnsi="宋体" w:cs="新宋体"/>
          <w:b w:val="0"/>
          <w:szCs w:val="22"/>
          <w:highlight w:val="none"/>
        </w:rPr>
        <w:t>1255-1399号</w:t>
      </w:r>
    </w:p>
    <w:p w14:paraId="4BC6DFCD">
      <w:pPr>
        <w:spacing w:line="360" w:lineRule="auto"/>
        <w:ind w:firstLine="405" w:firstLineChars="193"/>
        <w:rPr>
          <w:rFonts w:hint="eastAsia" w:ascii="宋体" w:hAnsi="宋体" w:cs="新宋体"/>
          <w:b w:val="0"/>
          <w:bCs w:val="0"/>
          <w:szCs w:val="22"/>
          <w:highlight w:val="none"/>
        </w:rPr>
      </w:pPr>
      <w:r>
        <w:rPr>
          <w:rFonts w:ascii="宋体" w:hAnsi="宋体" w:cs="新宋体"/>
          <w:b w:val="0"/>
          <w:bCs w:val="0"/>
          <w:szCs w:val="22"/>
          <w:highlight w:val="none"/>
        </w:rPr>
        <w:t>传真：</w:t>
      </w:r>
      <w:r>
        <w:rPr>
          <w:rFonts w:hint="eastAsia" w:ascii="宋体" w:hAnsi="宋体" w:cs="新宋体"/>
          <w:b w:val="0"/>
          <w:bCs w:val="0"/>
          <w:szCs w:val="22"/>
          <w:highlight w:val="none"/>
        </w:rPr>
        <w:t>/</w:t>
      </w:r>
    </w:p>
    <w:p w14:paraId="08EAEB25">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项目</w:t>
      </w:r>
      <w:r>
        <w:rPr>
          <w:rFonts w:ascii="宋体" w:hAnsi="宋体" w:cs="新宋体"/>
          <w:b w:val="0"/>
          <w:bCs w:val="0"/>
          <w:szCs w:val="22"/>
          <w:highlight w:val="none"/>
        </w:rPr>
        <w:t>联系人</w:t>
      </w:r>
      <w:r>
        <w:rPr>
          <w:rFonts w:hint="eastAsia" w:ascii="宋体" w:hAnsi="宋体" w:cs="新宋体"/>
          <w:b w:val="0"/>
          <w:bCs w:val="0"/>
          <w:szCs w:val="22"/>
          <w:highlight w:val="none"/>
        </w:rPr>
        <w:t>（询问）</w:t>
      </w:r>
      <w:r>
        <w:rPr>
          <w:rFonts w:ascii="宋体" w:hAnsi="宋体" w:cs="新宋体"/>
          <w:b w:val="0"/>
          <w:bCs w:val="0"/>
          <w:szCs w:val="22"/>
          <w:highlight w:val="none"/>
        </w:rPr>
        <w:t xml:space="preserve">： </w:t>
      </w:r>
      <w:r>
        <w:rPr>
          <w:rFonts w:hint="eastAsia" w:ascii="宋体" w:hAnsi="宋体" w:cs="新宋体"/>
          <w:b w:val="0"/>
          <w:bCs w:val="0"/>
          <w:szCs w:val="22"/>
          <w:highlight w:val="none"/>
        </w:rPr>
        <w:t>黄先生</w:t>
      </w:r>
    </w:p>
    <w:p w14:paraId="60ADF96B">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项目</w:t>
      </w:r>
      <w:r>
        <w:rPr>
          <w:rFonts w:ascii="宋体" w:hAnsi="宋体" w:cs="新宋体"/>
          <w:b w:val="0"/>
          <w:bCs w:val="0"/>
          <w:szCs w:val="22"/>
          <w:highlight w:val="none"/>
        </w:rPr>
        <w:t>联系</w:t>
      </w:r>
      <w:r>
        <w:rPr>
          <w:rFonts w:hint="eastAsia" w:ascii="宋体" w:hAnsi="宋体" w:cs="新宋体"/>
          <w:b w:val="0"/>
          <w:bCs w:val="0"/>
          <w:szCs w:val="22"/>
          <w:highlight w:val="none"/>
        </w:rPr>
        <w:t>方式（询问）</w:t>
      </w:r>
      <w:r>
        <w:rPr>
          <w:rFonts w:ascii="宋体" w:hAnsi="宋体" w:cs="新宋体"/>
          <w:b w:val="0"/>
          <w:bCs w:val="0"/>
          <w:szCs w:val="22"/>
          <w:highlight w:val="none"/>
        </w:rPr>
        <w:t>：</w:t>
      </w:r>
      <w:r>
        <w:rPr>
          <w:rFonts w:hint="eastAsia" w:ascii="宋体" w:hAnsi="宋体" w:cs="新宋体"/>
          <w:b w:val="0"/>
          <w:bCs w:val="0"/>
          <w:szCs w:val="22"/>
          <w:highlight w:val="none"/>
        </w:rPr>
        <w:t>0577-59902855</w:t>
      </w:r>
    </w:p>
    <w:p w14:paraId="192ACBD7">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2．</w:t>
      </w:r>
      <w:r>
        <w:rPr>
          <w:rFonts w:ascii="宋体" w:hAnsi="宋体" w:cs="新宋体"/>
          <w:b w:val="0"/>
          <w:bCs w:val="0"/>
          <w:szCs w:val="22"/>
          <w:highlight w:val="none"/>
        </w:rPr>
        <w:t>采购代理机构信息</w:t>
      </w:r>
    </w:p>
    <w:p w14:paraId="3DB50DD4">
      <w:pPr>
        <w:spacing w:line="360" w:lineRule="auto"/>
        <w:ind w:firstLine="405" w:firstLineChars="193"/>
        <w:rPr>
          <w:rFonts w:hint="eastAsia" w:ascii="宋体" w:hAnsi="宋体" w:cs="新宋体"/>
          <w:b w:val="0"/>
          <w:bCs w:val="0"/>
          <w:szCs w:val="22"/>
          <w:highlight w:val="none"/>
        </w:rPr>
      </w:pPr>
      <w:r>
        <w:rPr>
          <w:rFonts w:ascii="宋体" w:hAnsi="宋体" w:cs="新宋体"/>
          <w:b w:val="0"/>
          <w:bCs w:val="0"/>
          <w:szCs w:val="22"/>
          <w:highlight w:val="none"/>
        </w:rPr>
        <w:t>名称：</w:t>
      </w:r>
      <w:r>
        <w:rPr>
          <w:rFonts w:hint="eastAsia" w:ascii="宋体" w:hAnsi="宋体" w:cs="新宋体"/>
          <w:b w:val="0"/>
          <w:bCs w:val="0"/>
          <w:szCs w:val="22"/>
          <w:highlight w:val="none"/>
        </w:rPr>
        <w:t>温州超然招标代理有限公司</w:t>
      </w:r>
    </w:p>
    <w:p w14:paraId="5D393F82">
      <w:pPr>
        <w:spacing w:line="360" w:lineRule="auto"/>
        <w:ind w:firstLine="405" w:firstLineChars="193"/>
        <w:rPr>
          <w:rFonts w:hint="eastAsia" w:ascii="宋体" w:hAnsi="宋体" w:cs="新宋体"/>
          <w:b w:val="0"/>
          <w:bCs w:val="0"/>
          <w:szCs w:val="22"/>
          <w:highlight w:val="none"/>
        </w:rPr>
      </w:pPr>
      <w:r>
        <w:rPr>
          <w:rFonts w:ascii="宋体" w:hAnsi="宋体" w:cs="新宋体"/>
          <w:b w:val="0"/>
          <w:bCs w:val="0"/>
          <w:szCs w:val="22"/>
          <w:highlight w:val="none"/>
        </w:rPr>
        <w:t>地址：</w:t>
      </w:r>
      <w:r>
        <w:rPr>
          <w:rFonts w:hint="eastAsia" w:ascii="宋体" w:hAnsi="宋体" w:cs="新宋体"/>
          <w:b w:val="0"/>
          <w:bCs w:val="0"/>
          <w:szCs w:val="22"/>
          <w:highlight w:val="none"/>
        </w:rPr>
        <w:t>龙港市海港路1283号后幢一单元202室</w:t>
      </w:r>
    </w:p>
    <w:p w14:paraId="20404E73">
      <w:pPr>
        <w:spacing w:line="360" w:lineRule="auto"/>
        <w:ind w:firstLine="405" w:firstLineChars="193"/>
        <w:rPr>
          <w:rFonts w:hint="eastAsia" w:ascii="宋体" w:hAnsi="宋体" w:cs="新宋体"/>
          <w:b w:val="0"/>
          <w:bCs w:val="0"/>
          <w:szCs w:val="22"/>
          <w:highlight w:val="none"/>
        </w:rPr>
      </w:pPr>
      <w:r>
        <w:rPr>
          <w:rFonts w:ascii="宋体" w:hAnsi="宋体" w:cs="新宋体"/>
          <w:b w:val="0"/>
          <w:bCs w:val="0"/>
          <w:szCs w:val="22"/>
          <w:highlight w:val="none"/>
        </w:rPr>
        <w:t>传真：</w:t>
      </w:r>
      <w:r>
        <w:rPr>
          <w:rFonts w:hint="eastAsia" w:ascii="宋体" w:hAnsi="宋体" w:cs="新宋体"/>
          <w:b w:val="0"/>
          <w:bCs w:val="0"/>
          <w:szCs w:val="22"/>
          <w:highlight w:val="none"/>
        </w:rPr>
        <w:t>0577-68803069</w:t>
      </w:r>
    </w:p>
    <w:p w14:paraId="24277269">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项目</w:t>
      </w:r>
      <w:r>
        <w:rPr>
          <w:rFonts w:ascii="宋体" w:hAnsi="宋体" w:cs="新宋体"/>
          <w:b w:val="0"/>
          <w:bCs w:val="0"/>
          <w:szCs w:val="22"/>
          <w:highlight w:val="none"/>
        </w:rPr>
        <w:t>联系人</w:t>
      </w:r>
      <w:r>
        <w:rPr>
          <w:rFonts w:hint="eastAsia" w:ascii="宋体" w:hAnsi="宋体" w:cs="新宋体"/>
          <w:b w:val="0"/>
          <w:bCs w:val="0"/>
          <w:szCs w:val="22"/>
          <w:highlight w:val="none"/>
        </w:rPr>
        <w:t>（询问）</w:t>
      </w:r>
      <w:r>
        <w:rPr>
          <w:rFonts w:ascii="宋体" w:hAnsi="宋体" w:cs="新宋体"/>
          <w:b w:val="0"/>
          <w:bCs w:val="0"/>
          <w:szCs w:val="22"/>
          <w:highlight w:val="none"/>
        </w:rPr>
        <w:t>：</w:t>
      </w:r>
      <w:r>
        <w:rPr>
          <w:rFonts w:hint="eastAsia" w:ascii="宋体" w:hAnsi="宋体" w:cs="新宋体"/>
          <w:b w:val="0"/>
          <w:bCs w:val="0"/>
          <w:szCs w:val="22"/>
          <w:highlight w:val="none"/>
        </w:rPr>
        <w:t>洪世铭</w:t>
      </w:r>
    </w:p>
    <w:p w14:paraId="0C529E61">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项目</w:t>
      </w:r>
      <w:r>
        <w:rPr>
          <w:rFonts w:ascii="宋体" w:hAnsi="宋体" w:cs="新宋体"/>
          <w:b w:val="0"/>
          <w:bCs w:val="0"/>
          <w:szCs w:val="22"/>
          <w:highlight w:val="none"/>
        </w:rPr>
        <w:t>联系</w:t>
      </w:r>
      <w:r>
        <w:rPr>
          <w:rFonts w:hint="eastAsia" w:ascii="宋体" w:hAnsi="宋体" w:cs="新宋体"/>
          <w:b w:val="0"/>
          <w:bCs w:val="0"/>
          <w:szCs w:val="22"/>
          <w:highlight w:val="none"/>
        </w:rPr>
        <w:t>方式（询问）</w:t>
      </w:r>
      <w:r>
        <w:rPr>
          <w:rFonts w:ascii="宋体" w:hAnsi="宋体" w:cs="新宋体"/>
          <w:b w:val="0"/>
          <w:bCs w:val="0"/>
          <w:szCs w:val="22"/>
          <w:highlight w:val="none"/>
        </w:rPr>
        <w:t>：</w:t>
      </w:r>
      <w:r>
        <w:rPr>
          <w:rFonts w:hint="eastAsia" w:ascii="宋体" w:hAnsi="宋体" w:cs="新宋体"/>
          <w:b w:val="0"/>
          <w:bCs w:val="0"/>
          <w:szCs w:val="22"/>
          <w:highlight w:val="none"/>
        </w:rPr>
        <w:t>18267789396</w:t>
      </w:r>
    </w:p>
    <w:p w14:paraId="7190B7EB">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3．同级采购监督管理部门</w:t>
      </w:r>
    </w:p>
    <w:p w14:paraId="63483D8C">
      <w:pPr>
        <w:spacing w:line="360" w:lineRule="auto"/>
        <w:ind w:firstLine="405" w:firstLineChars="193"/>
        <w:rPr>
          <w:rFonts w:hint="eastAsia" w:ascii="宋体" w:hAnsi="宋体" w:cs="新宋体"/>
          <w:b w:val="0"/>
          <w:bCs w:val="0"/>
          <w:szCs w:val="22"/>
          <w:highlight w:val="none"/>
          <w:lang w:val="en-US" w:eastAsia="zh-CN"/>
        </w:rPr>
      </w:pPr>
      <w:r>
        <w:rPr>
          <w:rFonts w:hint="eastAsia" w:ascii="宋体" w:hAnsi="宋体" w:cs="新宋体"/>
          <w:b w:val="0"/>
          <w:bCs w:val="0"/>
          <w:szCs w:val="22"/>
          <w:highlight w:val="none"/>
        </w:rPr>
        <w:t>名称：温州公用事业发展集团龙港水务有限公司</w:t>
      </w:r>
      <w:r>
        <w:rPr>
          <w:rFonts w:hint="eastAsia" w:ascii="宋体" w:hAnsi="宋体" w:cs="新宋体"/>
          <w:b w:val="0"/>
          <w:bCs w:val="0"/>
          <w:szCs w:val="22"/>
          <w:highlight w:val="none"/>
          <w:lang w:val="en-US" w:eastAsia="zh-CN"/>
        </w:rPr>
        <w:t>纪委</w:t>
      </w:r>
    </w:p>
    <w:p w14:paraId="01CC48FD">
      <w:pPr>
        <w:spacing w:line="360" w:lineRule="auto"/>
        <w:ind w:firstLine="405" w:firstLineChars="193"/>
        <w:rPr>
          <w:rFonts w:hint="eastAsia" w:ascii="宋体" w:hAnsi="宋体" w:cs="新宋体"/>
          <w:b w:val="0"/>
          <w:bCs w:val="0"/>
          <w:szCs w:val="22"/>
          <w:highlight w:val="none"/>
          <w:lang w:val="en-US" w:eastAsia="zh-CN"/>
        </w:rPr>
      </w:pPr>
      <w:r>
        <w:rPr>
          <w:rFonts w:hint="eastAsia" w:ascii="宋体" w:hAnsi="宋体" w:cs="新宋体"/>
          <w:b w:val="0"/>
          <w:bCs w:val="0"/>
          <w:szCs w:val="22"/>
          <w:highlight w:val="none"/>
        </w:rPr>
        <w:t>地址：浙江省温州市龙港市通港路1255-1399号</w:t>
      </w:r>
      <w:r>
        <w:rPr>
          <w:rFonts w:hint="eastAsia" w:ascii="宋体" w:hAnsi="宋体" w:cs="新宋体"/>
          <w:b w:val="0"/>
          <w:bCs w:val="0"/>
          <w:szCs w:val="22"/>
          <w:highlight w:val="none"/>
          <w:lang w:val="en-US" w:eastAsia="zh-CN"/>
        </w:rPr>
        <w:t xml:space="preserve"> </w:t>
      </w:r>
    </w:p>
    <w:p w14:paraId="74A94B45">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联系人：</w:t>
      </w:r>
      <w:r>
        <w:rPr>
          <w:rFonts w:hint="eastAsia" w:ascii="宋体" w:hAnsi="宋体" w:cs="新宋体"/>
          <w:b w:val="0"/>
          <w:bCs w:val="0"/>
          <w:szCs w:val="22"/>
          <w:highlight w:val="none"/>
          <w:lang w:val="en-US" w:eastAsia="zh-CN"/>
        </w:rPr>
        <w:t>苏</w:t>
      </w:r>
      <w:r>
        <w:rPr>
          <w:rFonts w:hint="eastAsia" w:ascii="宋体" w:hAnsi="宋体" w:cs="新宋体"/>
          <w:b w:val="0"/>
          <w:bCs w:val="0"/>
          <w:szCs w:val="22"/>
          <w:highlight w:val="none"/>
        </w:rPr>
        <w:t>女士</w:t>
      </w:r>
    </w:p>
    <w:p w14:paraId="190EA894">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监督投诉电话： 0577-59902886</w:t>
      </w:r>
    </w:p>
    <w:p w14:paraId="6F6D3EDC">
      <w:pPr>
        <w:pStyle w:val="23"/>
        <w:rPr>
          <w:rFonts w:hint="eastAsia" w:ascii="宋体" w:hAnsi="宋体" w:cs="新宋体"/>
          <w:b w:val="0"/>
          <w:bCs w:val="0"/>
          <w:szCs w:val="22"/>
          <w:highlight w:val="none"/>
        </w:rPr>
      </w:pPr>
    </w:p>
    <w:p w14:paraId="30BDB3B8">
      <w:pPr>
        <w:pStyle w:val="23"/>
        <w:rPr>
          <w:rFonts w:hint="eastAsia" w:ascii="宋体" w:hAnsi="宋体" w:cs="新宋体"/>
          <w:b w:val="0"/>
          <w:bCs w:val="0"/>
          <w:szCs w:val="22"/>
          <w:highlight w:val="none"/>
        </w:rPr>
      </w:pPr>
    </w:p>
    <w:p w14:paraId="03764D1A">
      <w:pPr>
        <w:pStyle w:val="23"/>
        <w:jc w:val="right"/>
        <w:rPr>
          <w:rFonts w:hint="eastAsia" w:ascii="宋体" w:hAnsi="宋体" w:cs="新宋体"/>
          <w:b w:val="0"/>
          <w:bCs w:val="0"/>
          <w:szCs w:val="22"/>
          <w:highlight w:val="none"/>
        </w:rPr>
      </w:pPr>
      <w:r>
        <w:rPr>
          <w:rFonts w:hint="eastAsia" w:ascii="宋体" w:hAnsi="宋体" w:cs="新宋体"/>
          <w:b w:val="0"/>
          <w:bCs w:val="0"/>
          <w:szCs w:val="22"/>
          <w:highlight w:val="none"/>
        </w:rPr>
        <w:t>温州公用事业发展集团龙港水务有限公司</w:t>
      </w:r>
    </w:p>
    <w:p w14:paraId="72C14E67">
      <w:pPr>
        <w:pStyle w:val="23"/>
        <w:jc w:val="right"/>
        <w:rPr>
          <w:rFonts w:hint="eastAsia" w:ascii="宋体" w:hAnsi="宋体" w:cs="新宋体"/>
          <w:b w:val="0"/>
          <w:bCs w:val="0"/>
          <w:szCs w:val="22"/>
          <w:highlight w:val="none"/>
        </w:rPr>
      </w:pPr>
      <w:r>
        <w:rPr>
          <w:rFonts w:hint="eastAsia" w:ascii="宋体" w:hAnsi="宋体" w:cs="新宋体"/>
          <w:b w:val="0"/>
          <w:bCs w:val="0"/>
          <w:szCs w:val="22"/>
          <w:highlight w:val="none"/>
        </w:rPr>
        <w:t>温州超然招标代理有限公司</w:t>
      </w:r>
    </w:p>
    <w:p w14:paraId="04735075">
      <w:pPr>
        <w:pStyle w:val="23"/>
        <w:jc w:val="right"/>
        <w:rPr>
          <w:rFonts w:hint="eastAsia" w:ascii="宋体" w:hAnsi="宋体" w:cs="新宋体"/>
          <w:b w:val="0"/>
          <w:bCs w:val="0"/>
          <w:szCs w:val="22"/>
          <w:highlight w:val="none"/>
        </w:rPr>
      </w:pPr>
      <w:r>
        <w:rPr>
          <w:rFonts w:hint="eastAsia" w:ascii="宋体" w:hAnsi="宋体" w:cs="新宋体"/>
          <w:b w:val="0"/>
          <w:bCs w:val="0"/>
          <w:szCs w:val="22"/>
          <w:highlight w:val="none"/>
        </w:rPr>
        <w:t>2025年0</w:t>
      </w:r>
      <w:r>
        <w:rPr>
          <w:rFonts w:hint="eastAsia" w:ascii="宋体" w:hAnsi="宋体" w:cs="新宋体"/>
          <w:b w:val="0"/>
          <w:bCs w:val="0"/>
          <w:szCs w:val="22"/>
          <w:highlight w:val="none"/>
          <w:lang w:val="en-US" w:eastAsia="zh-CN"/>
        </w:rPr>
        <w:t>2</w:t>
      </w:r>
      <w:r>
        <w:rPr>
          <w:rFonts w:hint="eastAsia" w:ascii="宋体" w:hAnsi="宋体" w:cs="新宋体"/>
          <w:b w:val="0"/>
          <w:bCs w:val="0"/>
          <w:szCs w:val="22"/>
          <w:highlight w:val="none"/>
        </w:rPr>
        <w:t>月</w:t>
      </w:r>
      <w:r>
        <w:rPr>
          <w:rFonts w:hint="eastAsia" w:ascii="宋体" w:hAnsi="宋体" w:cs="新宋体"/>
          <w:b w:val="0"/>
          <w:bCs w:val="0"/>
          <w:szCs w:val="22"/>
          <w:highlight w:val="none"/>
          <w:lang w:val="en-US" w:eastAsia="zh-CN"/>
        </w:rPr>
        <w:t>26</w:t>
      </w:r>
      <w:r>
        <w:rPr>
          <w:rFonts w:hint="eastAsia" w:ascii="宋体" w:hAnsi="宋体" w:cs="新宋体"/>
          <w:b w:val="0"/>
          <w:bCs w:val="0"/>
          <w:szCs w:val="22"/>
          <w:highlight w:val="none"/>
        </w:rPr>
        <w:t>日</w:t>
      </w:r>
    </w:p>
    <w:p w14:paraId="206B097A">
      <w:pPr>
        <w:jc w:val="center"/>
        <w:rPr>
          <w:rFonts w:ascii="Cambria Math" w:hAnsi="Cambria Math" w:eastAsiaTheme="minorEastAsia"/>
          <w:b w:val="0"/>
          <w:bCs w:val="0"/>
          <w:color w:val="auto"/>
          <w:sz w:val="28"/>
          <w:szCs w:val="28"/>
          <w:highlight w:val="none"/>
        </w:rPr>
      </w:pPr>
    </w:p>
    <w:p w14:paraId="5F7BC29B">
      <w:pPr>
        <w:pStyle w:val="23"/>
        <w:rPr>
          <w:highlight w:val="none"/>
        </w:rPr>
      </w:pPr>
    </w:p>
    <w:p w14:paraId="2E71C5F1">
      <w:pPr>
        <w:pStyle w:val="23"/>
        <w:rPr>
          <w:highlight w:val="none"/>
        </w:rPr>
      </w:pPr>
    </w:p>
    <w:p w14:paraId="6E5640D5">
      <w:pPr>
        <w:pStyle w:val="23"/>
        <w:rPr>
          <w:highlight w:val="none"/>
        </w:rPr>
      </w:pPr>
    </w:p>
    <w:p w14:paraId="30648341">
      <w:pPr>
        <w:pStyle w:val="23"/>
        <w:rPr>
          <w:highlight w:val="none"/>
        </w:rPr>
      </w:pPr>
    </w:p>
    <w:p w14:paraId="30805CA3">
      <w:pPr>
        <w:pStyle w:val="23"/>
        <w:rPr>
          <w:highlight w:val="none"/>
        </w:rPr>
      </w:pPr>
    </w:p>
    <w:p w14:paraId="42F9238F">
      <w:pPr>
        <w:pStyle w:val="23"/>
        <w:rPr>
          <w:highlight w:val="none"/>
        </w:rPr>
      </w:pPr>
    </w:p>
    <w:p w14:paraId="41180CE7">
      <w:pPr>
        <w:pStyle w:val="23"/>
        <w:rPr>
          <w:highlight w:val="none"/>
        </w:rPr>
      </w:pPr>
    </w:p>
    <w:p w14:paraId="42C768E3">
      <w:pPr>
        <w:pStyle w:val="23"/>
        <w:rPr>
          <w:highlight w:val="none"/>
        </w:rPr>
      </w:pPr>
    </w:p>
    <w:p w14:paraId="762F49B4">
      <w:pPr>
        <w:pStyle w:val="23"/>
        <w:rPr>
          <w:highlight w:val="none"/>
        </w:rPr>
      </w:pPr>
    </w:p>
    <w:p w14:paraId="49B3458A">
      <w:pPr>
        <w:pStyle w:val="23"/>
        <w:rPr>
          <w:highlight w:val="none"/>
        </w:rPr>
      </w:pPr>
    </w:p>
    <w:p w14:paraId="5EC644FB">
      <w:pPr>
        <w:pStyle w:val="23"/>
        <w:ind w:left="0" w:leftChars="0" w:firstLine="0" w:firstLineChars="0"/>
        <w:rPr>
          <w:highlight w:val="none"/>
        </w:rPr>
      </w:pPr>
    </w:p>
    <w:p w14:paraId="0C36C95D">
      <w:pPr>
        <w:widowControl/>
        <w:spacing w:line="450" w:lineRule="atLeast"/>
        <w:jc w:val="center"/>
        <w:rPr>
          <w:rFonts w:hint="eastAsia" w:ascii="等线" w:hAnsi="等线" w:eastAsia="等线" w:cs="宋体"/>
          <w:color w:val="4A4A4A"/>
          <w:highlight w:val="none"/>
        </w:rPr>
      </w:pPr>
      <w:r>
        <w:rPr>
          <w:rFonts w:hint="eastAsia" w:ascii="宋体" w:hAnsi="宋体" w:cs="宋体"/>
          <w:sz w:val="30"/>
          <w:szCs w:val="30"/>
          <w:highlight w:val="none"/>
        </w:rPr>
        <w:t>温州市公用集团所属温州公用事业发展集团龙港水务有限公司关于</w:t>
      </w:r>
      <w:r>
        <w:rPr>
          <w:rFonts w:hint="eastAsia" w:ascii="宋体" w:hAnsi="宋体" w:cs="宋体"/>
          <w:sz w:val="30"/>
          <w:szCs w:val="30"/>
          <w:highlight w:val="none"/>
          <w:lang w:eastAsia="zh-CN"/>
        </w:rPr>
        <w:t>龙港水务用水客户户内漏水保险服务项目</w:t>
      </w:r>
      <w:r>
        <w:rPr>
          <w:rFonts w:hint="eastAsia" w:ascii="宋体" w:hAnsi="宋体" w:cs="宋体"/>
          <w:sz w:val="30"/>
          <w:szCs w:val="30"/>
          <w:highlight w:val="none"/>
        </w:rPr>
        <w:t>公开招标文件的意见征询公告</w:t>
      </w:r>
    </w:p>
    <w:p w14:paraId="0DD46F3D">
      <w:pPr>
        <w:widowControl/>
        <w:spacing w:line="360" w:lineRule="auto"/>
        <w:ind w:firstLine="426"/>
        <w:rPr>
          <w:rFonts w:hint="eastAsia" w:ascii="宋体" w:hAnsi="宋体" w:cs="宋体"/>
          <w:b w:val="0"/>
          <w:bCs w:val="0"/>
          <w:color w:val="4A4A4A"/>
          <w:sz w:val="22"/>
          <w:szCs w:val="22"/>
          <w:highlight w:val="none"/>
        </w:rPr>
      </w:pPr>
      <w:r>
        <w:rPr>
          <w:rFonts w:hint="eastAsia" w:ascii="宋体" w:hAnsi="宋体" w:cs="宋体"/>
          <w:b w:val="0"/>
          <w:bCs w:val="0"/>
          <w:color w:val="4A4A4A"/>
          <w:sz w:val="22"/>
          <w:szCs w:val="22"/>
          <w:highlight w:val="none"/>
        </w:rPr>
        <w:t>公示简要情况说明：</w:t>
      </w:r>
      <w:r>
        <w:rPr>
          <w:rFonts w:hint="eastAsia" w:ascii="宋体" w:hAnsi="宋体" w:cs="宋体"/>
          <w:b w:val="0"/>
          <w:bCs w:val="0"/>
          <w:color w:val="4A4A4A"/>
          <w:sz w:val="22"/>
          <w:szCs w:val="22"/>
          <w:highlight w:val="none"/>
          <w:lang w:eastAsia="zh-CN"/>
        </w:rPr>
        <w:t>龙港水务用水客户户内漏水保险服务项目</w:t>
      </w:r>
      <w:r>
        <w:rPr>
          <w:rFonts w:hint="eastAsia" w:ascii="宋体" w:hAnsi="宋体" w:cs="宋体"/>
          <w:b w:val="0"/>
          <w:bCs w:val="0"/>
          <w:color w:val="4A4A4A"/>
          <w:sz w:val="22"/>
          <w:szCs w:val="22"/>
          <w:highlight w:val="none"/>
        </w:rPr>
        <w:t>将进行公开招标，为避免招标文件出现不合法或带有倾向性，现将招标文件征求意见稿公布,以公开征求意见。</w:t>
      </w:r>
    </w:p>
    <w:p w14:paraId="29BC2BD6">
      <w:pPr>
        <w:widowControl/>
        <w:spacing w:line="360" w:lineRule="auto"/>
        <w:ind w:firstLine="426"/>
        <w:rPr>
          <w:rFonts w:hint="eastAsia" w:ascii="宋体" w:hAnsi="宋体" w:eastAsia="宋体" w:cs="宋体"/>
          <w:b w:val="0"/>
          <w:bCs w:val="0"/>
          <w:color w:val="4A4A4A"/>
          <w:sz w:val="22"/>
          <w:szCs w:val="22"/>
          <w:highlight w:val="none"/>
          <w:lang w:eastAsia="zh-CN"/>
        </w:rPr>
      </w:pPr>
      <w:r>
        <w:rPr>
          <w:rFonts w:hint="eastAsia" w:ascii="宋体" w:hAnsi="宋体" w:cs="宋体"/>
          <w:b w:val="0"/>
          <w:bCs w:val="0"/>
          <w:color w:val="4A4A4A"/>
          <w:sz w:val="22"/>
          <w:szCs w:val="22"/>
          <w:highlight w:val="none"/>
        </w:rPr>
        <w:t>一、项目编号：</w:t>
      </w:r>
      <w:r>
        <w:rPr>
          <w:rFonts w:hint="eastAsia" w:ascii="宋体" w:hAnsi="宋体" w:cs="宋体"/>
          <w:b w:val="0"/>
          <w:bCs w:val="0"/>
          <w:color w:val="4A4A4A"/>
          <w:sz w:val="22"/>
          <w:szCs w:val="22"/>
          <w:highlight w:val="none"/>
          <w:lang w:eastAsia="zh-CN"/>
        </w:rPr>
        <w:t>WGSS-GYJT-Z-2025147</w:t>
      </w:r>
    </w:p>
    <w:p w14:paraId="32EA7ED2">
      <w:pPr>
        <w:widowControl/>
        <w:spacing w:line="360" w:lineRule="auto"/>
        <w:ind w:firstLine="426"/>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二、征求意见范围：1、是否出现明显的倾向性意见； 2、影响“公开、公平、公正”原则的其他情况。</w:t>
      </w:r>
    </w:p>
    <w:p w14:paraId="690FFC1A">
      <w:pPr>
        <w:widowControl/>
        <w:spacing w:line="360" w:lineRule="auto"/>
        <w:ind w:firstLine="426"/>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三、征求意见递交及接收：</w:t>
      </w:r>
    </w:p>
    <w:p w14:paraId="25476C08">
      <w:pPr>
        <w:widowControl/>
        <w:spacing w:line="360" w:lineRule="auto"/>
        <w:ind w:firstLine="424"/>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1、意见递交时间：2025-0</w:t>
      </w:r>
      <w:r>
        <w:rPr>
          <w:rFonts w:hint="eastAsia" w:ascii="宋体" w:hAnsi="宋体" w:cs="宋体"/>
          <w:b w:val="0"/>
          <w:bCs w:val="0"/>
          <w:color w:val="4A4A4A"/>
          <w:sz w:val="22"/>
          <w:szCs w:val="22"/>
          <w:highlight w:val="none"/>
          <w:lang w:val="en-US" w:eastAsia="zh-CN"/>
        </w:rPr>
        <w:t>3</w:t>
      </w:r>
      <w:r>
        <w:rPr>
          <w:rFonts w:hint="eastAsia" w:ascii="宋体" w:hAnsi="宋体" w:cs="宋体"/>
          <w:b w:val="0"/>
          <w:bCs w:val="0"/>
          <w:color w:val="4A4A4A"/>
          <w:sz w:val="22"/>
          <w:szCs w:val="22"/>
          <w:highlight w:val="none"/>
        </w:rPr>
        <w:t>-0</w:t>
      </w:r>
      <w:r>
        <w:rPr>
          <w:rFonts w:hint="eastAsia" w:ascii="宋体" w:hAnsi="宋体" w:cs="宋体"/>
          <w:b w:val="0"/>
          <w:bCs w:val="0"/>
          <w:color w:val="4A4A4A"/>
          <w:sz w:val="22"/>
          <w:szCs w:val="22"/>
          <w:highlight w:val="none"/>
          <w:lang w:val="en-US" w:eastAsia="zh-CN"/>
        </w:rPr>
        <w:t>4</w:t>
      </w:r>
      <w:r>
        <w:rPr>
          <w:rFonts w:hint="eastAsia" w:ascii="宋体" w:hAnsi="宋体" w:cs="宋体"/>
          <w:b w:val="0"/>
          <w:bCs w:val="0"/>
          <w:color w:val="4A4A4A"/>
          <w:sz w:val="22"/>
          <w:szCs w:val="22"/>
          <w:highlight w:val="none"/>
        </w:rPr>
        <w:t xml:space="preserve"> 16:30:00前</w:t>
      </w:r>
    </w:p>
    <w:p w14:paraId="400828AD">
      <w:pPr>
        <w:widowControl/>
        <w:spacing w:line="360" w:lineRule="auto"/>
        <w:ind w:firstLine="424"/>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2、意见递交方式：现场递交、邮箱、邮寄</w:t>
      </w:r>
    </w:p>
    <w:p w14:paraId="140D506A">
      <w:pPr>
        <w:widowControl/>
        <w:spacing w:line="360" w:lineRule="auto"/>
        <w:ind w:firstLine="424"/>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3、意见接收机构：温州超然招标代理有限公司</w:t>
      </w:r>
    </w:p>
    <w:p w14:paraId="5DD2A4A2">
      <w:pPr>
        <w:widowControl/>
        <w:spacing w:line="360" w:lineRule="auto"/>
        <w:ind w:firstLine="424"/>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4、联系人：洪世铭（</w:t>
      </w:r>
      <w:r>
        <w:rPr>
          <w:rFonts w:ascii="宋体" w:hAnsi="宋体" w:cs="宋体"/>
          <w:b w:val="0"/>
          <w:bCs w:val="0"/>
          <w:color w:val="4A4A4A"/>
          <w:sz w:val="22"/>
          <w:szCs w:val="22"/>
          <w:highlight w:val="none"/>
        </w:rPr>
        <w:t>18267789396</w:t>
      </w:r>
      <w:r>
        <w:rPr>
          <w:rFonts w:hint="eastAsia" w:ascii="宋体" w:hAnsi="宋体" w:cs="宋体"/>
          <w:b w:val="0"/>
          <w:bCs w:val="0"/>
          <w:color w:val="4A4A4A"/>
          <w:sz w:val="22"/>
          <w:szCs w:val="22"/>
          <w:highlight w:val="none"/>
        </w:rPr>
        <w:t>）</w:t>
      </w:r>
    </w:p>
    <w:p w14:paraId="7502C88B">
      <w:pPr>
        <w:widowControl/>
        <w:spacing w:line="360" w:lineRule="auto"/>
        <w:ind w:firstLine="424"/>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5、联系电话：0577-68803069</w:t>
      </w:r>
    </w:p>
    <w:p w14:paraId="06D479B5">
      <w:pPr>
        <w:widowControl/>
        <w:spacing w:line="360" w:lineRule="auto"/>
        <w:ind w:firstLine="424"/>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6、联系邮箱：</w:t>
      </w:r>
      <w:r>
        <w:rPr>
          <w:rFonts w:ascii="宋体" w:hAnsi="宋体" w:cs="宋体"/>
          <w:b w:val="0"/>
          <w:bCs w:val="0"/>
          <w:color w:val="4A4A4A"/>
          <w:sz w:val="22"/>
          <w:szCs w:val="22"/>
          <w:highlight w:val="none"/>
        </w:rPr>
        <w:t>376169591</w:t>
      </w:r>
      <w:r>
        <w:rPr>
          <w:rFonts w:hint="eastAsia" w:ascii="宋体" w:hAnsi="宋体" w:cs="宋体"/>
          <w:b w:val="0"/>
          <w:bCs w:val="0"/>
          <w:color w:val="4A4A4A"/>
          <w:sz w:val="22"/>
          <w:szCs w:val="22"/>
          <w:highlight w:val="none"/>
        </w:rPr>
        <w:t>@qq.com</w:t>
      </w:r>
    </w:p>
    <w:p w14:paraId="204DB5F3">
      <w:pPr>
        <w:widowControl/>
        <w:spacing w:line="360" w:lineRule="auto"/>
        <w:ind w:firstLine="426"/>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四、合格的修改意见或建议书要求</w:t>
      </w:r>
    </w:p>
    <w:p w14:paraId="6049F0A9">
      <w:pPr>
        <w:widowControl/>
        <w:spacing w:line="360" w:lineRule="auto"/>
        <w:ind w:firstLine="424"/>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提出修改意见和建议的，书面材料须签字确认并加盖公章。提出的建议应说明修改原因以及替代性意见。</w:t>
      </w:r>
    </w:p>
    <w:p w14:paraId="26F73DD5">
      <w:pPr>
        <w:widowControl/>
        <w:spacing w:line="360" w:lineRule="auto"/>
        <w:ind w:firstLine="426"/>
        <w:rPr>
          <w:rFonts w:hint="eastAsia" w:ascii="等线" w:hAnsi="等线" w:eastAsia="等线" w:cs="宋体"/>
          <w:b w:val="0"/>
          <w:bCs w:val="0"/>
          <w:color w:val="4A4A4A"/>
          <w:sz w:val="22"/>
          <w:szCs w:val="22"/>
          <w:highlight w:val="none"/>
        </w:rPr>
      </w:pPr>
      <w:r>
        <w:rPr>
          <w:rFonts w:hint="eastAsia" w:ascii="宋体" w:hAnsi="宋体" w:cs="宋体"/>
          <w:b w:val="0"/>
          <w:bCs w:val="0"/>
          <w:color w:val="4A4A4A"/>
          <w:sz w:val="22"/>
          <w:szCs w:val="22"/>
          <w:highlight w:val="none"/>
        </w:rPr>
        <w:t>五、注意事项：</w:t>
      </w:r>
    </w:p>
    <w:p w14:paraId="5A0623C0">
      <w:pPr>
        <w:widowControl/>
        <w:spacing w:line="360" w:lineRule="auto"/>
        <w:ind w:firstLine="424"/>
        <w:rPr>
          <w:rFonts w:hint="eastAsia" w:ascii="宋体" w:hAnsi="宋体" w:cs="宋体"/>
          <w:b w:val="0"/>
          <w:bCs w:val="0"/>
          <w:color w:val="4A4A4A"/>
          <w:sz w:val="22"/>
          <w:szCs w:val="22"/>
          <w:highlight w:val="none"/>
        </w:rPr>
      </w:pPr>
      <w:r>
        <w:rPr>
          <w:rFonts w:hint="eastAsia" w:ascii="宋体" w:hAnsi="宋体" w:cs="宋体"/>
          <w:b w:val="0"/>
          <w:bCs w:val="0"/>
          <w:color w:val="4A4A4A"/>
          <w:sz w:val="22"/>
          <w:szCs w:val="22"/>
          <w:highlight w:val="none"/>
        </w:rPr>
        <w:t>提出修改意见和建议的，请于2025-0</w:t>
      </w:r>
      <w:r>
        <w:rPr>
          <w:rFonts w:hint="eastAsia" w:ascii="宋体" w:hAnsi="宋体" w:cs="宋体"/>
          <w:b w:val="0"/>
          <w:bCs w:val="0"/>
          <w:color w:val="4A4A4A"/>
          <w:sz w:val="22"/>
          <w:szCs w:val="22"/>
          <w:highlight w:val="none"/>
          <w:lang w:val="en-US" w:eastAsia="zh-CN"/>
        </w:rPr>
        <w:t>3</w:t>
      </w:r>
      <w:r>
        <w:rPr>
          <w:rFonts w:hint="eastAsia" w:ascii="宋体" w:hAnsi="宋体" w:cs="宋体"/>
          <w:b w:val="0"/>
          <w:bCs w:val="0"/>
          <w:color w:val="4A4A4A"/>
          <w:sz w:val="22"/>
          <w:szCs w:val="22"/>
          <w:highlight w:val="none"/>
        </w:rPr>
        <w:t>-0</w:t>
      </w:r>
      <w:r>
        <w:rPr>
          <w:rFonts w:hint="eastAsia" w:ascii="宋体" w:hAnsi="宋体" w:cs="宋体"/>
          <w:b w:val="0"/>
          <w:bCs w:val="0"/>
          <w:color w:val="4A4A4A"/>
          <w:sz w:val="22"/>
          <w:szCs w:val="22"/>
          <w:highlight w:val="none"/>
          <w:lang w:val="en-US" w:eastAsia="zh-CN"/>
        </w:rPr>
        <w:t>4</w:t>
      </w:r>
      <w:r>
        <w:rPr>
          <w:rFonts w:hint="eastAsia" w:ascii="宋体" w:hAnsi="宋体" w:cs="宋体"/>
          <w:b w:val="0"/>
          <w:bCs w:val="0"/>
          <w:color w:val="4A4A4A"/>
          <w:sz w:val="22"/>
          <w:szCs w:val="22"/>
          <w:highlight w:val="none"/>
        </w:rPr>
        <w:t xml:space="preserve"> 16:30:00 前派送达或邮寄至温州超然招标代理有限公司(龙港市海港路1283号后幢一单元202室/苍南县灵溪镇上将小区1-17幢2单元302室)，也可将原件扫描件及WORD文档发送至电子邮箱：</w:t>
      </w:r>
      <w:r>
        <w:rPr>
          <w:rFonts w:ascii="宋体" w:hAnsi="宋体" w:cs="宋体"/>
          <w:b w:val="0"/>
          <w:bCs w:val="0"/>
          <w:color w:val="4A4A4A"/>
          <w:sz w:val="22"/>
          <w:szCs w:val="22"/>
          <w:highlight w:val="none"/>
        </w:rPr>
        <w:t>376169591</w:t>
      </w:r>
      <w:r>
        <w:rPr>
          <w:rFonts w:hint="eastAsia" w:ascii="宋体" w:hAnsi="宋体" w:cs="宋体"/>
          <w:b w:val="0"/>
          <w:bCs w:val="0"/>
          <w:color w:val="4A4A4A"/>
          <w:sz w:val="22"/>
          <w:szCs w:val="22"/>
          <w:highlight w:val="none"/>
        </w:rPr>
        <w:t>@qq.com。</w:t>
      </w:r>
    </w:p>
    <w:p w14:paraId="0F3B539A">
      <w:pPr>
        <w:pStyle w:val="23"/>
        <w:rPr>
          <w:highlight w:val="none"/>
        </w:rPr>
      </w:pPr>
    </w:p>
    <w:p w14:paraId="65574413">
      <w:pPr>
        <w:pStyle w:val="23"/>
        <w:rPr>
          <w:highlight w:val="none"/>
        </w:rPr>
      </w:pPr>
    </w:p>
    <w:p w14:paraId="159AED1D">
      <w:pPr>
        <w:pStyle w:val="23"/>
        <w:rPr>
          <w:highlight w:val="none"/>
        </w:rPr>
      </w:pPr>
    </w:p>
    <w:p w14:paraId="2057A60E">
      <w:pPr>
        <w:pStyle w:val="23"/>
        <w:rPr>
          <w:highlight w:val="none"/>
        </w:rPr>
      </w:pPr>
    </w:p>
    <w:p w14:paraId="0FEACDBF">
      <w:pPr>
        <w:pStyle w:val="23"/>
        <w:rPr>
          <w:highlight w:val="none"/>
        </w:rPr>
      </w:pPr>
    </w:p>
    <w:p w14:paraId="2D3512F4">
      <w:pPr>
        <w:pStyle w:val="23"/>
        <w:rPr>
          <w:highlight w:val="none"/>
        </w:rPr>
      </w:pPr>
    </w:p>
    <w:p w14:paraId="684D4319">
      <w:pPr>
        <w:pStyle w:val="23"/>
        <w:rPr>
          <w:highlight w:val="none"/>
        </w:rPr>
      </w:pPr>
    </w:p>
    <w:p w14:paraId="1B291C47">
      <w:pPr>
        <w:pStyle w:val="23"/>
        <w:ind w:firstLine="0"/>
        <w:rPr>
          <w:highlight w:val="none"/>
        </w:rPr>
      </w:pPr>
    </w:p>
    <w:p w14:paraId="0E1BE0B2">
      <w:pPr>
        <w:pStyle w:val="4"/>
        <w:spacing w:before="0" w:after="120" w:line="700" w:lineRule="exact"/>
        <w:ind w:left="0" w:firstLine="0"/>
        <w:jc w:val="center"/>
        <w:rPr>
          <w:rFonts w:ascii="Cambria Math" w:hAnsi="Cambria Math" w:eastAsia="Cambria Math"/>
          <w:b/>
          <w:color w:val="auto"/>
          <w:sz w:val="32"/>
          <w:highlight w:val="none"/>
        </w:rPr>
      </w:pPr>
      <w:r>
        <w:rPr>
          <w:rFonts w:hint="eastAsia" w:ascii="Cambria Math" w:hAnsi="Cambria Math" w:eastAsia="Cambria Math"/>
          <w:b/>
          <w:color w:val="auto"/>
          <w:sz w:val="32"/>
          <w:highlight w:val="none"/>
        </w:rPr>
        <w:t>投标通知(邀请)书</w:t>
      </w:r>
    </w:p>
    <w:p w14:paraId="28959C4A">
      <w:pPr>
        <w:spacing w:line="440" w:lineRule="exac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温州超然招标代理有限公司</w:t>
      </w:r>
      <w:r>
        <w:rPr>
          <w:rFonts w:hint="eastAsia" w:ascii="宋体" w:hAnsi="宋体"/>
          <w:b w:val="0"/>
          <w:bCs w:val="0"/>
          <w:color w:val="auto"/>
          <w:sz w:val="22"/>
          <w:szCs w:val="22"/>
          <w:highlight w:val="none"/>
        </w:rPr>
        <w:t>受</w:t>
      </w:r>
      <w:r>
        <w:rPr>
          <w:rFonts w:hint="eastAsia" w:ascii="宋体" w:hAnsi="宋体" w:cs="宋体"/>
          <w:b w:val="0"/>
          <w:color w:val="auto"/>
          <w:sz w:val="22"/>
          <w:szCs w:val="22"/>
          <w:highlight w:val="none"/>
        </w:rPr>
        <w:t>温州公用事业发展集团龙港水务有限公司</w:t>
      </w:r>
      <w:r>
        <w:rPr>
          <w:rFonts w:hint="eastAsia" w:ascii="宋体" w:hAnsi="宋体"/>
          <w:b w:val="0"/>
          <w:bCs w:val="0"/>
          <w:color w:val="auto"/>
          <w:sz w:val="22"/>
          <w:szCs w:val="22"/>
          <w:highlight w:val="none"/>
        </w:rPr>
        <w:t>委托，就</w:t>
      </w:r>
      <w:r>
        <w:rPr>
          <w:rFonts w:hint="eastAsia" w:ascii="宋体" w:hAnsi="宋体" w:cs="宋体"/>
          <w:b w:val="0"/>
          <w:color w:val="auto"/>
          <w:sz w:val="22"/>
          <w:szCs w:val="22"/>
          <w:highlight w:val="none"/>
          <w:lang w:eastAsia="zh-CN"/>
        </w:rPr>
        <w:t>龙港水务用水客户户内漏水保险服务项目</w:t>
      </w:r>
      <w:r>
        <w:rPr>
          <w:rFonts w:hint="eastAsia" w:ascii="宋体" w:hAnsi="宋体"/>
          <w:b w:val="0"/>
          <w:bCs w:val="0"/>
          <w:color w:val="auto"/>
          <w:sz w:val="22"/>
          <w:szCs w:val="22"/>
          <w:highlight w:val="none"/>
        </w:rPr>
        <w:t>进行公开招标</w:t>
      </w:r>
      <w:r>
        <w:rPr>
          <w:rFonts w:hint="eastAsia" w:ascii="宋体" w:hAnsi="宋体"/>
          <w:b w:val="0"/>
          <w:color w:val="auto"/>
          <w:sz w:val="22"/>
          <w:szCs w:val="22"/>
          <w:highlight w:val="none"/>
        </w:rPr>
        <w:t>，我们现通知贵公司（企业）参加投标，并请按招标文件的要求认真准备好投标文件，按时前来投标。</w:t>
      </w:r>
    </w:p>
    <w:tbl>
      <w:tblPr>
        <w:tblStyle w:val="3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398"/>
      </w:tblGrid>
      <w:tr w14:paraId="0238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top w:val="double" w:color="auto" w:sz="4" w:space="0"/>
              <w:left w:val="double" w:color="auto" w:sz="4" w:space="0"/>
            </w:tcBorders>
            <w:vAlign w:val="center"/>
          </w:tcPr>
          <w:p w14:paraId="0F393483">
            <w:pPr>
              <w:pStyle w:val="15"/>
              <w:snapToGrid w:val="0"/>
              <w:spacing w:before="0" w:line="400" w:lineRule="atLeast"/>
              <w:jc w:val="center"/>
              <w:rPr>
                <w:rFonts w:hint="eastAsia" w:ascii="宋体" w:hAnsi="宋体" w:cs="Times New Roman"/>
                <w:b w:val="0"/>
                <w:color w:val="auto"/>
                <w:sz w:val="22"/>
                <w:szCs w:val="22"/>
                <w:highlight w:val="none"/>
              </w:rPr>
            </w:pPr>
            <w:r>
              <w:rPr>
                <w:rFonts w:hint="eastAsia" w:ascii="宋体" w:hAnsi="宋体" w:cs="Times New Roman"/>
                <w:b w:val="0"/>
                <w:color w:val="auto"/>
                <w:sz w:val="22"/>
                <w:szCs w:val="22"/>
                <w:highlight w:val="none"/>
              </w:rPr>
              <w:t>招标编号</w:t>
            </w:r>
          </w:p>
        </w:tc>
        <w:tc>
          <w:tcPr>
            <w:tcW w:w="7398" w:type="dxa"/>
            <w:tcBorders>
              <w:top w:val="double" w:color="auto" w:sz="4" w:space="0"/>
              <w:right w:val="double" w:color="auto" w:sz="4" w:space="0"/>
            </w:tcBorders>
            <w:vAlign w:val="center"/>
          </w:tcPr>
          <w:p w14:paraId="54E64432">
            <w:pPr>
              <w:pStyle w:val="15"/>
              <w:snapToGrid w:val="0"/>
              <w:spacing w:before="0" w:line="400" w:lineRule="atLeast"/>
              <w:rPr>
                <w:rFonts w:hint="eastAsia" w:ascii="宋体" w:hAnsi="宋体" w:eastAsia="宋体" w:cs="Times New Roman"/>
                <w:b w:val="0"/>
                <w:color w:val="auto"/>
                <w:sz w:val="22"/>
                <w:szCs w:val="22"/>
                <w:highlight w:val="none"/>
                <w:lang w:eastAsia="zh-CN"/>
              </w:rPr>
            </w:pPr>
            <w:r>
              <w:rPr>
                <w:rFonts w:hint="eastAsia" w:ascii="宋体" w:hAnsi="宋体" w:cs="Times New Roman"/>
                <w:b w:val="0"/>
                <w:color w:val="auto"/>
                <w:sz w:val="22"/>
                <w:szCs w:val="22"/>
                <w:highlight w:val="none"/>
                <w:lang w:eastAsia="zh-CN"/>
              </w:rPr>
              <w:t>WGSS-GYJT-Z-2025147</w:t>
            </w:r>
          </w:p>
        </w:tc>
      </w:tr>
      <w:tr w14:paraId="7672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7BD2B70C">
            <w:pPr>
              <w:pStyle w:val="15"/>
              <w:snapToGrid w:val="0"/>
              <w:spacing w:before="0" w:line="400" w:lineRule="atLeast"/>
              <w:jc w:val="center"/>
              <w:rPr>
                <w:rFonts w:hint="eastAsia" w:ascii="宋体" w:hAnsi="宋体" w:cs="Times New Roman"/>
                <w:b w:val="0"/>
                <w:color w:val="auto"/>
                <w:sz w:val="22"/>
                <w:szCs w:val="22"/>
                <w:highlight w:val="none"/>
              </w:rPr>
            </w:pPr>
            <w:r>
              <w:rPr>
                <w:rFonts w:hint="eastAsia" w:ascii="宋体" w:hAnsi="宋体" w:cs="Times New Roman"/>
                <w:b w:val="0"/>
                <w:color w:val="auto"/>
                <w:sz w:val="22"/>
                <w:szCs w:val="22"/>
                <w:highlight w:val="none"/>
              </w:rPr>
              <w:t>招标内容</w:t>
            </w:r>
          </w:p>
        </w:tc>
        <w:tc>
          <w:tcPr>
            <w:tcW w:w="7398" w:type="dxa"/>
            <w:tcBorders>
              <w:right w:val="double" w:color="auto" w:sz="4" w:space="0"/>
            </w:tcBorders>
            <w:vAlign w:val="center"/>
          </w:tcPr>
          <w:p w14:paraId="5523A4C0">
            <w:pPr>
              <w:pStyle w:val="15"/>
              <w:snapToGrid w:val="0"/>
              <w:spacing w:before="0" w:line="400" w:lineRule="atLeast"/>
              <w:rPr>
                <w:rFonts w:hint="eastAsia" w:ascii="宋体" w:hAnsi="宋体" w:eastAsia="宋体" w:cs="Times New Roman"/>
                <w:b w:val="0"/>
                <w:color w:val="auto"/>
                <w:sz w:val="22"/>
                <w:szCs w:val="22"/>
                <w:highlight w:val="none"/>
                <w:lang w:eastAsia="zh-CN"/>
              </w:rPr>
            </w:pPr>
            <w:r>
              <w:rPr>
                <w:rFonts w:hint="eastAsia" w:ascii="宋体" w:hAnsi="宋体" w:cs="宋体"/>
                <w:b w:val="0"/>
                <w:color w:val="auto"/>
                <w:sz w:val="22"/>
                <w:szCs w:val="22"/>
                <w:highlight w:val="none"/>
                <w:lang w:eastAsia="zh-CN"/>
              </w:rPr>
              <w:t>龙港水务用水客户户内漏水保险服务项目</w:t>
            </w:r>
          </w:p>
        </w:tc>
      </w:tr>
      <w:tr w14:paraId="2304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549C97F1">
            <w:pPr>
              <w:pStyle w:val="15"/>
              <w:snapToGrid w:val="0"/>
              <w:spacing w:before="0" w:line="400" w:lineRule="atLeast"/>
              <w:jc w:val="center"/>
              <w:rPr>
                <w:rFonts w:hint="eastAsia" w:ascii="宋体" w:hAnsi="宋体" w:cs="Times New Roman"/>
                <w:b w:val="0"/>
                <w:color w:val="auto"/>
                <w:sz w:val="22"/>
                <w:szCs w:val="22"/>
                <w:highlight w:val="none"/>
              </w:rPr>
            </w:pPr>
            <w:r>
              <w:rPr>
                <w:rFonts w:hint="eastAsia" w:ascii="宋体" w:hAnsi="宋体" w:cs="Times New Roman"/>
                <w:b w:val="0"/>
                <w:color w:val="auto"/>
                <w:sz w:val="22"/>
                <w:szCs w:val="22"/>
                <w:highlight w:val="none"/>
              </w:rPr>
              <w:t>资金来源</w:t>
            </w:r>
          </w:p>
        </w:tc>
        <w:tc>
          <w:tcPr>
            <w:tcW w:w="7398" w:type="dxa"/>
            <w:tcBorders>
              <w:right w:val="double" w:color="auto" w:sz="4" w:space="0"/>
            </w:tcBorders>
            <w:vAlign w:val="center"/>
          </w:tcPr>
          <w:p w14:paraId="39AB644F">
            <w:pPr>
              <w:pStyle w:val="15"/>
              <w:snapToGrid w:val="0"/>
              <w:spacing w:before="0" w:line="400" w:lineRule="atLeast"/>
              <w:rPr>
                <w:rFonts w:hint="eastAsia" w:ascii="宋体" w:hAnsi="宋体" w:cs="Times New Roman"/>
                <w:b w:val="0"/>
                <w:color w:val="auto"/>
                <w:sz w:val="22"/>
                <w:szCs w:val="22"/>
                <w:highlight w:val="none"/>
              </w:rPr>
            </w:pPr>
            <w:r>
              <w:rPr>
                <w:rFonts w:hint="eastAsia" w:ascii="宋体" w:hAnsi="宋体" w:cs="Times New Roman"/>
                <w:b w:val="0"/>
                <w:color w:val="auto"/>
                <w:sz w:val="22"/>
                <w:szCs w:val="22"/>
                <w:highlight w:val="none"/>
              </w:rPr>
              <w:t>自筹</w:t>
            </w:r>
          </w:p>
        </w:tc>
      </w:tr>
      <w:tr w14:paraId="7E1E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69" w:type="dxa"/>
            <w:tcBorders>
              <w:left w:val="double" w:color="auto" w:sz="4" w:space="0"/>
            </w:tcBorders>
            <w:vAlign w:val="center"/>
          </w:tcPr>
          <w:p w14:paraId="0AD754D0">
            <w:pPr>
              <w:adjustRightInd w:val="0"/>
              <w:snapToGrid w:val="0"/>
              <w:spacing w:line="400" w:lineRule="atLeast"/>
              <w:jc w:val="center"/>
              <w:rPr>
                <w:rFonts w:hint="eastAsia" w:ascii="宋体" w:hAnsi="宋体"/>
                <w:b w:val="0"/>
                <w:color w:val="auto"/>
                <w:sz w:val="22"/>
                <w:szCs w:val="22"/>
                <w:highlight w:val="none"/>
              </w:rPr>
            </w:pPr>
            <w:r>
              <w:rPr>
                <w:rFonts w:hint="eastAsia" w:ascii="宋体" w:hAnsi="宋体"/>
                <w:b w:val="0"/>
                <w:color w:val="auto"/>
                <w:sz w:val="22"/>
                <w:szCs w:val="22"/>
                <w:highlight w:val="none"/>
              </w:rPr>
              <w:t>预算金额</w:t>
            </w:r>
          </w:p>
        </w:tc>
        <w:tc>
          <w:tcPr>
            <w:tcW w:w="7398" w:type="dxa"/>
            <w:tcBorders>
              <w:right w:val="double" w:color="auto" w:sz="4" w:space="0"/>
            </w:tcBorders>
            <w:vAlign w:val="center"/>
          </w:tcPr>
          <w:p w14:paraId="3D763051">
            <w:pPr>
              <w:adjustRightInd w:val="0"/>
              <w:snapToGrid w:val="0"/>
              <w:spacing w:line="400" w:lineRule="atLeast"/>
              <w:rPr>
                <w:rFonts w:hint="eastAsia" w:ascii="宋体" w:hAnsi="宋体"/>
                <w:b w:val="0"/>
                <w:color w:val="auto"/>
                <w:sz w:val="22"/>
                <w:szCs w:val="22"/>
                <w:highlight w:val="none"/>
              </w:rPr>
            </w:pPr>
            <w:r>
              <w:rPr>
                <w:rFonts w:hint="eastAsia" w:ascii="宋体" w:hAnsi="宋体"/>
                <w:b w:val="0"/>
                <w:color w:val="auto"/>
                <w:sz w:val="22"/>
                <w:szCs w:val="22"/>
                <w:highlight w:val="none"/>
              </w:rPr>
              <w:t>人民币600000</w:t>
            </w:r>
            <w:r>
              <w:rPr>
                <w:rFonts w:ascii="宋体" w:hAnsi="宋体"/>
                <w:b w:val="0"/>
                <w:color w:val="auto"/>
                <w:sz w:val="22"/>
                <w:szCs w:val="22"/>
                <w:highlight w:val="none"/>
              </w:rPr>
              <w:t>元</w:t>
            </w:r>
          </w:p>
        </w:tc>
      </w:tr>
      <w:tr w14:paraId="5AD4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69" w:type="dxa"/>
            <w:tcBorders>
              <w:left w:val="double" w:color="auto" w:sz="4" w:space="0"/>
            </w:tcBorders>
            <w:vAlign w:val="center"/>
          </w:tcPr>
          <w:p w14:paraId="73C32EE2">
            <w:pPr>
              <w:pStyle w:val="15"/>
              <w:snapToGrid w:val="0"/>
              <w:spacing w:before="0" w:line="400" w:lineRule="atLeast"/>
              <w:jc w:val="center"/>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采购方式</w:t>
            </w:r>
          </w:p>
        </w:tc>
        <w:tc>
          <w:tcPr>
            <w:tcW w:w="7398" w:type="dxa"/>
            <w:tcBorders>
              <w:right w:val="double" w:color="auto" w:sz="4" w:space="0"/>
            </w:tcBorders>
            <w:vAlign w:val="center"/>
          </w:tcPr>
          <w:p w14:paraId="0484D70D">
            <w:pPr>
              <w:pStyle w:val="15"/>
              <w:snapToGrid w:val="0"/>
              <w:spacing w:before="0" w:line="400" w:lineRule="atLeast"/>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公开招标</w:t>
            </w:r>
          </w:p>
        </w:tc>
      </w:tr>
      <w:tr w14:paraId="0146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3C182C53">
            <w:pPr>
              <w:pStyle w:val="15"/>
              <w:snapToGrid w:val="0"/>
              <w:spacing w:before="0" w:line="400" w:lineRule="atLeast"/>
              <w:jc w:val="center"/>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评标办法</w:t>
            </w:r>
          </w:p>
        </w:tc>
        <w:tc>
          <w:tcPr>
            <w:tcW w:w="7398" w:type="dxa"/>
            <w:tcBorders>
              <w:right w:val="double" w:color="auto" w:sz="4" w:space="0"/>
            </w:tcBorders>
            <w:vAlign w:val="center"/>
          </w:tcPr>
          <w:p w14:paraId="4F23DABE">
            <w:pPr>
              <w:pStyle w:val="15"/>
              <w:snapToGrid w:val="0"/>
              <w:spacing w:before="0" w:line="400" w:lineRule="atLeast"/>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综合评分法</w:t>
            </w:r>
          </w:p>
        </w:tc>
      </w:tr>
      <w:tr w14:paraId="6C8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09BC4B04">
            <w:pPr>
              <w:pStyle w:val="15"/>
              <w:snapToGrid w:val="0"/>
              <w:spacing w:before="0" w:line="400" w:lineRule="atLeast"/>
              <w:jc w:val="center"/>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投标有效期</w:t>
            </w:r>
          </w:p>
        </w:tc>
        <w:tc>
          <w:tcPr>
            <w:tcW w:w="7398" w:type="dxa"/>
            <w:tcBorders>
              <w:right w:val="double" w:color="auto" w:sz="4" w:space="0"/>
            </w:tcBorders>
            <w:vAlign w:val="center"/>
          </w:tcPr>
          <w:p w14:paraId="3BD5626F">
            <w:pPr>
              <w:pStyle w:val="15"/>
              <w:snapToGrid w:val="0"/>
              <w:spacing w:before="0" w:line="400" w:lineRule="atLeast"/>
              <w:rPr>
                <w:rFonts w:ascii="Cambria Math" w:hAnsi="Cambria Math" w:eastAsia="Cambria Math" w:cs="Times New Roman"/>
                <w:b w:val="0"/>
                <w:color w:val="auto"/>
                <w:sz w:val="22"/>
                <w:szCs w:val="22"/>
                <w:highlight w:val="none"/>
              </w:rPr>
            </w:pPr>
            <w:r>
              <w:rPr>
                <w:rFonts w:hint="eastAsia" w:ascii="Cambria Math" w:hAnsi="Cambria Math" w:cs="Times New Roman"/>
                <w:b w:val="0"/>
                <w:color w:val="auto"/>
                <w:sz w:val="22"/>
                <w:szCs w:val="22"/>
                <w:highlight w:val="none"/>
                <w:lang w:val="en-US" w:eastAsia="zh-CN"/>
              </w:rPr>
              <w:t>90</w:t>
            </w:r>
            <w:r>
              <w:rPr>
                <w:rFonts w:hint="eastAsia" w:ascii="Cambria Math" w:hAnsi="Cambria Math" w:eastAsia="Cambria Math" w:cs="Times New Roman"/>
                <w:b w:val="0"/>
                <w:color w:val="auto"/>
                <w:sz w:val="22"/>
                <w:szCs w:val="22"/>
                <w:highlight w:val="none"/>
              </w:rPr>
              <w:t>日历天（自投标截止日起计算）</w:t>
            </w:r>
          </w:p>
        </w:tc>
      </w:tr>
      <w:tr w14:paraId="7341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9" w:type="dxa"/>
            <w:tcBorders>
              <w:left w:val="double" w:color="auto" w:sz="4" w:space="0"/>
            </w:tcBorders>
            <w:vAlign w:val="center"/>
          </w:tcPr>
          <w:p w14:paraId="1B08F229">
            <w:pPr>
              <w:pStyle w:val="15"/>
              <w:snapToGrid w:val="0"/>
              <w:spacing w:before="0" w:line="400" w:lineRule="atLeast"/>
              <w:jc w:val="center"/>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投标文件递交至</w:t>
            </w:r>
          </w:p>
        </w:tc>
        <w:tc>
          <w:tcPr>
            <w:tcW w:w="7398" w:type="dxa"/>
            <w:tcBorders>
              <w:right w:val="double" w:color="auto" w:sz="4" w:space="0"/>
            </w:tcBorders>
            <w:vAlign w:val="center"/>
          </w:tcPr>
          <w:p w14:paraId="49DBDBE3">
            <w:pPr>
              <w:pStyle w:val="15"/>
              <w:snapToGrid w:val="0"/>
              <w:spacing w:before="0" w:line="400" w:lineRule="atLeast"/>
              <w:rPr>
                <w:rFonts w:ascii="Cambria Math" w:hAnsi="Cambria Math" w:eastAsia="Cambria Math" w:cs="Times New Roman"/>
                <w:b w:val="0"/>
                <w:color w:val="auto"/>
                <w:sz w:val="22"/>
                <w:szCs w:val="22"/>
                <w:highlight w:val="none"/>
              </w:rPr>
            </w:pPr>
            <w:r>
              <w:rPr>
                <w:rFonts w:hint="eastAsia" w:ascii="宋体" w:hAnsi="宋体" w:cs="宋体"/>
                <w:b w:val="0"/>
                <w:color w:val="auto"/>
                <w:sz w:val="22"/>
                <w:szCs w:val="22"/>
                <w:highlight w:val="none"/>
              </w:rPr>
              <w:t>“乐采云平台（www.lecaiyun.com）”实行在线投标响应</w:t>
            </w:r>
          </w:p>
        </w:tc>
      </w:tr>
      <w:tr w14:paraId="5777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9" w:type="dxa"/>
            <w:tcBorders>
              <w:left w:val="double" w:color="auto" w:sz="4" w:space="0"/>
            </w:tcBorders>
            <w:vAlign w:val="center"/>
          </w:tcPr>
          <w:p w14:paraId="3828821C">
            <w:pPr>
              <w:pStyle w:val="15"/>
              <w:snapToGrid w:val="0"/>
              <w:spacing w:before="0" w:line="400" w:lineRule="atLeast"/>
              <w:jc w:val="center"/>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投标截止与开标时间</w:t>
            </w:r>
          </w:p>
        </w:tc>
        <w:tc>
          <w:tcPr>
            <w:tcW w:w="7398" w:type="dxa"/>
            <w:tcBorders>
              <w:right w:val="double" w:color="auto" w:sz="4" w:space="0"/>
            </w:tcBorders>
            <w:vAlign w:val="center"/>
          </w:tcPr>
          <w:p w14:paraId="4AC57448">
            <w:pPr>
              <w:pStyle w:val="15"/>
              <w:snapToGrid w:val="0"/>
              <w:spacing w:before="0" w:line="400" w:lineRule="atLeast"/>
              <w:rPr>
                <w:rFonts w:ascii="Cambria Math" w:hAnsi="Cambria Math" w:cs="Times New Roman"/>
                <w:color w:val="auto"/>
                <w:sz w:val="22"/>
                <w:szCs w:val="22"/>
                <w:highlight w:val="none"/>
              </w:rPr>
            </w:pPr>
            <w:r>
              <w:rPr>
                <w:rFonts w:hint="eastAsia" w:ascii="Cambria Math" w:hAnsi="Cambria Math" w:cs="Times New Roman"/>
                <w:b w:val="0"/>
                <w:color w:val="auto"/>
                <w:sz w:val="22"/>
                <w:szCs w:val="22"/>
                <w:highlight w:val="none"/>
              </w:rPr>
              <w:t>2025</w:t>
            </w:r>
            <w:r>
              <w:rPr>
                <w:rFonts w:hint="eastAsia" w:ascii="宋体" w:hAnsi="宋体" w:cs="宋体"/>
                <w:b w:val="0"/>
                <w:color w:val="auto"/>
                <w:sz w:val="22"/>
                <w:szCs w:val="22"/>
                <w:highlight w:val="none"/>
              </w:rPr>
              <w:t>年</w:t>
            </w:r>
            <w:r>
              <w:rPr>
                <w:rFonts w:hint="eastAsia" w:ascii="Cambria Math" w:hAnsi="Cambria Math" w:cs="Times New Roman"/>
                <w:b w:val="0"/>
                <w:color w:val="auto"/>
                <w:sz w:val="22"/>
                <w:szCs w:val="22"/>
                <w:highlight w:val="none"/>
              </w:rPr>
              <w:t>0</w:t>
            </w:r>
            <w:r>
              <w:rPr>
                <w:rFonts w:hint="eastAsia" w:ascii="Cambria Math" w:hAnsi="Cambria Math" w:cs="Times New Roman"/>
                <w:b w:val="0"/>
                <w:color w:val="auto"/>
                <w:sz w:val="22"/>
                <w:szCs w:val="22"/>
                <w:highlight w:val="none"/>
                <w:lang w:val="en-US" w:eastAsia="zh-CN"/>
              </w:rPr>
              <w:t>3</w:t>
            </w:r>
            <w:r>
              <w:rPr>
                <w:rFonts w:hint="eastAsia" w:ascii="宋体" w:hAnsi="宋体" w:cs="宋体"/>
                <w:b w:val="0"/>
                <w:color w:val="auto"/>
                <w:sz w:val="22"/>
                <w:szCs w:val="22"/>
                <w:highlight w:val="none"/>
              </w:rPr>
              <w:t>月</w:t>
            </w:r>
            <w:r>
              <w:rPr>
                <w:rFonts w:hint="eastAsia" w:ascii="Cambria Math" w:hAnsi="Cambria Math" w:cs="Times New Roman"/>
                <w:b w:val="0"/>
                <w:color w:val="auto"/>
                <w:sz w:val="22"/>
                <w:szCs w:val="22"/>
                <w:highlight w:val="none"/>
                <w:lang w:val="en-US" w:eastAsia="zh-CN"/>
              </w:rPr>
              <w:t>18</w:t>
            </w:r>
            <w:r>
              <w:rPr>
                <w:rFonts w:hint="eastAsia" w:ascii="宋体" w:hAnsi="宋体" w:cs="宋体"/>
                <w:b w:val="0"/>
                <w:color w:val="auto"/>
                <w:sz w:val="22"/>
                <w:szCs w:val="22"/>
                <w:highlight w:val="none"/>
              </w:rPr>
              <w:t>日</w:t>
            </w:r>
            <w:r>
              <w:rPr>
                <w:rFonts w:ascii="Cambria Math" w:hAnsi="Cambria Math" w:cs="Times New Roman"/>
                <w:b w:val="0"/>
                <w:bCs w:val="0"/>
                <w:color w:val="auto"/>
                <w:sz w:val="22"/>
                <w:szCs w:val="22"/>
                <w:highlight w:val="none"/>
              </w:rPr>
              <w:t>14</w:t>
            </w:r>
            <w:r>
              <w:rPr>
                <w:rFonts w:hint="eastAsia" w:ascii="Cambria Math" w:hAnsi="Cambria Math" w:cs="Times New Roman"/>
                <w:b w:val="0"/>
                <w:bCs w:val="0"/>
                <w:color w:val="auto"/>
                <w:sz w:val="22"/>
                <w:szCs w:val="22"/>
                <w:highlight w:val="none"/>
              </w:rPr>
              <w:t>:30:00</w:t>
            </w:r>
          </w:p>
        </w:tc>
      </w:tr>
      <w:tr w14:paraId="34C6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9" w:type="dxa"/>
            <w:tcBorders>
              <w:left w:val="double" w:color="auto" w:sz="4" w:space="0"/>
            </w:tcBorders>
            <w:vAlign w:val="center"/>
          </w:tcPr>
          <w:p w14:paraId="35A6DDB8">
            <w:pPr>
              <w:pStyle w:val="15"/>
              <w:snapToGrid w:val="0"/>
              <w:spacing w:before="0" w:line="400" w:lineRule="atLeast"/>
              <w:jc w:val="center"/>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投标开标地点</w:t>
            </w:r>
          </w:p>
        </w:tc>
        <w:tc>
          <w:tcPr>
            <w:tcW w:w="7398" w:type="dxa"/>
            <w:tcBorders>
              <w:right w:val="double" w:color="auto" w:sz="4" w:space="0"/>
            </w:tcBorders>
            <w:vAlign w:val="center"/>
          </w:tcPr>
          <w:p w14:paraId="74B4F6F6">
            <w:pPr>
              <w:pStyle w:val="15"/>
              <w:snapToGrid w:val="0"/>
              <w:spacing w:before="0" w:line="400" w:lineRule="atLeast"/>
              <w:rPr>
                <w:rFonts w:ascii="Cambria Math" w:hAnsi="Cambria Math" w:eastAsia="Cambria Math" w:cs="Times New Roman"/>
                <w:b w:val="0"/>
                <w:color w:val="auto"/>
                <w:sz w:val="22"/>
                <w:szCs w:val="22"/>
                <w:highlight w:val="none"/>
              </w:rPr>
            </w:pPr>
            <w:r>
              <w:rPr>
                <w:rFonts w:hint="eastAsia" w:ascii="宋体" w:hAnsi="宋体" w:cs="@楷体_GB2312"/>
                <w:b w:val="0"/>
                <w:bCs w:val="0"/>
                <w:color w:val="auto"/>
                <w:sz w:val="22"/>
                <w:szCs w:val="22"/>
                <w:highlight w:val="none"/>
              </w:rPr>
              <w:t>“乐采云平台（www.lecaiyun.com）”实行在线开标评审</w:t>
            </w:r>
          </w:p>
        </w:tc>
      </w:tr>
      <w:tr w14:paraId="66C2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269" w:type="dxa"/>
            <w:tcBorders>
              <w:left w:val="double" w:color="auto" w:sz="4" w:space="0"/>
              <w:bottom w:val="single" w:color="auto" w:sz="4" w:space="0"/>
            </w:tcBorders>
            <w:vAlign w:val="center"/>
          </w:tcPr>
          <w:p w14:paraId="075210FB">
            <w:pPr>
              <w:pStyle w:val="15"/>
              <w:snapToGrid w:val="0"/>
              <w:spacing w:before="0" w:line="400" w:lineRule="atLeast"/>
              <w:jc w:val="center"/>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重要提醒</w:t>
            </w:r>
          </w:p>
        </w:tc>
        <w:tc>
          <w:tcPr>
            <w:tcW w:w="7398" w:type="dxa"/>
            <w:tcBorders>
              <w:bottom w:val="single" w:color="auto" w:sz="4" w:space="0"/>
              <w:right w:val="double" w:color="auto" w:sz="4" w:space="0"/>
            </w:tcBorders>
            <w:vAlign w:val="center"/>
          </w:tcPr>
          <w:p w14:paraId="3580D6B9">
            <w:pPr>
              <w:pStyle w:val="15"/>
              <w:snapToGrid w:val="0"/>
              <w:spacing w:before="0" w:line="400" w:lineRule="atLeast"/>
              <w:rPr>
                <w:rFonts w:ascii="Cambria Math" w:hAnsi="Cambria Math" w:eastAsia="Cambria Math" w:cs="Times New Roman"/>
                <w:color w:val="auto"/>
                <w:sz w:val="22"/>
                <w:szCs w:val="22"/>
                <w:highlight w:val="none"/>
              </w:rPr>
            </w:pPr>
            <w:r>
              <w:rPr>
                <w:rFonts w:hint="eastAsia" w:ascii="Cambria Math" w:hAnsi="Cambria Math" w:eastAsia="Cambria Math" w:cs="Times New Roman"/>
                <w:color w:val="auto"/>
                <w:sz w:val="22"/>
                <w:szCs w:val="22"/>
                <w:highlight w:val="none"/>
              </w:rPr>
              <w:t>招标文件中标注“▲”的技术或商务条款均为实质性要求条款，不满足实质性要求条款的投标无效。</w:t>
            </w:r>
          </w:p>
        </w:tc>
      </w:tr>
      <w:tr w14:paraId="7547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69" w:type="dxa"/>
            <w:tcBorders>
              <w:left w:val="double" w:color="auto" w:sz="4" w:space="0"/>
              <w:bottom w:val="single" w:color="auto" w:sz="4" w:space="0"/>
            </w:tcBorders>
            <w:vAlign w:val="center"/>
          </w:tcPr>
          <w:p w14:paraId="18963A9D">
            <w:pPr>
              <w:pStyle w:val="15"/>
              <w:snapToGrid w:val="0"/>
              <w:spacing w:before="0" w:line="400" w:lineRule="atLeast"/>
              <w:rPr>
                <w:rFonts w:ascii="Cambria Math" w:hAnsi="Cambria Math" w:eastAsia="Cambria Math" w:cs="Times New Roman"/>
                <w:b w:val="0"/>
                <w:color w:val="auto"/>
                <w:sz w:val="22"/>
                <w:szCs w:val="22"/>
                <w:highlight w:val="none"/>
              </w:rPr>
            </w:pPr>
            <w:r>
              <w:rPr>
                <w:rFonts w:ascii="Cambria Math" w:hAnsi="Cambria Math" w:eastAsia="Cambria Math" w:cs="Times New Roman"/>
                <w:b w:val="0"/>
                <w:color w:val="auto"/>
                <w:sz w:val="22"/>
                <w:szCs w:val="22"/>
                <w:highlight w:val="none"/>
                <w:lang w:bidi="zh-CN"/>
              </w:rPr>
              <w:t>▲信用记录查询与使用</w:t>
            </w:r>
          </w:p>
        </w:tc>
        <w:tc>
          <w:tcPr>
            <w:tcW w:w="7398" w:type="dxa"/>
            <w:tcBorders>
              <w:bottom w:val="single" w:color="auto" w:sz="4" w:space="0"/>
              <w:right w:val="double" w:color="auto" w:sz="4" w:space="0"/>
            </w:tcBorders>
            <w:vAlign w:val="center"/>
          </w:tcPr>
          <w:p w14:paraId="44A792C0">
            <w:pPr>
              <w:pStyle w:val="15"/>
              <w:snapToGrid w:val="0"/>
              <w:spacing w:before="0" w:line="400" w:lineRule="atLeast"/>
              <w:rPr>
                <w:rFonts w:ascii="Cambria Math" w:hAnsi="Cambria Math" w:eastAsia="Cambria Math" w:cs="Times New Roman"/>
                <w:b w:val="0"/>
                <w:color w:val="auto"/>
                <w:sz w:val="22"/>
                <w:szCs w:val="22"/>
                <w:highlight w:val="none"/>
              </w:rPr>
            </w:pPr>
            <w:r>
              <w:rPr>
                <w:rFonts w:ascii="Cambria Math" w:hAnsi="Cambria Math" w:eastAsia="Cambria Math" w:cs="Times New Roman"/>
                <w:b w:val="0"/>
                <w:color w:val="auto"/>
                <w:sz w:val="22"/>
                <w:szCs w:val="22"/>
                <w:highlight w:val="none"/>
              </w:rPr>
              <w:t>根据《财政部关于在政府采购活动中查询及使用信用记录的通知》（财库〔2016〕125号）相关规定，</w:t>
            </w:r>
            <w:r>
              <w:rPr>
                <w:rFonts w:hint="eastAsia" w:ascii="Cambria Math" w:hAnsi="Cambria Math" w:eastAsia="Cambria Math" w:cs="Times New Roman"/>
                <w:b w:val="0"/>
                <w:color w:val="auto"/>
                <w:sz w:val="22"/>
                <w:szCs w:val="22"/>
                <w:highlight w:val="none"/>
              </w:rPr>
              <w:t>评审时</w:t>
            </w:r>
            <w:r>
              <w:rPr>
                <w:rFonts w:ascii="Cambria Math" w:hAnsi="Cambria Math" w:eastAsia="Cambria Math" w:cs="Times New Roman"/>
                <w:b w:val="0"/>
                <w:color w:val="auto"/>
                <w:sz w:val="22"/>
                <w:szCs w:val="22"/>
                <w:highlight w:val="none"/>
              </w:rPr>
              <w:t>采购组织机构将统一通过“信用中国”网站（www.creditchina.gov.cn）、中国政府采购网（www.ccgp.gov.cn）查询供应商信用记录，对供应商信用记录进行甄别。</w:t>
            </w:r>
            <w:r>
              <w:rPr>
                <w:rFonts w:ascii="Cambria Math" w:hAnsi="Cambria Math" w:eastAsia="Cambria Math" w:cs="Times New Roman"/>
                <w:color w:val="auto"/>
                <w:sz w:val="22"/>
                <w:szCs w:val="22"/>
                <w:highlight w:val="none"/>
              </w:rPr>
              <w:t>凡是列入失信被执行人、重大税收违法案件当事人名单、政府采购严重违法失信行为记录名单及其他不符合《中华人民共和国政府采购法》第二十二条规定条件的供应商，</w:t>
            </w:r>
            <w:r>
              <w:rPr>
                <w:rFonts w:hint="eastAsia" w:ascii="Cambria Math" w:hAnsi="Cambria Math" w:eastAsia="Cambria Math" w:cs="Times New Roman"/>
                <w:color w:val="auto"/>
                <w:sz w:val="22"/>
                <w:szCs w:val="22"/>
                <w:highlight w:val="none"/>
              </w:rPr>
              <w:t>将</w:t>
            </w:r>
            <w:r>
              <w:rPr>
                <w:rFonts w:ascii="Cambria Math" w:hAnsi="Cambria Math" w:eastAsia="Cambria Math" w:cs="Times New Roman"/>
                <w:color w:val="auto"/>
                <w:sz w:val="22"/>
                <w:szCs w:val="22"/>
                <w:highlight w:val="none"/>
              </w:rPr>
              <w:t>拒绝其参加本次政府采购活动。</w:t>
            </w:r>
          </w:p>
        </w:tc>
      </w:tr>
      <w:tr w14:paraId="2142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269" w:type="dxa"/>
            <w:tcBorders>
              <w:left w:val="double" w:color="auto" w:sz="4" w:space="0"/>
              <w:bottom w:val="single" w:color="auto" w:sz="4" w:space="0"/>
            </w:tcBorders>
            <w:vAlign w:val="center"/>
          </w:tcPr>
          <w:p w14:paraId="3C6FD5D6">
            <w:pPr>
              <w:pStyle w:val="15"/>
              <w:spacing w:before="0" w:after="156" w:line="440" w:lineRule="exact"/>
              <w:rPr>
                <w:rFonts w:hint="eastAsia" w:ascii="宋体" w:hAnsi="宋体"/>
                <w:b w:val="0"/>
                <w:bCs w:val="0"/>
                <w:sz w:val="22"/>
                <w:szCs w:val="22"/>
                <w:highlight w:val="none"/>
              </w:rPr>
            </w:pPr>
            <w:r>
              <w:rPr>
                <w:rFonts w:hint="eastAsia" w:ascii="宋体" w:hAnsi="宋体"/>
                <w:b w:val="0"/>
                <w:bCs w:val="0"/>
                <w:sz w:val="22"/>
                <w:szCs w:val="22"/>
                <w:highlight w:val="none"/>
              </w:rPr>
              <w:t>国企采购</w:t>
            </w:r>
          </w:p>
        </w:tc>
        <w:tc>
          <w:tcPr>
            <w:tcW w:w="7398" w:type="dxa"/>
            <w:tcBorders>
              <w:bottom w:val="single" w:color="auto" w:sz="4" w:space="0"/>
              <w:right w:val="double" w:color="auto" w:sz="4" w:space="0"/>
            </w:tcBorders>
            <w:vAlign w:val="center"/>
          </w:tcPr>
          <w:p w14:paraId="0FFA8D51">
            <w:pPr>
              <w:spacing w:line="312" w:lineRule="auto"/>
              <w:rPr>
                <w:rFonts w:hint="eastAsia" w:ascii="宋体" w:hAnsi="宋体"/>
                <w:b w:val="0"/>
                <w:bCs w:val="0"/>
                <w:szCs w:val="22"/>
                <w:highlight w:val="none"/>
              </w:rPr>
            </w:pPr>
            <w:r>
              <w:rPr>
                <w:rFonts w:hint="eastAsia" w:ascii="宋体" w:hAnsi="宋体"/>
                <w:szCs w:val="22"/>
                <w:highlight w:val="none"/>
                <w:u w:val="single"/>
              </w:rPr>
              <w:t>本项目为国企采购，参照政府采购法相关规定执行，如与政府采购法相关规定不一致的，以本文件为准。</w:t>
            </w:r>
          </w:p>
        </w:tc>
      </w:tr>
      <w:tr w14:paraId="77D2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69" w:type="dxa"/>
            <w:tcBorders>
              <w:left w:val="double" w:color="auto" w:sz="4" w:space="0"/>
              <w:bottom w:val="double" w:color="auto" w:sz="4" w:space="0"/>
            </w:tcBorders>
            <w:vAlign w:val="center"/>
          </w:tcPr>
          <w:p w14:paraId="699B038D">
            <w:pPr>
              <w:pStyle w:val="15"/>
              <w:snapToGrid w:val="0"/>
              <w:spacing w:before="0" w:line="400" w:lineRule="atLeast"/>
              <w:jc w:val="center"/>
              <w:rPr>
                <w:rFonts w:ascii="Cambria Math" w:hAnsi="Cambria Math" w:eastAsia="Cambria Math" w:cs="Times New Roman"/>
                <w:b w:val="0"/>
                <w:color w:val="auto"/>
                <w:sz w:val="22"/>
                <w:szCs w:val="22"/>
                <w:highlight w:val="none"/>
              </w:rPr>
            </w:pPr>
            <w:r>
              <w:rPr>
                <w:rFonts w:hint="eastAsia" w:ascii="Cambria Math" w:hAnsi="Cambria Math" w:eastAsia="Cambria Math" w:cs="Times New Roman"/>
                <w:b w:val="0"/>
                <w:color w:val="auto"/>
                <w:sz w:val="22"/>
                <w:szCs w:val="22"/>
                <w:highlight w:val="none"/>
              </w:rPr>
              <w:t>备注</w:t>
            </w:r>
          </w:p>
        </w:tc>
        <w:tc>
          <w:tcPr>
            <w:tcW w:w="7398" w:type="dxa"/>
            <w:tcBorders>
              <w:bottom w:val="double" w:color="auto" w:sz="4" w:space="0"/>
              <w:right w:val="double" w:color="auto" w:sz="4" w:space="0"/>
            </w:tcBorders>
            <w:vAlign w:val="center"/>
          </w:tcPr>
          <w:p w14:paraId="2A04DB0B">
            <w:pPr>
              <w:rPr>
                <w:b w:val="0"/>
                <w:sz w:val="22"/>
                <w:szCs w:val="22"/>
                <w:highlight w:val="none"/>
              </w:rPr>
            </w:pPr>
            <w:r>
              <w:rPr>
                <w:rFonts w:hint="eastAsia"/>
                <w:b w:val="0"/>
                <w:sz w:val="22"/>
                <w:szCs w:val="22"/>
                <w:highlight w:val="none"/>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14:paraId="42D3F191">
      <w:pPr>
        <w:spacing w:line="440" w:lineRule="exact"/>
        <w:ind w:firstLine="880" w:firstLineChars="200"/>
        <w:rPr>
          <w:rFonts w:ascii="Cambria Math" w:hAnsi="Cambria Math" w:eastAsiaTheme="minorEastAsia"/>
          <w:b w:val="0"/>
          <w:color w:val="auto"/>
          <w:sz w:val="44"/>
          <w:szCs w:val="44"/>
          <w:highlight w:val="none"/>
        </w:rPr>
      </w:pPr>
    </w:p>
    <w:p w14:paraId="455C95B3">
      <w:pPr>
        <w:pStyle w:val="4"/>
        <w:spacing w:before="0" w:after="120" w:line="700" w:lineRule="exact"/>
        <w:ind w:left="0" w:firstLine="0"/>
        <w:jc w:val="center"/>
        <w:rPr>
          <w:rFonts w:ascii="Cambria Math" w:hAnsi="Cambria Math" w:eastAsia="Cambria Math"/>
          <w:b/>
          <w:color w:val="auto"/>
          <w:sz w:val="44"/>
          <w:szCs w:val="44"/>
          <w:highlight w:val="none"/>
        </w:rPr>
      </w:pPr>
    </w:p>
    <w:p w14:paraId="37D61DC9">
      <w:pPr>
        <w:pStyle w:val="4"/>
        <w:spacing w:before="0" w:after="120" w:line="700" w:lineRule="exact"/>
        <w:ind w:left="0" w:firstLine="0"/>
        <w:jc w:val="center"/>
        <w:rPr>
          <w:rFonts w:ascii="Cambria Math" w:hAnsi="Cambria Math" w:eastAsia="Cambria Math"/>
          <w:b/>
          <w:color w:val="auto"/>
          <w:sz w:val="44"/>
          <w:szCs w:val="44"/>
          <w:highlight w:val="none"/>
        </w:rPr>
      </w:pPr>
      <w:r>
        <w:rPr>
          <w:rFonts w:hint="eastAsia" w:ascii="Cambria Math" w:hAnsi="Cambria Math" w:eastAsia="Cambria Math"/>
          <w:b/>
          <w:color w:val="auto"/>
          <w:sz w:val="44"/>
          <w:szCs w:val="44"/>
          <w:highlight w:val="none"/>
        </w:rPr>
        <w:t>招标文件目录</w:t>
      </w:r>
    </w:p>
    <w:p w14:paraId="7973F23D">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第一部分、项目简介</w:t>
      </w:r>
    </w:p>
    <w:p w14:paraId="764B0DC4">
      <w:pPr>
        <w:autoSpaceDE w:val="0"/>
        <w:autoSpaceDN w:val="0"/>
        <w:adjustRightInd w:val="0"/>
        <w:spacing w:line="440" w:lineRule="atLeast"/>
        <w:rPr>
          <w:rFonts w:ascii="Cambria Math" w:hAnsi="Cambria Math" w:eastAsia="Cambria Math"/>
          <w:b w:val="0"/>
          <w:color w:val="auto"/>
          <w:sz w:val="28"/>
          <w:szCs w:val="28"/>
          <w:highlight w:val="none"/>
          <w:lang w:val="zh-CN"/>
        </w:rPr>
      </w:pPr>
    </w:p>
    <w:p w14:paraId="250466CC">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第二部分、招标内容及技术要求</w:t>
      </w:r>
    </w:p>
    <w:p w14:paraId="63B81D67">
      <w:pPr>
        <w:autoSpaceDE w:val="0"/>
        <w:autoSpaceDN w:val="0"/>
        <w:adjustRightInd w:val="0"/>
        <w:spacing w:line="440" w:lineRule="atLeast"/>
        <w:rPr>
          <w:rFonts w:ascii="Cambria Math" w:hAnsi="Cambria Math" w:eastAsia="Cambria Math"/>
          <w:b w:val="0"/>
          <w:color w:val="auto"/>
          <w:sz w:val="28"/>
          <w:szCs w:val="28"/>
          <w:highlight w:val="none"/>
          <w:lang w:val="zh-CN"/>
        </w:rPr>
      </w:pPr>
    </w:p>
    <w:p w14:paraId="6DCF47AC">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第三部分、供应商须知</w:t>
      </w:r>
    </w:p>
    <w:p w14:paraId="3076C8BB">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一、说明</w:t>
      </w:r>
    </w:p>
    <w:p w14:paraId="4A87D9A2">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二、招标文件</w:t>
      </w:r>
    </w:p>
    <w:p w14:paraId="44DF6F14">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三、投标文件</w:t>
      </w:r>
    </w:p>
    <w:p w14:paraId="747B22B6">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四、投标文件的递交</w:t>
      </w:r>
    </w:p>
    <w:p w14:paraId="7C6F76E1">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五、开标和评标</w:t>
      </w:r>
    </w:p>
    <w:p w14:paraId="0CDD9302">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六、授予合同</w:t>
      </w:r>
    </w:p>
    <w:p w14:paraId="72AEB12C">
      <w:pPr>
        <w:autoSpaceDE w:val="0"/>
        <w:autoSpaceDN w:val="0"/>
        <w:adjustRightInd w:val="0"/>
        <w:spacing w:line="440" w:lineRule="atLeast"/>
        <w:rPr>
          <w:rFonts w:ascii="Cambria Math" w:hAnsi="Cambria Math" w:eastAsia="Cambria Math"/>
          <w:b w:val="0"/>
          <w:color w:val="auto"/>
          <w:sz w:val="28"/>
          <w:szCs w:val="28"/>
          <w:highlight w:val="none"/>
          <w:lang w:val="zh-CN"/>
        </w:rPr>
      </w:pPr>
    </w:p>
    <w:p w14:paraId="477BF4E9">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第四部分、合同主要条款</w:t>
      </w:r>
    </w:p>
    <w:p w14:paraId="3FA094D4">
      <w:pPr>
        <w:autoSpaceDE w:val="0"/>
        <w:autoSpaceDN w:val="0"/>
        <w:adjustRightInd w:val="0"/>
        <w:spacing w:line="440" w:lineRule="atLeast"/>
        <w:rPr>
          <w:rFonts w:ascii="Cambria Math" w:hAnsi="Cambria Math" w:eastAsia="Cambria Math"/>
          <w:b w:val="0"/>
          <w:color w:val="auto"/>
          <w:sz w:val="28"/>
          <w:szCs w:val="28"/>
          <w:highlight w:val="none"/>
          <w:lang w:val="zh-CN"/>
        </w:rPr>
      </w:pPr>
    </w:p>
    <w:p w14:paraId="544F8B50">
      <w:pPr>
        <w:tabs>
          <w:tab w:val="left" w:pos="560"/>
        </w:tabs>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第五部分、投标文件格式</w:t>
      </w:r>
    </w:p>
    <w:p w14:paraId="680E1DB8">
      <w:pPr>
        <w:tabs>
          <w:tab w:val="left" w:pos="560"/>
        </w:tabs>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商务部分</w:t>
      </w:r>
    </w:p>
    <w:p w14:paraId="23F6E200">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技术部分</w:t>
      </w:r>
    </w:p>
    <w:p w14:paraId="65EC1A21">
      <w:pPr>
        <w:autoSpaceDE w:val="0"/>
        <w:autoSpaceDN w:val="0"/>
        <w:adjustRightInd w:val="0"/>
        <w:spacing w:line="440" w:lineRule="atLeast"/>
        <w:rPr>
          <w:rFonts w:ascii="Cambria Math" w:hAnsi="Cambria Math" w:eastAsia="Cambria Math"/>
          <w:b w:val="0"/>
          <w:color w:val="auto"/>
          <w:sz w:val="28"/>
          <w:szCs w:val="28"/>
          <w:highlight w:val="none"/>
          <w:lang w:val="zh-CN"/>
        </w:rPr>
      </w:pPr>
    </w:p>
    <w:p w14:paraId="61BCED6D">
      <w:pPr>
        <w:autoSpaceDE w:val="0"/>
        <w:autoSpaceDN w:val="0"/>
        <w:adjustRightInd w:val="0"/>
        <w:spacing w:line="440" w:lineRule="atLeast"/>
        <w:rPr>
          <w:rFonts w:ascii="Cambria Math" w:hAnsi="Cambria Math" w:eastAsia="Cambria Math"/>
          <w:b w:val="0"/>
          <w:color w:val="auto"/>
          <w:sz w:val="28"/>
          <w:szCs w:val="28"/>
          <w:highlight w:val="none"/>
          <w:lang w:val="zh-CN"/>
        </w:rPr>
      </w:pPr>
      <w:r>
        <w:rPr>
          <w:rFonts w:hint="eastAsia" w:ascii="Cambria Math" w:hAnsi="Cambria Math" w:eastAsia="Cambria Math"/>
          <w:b w:val="0"/>
          <w:color w:val="auto"/>
          <w:sz w:val="28"/>
          <w:szCs w:val="28"/>
          <w:highlight w:val="none"/>
          <w:lang w:val="zh-CN"/>
        </w:rPr>
        <w:t>第六部分、评标办法</w:t>
      </w:r>
    </w:p>
    <w:p w14:paraId="6F204C70">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highlight w:val="none"/>
          <w:u w:val="single"/>
        </w:rPr>
      </w:pPr>
      <w:r>
        <w:rPr>
          <w:rFonts w:hint="eastAsia" w:ascii="Cambria Math" w:hAnsi="Cambria Math" w:eastAsia="Cambria Math"/>
          <w:bCs w:val="0"/>
          <w:color w:val="auto"/>
          <w:sz w:val="22"/>
          <w:szCs w:val="22"/>
          <w:highlight w:val="none"/>
        </w:rPr>
        <w:t>注：</w:t>
      </w:r>
      <w:r>
        <w:rPr>
          <w:rFonts w:hint="eastAsia" w:ascii="Cambria Math" w:hAnsi="Cambria Math" w:eastAsia="Cambria Math"/>
          <w:bCs w:val="0"/>
          <w:color w:val="auto"/>
          <w:sz w:val="22"/>
          <w:szCs w:val="22"/>
          <w:highlight w:val="none"/>
          <w:u w:val="single"/>
        </w:rPr>
        <w:t>本次文件中有些文字条款已用加粗、加下划线的形式强调，这些特别强调的条款及内容，有些是重要条款，</w:t>
      </w:r>
      <w:r>
        <w:rPr>
          <w:rFonts w:ascii="Cambria Math" w:hAnsi="Cambria Math" w:eastAsia="Cambria Math"/>
          <w:bCs w:val="0"/>
          <w:color w:val="auto"/>
          <w:sz w:val="22"/>
          <w:szCs w:val="22"/>
          <w:highlight w:val="none"/>
          <w:u w:val="single"/>
        </w:rPr>
        <w:t>有些将在评</w:t>
      </w:r>
      <w:r>
        <w:rPr>
          <w:rFonts w:hint="eastAsia" w:ascii="Cambria Math" w:hAnsi="Cambria Math" w:eastAsia="Cambria Math"/>
          <w:bCs w:val="0"/>
          <w:color w:val="auto"/>
          <w:sz w:val="22"/>
          <w:szCs w:val="22"/>
          <w:highlight w:val="none"/>
          <w:u w:val="single"/>
        </w:rPr>
        <w:t>审</w:t>
      </w:r>
      <w:r>
        <w:rPr>
          <w:rFonts w:ascii="Cambria Math" w:hAnsi="Cambria Math" w:eastAsia="Cambria Math"/>
          <w:bCs w:val="0"/>
          <w:color w:val="auto"/>
          <w:sz w:val="22"/>
          <w:szCs w:val="22"/>
          <w:highlight w:val="none"/>
          <w:u w:val="single"/>
        </w:rPr>
        <w:t>过程中量化</w:t>
      </w:r>
      <w:r>
        <w:rPr>
          <w:rFonts w:hint="eastAsia" w:ascii="Cambria Math" w:hAnsi="Cambria Math" w:eastAsia="Cambria Math"/>
          <w:bCs w:val="0"/>
          <w:color w:val="auto"/>
          <w:sz w:val="22"/>
          <w:szCs w:val="22"/>
          <w:highlight w:val="none"/>
          <w:u w:val="single"/>
        </w:rPr>
        <w:t>，如有违反将导致对供应商不利的评审，直至投标文件被拒绝。</w:t>
      </w:r>
    </w:p>
    <w:p w14:paraId="470B5CAC">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highlight w:val="none"/>
          <w:u w:val="single"/>
        </w:rPr>
      </w:pPr>
    </w:p>
    <w:p w14:paraId="5EDB4030">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highlight w:val="none"/>
          <w:u w:val="single"/>
        </w:rPr>
      </w:pPr>
    </w:p>
    <w:p w14:paraId="5FDE4882">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highlight w:val="none"/>
          <w:u w:val="single"/>
        </w:rPr>
      </w:pPr>
    </w:p>
    <w:p w14:paraId="3BF99220">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highlight w:val="none"/>
          <w:u w:val="single"/>
        </w:rPr>
      </w:pPr>
    </w:p>
    <w:p w14:paraId="7AC0A6B8">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highlight w:val="none"/>
          <w:u w:val="single"/>
        </w:rPr>
      </w:pPr>
    </w:p>
    <w:p w14:paraId="386FE96A">
      <w:pPr>
        <w:pStyle w:val="4"/>
        <w:spacing w:before="0" w:after="120" w:line="700" w:lineRule="exact"/>
        <w:ind w:left="0" w:firstLine="0"/>
        <w:jc w:val="center"/>
        <w:rPr>
          <w:rFonts w:ascii="Cambria Math" w:hAnsi="Cambria Math" w:eastAsia="Cambria Math"/>
          <w:b/>
          <w:color w:val="auto"/>
          <w:sz w:val="32"/>
          <w:highlight w:val="none"/>
        </w:rPr>
      </w:pPr>
      <w:r>
        <w:rPr>
          <w:rFonts w:hint="eastAsia" w:ascii="Cambria Math" w:hAnsi="Cambria Math" w:eastAsia="Cambria Math"/>
          <w:b/>
          <w:color w:val="auto"/>
          <w:sz w:val="32"/>
          <w:highlight w:val="none"/>
        </w:rPr>
        <w:t>第一</w:t>
      </w:r>
      <w:r>
        <w:rPr>
          <w:rFonts w:hint="eastAsia" w:ascii="Cambria Math" w:hAnsi="Cambria Math" w:eastAsia="宋体"/>
          <w:b/>
          <w:color w:val="auto"/>
          <w:sz w:val="32"/>
          <w:highlight w:val="none"/>
        </w:rPr>
        <w:t>部分</w:t>
      </w:r>
      <w:r>
        <w:rPr>
          <w:rFonts w:hint="eastAsia" w:ascii="Cambria Math" w:hAnsi="Cambria Math" w:eastAsia="宋体"/>
          <w:b/>
          <w:color w:val="auto"/>
          <w:sz w:val="32"/>
          <w:highlight w:val="none"/>
          <w:lang w:val="en-US" w:eastAsia="zh-CN"/>
        </w:rPr>
        <w:t xml:space="preserve">  </w:t>
      </w:r>
      <w:r>
        <w:rPr>
          <w:rFonts w:hint="eastAsia" w:ascii="Cambria Math" w:hAnsi="Cambria Math" w:eastAsia="Cambria Math"/>
          <w:b/>
          <w:color w:val="auto"/>
          <w:sz w:val="32"/>
          <w:highlight w:val="none"/>
        </w:rPr>
        <w:t>项目简介</w:t>
      </w:r>
    </w:p>
    <w:p w14:paraId="00066420">
      <w:pPr>
        <w:snapToGrid w:val="0"/>
        <w:spacing w:line="460" w:lineRule="atLeast"/>
        <w:rPr>
          <w:rFonts w:hint="eastAsia" w:ascii="宋体" w:hAnsi="宋体"/>
          <w:b w:val="0"/>
          <w:color w:val="auto"/>
          <w:sz w:val="22"/>
          <w:szCs w:val="22"/>
          <w:highlight w:val="none"/>
        </w:rPr>
      </w:pPr>
      <w:r>
        <w:rPr>
          <w:rFonts w:hint="eastAsia" w:ascii="宋体" w:hAnsi="宋体"/>
          <w:b w:val="0"/>
          <w:color w:val="auto"/>
          <w:sz w:val="22"/>
          <w:szCs w:val="22"/>
          <w:highlight w:val="none"/>
        </w:rPr>
        <w:t>项目简介</w:t>
      </w:r>
    </w:p>
    <w:p w14:paraId="3AB609C3">
      <w:pPr>
        <w:snapToGrid w:val="0"/>
        <w:spacing w:line="46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经批准，温州超然招标代理有限公司对</w:t>
      </w:r>
      <w:r>
        <w:rPr>
          <w:rFonts w:hint="eastAsia" w:ascii="宋体" w:hAnsi="宋体" w:cs="宋体"/>
          <w:b w:val="0"/>
          <w:color w:val="auto"/>
          <w:sz w:val="22"/>
          <w:szCs w:val="22"/>
          <w:highlight w:val="none"/>
          <w:lang w:eastAsia="zh-CN"/>
        </w:rPr>
        <w:t>龙港水务用水客户户内漏水保险服务项目</w:t>
      </w:r>
      <w:r>
        <w:rPr>
          <w:rFonts w:hint="eastAsia" w:ascii="宋体" w:hAnsi="宋体"/>
          <w:b w:val="0"/>
          <w:color w:val="auto"/>
          <w:sz w:val="22"/>
          <w:szCs w:val="22"/>
          <w:highlight w:val="none"/>
        </w:rPr>
        <w:t>进行公开招标采购。本次招标的资金已经落实，我们热情欢迎有关公司（企业）前来投标。</w:t>
      </w:r>
    </w:p>
    <w:p w14:paraId="7D6F593E">
      <w:pPr>
        <w:pStyle w:val="4"/>
        <w:spacing w:before="0" w:after="120" w:line="700" w:lineRule="exact"/>
        <w:ind w:left="0" w:firstLine="0"/>
        <w:jc w:val="center"/>
        <w:rPr>
          <w:rFonts w:ascii="Cambria Math" w:hAnsi="Cambria Math" w:eastAsia="Cambria Math"/>
          <w:b/>
          <w:color w:val="auto"/>
          <w:sz w:val="32"/>
          <w:highlight w:val="none"/>
        </w:rPr>
      </w:pPr>
      <w:r>
        <w:rPr>
          <w:rFonts w:hint="eastAsia" w:ascii="Cambria Math" w:hAnsi="Cambria Math" w:eastAsia="Cambria Math"/>
          <w:b/>
          <w:color w:val="auto"/>
          <w:sz w:val="32"/>
          <w:highlight w:val="none"/>
        </w:rPr>
        <w:t>第二</w:t>
      </w:r>
      <w:r>
        <w:rPr>
          <w:rFonts w:hint="eastAsia" w:ascii="Cambria Math" w:hAnsi="Cambria Math" w:eastAsia="宋体"/>
          <w:b/>
          <w:color w:val="auto"/>
          <w:sz w:val="32"/>
          <w:highlight w:val="none"/>
        </w:rPr>
        <w:t>部分</w:t>
      </w:r>
      <w:r>
        <w:rPr>
          <w:rFonts w:hint="eastAsia" w:ascii="Cambria Math" w:hAnsi="Cambria Math" w:eastAsia="宋体"/>
          <w:b/>
          <w:color w:val="auto"/>
          <w:sz w:val="32"/>
          <w:highlight w:val="none"/>
          <w:lang w:val="en-US" w:eastAsia="zh-CN"/>
        </w:rPr>
        <w:t xml:space="preserve">  </w:t>
      </w:r>
      <w:r>
        <w:rPr>
          <w:rFonts w:hint="eastAsia" w:ascii="Cambria Math" w:hAnsi="Cambria Math" w:eastAsia="Cambria Math"/>
          <w:b/>
          <w:color w:val="auto"/>
          <w:sz w:val="32"/>
          <w:highlight w:val="none"/>
        </w:rPr>
        <w:t>招标内容及技术要求</w:t>
      </w:r>
    </w:p>
    <w:p w14:paraId="3BCDAC02">
      <w:pPr>
        <w:snapToGrid w:val="0"/>
        <w:spacing w:line="460" w:lineRule="atLeast"/>
        <w:rPr>
          <w:rFonts w:ascii="Cambria Math" w:hAnsi="Cambria Math" w:eastAsia="Cambria Math"/>
          <w:color w:val="auto"/>
          <w:sz w:val="22"/>
          <w:szCs w:val="22"/>
          <w:highlight w:val="none"/>
        </w:rPr>
      </w:pPr>
      <w:bookmarkStart w:id="2" w:name="_Toc157410883"/>
      <w:bookmarkStart w:id="3" w:name="_Toc4253"/>
      <w:bookmarkStart w:id="4" w:name="_Toc32099"/>
      <w:bookmarkStart w:id="5" w:name="_Toc7869"/>
      <w:bookmarkStart w:id="6" w:name="_Toc26874"/>
      <w:bookmarkStart w:id="7" w:name="_Toc12750"/>
      <w:bookmarkStart w:id="8" w:name="_Toc157410886"/>
      <w:r>
        <w:rPr>
          <w:rFonts w:hint="eastAsia" w:ascii="Cambria Math" w:hAnsi="Cambria Math" w:eastAsia="Cambria Math"/>
          <w:color w:val="auto"/>
          <w:sz w:val="22"/>
          <w:szCs w:val="22"/>
          <w:highlight w:val="none"/>
        </w:rPr>
        <w:t>一、采购总说明</w:t>
      </w:r>
    </w:p>
    <w:p w14:paraId="75ACFD07">
      <w:pPr>
        <w:snapToGrid w:val="0"/>
        <w:spacing w:line="460" w:lineRule="atLeast"/>
        <w:ind w:firstLine="440" w:firstLineChars="200"/>
        <w:rPr>
          <w:rFonts w:ascii="宋体" w:hAnsi="宋体"/>
          <w:b w:val="0"/>
          <w:color w:val="auto"/>
          <w:sz w:val="22"/>
          <w:szCs w:val="22"/>
          <w:highlight w:val="none"/>
        </w:rPr>
      </w:pPr>
      <w:r>
        <w:rPr>
          <w:rFonts w:hint="eastAsia" w:ascii="宋体" w:hAnsi="宋体"/>
          <w:b w:val="0"/>
          <w:color w:val="auto"/>
          <w:sz w:val="22"/>
          <w:szCs w:val="22"/>
          <w:highlight w:val="none"/>
        </w:rPr>
        <w:t>1、本技术规范要求提出的是最低限度的基本技术要求，并未对所有技术细节作出规定，供应商应提供符合本技术要求和国家标准、行业标准的优质服务。</w:t>
      </w:r>
    </w:p>
    <w:p w14:paraId="0840A436">
      <w:pPr>
        <w:snapToGrid w:val="0"/>
        <w:spacing w:line="460" w:lineRule="atLeast"/>
        <w:ind w:firstLine="440" w:firstLineChars="200"/>
        <w:rPr>
          <w:rFonts w:ascii="宋体" w:hAnsi="宋体"/>
          <w:b w:val="0"/>
          <w:color w:val="auto"/>
          <w:sz w:val="22"/>
          <w:szCs w:val="22"/>
          <w:highlight w:val="none"/>
        </w:rPr>
      </w:pPr>
      <w:r>
        <w:rPr>
          <w:rFonts w:hint="eastAsia" w:ascii="宋体" w:hAnsi="宋体"/>
          <w:b w:val="0"/>
          <w:color w:val="auto"/>
          <w:sz w:val="22"/>
          <w:szCs w:val="22"/>
          <w:highlight w:val="none"/>
        </w:rPr>
        <w:t>供应商服务与本技术要求不一致时，供应商应在投标文件中予以说明，并由评标委员会鉴定供应商服务能否达到要求。如供应商没有在投标文件中提出异议，则视为供应商提供的服务完全按照本招标文件要求。</w:t>
      </w:r>
    </w:p>
    <w:p w14:paraId="65746C57">
      <w:pPr>
        <w:snapToGrid w:val="0"/>
        <w:spacing w:line="460" w:lineRule="atLeast"/>
        <w:ind w:firstLine="440" w:firstLineChars="200"/>
        <w:rPr>
          <w:rFonts w:ascii="宋体" w:hAnsi="宋体"/>
          <w:b w:val="0"/>
          <w:color w:val="auto"/>
          <w:sz w:val="22"/>
          <w:szCs w:val="22"/>
          <w:highlight w:val="none"/>
        </w:rPr>
      </w:pPr>
      <w:r>
        <w:rPr>
          <w:rFonts w:hint="eastAsia" w:ascii="宋体" w:hAnsi="宋体"/>
          <w:b w:val="0"/>
          <w:color w:val="auto"/>
          <w:sz w:val="22"/>
          <w:szCs w:val="22"/>
          <w:highlight w:val="none"/>
        </w:rPr>
        <w:t>2、技术要求及标准的执行</w:t>
      </w:r>
    </w:p>
    <w:p w14:paraId="5FD43A4E">
      <w:pPr>
        <w:snapToGrid w:val="0"/>
        <w:spacing w:line="460" w:lineRule="atLeast"/>
        <w:ind w:firstLine="440" w:firstLineChars="200"/>
        <w:rPr>
          <w:rFonts w:ascii="宋体" w:hAnsi="宋体"/>
          <w:b w:val="0"/>
          <w:color w:val="auto"/>
          <w:sz w:val="22"/>
          <w:szCs w:val="22"/>
          <w:highlight w:val="none"/>
        </w:rPr>
      </w:pPr>
      <w:r>
        <w:rPr>
          <w:rFonts w:hint="eastAsia" w:ascii="宋体" w:hAnsi="宋体"/>
          <w:b w:val="0"/>
          <w:color w:val="auto"/>
          <w:sz w:val="22"/>
          <w:szCs w:val="22"/>
          <w:highlight w:val="none"/>
        </w:rPr>
        <w:t>供应商提供的服务应标明所执行的质量标准，若同一标准已颁发新标准，则按最新标准执行。若同一产品同时有几个标准（国际标准、国家标准、行业标准、企业标准等），则按最高层次的标准执行。</w:t>
      </w:r>
    </w:p>
    <w:p w14:paraId="6C488848">
      <w:pPr>
        <w:snapToGrid w:val="0"/>
        <w:spacing w:line="460" w:lineRule="atLeast"/>
        <w:ind w:firstLine="440" w:firstLineChars="200"/>
        <w:rPr>
          <w:rFonts w:ascii="宋体" w:hAnsi="宋体"/>
          <w:b w:val="0"/>
          <w:color w:val="auto"/>
          <w:sz w:val="22"/>
          <w:szCs w:val="22"/>
          <w:highlight w:val="none"/>
        </w:rPr>
      </w:pPr>
      <w:r>
        <w:rPr>
          <w:rFonts w:hint="eastAsia" w:ascii="宋体" w:hAnsi="宋体"/>
          <w:b w:val="0"/>
          <w:color w:val="auto"/>
          <w:sz w:val="22"/>
          <w:szCs w:val="22"/>
          <w:highlight w:val="none"/>
        </w:rPr>
        <w:t>3、本招标文件中涉及的金额均以人民币为单位计算。</w:t>
      </w:r>
      <w:bookmarkEnd w:id="2"/>
    </w:p>
    <w:p w14:paraId="38BF9550">
      <w:pPr>
        <w:snapToGrid w:val="0"/>
        <w:spacing w:line="460" w:lineRule="atLeast"/>
        <w:rPr>
          <w:rFonts w:ascii="Cambria Math" w:hAnsi="Cambria Math" w:eastAsia="Cambria Math"/>
          <w:color w:val="auto"/>
          <w:sz w:val="22"/>
          <w:szCs w:val="22"/>
          <w:highlight w:val="none"/>
        </w:rPr>
      </w:pPr>
      <w:r>
        <w:rPr>
          <w:rFonts w:hint="eastAsia" w:ascii="Cambria Math" w:hAnsi="Cambria Math" w:eastAsia="Cambria Math"/>
          <w:color w:val="auto"/>
          <w:sz w:val="22"/>
          <w:szCs w:val="22"/>
          <w:highlight w:val="none"/>
        </w:rPr>
        <w:t>二、采购内容及要求</w:t>
      </w:r>
    </w:p>
    <w:p w14:paraId="0A543895">
      <w:pPr>
        <w:pStyle w:val="29"/>
        <w:adjustRightInd w:val="0"/>
        <w:spacing w:line="430" w:lineRule="atLeast"/>
        <w:ind w:left="422"/>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rPr>
        <w:t>（一）</w:t>
      </w:r>
      <w:r>
        <w:rPr>
          <w:rFonts w:hint="eastAsia" w:ascii="宋体" w:hAnsi="宋体"/>
          <w:color w:val="auto"/>
          <w:sz w:val="22"/>
          <w:szCs w:val="22"/>
          <w:highlight w:val="none"/>
          <w:lang w:val="en-US" w:eastAsia="zh-CN"/>
        </w:rPr>
        <w:t>现状</w:t>
      </w:r>
    </w:p>
    <w:p w14:paraId="0E621969">
      <w:pPr>
        <w:snapToGrid w:val="0"/>
        <w:spacing w:line="460" w:lineRule="exact"/>
        <w:ind w:firstLine="220" w:firstLineChars="100"/>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由于居民对户内管网和用水设施疏于管理维护，常发生户内漏水等现象，再加上目前执行的居民阶梯水价，漏水水费过高，有些客户因此拒缴并以各种理由反映诉求引起用水纠纷等情况。为切实有效的解决户内漏水收费难问题，以合法合规为前提，采购人决定为阶梯用水客户购买户内漏水保险，赔付客户因户内漏水产生的阶梯差额部分水费，减少用水纠纷，从而提升采购人整体服务形象。</w:t>
      </w:r>
    </w:p>
    <w:p w14:paraId="3B23561A">
      <w:pPr>
        <w:pStyle w:val="29"/>
        <w:adjustRightInd w:val="0"/>
        <w:spacing w:line="430" w:lineRule="atLeast"/>
        <w:ind w:left="422"/>
        <w:rPr>
          <w:rFonts w:ascii="宋体" w:hAnsi="宋体"/>
          <w:color w:val="auto"/>
          <w:sz w:val="22"/>
          <w:szCs w:val="22"/>
          <w:highlight w:val="none"/>
          <w:lang w:val="en-US" w:eastAsia="zh-CN"/>
        </w:rPr>
      </w:pPr>
      <w:r>
        <w:rPr>
          <w:rFonts w:hint="eastAsia" w:ascii="宋体" w:hAnsi="宋体"/>
          <w:color w:val="auto"/>
          <w:sz w:val="22"/>
          <w:szCs w:val="22"/>
          <w:highlight w:val="none"/>
          <w:lang w:val="en-US"/>
        </w:rPr>
        <w:t>（二）</w:t>
      </w:r>
      <w:r>
        <w:rPr>
          <w:rFonts w:hint="eastAsia" w:ascii="宋体" w:hAnsi="宋体"/>
          <w:color w:val="auto"/>
          <w:sz w:val="22"/>
          <w:szCs w:val="22"/>
          <w:highlight w:val="none"/>
          <w:lang w:val="en-US" w:eastAsia="zh-CN"/>
        </w:rPr>
        <w:t>保险需求</w:t>
      </w:r>
    </w:p>
    <w:p w14:paraId="0D0ACC50">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rPr>
        <w:t>1、</w:t>
      </w:r>
      <w:r>
        <w:rPr>
          <w:rFonts w:hint="eastAsia" w:ascii="宋体" w:hAnsi="宋体"/>
          <w:b w:val="0"/>
          <w:sz w:val="22"/>
          <w:szCs w:val="22"/>
          <w:highlight w:val="none"/>
          <w:lang w:val="en-US" w:eastAsia="zh-CN"/>
        </w:rPr>
        <w:t>被保险对象：供水范围内截至到投保月上期月末的在册居民阶梯用水客户，以及保期内新增居民阶梯用水客户。供水范围内截至到投保月上期月末的在册企业客户以及保期内新增企业客户。</w:t>
      </w:r>
      <w:r>
        <w:rPr>
          <w:rFonts w:ascii="宋体" w:hAnsi="宋体"/>
          <w:b w:val="0"/>
          <w:sz w:val="22"/>
          <w:szCs w:val="22"/>
          <w:highlight w:val="none"/>
          <w:lang w:val="en-US" w:eastAsia="zh-CN"/>
        </w:rPr>
        <w:t>居民用水：</w:t>
      </w:r>
      <w:r>
        <w:rPr>
          <w:rFonts w:hint="eastAsia" w:ascii="宋体" w:hAnsi="宋体"/>
          <w:b w:val="0"/>
          <w:sz w:val="22"/>
          <w:szCs w:val="22"/>
          <w:highlight w:val="none"/>
          <w:lang w:val="en-US" w:eastAsia="zh-CN"/>
        </w:rPr>
        <w:t>19万</w:t>
      </w:r>
      <w:r>
        <w:rPr>
          <w:rFonts w:ascii="宋体" w:hAnsi="宋体"/>
          <w:b w:val="0"/>
          <w:sz w:val="22"/>
          <w:szCs w:val="22"/>
          <w:highlight w:val="none"/>
          <w:lang w:val="en-US" w:eastAsia="zh-CN"/>
        </w:rPr>
        <w:t>户，非居民用水：</w:t>
      </w:r>
      <w:r>
        <w:rPr>
          <w:rFonts w:hint="eastAsia" w:ascii="宋体" w:hAnsi="宋体"/>
          <w:b w:val="0"/>
          <w:sz w:val="22"/>
          <w:szCs w:val="22"/>
          <w:highlight w:val="none"/>
          <w:lang w:val="en-US" w:eastAsia="zh-CN"/>
        </w:rPr>
        <w:t>4200</w:t>
      </w:r>
      <w:r>
        <w:rPr>
          <w:rFonts w:ascii="宋体" w:hAnsi="宋体"/>
          <w:b w:val="0"/>
          <w:sz w:val="22"/>
          <w:szCs w:val="22"/>
          <w:highlight w:val="none"/>
          <w:lang w:val="en-US" w:eastAsia="zh-CN"/>
        </w:rPr>
        <w:t>户</w:t>
      </w:r>
      <w:r>
        <w:rPr>
          <w:rFonts w:hint="eastAsia" w:ascii="宋体" w:hAnsi="宋体"/>
          <w:b w:val="0"/>
          <w:sz w:val="22"/>
          <w:szCs w:val="22"/>
          <w:highlight w:val="none"/>
          <w:lang w:val="en-US" w:eastAsia="zh-CN"/>
        </w:rPr>
        <w:t>。</w:t>
      </w:r>
    </w:p>
    <w:p w14:paraId="50B42BCA">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rPr>
        <w:t>2、</w:t>
      </w:r>
      <w:r>
        <w:rPr>
          <w:rFonts w:hint="eastAsia" w:ascii="宋体" w:hAnsi="宋体"/>
          <w:b w:val="0"/>
          <w:sz w:val="22"/>
          <w:szCs w:val="22"/>
          <w:highlight w:val="none"/>
          <w:lang w:val="en-US" w:eastAsia="zh-CN"/>
        </w:rPr>
        <w:t>保险内容：龙港水务有限公司为被保险对象购买保险，用于居民阶梯用水对象因户内漏水等原因从而需支付超平常量的阶梯差额水费、污水处理费；用于企业客户因厂内漏水等原因从而需要支付超平常量的污水处理费。</w:t>
      </w:r>
    </w:p>
    <w:p w14:paraId="0DE60E12">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rPr>
        <w:t>3、</w:t>
      </w:r>
      <w:r>
        <w:rPr>
          <w:rFonts w:hint="eastAsia" w:ascii="宋体" w:hAnsi="宋体"/>
          <w:b w:val="0"/>
          <w:sz w:val="22"/>
          <w:szCs w:val="22"/>
          <w:highlight w:val="none"/>
          <w:lang w:val="en-US" w:eastAsia="zh-CN"/>
        </w:rPr>
        <w:t>赔付方式：承保对象发生户内漏水事项后，按对应水价先向水务公司支付水费，再凭水费发票和水务公司出具的户内漏水确认单向投保保险公司索赔。</w:t>
      </w:r>
    </w:p>
    <w:p w14:paraId="57B3F6A7">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rPr>
        <w:t>4、</w:t>
      </w:r>
      <w:r>
        <w:rPr>
          <w:rFonts w:hint="eastAsia" w:ascii="宋体" w:hAnsi="宋体"/>
          <w:b w:val="0"/>
          <w:sz w:val="22"/>
          <w:szCs w:val="22"/>
          <w:highlight w:val="none"/>
          <w:lang w:val="en-US" w:eastAsia="zh-CN"/>
        </w:rPr>
        <w:t>赔付金额：用水客户索赔的赔付标的是因户内漏水计量的水量按居民阶梯水价的计价金额与计量水量按居民非阶梯水价计价金额的差额，每次事故绝对免赔50元人民币。企业客户因厂内漏水产生的全部污水费用免赔为50元。</w:t>
      </w:r>
    </w:p>
    <w:p w14:paraId="7F151E16">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eastAsia="zh-CN"/>
        </w:rPr>
        <w:t>残疾军人、“三属”（指烈士遗属、因公牺牲军人遗属、病故军人遗属）、复员军人（指1954年10月31日之前入伍，后经批准从部队复员的人员）、带病回乡退伍军人、年龄在70周岁以上的老人、符合低保户要求的低保户，以上人群提供证明不受索赔起点限制。</w:t>
      </w:r>
    </w:p>
    <w:p w14:paraId="0422E8AC">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eastAsia="zh-CN"/>
        </w:rPr>
        <w:t>5、赔付期限：投保合同签订之日起壹年，以水费销账日为依据是否在赔付期内。</w:t>
      </w:r>
    </w:p>
    <w:p w14:paraId="746A9709">
      <w:pPr>
        <w:snapToGrid w:val="0"/>
        <w:spacing w:line="460" w:lineRule="exact"/>
        <w:ind w:firstLine="541" w:firstLineChars="246"/>
        <w:rPr>
          <w:rFonts w:hint="eastAsia" w:ascii="宋体" w:hAnsi="宋体"/>
          <w:b w:val="0"/>
          <w:sz w:val="22"/>
          <w:szCs w:val="22"/>
          <w:highlight w:val="none"/>
          <w:lang w:val="en-US"/>
        </w:rPr>
      </w:pPr>
      <w:r>
        <w:rPr>
          <w:rFonts w:hint="eastAsia" w:ascii="宋体" w:hAnsi="宋体"/>
          <w:b w:val="0"/>
          <w:sz w:val="22"/>
          <w:szCs w:val="22"/>
          <w:highlight w:val="none"/>
          <w:lang w:val="en-US" w:eastAsia="zh-CN"/>
        </w:rPr>
        <w:t>6、赔偿限额：保期内赔付限额为合同金额的110%，</w:t>
      </w:r>
      <w:r>
        <w:rPr>
          <w:rFonts w:hint="eastAsia" w:ascii="宋体" w:hAnsi="宋体" w:cs="宋体"/>
          <w:b w:val="0"/>
          <w:sz w:val="22"/>
          <w:szCs w:val="22"/>
          <w:highlight w:val="none"/>
        </w:rPr>
        <w:t>当合同金额的110%低于60万元时赔偿限额为60万元。</w:t>
      </w:r>
    </w:p>
    <w:p w14:paraId="3F8C884D">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7、投标供应商不定期组织开展保险相关教育，使相关人员充分了解保险重要性。</w:t>
      </w:r>
    </w:p>
    <w:p w14:paraId="20BB207B">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8、团队设置：成立针对本次项目的专门团队负责本项目的保险服务。</w:t>
      </w:r>
    </w:p>
    <w:p w14:paraId="06FAC4D8">
      <w:pPr>
        <w:snapToGrid w:val="0"/>
        <w:spacing w:line="460" w:lineRule="exact"/>
        <w:ind w:firstLine="541" w:firstLineChars="246"/>
        <w:rPr>
          <w:rFonts w:hint="eastAsia" w:ascii="宋体" w:hAnsi="宋体"/>
          <w:b w:val="0"/>
          <w:sz w:val="22"/>
          <w:szCs w:val="22"/>
          <w:highlight w:val="none"/>
          <w:lang w:val="en-US"/>
        </w:rPr>
      </w:pPr>
      <w:r>
        <w:rPr>
          <w:rFonts w:hint="eastAsia" w:ascii="宋体" w:hAnsi="宋体"/>
          <w:b w:val="0"/>
          <w:sz w:val="22"/>
          <w:szCs w:val="22"/>
          <w:highlight w:val="none"/>
          <w:lang w:val="en-US" w:eastAsia="zh-CN"/>
        </w:rPr>
        <w:t>9、勘查时效：设立365天无休日，24小时报案、咨询受理电话服务。</w:t>
      </w:r>
    </w:p>
    <w:p w14:paraId="1FD33E6D">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rPr>
        <w:t>10</w:t>
      </w:r>
      <w:r>
        <w:rPr>
          <w:rFonts w:hint="eastAsia" w:ascii="宋体" w:hAnsi="宋体"/>
          <w:b w:val="0"/>
          <w:sz w:val="22"/>
          <w:szCs w:val="22"/>
          <w:highlight w:val="none"/>
          <w:lang w:val="en-US" w:eastAsia="zh-CN"/>
        </w:rPr>
        <w:t>、保险人义务</w:t>
      </w:r>
    </w:p>
    <w:p w14:paraId="2B06F26A">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1）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79FCB995">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（2）本保险合同成立后，保险人应当及时向投保人签发保险单或其他保险凭证。</w:t>
      </w:r>
    </w:p>
    <w:p w14:paraId="4B5BFFCD">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（3）保险人认为被保险人提供的有关索赔的证明和资料不完整的，应当及时一次性通知投保人、被保险人补充提供。</w:t>
      </w:r>
    </w:p>
    <w:p w14:paraId="114E86BD">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rPr>
        <w:t>（4）</w:t>
      </w:r>
      <w:r>
        <w:rPr>
          <w:rFonts w:hint="eastAsia" w:ascii="宋体" w:hAnsi="宋体"/>
          <w:b w:val="0"/>
          <w:sz w:val="22"/>
          <w:szCs w:val="22"/>
          <w:highlight w:val="none"/>
          <w:lang w:val="en-US" w:eastAsia="zh-CN"/>
        </w:rPr>
        <w:t>在索赔单证齐全的情况下3个工作日内赔付。</w:t>
      </w:r>
    </w:p>
    <w:p w14:paraId="37EE033E">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w:t>
      </w:r>
      <w:r>
        <w:rPr>
          <w:rFonts w:hint="eastAsia" w:ascii="宋体" w:hAnsi="宋体"/>
          <w:b w:val="0"/>
          <w:sz w:val="22"/>
          <w:szCs w:val="22"/>
          <w:highlight w:val="none"/>
          <w:lang w:val="en-US"/>
        </w:rPr>
        <w:t>5</w:t>
      </w:r>
      <w:r>
        <w:rPr>
          <w:rFonts w:hint="eastAsia" w:ascii="宋体" w:hAnsi="宋体"/>
          <w:b w:val="0"/>
          <w:sz w:val="22"/>
          <w:szCs w:val="22"/>
          <w:highlight w:val="none"/>
          <w:lang w:val="en-US" w:eastAsia="zh-CN"/>
        </w:rPr>
        <w:t>）</w:t>
      </w:r>
      <w:r>
        <w:rPr>
          <w:rFonts w:ascii="宋体" w:hAnsi="宋体"/>
          <w:b w:val="0"/>
          <w:sz w:val="22"/>
          <w:szCs w:val="22"/>
          <w:highlight w:val="none"/>
          <w:lang w:val="en-US" w:eastAsia="zh-CN"/>
        </w:rPr>
        <w:t>其他适用于本险种的</w:t>
      </w:r>
      <w:r>
        <w:rPr>
          <w:rFonts w:hint="eastAsia" w:ascii="宋体" w:hAnsi="宋体"/>
          <w:b w:val="0"/>
          <w:sz w:val="22"/>
          <w:szCs w:val="22"/>
          <w:highlight w:val="none"/>
          <w:lang w:val="en-US" w:eastAsia="zh-CN"/>
        </w:rPr>
        <w:t>保险人义务</w:t>
      </w:r>
      <w:r>
        <w:rPr>
          <w:rFonts w:ascii="宋体" w:hAnsi="宋体"/>
          <w:b w:val="0"/>
          <w:sz w:val="22"/>
          <w:szCs w:val="22"/>
          <w:highlight w:val="none"/>
          <w:lang w:val="en-US" w:eastAsia="zh-CN"/>
        </w:rPr>
        <w:t>。（如有）</w:t>
      </w:r>
    </w:p>
    <w:p w14:paraId="24E85823">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rPr>
        <w:t>11</w:t>
      </w:r>
      <w:r>
        <w:rPr>
          <w:rFonts w:hint="eastAsia" w:ascii="宋体" w:hAnsi="宋体"/>
          <w:b w:val="0"/>
          <w:sz w:val="22"/>
          <w:szCs w:val="22"/>
          <w:highlight w:val="none"/>
          <w:lang w:val="en-US" w:eastAsia="zh-CN"/>
        </w:rPr>
        <w:t>、争议处理和法律适用</w:t>
      </w:r>
    </w:p>
    <w:p w14:paraId="643F7C29">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（1）因履行本项目保险合同发生的争议，由当事人协商解决。协商不成的，提交保险单载明的仲裁机构仲裁；保险单未载明仲裁机构且争议发生后未达成仲裁协议的，依法向人民法院起诉。</w:t>
      </w:r>
    </w:p>
    <w:p w14:paraId="5292917B">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（2）与本项目保险合同有关的以及履行本项目保险合同产生的一切争议，适用中华人民共和国法律（不包括港澳台地区法律）。</w:t>
      </w:r>
    </w:p>
    <w:p w14:paraId="6C954F13">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（3）</w:t>
      </w:r>
      <w:r>
        <w:rPr>
          <w:rFonts w:ascii="宋体" w:hAnsi="宋体"/>
          <w:b w:val="0"/>
          <w:sz w:val="22"/>
          <w:szCs w:val="22"/>
          <w:highlight w:val="none"/>
          <w:lang w:val="en-US" w:eastAsia="zh-CN"/>
        </w:rPr>
        <w:t>适用条款：经中国保监会审核并备案的相关最新条款以及本招标文件约定</w:t>
      </w:r>
      <w:r>
        <w:rPr>
          <w:rFonts w:hint="eastAsia" w:ascii="宋体" w:hAnsi="宋体"/>
          <w:b w:val="0"/>
          <w:sz w:val="22"/>
          <w:szCs w:val="22"/>
          <w:highlight w:val="none"/>
          <w:lang w:val="en-US" w:eastAsia="zh-CN"/>
        </w:rPr>
        <w:t>的基本保险条款、扩展条款和特别约定</w:t>
      </w:r>
      <w:r>
        <w:rPr>
          <w:rFonts w:ascii="宋体" w:hAnsi="宋体"/>
          <w:b w:val="0"/>
          <w:sz w:val="22"/>
          <w:szCs w:val="22"/>
          <w:highlight w:val="none"/>
          <w:lang w:val="en-US" w:eastAsia="zh-CN"/>
        </w:rPr>
        <w:t>。</w:t>
      </w:r>
    </w:p>
    <w:p w14:paraId="65506CB4">
      <w:pPr>
        <w:snapToGrid w:val="0"/>
        <w:spacing w:line="460" w:lineRule="exact"/>
        <w:ind w:firstLine="541" w:firstLineChars="246"/>
        <w:rPr>
          <w:rFonts w:ascii="宋体" w:hAnsi="宋体"/>
          <w:b w:val="0"/>
          <w:sz w:val="22"/>
          <w:szCs w:val="22"/>
          <w:highlight w:val="none"/>
          <w:lang w:val="en-US"/>
        </w:rPr>
      </w:pPr>
      <w:r>
        <w:rPr>
          <w:rFonts w:hint="eastAsia" w:ascii="宋体" w:hAnsi="宋体"/>
          <w:b w:val="0"/>
          <w:sz w:val="22"/>
          <w:szCs w:val="22"/>
          <w:highlight w:val="none"/>
          <w:lang w:val="en-US" w:eastAsia="zh-CN"/>
        </w:rPr>
        <w:t>（4）</w:t>
      </w:r>
      <w:r>
        <w:rPr>
          <w:rFonts w:ascii="宋体" w:hAnsi="宋体"/>
          <w:b w:val="0"/>
          <w:sz w:val="22"/>
          <w:szCs w:val="22"/>
          <w:highlight w:val="none"/>
          <w:lang w:val="en-US" w:eastAsia="zh-CN"/>
        </w:rPr>
        <w:t>其他适用于本险种的法律、法规、条款和争议处理等。（如有）</w:t>
      </w:r>
    </w:p>
    <w:p w14:paraId="65006694">
      <w:pPr>
        <w:snapToGrid w:val="0"/>
        <w:spacing w:line="460" w:lineRule="exact"/>
        <w:ind w:firstLine="543" w:firstLineChars="246"/>
        <w:rPr>
          <w:rFonts w:hint="eastAsia" w:ascii="宋体" w:hAnsi="宋体"/>
          <w:sz w:val="22"/>
          <w:szCs w:val="22"/>
          <w:highlight w:val="none"/>
          <w:lang w:val="en-US"/>
        </w:rPr>
      </w:pPr>
      <w:r>
        <w:rPr>
          <w:rFonts w:hint="eastAsia" w:ascii="宋体" w:hAnsi="宋体"/>
          <w:sz w:val="22"/>
          <w:szCs w:val="22"/>
          <w:highlight w:val="none"/>
          <w:lang w:val="en-US"/>
        </w:rPr>
        <w:t>12、</w:t>
      </w:r>
      <w:bookmarkStart w:id="9" w:name="_Hlk176423357"/>
      <w:r>
        <w:rPr>
          <w:rFonts w:hint="eastAsia" w:ascii="宋体" w:hAnsi="宋体"/>
          <w:sz w:val="22"/>
          <w:szCs w:val="22"/>
          <w:highlight w:val="none"/>
          <w:lang w:val="en-US"/>
        </w:rPr>
        <w:t>当一个合同期内的年度赔付率（赔付率=（已决赔款+未决赔款）/实收保费）在80%（不含）以下，第二年度保费按上年度保费的9折支付；在80%-100%（不含）第二年度保费不做调整，当年度赔付率超100%（含），第二年度续签合同的保费在上年基础上增加10%。</w:t>
      </w:r>
      <w:bookmarkEnd w:id="9"/>
    </w:p>
    <w:p w14:paraId="76746B86">
      <w:pPr>
        <w:pStyle w:val="29"/>
        <w:adjustRightInd w:val="0"/>
        <w:spacing w:line="430" w:lineRule="atLeast"/>
        <w:ind w:left="422"/>
        <w:rPr>
          <w:rFonts w:ascii="宋体" w:hAnsi="宋体"/>
          <w:color w:val="auto"/>
          <w:sz w:val="22"/>
          <w:szCs w:val="22"/>
          <w:highlight w:val="none"/>
          <w:lang w:val="en-US" w:eastAsia="zh-CN"/>
        </w:rPr>
      </w:pPr>
      <w:r>
        <w:rPr>
          <w:rFonts w:hint="eastAsia" w:ascii="宋体" w:hAnsi="宋体"/>
          <w:color w:val="auto"/>
          <w:sz w:val="22"/>
          <w:szCs w:val="22"/>
          <w:highlight w:val="none"/>
          <w:lang w:val="en-US" w:eastAsia="zh-CN"/>
        </w:rPr>
        <w:t>三、商务条款</w:t>
      </w:r>
    </w:p>
    <w:p w14:paraId="20E3BB76">
      <w:pPr>
        <w:spacing w:line="360" w:lineRule="auto"/>
        <w:ind w:firstLine="422" w:firstLineChars="200"/>
        <w:rPr>
          <w:rFonts w:hint="eastAsia" w:ascii="宋体" w:hAnsi="宋体" w:cs="宋体"/>
          <w:bCs w:val="0"/>
          <w:sz w:val="22"/>
          <w:szCs w:val="22"/>
          <w:highlight w:val="none"/>
          <w:u w:val="single"/>
        </w:rPr>
      </w:pPr>
      <w:r>
        <w:rPr>
          <w:rFonts w:hint="eastAsia"/>
          <w:highlight w:val="none"/>
          <w:lang w:val="en-US"/>
        </w:rPr>
        <w:t>1、履约保证金：</w:t>
      </w:r>
      <w:bookmarkStart w:id="10" w:name="_Hlk176423404"/>
      <w:r>
        <w:rPr>
          <w:rFonts w:hint="eastAsia" w:ascii="宋体" w:hAnsi="宋体" w:cs="宋体"/>
          <w:bCs w:val="0"/>
          <w:sz w:val="22"/>
          <w:szCs w:val="22"/>
          <w:highlight w:val="none"/>
          <w:u w:val="single"/>
        </w:rPr>
        <w:t>▲签订合同后5个工作日内，中标供应商须以银行转账或银行保函或保险保函的方式向采购人提交人民币叁万元（小写：￥30000.00元整）作为履约保证金。履约保证金在服务期终止后，扣除违约金(如果有)后一次性退还中标供应商。</w:t>
      </w:r>
      <w:r>
        <w:rPr>
          <w:rFonts w:hint="eastAsia" w:ascii="宋体" w:hAnsi="宋体" w:cs="宋体"/>
          <w:bCs w:val="0"/>
          <w:sz w:val="22"/>
          <w:szCs w:val="22"/>
          <w:highlight w:val="none"/>
        </w:rPr>
        <w:t>如续签合同的，则在续签合同服务期结束后退还。</w:t>
      </w:r>
      <w:bookmarkEnd w:id="10"/>
    </w:p>
    <w:p w14:paraId="7595FF72">
      <w:pPr>
        <w:spacing w:line="360" w:lineRule="auto"/>
        <w:ind w:firstLine="442" w:firstLineChars="200"/>
        <w:rPr>
          <w:rFonts w:hint="eastAsia" w:ascii="宋体" w:hAnsi="宋体" w:cs="宋体"/>
          <w:bCs w:val="0"/>
          <w:sz w:val="22"/>
          <w:szCs w:val="22"/>
          <w:highlight w:val="none"/>
        </w:rPr>
      </w:pPr>
      <w:r>
        <w:rPr>
          <w:rFonts w:hint="eastAsia" w:ascii="宋体" w:hAnsi="宋体"/>
          <w:sz w:val="22"/>
          <w:szCs w:val="22"/>
          <w:highlight w:val="none"/>
          <w:lang w:val="en-US"/>
        </w:rPr>
        <w:t>2</w:t>
      </w:r>
      <w:r>
        <w:rPr>
          <w:rFonts w:hint="eastAsia" w:ascii="宋体" w:hAnsi="宋体"/>
          <w:sz w:val="22"/>
          <w:szCs w:val="22"/>
          <w:highlight w:val="none"/>
          <w:lang w:val="en-US" w:eastAsia="zh-CN"/>
        </w:rPr>
        <w:t>、</w:t>
      </w:r>
      <w:bookmarkStart w:id="11" w:name="_Hlk176423418"/>
      <w:r>
        <w:rPr>
          <w:rFonts w:hint="eastAsia" w:ascii="宋体" w:hAnsi="宋体"/>
          <w:sz w:val="22"/>
          <w:szCs w:val="22"/>
          <w:highlight w:val="none"/>
          <w:lang w:val="en-US" w:eastAsia="zh-CN"/>
        </w:rPr>
        <w:t>保费付款方式</w:t>
      </w:r>
      <w:bookmarkEnd w:id="11"/>
      <w:r>
        <w:rPr>
          <w:rFonts w:hint="eastAsia" w:ascii="宋体" w:hAnsi="宋体"/>
          <w:sz w:val="22"/>
          <w:szCs w:val="22"/>
          <w:highlight w:val="none"/>
          <w:lang w:val="en-US" w:eastAsia="zh-CN"/>
        </w:rPr>
        <w:t>：</w:t>
      </w:r>
      <w:bookmarkStart w:id="12" w:name="_Hlk176423443"/>
      <w:r>
        <w:rPr>
          <w:rFonts w:hint="eastAsia" w:ascii="宋体" w:hAnsi="宋体" w:cs="宋体"/>
          <w:bCs w:val="0"/>
          <w:sz w:val="22"/>
          <w:szCs w:val="22"/>
          <w:highlight w:val="none"/>
        </w:rPr>
        <w:t>合同签订后，采购人在收到中标供应商履约保证金和缴费通知书之后，采购人向中标供应商支付合同全款。</w:t>
      </w:r>
    </w:p>
    <w:p w14:paraId="3C84545C">
      <w:pPr>
        <w:spacing w:line="360" w:lineRule="auto"/>
        <w:ind w:firstLine="442" w:firstLineChars="200"/>
        <w:rPr>
          <w:rFonts w:ascii="宋体" w:hAnsi="宋体" w:cs="宋体"/>
          <w:bCs w:val="0"/>
          <w:sz w:val="22"/>
          <w:szCs w:val="22"/>
          <w:highlight w:val="none"/>
          <w:lang w:val="zh-CN"/>
        </w:rPr>
      </w:pPr>
      <w:r>
        <w:rPr>
          <w:rFonts w:hint="eastAsia" w:ascii="宋体" w:hAnsi="宋体" w:cs="宋体"/>
          <w:bCs w:val="0"/>
          <w:sz w:val="22"/>
          <w:szCs w:val="22"/>
          <w:highlight w:val="none"/>
        </w:rPr>
        <w:t>采购人</w:t>
      </w:r>
      <w:r>
        <w:rPr>
          <w:rFonts w:hint="eastAsia" w:ascii="宋体" w:hAnsi="宋体" w:cs="宋体"/>
          <w:bCs w:val="0"/>
          <w:sz w:val="22"/>
          <w:szCs w:val="22"/>
          <w:highlight w:val="none"/>
          <w:lang w:val="zh-CN"/>
        </w:rPr>
        <w:t>对于满足合同约定支付条件的，自收到相应金额的发票后</w:t>
      </w:r>
      <w:r>
        <w:rPr>
          <w:rFonts w:hint="eastAsia" w:ascii="宋体" w:hAnsi="宋体" w:cs="宋体"/>
          <w:bCs w:val="0"/>
          <w:sz w:val="22"/>
          <w:szCs w:val="22"/>
          <w:highlight w:val="none"/>
        </w:rPr>
        <w:t>15</w:t>
      </w:r>
      <w:r>
        <w:rPr>
          <w:rFonts w:hint="eastAsia" w:ascii="宋体" w:hAnsi="宋体" w:cs="宋体"/>
          <w:bCs w:val="0"/>
          <w:sz w:val="22"/>
          <w:szCs w:val="22"/>
          <w:highlight w:val="none"/>
          <w:lang w:val="zh-CN"/>
        </w:rPr>
        <w:t>个工作日内将资金支付到合同约定的</w:t>
      </w:r>
      <w:r>
        <w:rPr>
          <w:rFonts w:hint="eastAsia" w:ascii="宋体" w:hAnsi="宋体" w:cs="宋体"/>
          <w:bCs w:val="0"/>
          <w:sz w:val="22"/>
          <w:szCs w:val="22"/>
          <w:highlight w:val="none"/>
        </w:rPr>
        <w:t>中标供应商</w:t>
      </w:r>
      <w:r>
        <w:rPr>
          <w:rFonts w:hint="eastAsia" w:ascii="宋体" w:hAnsi="宋体" w:cs="宋体"/>
          <w:bCs w:val="0"/>
          <w:sz w:val="22"/>
          <w:szCs w:val="22"/>
          <w:highlight w:val="none"/>
          <w:lang w:val="zh-CN"/>
        </w:rPr>
        <w:t>账户。</w:t>
      </w:r>
    </w:p>
    <w:bookmarkEnd w:id="12"/>
    <w:p w14:paraId="5AAFA11C">
      <w:pPr>
        <w:spacing w:line="360" w:lineRule="auto"/>
        <w:ind w:firstLine="410" w:firstLineChars="200"/>
        <w:rPr>
          <w:rFonts w:hint="eastAsia" w:ascii="宋体" w:hAnsi="宋体" w:cs="宋体"/>
          <w:sz w:val="22"/>
          <w:szCs w:val="22"/>
          <w:highlight w:val="none"/>
        </w:rPr>
      </w:pPr>
      <w:r>
        <w:rPr>
          <w:rFonts w:hint="eastAsia" w:ascii="宋体" w:hAnsi="宋体" w:cs="宋体"/>
          <w:bCs w:val="0"/>
          <w:spacing w:val="-8"/>
          <w:sz w:val="22"/>
          <w:szCs w:val="22"/>
          <w:highlight w:val="none"/>
        </w:rPr>
        <w:t>3、服务期：</w:t>
      </w:r>
      <w:bookmarkStart w:id="13" w:name="_Hlk176423470"/>
      <w:r>
        <w:rPr>
          <w:rFonts w:hint="eastAsia" w:ascii="宋体" w:hAnsi="宋体" w:cs="宋体"/>
          <w:sz w:val="22"/>
          <w:szCs w:val="22"/>
          <w:highlight w:val="none"/>
        </w:rPr>
        <w:t>项目服务期一年，采用1+1+1模式，合同到期后（也可视情况提前1-2月），由采购人对中标供应商进行履约验收（验收内容详见附表1），验收合格后（</w:t>
      </w:r>
      <w:r>
        <w:rPr>
          <w:rFonts w:hint="eastAsia" w:ascii="宋体" w:hAnsi="宋体" w:cs="宋体"/>
          <w:bCs w:val="0"/>
          <w:sz w:val="22"/>
          <w:szCs w:val="22"/>
          <w:highlight w:val="none"/>
        </w:rPr>
        <w:t>年度平均分达到80分为合格</w:t>
      </w:r>
      <w:r>
        <w:rPr>
          <w:rFonts w:hint="eastAsia" w:ascii="宋体" w:hAnsi="宋体" w:cs="宋体"/>
          <w:sz w:val="22"/>
          <w:szCs w:val="22"/>
          <w:highlight w:val="none"/>
        </w:rPr>
        <w:t>），经采购人与中标供应商双方同意可以续签，最多续签两次，续签合同的服务内容、要求和单价或单价计算规则不变。即使具备续签条件，采购人仍有权不续签。</w:t>
      </w:r>
      <w:bookmarkEnd w:id="13"/>
    </w:p>
    <w:p w14:paraId="58F52C2A">
      <w:pPr>
        <w:spacing w:line="360" w:lineRule="auto"/>
        <w:textAlignment w:val="center"/>
        <w:rPr>
          <w:rFonts w:hint="eastAsia" w:ascii="宋体" w:hAnsi="宋体" w:cs="宋体"/>
          <w:b w:val="0"/>
          <w:bCs w:val="0"/>
          <w:sz w:val="22"/>
          <w:szCs w:val="22"/>
          <w:highlight w:val="none"/>
        </w:rPr>
      </w:pPr>
      <w:r>
        <w:rPr>
          <w:rFonts w:hint="eastAsia" w:ascii="宋体" w:hAnsi="宋体" w:cs="宋体"/>
          <w:b w:val="0"/>
          <w:bCs w:val="0"/>
          <w:sz w:val="22"/>
          <w:szCs w:val="22"/>
          <w:highlight w:val="none"/>
        </w:rPr>
        <w:t>附表1：验收内容</w:t>
      </w:r>
    </w:p>
    <w:p w14:paraId="24EB8BF6">
      <w:pPr>
        <w:spacing w:line="40" w:lineRule="exact"/>
        <w:jc w:val="center"/>
        <w:rPr>
          <w:rFonts w:hint="eastAsia" w:ascii="宋体" w:hAnsi="宋体" w:cs="宋体"/>
          <w:b w:val="0"/>
          <w:sz w:val="22"/>
          <w:szCs w:val="22"/>
          <w:highlight w:val="none"/>
        </w:rPr>
      </w:pPr>
    </w:p>
    <w:p w14:paraId="3A8ED36F">
      <w:pPr>
        <w:spacing w:line="360" w:lineRule="auto"/>
        <w:jc w:val="center"/>
        <w:rPr>
          <w:rFonts w:hint="eastAsia" w:ascii="宋体" w:hAnsi="宋体" w:cs="宋体"/>
          <w:b w:val="0"/>
          <w:sz w:val="24"/>
          <w:highlight w:val="none"/>
        </w:rPr>
      </w:pPr>
      <w:r>
        <w:rPr>
          <w:rFonts w:hint="eastAsia" w:ascii="宋体" w:hAnsi="宋体" w:cs="宋体"/>
          <w:b w:val="0"/>
          <w:sz w:val="24"/>
          <w:highlight w:val="none"/>
        </w:rPr>
        <w:t>项目评价表（打分形式）</w:t>
      </w:r>
    </w:p>
    <w:tbl>
      <w:tblPr>
        <w:tblStyle w:val="35"/>
        <w:tblW w:w="88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572"/>
        <w:gridCol w:w="6693"/>
        <w:gridCol w:w="738"/>
      </w:tblGrid>
      <w:tr w14:paraId="50EA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0" w:type="dxa"/>
            <w:gridSpan w:val="4"/>
            <w:vAlign w:val="center"/>
          </w:tcPr>
          <w:p w14:paraId="4D3D67A1">
            <w:pPr>
              <w:jc w:val="center"/>
              <w:rPr>
                <w:rFonts w:hint="eastAsia" w:ascii="宋体" w:hAnsi="宋体" w:cs="宋体"/>
                <w:b w:val="0"/>
                <w:sz w:val="22"/>
                <w:szCs w:val="22"/>
                <w:highlight w:val="none"/>
              </w:rPr>
            </w:pPr>
            <w:r>
              <w:rPr>
                <w:rFonts w:hint="eastAsia" w:ascii="宋体" w:hAnsi="宋体" w:cs="宋体"/>
                <w:b w:val="0"/>
                <w:sz w:val="22"/>
                <w:szCs w:val="22"/>
                <w:highlight w:val="none"/>
              </w:rPr>
              <w:t>龙港用水客户户内漏水保险服务</w:t>
            </w:r>
          </w:p>
        </w:tc>
      </w:tr>
      <w:tr w14:paraId="1E80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25721D87">
            <w:pPr>
              <w:jc w:val="center"/>
              <w:rPr>
                <w:rFonts w:hint="eastAsia" w:ascii="宋体" w:hAnsi="宋体" w:cs="宋体"/>
                <w:b w:val="0"/>
                <w:sz w:val="22"/>
                <w:szCs w:val="22"/>
                <w:highlight w:val="none"/>
              </w:rPr>
            </w:pPr>
            <w:r>
              <w:rPr>
                <w:rFonts w:hint="eastAsia" w:ascii="宋体" w:hAnsi="宋体" w:cs="宋体"/>
                <w:b w:val="0"/>
                <w:sz w:val="22"/>
                <w:szCs w:val="22"/>
                <w:highlight w:val="none"/>
              </w:rPr>
              <w:t>评价阶段</w:t>
            </w:r>
          </w:p>
        </w:tc>
        <w:tc>
          <w:tcPr>
            <w:tcW w:w="8003" w:type="dxa"/>
            <w:gridSpan w:val="3"/>
            <w:vAlign w:val="center"/>
          </w:tcPr>
          <w:p w14:paraId="3C248A82">
            <w:pPr>
              <w:jc w:val="center"/>
              <w:rPr>
                <w:rFonts w:hint="eastAsia" w:ascii="宋体" w:hAnsi="宋体" w:cs="宋体"/>
                <w:b w:val="0"/>
                <w:sz w:val="22"/>
                <w:szCs w:val="22"/>
                <w:highlight w:val="none"/>
              </w:rPr>
            </w:pPr>
            <w:r>
              <w:rPr>
                <w:rFonts w:hint="eastAsia" w:ascii="宋体" w:hAnsi="宋体" w:cs="宋体"/>
                <w:b w:val="0"/>
                <w:sz w:val="22"/>
                <w:szCs w:val="22"/>
                <w:highlight w:val="none"/>
              </w:rPr>
              <w:t>季度（XXXX/XX/1-XXXX/XX/31）</w:t>
            </w:r>
          </w:p>
        </w:tc>
      </w:tr>
      <w:tr w14:paraId="22FE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0B53CEB5">
            <w:pPr>
              <w:jc w:val="center"/>
              <w:rPr>
                <w:rFonts w:hint="eastAsia" w:ascii="宋体" w:hAnsi="宋体" w:cs="宋体"/>
                <w:b w:val="0"/>
                <w:sz w:val="22"/>
                <w:szCs w:val="22"/>
                <w:highlight w:val="none"/>
              </w:rPr>
            </w:pPr>
            <w:r>
              <w:rPr>
                <w:rFonts w:hint="eastAsia" w:ascii="宋体" w:hAnsi="宋体" w:cs="宋体"/>
                <w:b w:val="0"/>
                <w:sz w:val="22"/>
                <w:szCs w:val="22"/>
                <w:highlight w:val="none"/>
              </w:rPr>
              <w:t>服务内容</w:t>
            </w:r>
          </w:p>
        </w:tc>
        <w:tc>
          <w:tcPr>
            <w:tcW w:w="8003" w:type="dxa"/>
            <w:gridSpan w:val="3"/>
            <w:vAlign w:val="center"/>
          </w:tcPr>
          <w:p w14:paraId="49A4C816">
            <w:pPr>
              <w:jc w:val="center"/>
              <w:rPr>
                <w:rFonts w:hint="eastAsia" w:ascii="宋体" w:hAnsi="宋体" w:cs="宋体"/>
                <w:b w:val="0"/>
                <w:sz w:val="22"/>
                <w:szCs w:val="22"/>
                <w:highlight w:val="none"/>
              </w:rPr>
            </w:pPr>
          </w:p>
        </w:tc>
      </w:tr>
      <w:tr w14:paraId="2B25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0" w:type="dxa"/>
            <w:gridSpan w:val="4"/>
            <w:vAlign w:val="center"/>
          </w:tcPr>
          <w:p w14:paraId="040C9514">
            <w:pPr>
              <w:jc w:val="center"/>
              <w:rPr>
                <w:rFonts w:hint="eastAsia" w:ascii="宋体" w:hAnsi="宋体" w:cs="宋体"/>
                <w:b w:val="0"/>
                <w:sz w:val="22"/>
                <w:szCs w:val="22"/>
                <w:highlight w:val="none"/>
              </w:rPr>
            </w:pPr>
            <w:r>
              <w:rPr>
                <w:rFonts w:hint="eastAsia" w:ascii="宋体" w:hAnsi="宋体" w:cs="宋体"/>
                <w:b w:val="0"/>
                <w:sz w:val="22"/>
                <w:szCs w:val="22"/>
                <w:highlight w:val="none"/>
              </w:rPr>
              <w:t>评价情况</w:t>
            </w:r>
          </w:p>
        </w:tc>
      </w:tr>
      <w:tr w14:paraId="48CE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073E9B1F">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序号</w:t>
            </w:r>
          </w:p>
        </w:tc>
        <w:tc>
          <w:tcPr>
            <w:tcW w:w="0" w:type="auto"/>
            <w:vAlign w:val="center"/>
          </w:tcPr>
          <w:p w14:paraId="07329FD8">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分值</w:t>
            </w:r>
          </w:p>
        </w:tc>
        <w:tc>
          <w:tcPr>
            <w:tcW w:w="0" w:type="auto"/>
            <w:vAlign w:val="center"/>
          </w:tcPr>
          <w:p w14:paraId="39B64C11">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评分内容</w:t>
            </w:r>
          </w:p>
        </w:tc>
        <w:tc>
          <w:tcPr>
            <w:tcW w:w="738" w:type="dxa"/>
            <w:vAlign w:val="center"/>
          </w:tcPr>
          <w:p w14:paraId="63A9735D">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得分</w:t>
            </w:r>
          </w:p>
        </w:tc>
      </w:tr>
      <w:tr w14:paraId="5E28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1CB7A1AF">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1</w:t>
            </w:r>
          </w:p>
        </w:tc>
        <w:tc>
          <w:tcPr>
            <w:tcW w:w="0" w:type="auto"/>
            <w:vAlign w:val="center"/>
          </w:tcPr>
          <w:p w14:paraId="786D8A5A">
            <w:pPr>
              <w:spacing w:line="360" w:lineRule="auto"/>
              <w:jc w:val="center"/>
              <w:rPr>
                <w:rFonts w:hint="eastAsia" w:ascii="宋体" w:hAnsi="宋体" w:eastAsia="等线" w:cs="宋体"/>
                <w:b w:val="0"/>
                <w:sz w:val="22"/>
                <w:szCs w:val="22"/>
                <w:highlight w:val="none"/>
              </w:rPr>
            </w:pPr>
            <w:r>
              <w:rPr>
                <w:rFonts w:hint="eastAsia" w:ascii="宋体" w:hAnsi="宋体" w:eastAsia="等线" w:cs="宋体"/>
                <w:b w:val="0"/>
                <w:sz w:val="22"/>
                <w:szCs w:val="22"/>
                <w:highlight w:val="none"/>
              </w:rPr>
              <w:t>20</w:t>
            </w:r>
          </w:p>
        </w:tc>
        <w:tc>
          <w:tcPr>
            <w:tcW w:w="0" w:type="auto"/>
            <w:vAlign w:val="center"/>
          </w:tcPr>
          <w:p w14:paraId="78F8EB88">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赔付时效：</w:t>
            </w:r>
            <w:r>
              <w:rPr>
                <w:rFonts w:hint="eastAsia" w:ascii="宋体" w:hAnsi="宋体" w:cs="宋体"/>
                <w:b w:val="0"/>
                <w:sz w:val="22"/>
                <w:szCs w:val="22"/>
                <w:highlight w:val="none"/>
                <w:lang w:val="zh-CN"/>
              </w:rPr>
              <w:t>在索赔单证齐全的情况下</w:t>
            </w:r>
            <w:r>
              <w:rPr>
                <w:rFonts w:hint="eastAsia" w:ascii="宋体" w:hAnsi="宋体" w:cs="宋体"/>
                <w:b w:val="0"/>
                <w:sz w:val="22"/>
                <w:szCs w:val="22"/>
                <w:highlight w:val="none"/>
                <w:lang w:val="en-US" w:eastAsia="zh-CN"/>
              </w:rPr>
              <w:t>5</w:t>
            </w:r>
            <w:r>
              <w:rPr>
                <w:rFonts w:hint="eastAsia" w:ascii="宋体" w:hAnsi="宋体" w:cs="宋体"/>
                <w:b w:val="0"/>
                <w:sz w:val="22"/>
                <w:szCs w:val="22"/>
                <w:highlight w:val="none"/>
                <w:lang w:val="zh-CN"/>
              </w:rPr>
              <w:t>个工作日内赔付，</w:t>
            </w:r>
            <w:r>
              <w:rPr>
                <w:rFonts w:hint="eastAsia" w:ascii="宋体" w:hAnsi="宋体" w:cs="宋体"/>
                <w:b w:val="0"/>
                <w:sz w:val="22"/>
                <w:szCs w:val="22"/>
                <w:highlight w:val="none"/>
              </w:rPr>
              <w:t>每延迟1个工作日扣2分。</w:t>
            </w:r>
          </w:p>
        </w:tc>
        <w:tc>
          <w:tcPr>
            <w:tcW w:w="738" w:type="dxa"/>
            <w:vAlign w:val="center"/>
          </w:tcPr>
          <w:p w14:paraId="512057CC">
            <w:pPr>
              <w:spacing w:line="360" w:lineRule="auto"/>
              <w:jc w:val="center"/>
              <w:rPr>
                <w:rFonts w:hint="eastAsia" w:ascii="宋体" w:hAnsi="宋体" w:cs="宋体"/>
                <w:b w:val="0"/>
                <w:sz w:val="22"/>
                <w:szCs w:val="22"/>
                <w:highlight w:val="none"/>
              </w:rPr>
            </w:pPr>
          </w:p>
        </w:tc>
      </w:tr>
      <w:tr w14:paraId="488D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3837AB14">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2</w:t>
            </w:r>
          </w:p>
        </w:tc>
        <w:tc>
          <w:tcPr>
            <w:tcW w:w="0" w:type="auto"/>
            <w:vAlign w:val="center"/>
          </w:tcPr>
          <w:p w14:paraId="54FF4ACF">
            <w:pPr>
              <w:spacing w:line="360" w:lineRule="auto"/>
              <w:jc w:val="center"/>
              <w:rPr>
                <w:rFonts w:hint="eastAsia" w:ascii="宋体" w:hAnsi="宋体" w:eastAsia="等线" w:cs="宋体"/>
                <w:b w:val="0"/>
                <w:sz w:val="22"/>
                <w:szCs w:val="22"/>
                <w:highlight w:val="none"/>
              </w:rPr>
            </w:pPr>
            <w:r>
              <w:rPr>
                <w:rFonts w:hint="eastAsia" w:ascii="宋体" w:hAnsi="宋体" w:cs="宋体"/>
                <w:b w:val="0"/>
                <w:sz w:val="22"/>
                <w:szCs w:val="22"/>
                <w:highlight w:val="none"/>
              </w:rPr>
              <w:t>1</w:t>
            </w:r>
            <w:r>
              <w:rPr>
                <w:rFonts w:hint="eastAsia" w:ascii="宋体" w:hAnsi="宋体" w:eastAsia="等线" w:cs="宋体"/>
                <w:b w:val="0"/>
                <w:sz w:val="22"/>
                <w:szCs w:val="22"/>
                <w:highlight w:val="none"/>
              </w:rPr>
              <w:t>8</w:t>
            </w:r>
          </w:p>
        </w:tc>
        <w:tc>
          <w:tcPr>
            <w:tcW w:w="0" w:type="auto"/>
            <w:vAlign w:val="center"/>
          </w:tcPr>
          <w:p w14:paraId="4D660762">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用户投诉情况：因理赔问题、服务态度等因素导致用户投诉的，每收到一次有效投诉扣4分，扣完为止。</w:t>
            </w:r>
          </w:p>
        </w:tc>
        <w:tc>
          <w:tcPr>
            <w:tcW w:w="738" w:type="dxa"/>
            <w:vAlign w:val="center"/>
          </w:tcPr>
          <w:p w14:paraId="4A188286">
            <w:pPr>
              <w:spacing w:line="360" w:lineRule="auto"/>
              <w:jc w:val="center"/>
              <w:rPr>
                <w:rFonts w:hint="eastAsia" w:ascii="宋体" w:hAnsi="宋体" w:cs="宋体"/>
                <w:b w:val="0"/>
                <w:sz w:val="22"/>
                <w:szCs w:val="22"/>
                <w:highlight w:val="none"/>
              </w:rPr>
            </w:pPr>
          </w:p>
        </w:tc>
      </w:tr>
      <w:tr w14:paraId="6B5A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5592B3FE">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3</w:t>
            </w:r>
          </w:p>
        </w:tc>
        <w:tc>
          <w:tcPr>
            <w:tcW w:w="0" w:type="auto"/>
            <w:vAlign w:val="center"/>
          </w:tcPr>
          <w:p w14:paraId="3402F243">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10</w:t>
            </w:r>
          </w:p>
        </w:tc>
        <w:tc>
          <w:tcPr>
            <w:tcW w:w="0" w:type="auto"/>
            <w:vAlign w:val="center"/>
          </w:tcPr>
          <w:p w14:paraId="67FA3552">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制定理赔监督考核制度并有效实施。9.1-10.0范围为优秀；8.1-9.0范围为良好；6.1-8.0范围为不太满意；6.1以下范围为很不满意。</w:t>
            </w:r>
          </w:p>
        </w:tc>
        <w:tc>
          <w:tcPr>
            <w:tcW w:w="738" w:type="dxa"/>
            <w:vAlign w:val="center"/>
          </w:tcPr>
          <w:p w14:paraId="4FCF990A">
            <w:pPr>
              <w:spacing w:line="360" w:lineRule="auto"/>
              <w:jc w:val="center"/>
              <w:rPr>
                <w:rFonts w:hint="eastAsia" w:ascii="宋体" w:hAnsi="宋体" w:cs="宋体"/>
                <w:b w:val="0"/>
                <w:sz w:val="22"/>
                <w:szCs w:val="22"/>
                <w:highlight w:val="none"/>
              </w:rPr>
            </w:pPr>
          </w:p>
        </w:tc>
      </w:tr>
      <w:tr w14:paraId="3390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4DAD2989">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4</w:t>
            </w:r>
          </w:p>
        </w:tc>
        <w:tc>
          <w:tcPr>
            <w:tcW w:w="0" w:type="auto"/>
            <w:vAlign w:val="center"/>
          </w:tcPr>
          <w:p w14:paraId="24F9C0CA">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12</w:t>
            </w:r>
          </w:p>
        </w:tc>
        <w:tc>
          <w:tcPr>
            <w:tcW w:w="0" w:type="auto"/>
            <w:vAlign w:val="center"/>
          </w:tcPr>
          <w:p w14:paraId="0072D935">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廉洁自律：严格遵守国家相关法律法规，规范自身行为，严守廉洁自律。出现一次违规行为扣6分，扣完为止。</w:t>
            </w:r>
          </w:p>
        </w:tc>
        <w:tc>
          <w:tcPr>
            <w:tcW w:w="738" w:type="dxa"/>
            <w:vAlign w:val="center"/>
          </w:tcPr>
          <w:p w14:paraId="0EFAACF5">
            <w:pPr>
              <w:spacing w:line="360" w:lineRule="auto"/>
              <w:jc w:val="center"/>
              <w:rPr>
                <w:rFonts w:hint="eastAsia" w:ascii="宋体" w:hAnsi="宋体" w:cs="宋体"/>
                <w:b w:val="0"/>
                <w:sz w:val="22"/>
                <w:szCs w:val="22"/>
                <w:highlight w:val="none"/>
              </w:rPr>
            </w:pPr>
          </w:p>
        </w:tc>
      </w:tr>
      <w:tr w14:paraId="0C0F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133C608A">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5</w:t>
            </w:r>
          </w:p>
        </w:tc>
        <w:tc>
          <w:tcPr>
            <w:tcW w:w="0" w:type="auto"/>
            <w:vAlign w:val="center"/>
          </w:tcPr>
          <w:p w14:paraId="6810E17D">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10</w:t>
            </w:r>
          </w:p>
        </w:tc>
        <w:tc>
          <w:tcPr>
            <w:tcW w:w="0" w:type="auto"/>
            <w:vAlign w:val="center"/>
          </w:tcPr>
          <w:p w14:paraId="1D257BEB">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项目负责人及项目团队处理问题能力。9.1-10.0范围为优秀；8.1-9.0范围为良好；6.1-8.0范围为不太满意；6.1以下范围为很不满意。</w:t>
            </w:r>
          </w:p>
        </w:tc>
        <w:tc>
          <w:tcPr>
            <w:tcW w:w="738" w:type="dxa"/>
            <w:vAlign w:val="center"/>
          </w:tcPr>
          <w:p w14:paraId="560C7C65">
            <w:pPr>
              <w:spacing w:line="360" w:lineRule="auto"/>
              <w:jc w:val="center"/>
              <w:rPr>
                <w:rFonts w:hint="eastAsia" w:ascii="宋体" w:hAnsi="宋体" w:cs="宋体"/>
                <w:b w:val="0"/>
                <w:sz w:val="22"/>
                <w:szCs w:val="22"/>
                <w:highlight w:val="none"/>
              </w:rPr>
            </w:pPr>
          </w:p>
        </w:tc>
      </w:tr>
      <w:tr w14:paraId="5253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47EF78F2">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6</w:t>
            </w:r>
          </w:p>
        </w:tc>
        <w:tc>
          <w:tcPr>
            <w:tcW w:w="0" w:type="auto"/>
            <w:vAlign w:val="center"/>
          </w:tcPr>
          <w:p w14:paraId="03EF4153">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10</w:t>
            </w:r>
          </w:p>
        </w:tc>
        <w:tc>
          <w:tcPr>
            <w:tcW w:w="0" w:type="auto"/>
            <w:vAlign w:val="center"/>
          </w:tcPr>
          <w:p w14:paraId="114FB063">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不定期组织开展保险相关教育情况。9.1-10.0范围为优秀；8.1-9.0范围为良好；6.1-8.0范围为不太满意；6.1以下范围为很不满意。</w:t>
            </w:r>
          </w:p>
        </w:tc>
        <w:tc>
          <w:tcPr>
            <w:tcW w:w="738" w:type="dxa"/>
            <w:vAlign w:val="center"/>
          </w:tcPr>
          <w:p w14:paraId="0F4C31B6">
            <w:pPr>
              <w:spacing w:line="360" w:lineRule="auto"/>
              <w:jc w:val="center"/>
              <w:rPr>
                <w:rFonts w:hint="eastAsia" w:ascii="宋体" w:hAnsi="宋体" w:cs="宋体"/>
                <w:b w:val="0"/>
                <w:sz w:val="22"/>
                <w:szCs w:val="22"/>
                <w:highlight w:val="none"/>
              </w:rPr>
            </w:pPr>
          </w:p>
        </w:tc>
      </w:tr>
      <w:tr w14:paraId="4B12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046FC364">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7</w:t>
            </w:r>
          </w:p>
        </w:tc>
        <w:tc>
          <w:tcPr>
            <w:tcW w:w="0" w:type="auto"/>
            <w:vAlign w:val="center"/>
          </w:tcPr>
          <w:p w14:paraId="3DC0BCC1">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10</w:t>
            </w:r>
          </w:p>
        </w:tc>
        <w:tc>
          <w:tcPr>
            <w:tcW w:w="0" w:type="auto"/>
            <w:vAlign w:val="center"/>
          </w:tcPr>
          <w:p w14:paraId="649D4FBB">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团队整体业务水平。9.1-10.0范围为优秀；8.1-9.0范围为良好；6.1-8.0范围为不太满意；6.1以下范围为很不满意。</w:t>
            </w:r>
          </w:p>
        </w:tc>
        <w:tc>
          <w:tcPr>
            <w:tcW w:w="738" w:type="dxa"/>
            <w:vAlign w:val="center"/>
          </w:tcPr>
          <w:p w14:paraId="4E926538">
            <w:pPr>
              <w:spacing w:line="360" w:lineRule="auto"/>
              <w:jc w:val="center"/>
              <w:rPr>
                <w:rFonts w:hint="eastAsia" w:ascii="宋体" w:hAnsi="宋体" w:cs="宋体"/>
                <w:b w:val="0"/>
                <w:sz w:val="22"/>
                <w:szCs w:val="22"/>
                <w:highlight w:val="none"/>
              </w:rPr>
            </w:pPr>
          </w:p>
        </w:tc>
      </w:tr>
      <w:tr w14:paraId="59A0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2362981B">
            <w:pPr>
              <w:spacing w:line="360" w:lineRule="auto"/>
              <w:jc w:val="center"/>
              <w:rPr>
                <w:rFonts w:hint="eastAsia" w:ascii="宋体" w:hAnsi="宋体" w:eastAsia="等线" w:cs="宋体"/>
                <w:b w:val="0"/>
                <w:sz w:val="22"/>
                <w:szCs w:val="22"/>
                <w:highlight w:val="none"/>
              </w:rPr>
            </w:pPr>
            <w:r>
              <w:rPr>
                <w:rFonts w:hint="eastAsia" w:ascii="宋体" w:hAnsi="宋体" w:eastAsia="等线" w:cs="宋体"/>
                <w:b w:val="0"/>
                <w:sz w:val="22"/>
                <w:szCs w:val="22"/>
                <w:highlight w:val="none"/>
              </w:rPr>
              <w:t>8</w:t>
            </w:r>
          </w:p>
        </w:tc>
        <w:tc>
          <w:tcPr>
            <w:tcW w:w="0" w:type="auto"/>
            <w:vAlign w:val="center"/>
          </w:tcPr>
          <w:p w14:paraId="22318ED5">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10</w:t>
            </w:r>
          </w:p>
        </w:tc>
        <w:tc>
          <w:tcPr>
            <w:tcW w:w="0" w:type="auto"/>
            <w:vAlign w:val="center"/>
          </w:tcPr>
          <w:p w14:paraId="3D64FC6F">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日常服务：处理用户申请理赔后的进展等相关工作汇报材料及时汇报采购人，根据汇报材料的准确性完整性以及及时性评分。9.1-10.0范围为优秀；8.1-9.0范围为良好；6.1-8.0范围为不太满意；6.1以下范围为很不满意。</w:t>
            </w:r>
          </w:p>
        </w:tc>
        <w:tc>
          <w:tcPr>
            <w:tcW w:w="738" w:type="dxa"/>
            <w:vAlign w:val="center"/>
          </w:tcPr>
          <w:p w14:paraId="00558526">
            <w:pPr>
              <w:spacing w:line="360" w:lineRule="auto"/>
              <w:jc w:val="center"/>
              <w:rPr>
                <w:rFonts w:hint="eastAsia" w:ascii="宋体" w:hAnsi="宋体" w:cs="宋体"/>
                <w:b w:val="0"/>
                <w:sz w:val="22"/>
                <w:szCs w:val="22"/>
                <w:highlight w:val="none"/>
              </w:rPr>
            </w:pPr>
          </w:p>
        </w:tc>
      </w:tr>
      <w:tr w14:paraId="3BED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7" w:type="dxa"/>
            <w:vAlign w:val="center"/>
          </w:tcPr>
          <w:p w14:paraId="399A37CE">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合计</w:t>
            </w:r>
          </w:p>
        </w:tc>
        <w:tc>
          <w:tcPr>
            <w:tcW w:w="8003" w:type="dxa"/>
            <w:gridSpan w:val="3"/>
            <w:vAlign w:val="center"/>
          </w:tcPr>
          <w:p w14:paraId="358F0E20">
            <w:pPr>
              <w:spacing w:line="360" w:lineRule="auto"/>
              <w:jc w:val="center"/>
              <w:rPr>
                <w:rFonts w:hint="eastAsia" w:ascii="宋体" w:hAnsi="宋体" w:cs="宋体"/>
                <w:b w:val="0"/>
                <w:sz w:val="22"/>
                <w:szCs w:val="22"/>
                <w:highlight w:val="none"/>
              </w:rPr>
            </w:pPr>
            <w:r>
              <w:rPr>
                <w:rFonts w:hint="eastAsia" w:ascii="宋体" w:hAnsi="宋体" w:cs="宋体"/>
                <w:b w:val="0"/>
                <w:sz w:val="22"/>
                <w:szCs w:val="22"/>
                <w:highlight w:val="none"/>
              </w:rPr>
              <w:t>100</w:t>
            </w:r>
          </w:p>
        </w:tc>
      </w:tr>
      <w:tr w14:paraId="6D0C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840" w:type="dxa"/>
            <w:gridSpan w:val="4"/>
            <w:vAlign w:val="center"/>
          </w:tcPr>
          <w:p w14:paraId="75E40C9C">
            <w:pPr>
              <w:rPr>
                <w:rFonts w:hint="eastAsia" w:ascii="宋体" w:hAnsi="宋体" w:cs="宋体"/>
                <w:b w:val="0"/>
                <w:sz w:val="22"/>
                <w:szCs w:val="22"/>
                <w:highlight w:val="none"/>
              </w:rPr>
            </w:pPr>
            <w:r>
              <w:rPr>
                <w:rFonts w:hint="eastAsia" w:ascii="宋体" w:hAnsi="宋体" w:cs="宋体"/>
                <w:b w:val="0"/>
                <w:sz w:val="22"/>
                <w:szCs w:val="22"/>
                <w:highlight w:val="none"/>
              </w:rPr>
              <w:t>评价结果：</w:t>
            </w:r>
          </w:p>
          <w:p w14:paraId="28B78823">
            <w:pPr>
              <w:rPr>
                <w:rFonts w:hint="eastAsia" w:ascii="宋体" w:hAnsi="宋体" w:cs="宋体"/>
                <w:b w:val="0"/>
                <w:sz w:val="22"/>
                <w:szCs w:val="22"/>
                <w:highlight w:val="none"/>
              </w:rPr>
            </w:pPr>
          </w:p>
          <w:p w14:paraId="22F15EFE">
            <w:pPr>
              <w:wordWrap w:val="0"/>
              <w:ind w:firstLine="5060" w:firstLineChars="2300"/>
              <w:jc w:val="right"/>
              <w:rPr>
                <w:rFonts w:hint="eastAsia" w:ascii="宋体" w:hAnsi="宋体" w:cs="宋体"/>
                <w:b w:val="0"/>
                <w:sz w:val="22"/>
                <w:szCs w:val="22"/>
                <w:highlight w:val="none"/>
              </w:rPr>
            </w:pPr>
            <w:r>
              <w:rPr>
                <w:rFonts w:hint="eastAsia" w:ascii="宋体" w:hAnsi="宋体" w:cs="宋体"/>
                <w:b w:val="0"/>
                <w:sz w:val="22"/>
                <w:szCs w:val="22"/>
                <w:highlight w:val="none"/>
              </w:rPr>
              <w:t xml:space="preserve">评价人：           </w:t>
            </w:r>
          </w:p>
          <w:p w14:paraId="05FE7B7C">
            <w:pPr>
              <w:wordWrap w:val="0"/>
              <w:jc w:val="right"/>
              <w:rPr>
                <w:rFonts w:hint="eastAsia" w:ascii="宋体" w:hAnsi="宋体" w:cs="宋体"/>
                <w:b w:val="0"/>
                <w:sz w:val="22"/>
                <w:szCs w:val="22"/>
                <w:highlight w:val="none"/>
              </w:rPr>
            </w:pPr>
            <w:r>
              <w:rPr>
                <w:rFonts w:hint="eastAsia" w:ascii="宋体" w:hAnsi="宋体" w:cs="宋体"/>
                <w:b w:val="0"/>
                <w:sz w:val="22"/>
                <w:szCs w:val="22"/>
                <w:highlight w:val="none"/>
              </w:rPr>
              <w:t xml:space="preserve">  年  月  日</w:t>
            </w:r>
          </w:p>
        </w:tc>
      </w:tr>
    </w:tbl>
    <w:p w14:paraId="62CEBAB7">
      <w:pPr>
        <w:pStyle w:val="17"/>
        <w:spacing w:line="360" w:lineRule="auto"/>
        <w:jc w:val="left"/>
        <w:rPr>
          <w:rFonts w:hint="eastAsia" w:ascii="宋体" w:hAnsi="宋体"/>
          <w:b w:val="0"/>
          <w:bCs w:val="0"/>
          <w:color w:val="auto"/>
          <w:sz w:val="22"/>
          <w:szCs w:val="22"/>
          <w:highlight w:val="none"/>
        </w:rPr>
      </w:pPr>
      <w:r>
        <w:rPr>
          <w:rFonts w:hint="eastAsia" w:ascii="宋体" w:hAnsi="宋体" w:eastAsia="宋体" w:cs="宋体"/>
          <w:bCs/>
          <w:sz w:val="22"/>
          <w:szCs w:val="22"/>
          <w:highlight w:val="none"/>
        </w:rPr>
        <w:t>注：</w:t>
      </w:r>
      <w:r>
        <w:rPr>
          <w:rFonts w:hint="eastAsia" w:ascii="宋体" w:hAnsi="宋体" w:eastAsia="宋体" w:cs="宋体"/>
          <w:sz w:val="22"/>
          <w:szCs w:val="22"/>
          <w:highlight w:val="none"/>
        </w:rPr>
        <w:t>实行评价制度，采购人对中标供应商每季度进行一次评价。具体评价办法见上表，如有调整，以采购人在合同期内出台或修订的项目评价表为准，本考核解释权归采购人所有。</w:t>
      </w:r>
      <w:bookmarkEnd w:id="3"/>
      <w:bookmarkEnd w:id="4"/>
      <w:bookmarkEnd w:id="5"/>
      <w:bookmarkEnd w:id="6"/>
      <w:bookmarkEnd w:id="7"/>
    </w:p>
    <w:bookmarkEnd w:id="8"/>
    <w:p w14:paraId="48F9CEEC">
      <w:pPr>
        <w:pStyle w:val="4"/>
        <w:spacing w:before="0" w:after="120" w:line="700" w:lineRule="exact"/>
        <w:ind w:left="0" w:firstLine="0"/>
        <w:jc w:val="center"/>
        <w:rPr>
          <w:rFonts w:ascii="Cambria Math" w:hAnsi="Cambria Math" w:eastAsia="Cambria Math"/>
          <w:b/>
          <w:color w:val="auto"/>
          <w:sz w:val="32"/>
          <w:highlight w:val="none"/>
        </w:rPr>
      </w:pPr>
      <w:r>
        <w:rPr>
          <w:rFonts w:hint="eastAsia" w:ascii="Cambria Math" w:hAnsi="Cambria Math" w:eastAsia="Cambria Math"/>
          <w:b/>
          <w:color w:val="auto"/>
          <w:sz w:val="32"/>
          <w:highlight w:val="none"/>
        </w:rPr>
        <w:t>第三部分</w:t>
      </w:r>
      <w:r>
        <w:rPr>
          <w:rFonts w:hint="eastAsia" w:ascii="Cambria Math" w:hAnsi="Cambria Math" w:eastAsiaTheme="minorEastAsia"/>
          <w:b/>
          <w:color w:val="auto"/>
          <w:sz w:val="32"/>
          <w:highlight w:val="none"/>
        </w:rPr>
        <w:t xml:space="preserve">  </w:t>
      </w:r>
      <w:r>
        <w:rPr>
          <w:rFonts w:hint="eastAsia" w:ascii="Cambria Math" w:hAnsi="Cambria Math" w:eastAsiaTheme="minorEastAsia"/>
          <w:b/>
          <w:color w:val="auto"/>
          <w:sz w:val="32"/>
          <w:highlight w:val="none"/>
          <w:lang w:val="en-US" w:eastAsia="zh-CN"/>
        </w:rPr>
        <w:t xml:space="preserve"> </w:t>
      </w:r>
      <w:r>
        <w:rPr>
          <w:rFonts w:hint="eastAsia" w:ascii="Cambria Math" w:hAnsi="Cambria Math" w:eastAsia="Cambria Math"/>
          <w:b/>
          <w:color w:val="auto"/>
          <w:sz w:val="32"/>
          <w:highlight w:val="none"/>
        </w:rPr>
        <w:t>供应商须知</w:t>
      </w:r>
    </w:p>
    <w:p w14:paraId="7894BC13">
      <w:pPr>
        <w:pStyle w:val="4"/>
        <w:spacing w:before="0" w:after="120" w:line="700" w:lineRule="exact"/>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一、说明</w:t>
      </w:r>
    </w:p>
    <w:p w14:paraId="56C0558E">
      <w:pPr>
        <w:autoSpaceDE w:val="0"/>
        <w:autoSpaceDN w:val="0"/>
        <w:adjustRightInd w:val="0"/>
        <w:snapToGrid w:val="0"/>
        <w:spacing w:line="440" w:lineRule="atLeast"/>
        <w:ind w:firstLine="420" w:firstLineChars="191"/>
        <w:textAlignment w:val="bottom"/>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1、本次采购工作是按照《中华人民共和国政府采购法》、《政府采购货物和服务招标投标管理办法》和《</w:t>
      </w:r>
      <w:r>
        <w:rPr>
          <w:rFonts w:hint="eastAsia" w:ascii="宋体" w:hAnsi="宋体" w:cs="宋体"/>
          <w:b w:val="0"/>
          <w:bCs w:val="0"/>
          <w:color w:val="auto"/>
          <w:sz w:val="22"/>
          <w:szCs w:val="22"/>
          <w:highlight w:val="none"/>
        </w:rPr>
        <w:t>浙江省财政厅、省监察厅关于进一步规范政府采购活动的若干意见</w:t>
      </w:r>
      <w:r>
        <w:rPr>
          <w:rFonts w:hint="eastAsia" w:ascii="宋体" w:hAnsi="宋体" w:cs="宋体"/>
          <w:b w:val="0"/>
          <w:color w:val="auto"/>
          <w:sz w:val="22"/>
          <w:szCs w:val="22"/>
          <w:highlight w:val="none"/>
        </w:rPr>
        <w:t>》及相关法律规章组织和实施。</w:t>
      </w:r>
    </w:p>
    <w:p w14:paraId="7E87A21B">
      <w:pPr>
        <w:autoSpaceDE w:val="0"/>
        <w:autoSpaceDN w:val="0"/>
        <w:adjustRightInd w:val="0"/>
        <w:snapToGrid w:val="0"/>
        <w:spacing w:line="460" w:lineRule="atLeast"/>
        <w:ind w:firstLine="431" w:firstLineChars="196"/>
        <w:jc w:val="left"/>
        <w:textAlignment w:val="bottom"/>
        <w:rPr>
          <w:rFonts w:hint="eastAsia" w:ascii="宋体" w:hAnsi="宋体" w:cs="宋体"/>
          <w:b w:val="0"/>
          <w:color w:val="auto"/>
          <w:sz w:val="22"/>
          <w:szCs w:val="22"/>
          <w:highlight w:val="none"/>
          <w:u w:val="single"/>
        </w:rPr>
      </w:pPr>
      <w:r>
        <w:rPr>
          <w:rFonts w:hint="eastAsia" w:ascii="宋体" w:hAnsi="宋体" w:cs="宋体"/>
          <w:b w:val="0"/>
          <w:color w:val="auto"/>
          <w:sz w:val="22"/>
          <w:szCs w:val="22"/>
          <w:highlight w:val="none"/>
          <w:u w:val="single"/>
        </w:rPr>
        <w:t>2、供应商必须对所有采购要求进行投标报价，否则按无效投标处理；</w:t>
      </w:r>
    </w:p>
    <w:p w14:paraId="3ED33F88">
      <w:pPr>
        <w:autoSpaceDE w:val="0"/>
        <w:autoSpaceDN w:val="0"/>
        <w:adjustRightInd w:val="0"/>
        <w:snapToGrid w:val="0"/>
        <w:spacing w:line="440" w:lineRule="atLeast"/>
        <w:ind w:firstLine="420" w:firstLineChars="191"/>
        <w:textAlignment w:val="bottom"/>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3、无论投标过程中的作法和结果如何，供应商自行承担投标活动中所发生的全部费用。</w:t>
      </w:r>
    </w:p>
    <w:p w14:paraId="7D440ECD">
      <w:pPr>
        <w:autoSpaceDE w:val="0"/>
        <w:autoSpaceDN w:val="0"/>
        <w:adjustRightInd w:val="0"/>
        <w:snapToGrid w:val="0"/>
        <w:spacing w:line="440" w:lineRule="atLeast"/>
        <w:ind w:firstLine="420" w:firstLineChars="191"/>
        <w:textAlignment w:val="bottom"/>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4、本次采购采用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14:paraId="7FB81E96">
      <w:pPr>
        <w:adjustRightInd w:val="0"/>
        <w:spacing w:line="430" w:lineRule="atLeast"/>
        <w:ind w:firstLine="431" w:firstLineChars="196"/>
        <w:rPr>
          <w:rFonts w:hint="eastAsia" w:ascii="宋体" w:hAnsi="宋体" w:cs="宋体"/>
          <w:color w:val="auto"/>
          <w:sz w:val="22"/>
          <w:szCs w:val="22"/>
          <w:highlight w:val="none"/>
          <w:u w:val="single"/>
        </w:rPr>
      </w:pPr>
      <w:r>
        <w:rPr>
          <w:rFonts w:hint="eastAsia" w:ascii="宋体" w:hAnsi="宋体" w:cs="宋体"/>
          <w:b w:val="0"/>
          <w:color w:val="auto"/>
          <w:sz w:val="22"/>
          <w:szCs w:val="22"/>
          <w:highlight w:val="none"/>
        </w:rPr>
        <w:t>5、</w:t>
      </w:r>
      <w:r>
        <w:rPr>
          <w:rFonts w:hint="eastAsia" w:ascii="宋体" w:hAnsi="宋体" w:cs="宋体"/>
          <w:color w:val="auto"/>
          <w:sz w:val="22"/>
          <w:szCs w:val="22"/>
          <w:highlight w:val="none"/>
          <w:u w:val="single"/>
        </w:rPr>
        <w:t>▲投标供应商应保证其单位参加采购活动前三年无任何行贿犯罪档案记录。</w:t>
      </w:r>
    </w:p>
    <w:p w14:paraId="45D183EF">
      <w:pPr>
        <w:adjustRightInd w:val="0"/>
        <w:spacing w:line="440" w:lineRule="exact"/>
        <w:ind w:firstLine="433" w:firstLineChars="196"/>
        <w:rPr>
          <w:rFonts w:hint="eastAsia" w:ascii="宋体" w:hAnsi="宋体" w:cs="宋体"/>
          <w:b w:val="0"/>
          <w:color w:val="auto"/>
          <w:sz w:val="22"/>
          <w:szCs w:val="22"/>
          <w:highlight w:val="none"/>
        </w:rPr>
      </w:pPr>
      <w:r>
        <w:rPr>
          <w:rFonts w:hint="eastAsia" w:ascii="宋体" w:hAnsi="宋体" w:cs="宋体"/>
          <w:color w:val="auto"/>
          <w:sz w:val="22"/>
          <w:szCs w:val="22"/>
          <w:highlight w:val="none"/>
        </w:rPr>
        <w:t>6、</w:t>
      </w:r>
      <w:r>
        <w:rPr>
          <w:rFonts w:hint="eastAsia" w:ascii="宋体" w:hAnsi="宋体" w:cs="宋体"/>
          <w:b w:val="0"/>
          <w:color w:val="auto"/>
          <w:sz w:val="22"/>
          <w:szCs w:val="22"/>
          <w:highlight w:val="none"/>
        </w:rPr>
        <w:t>本《招标文件》所称“关联企业”，是指存在关联关系的企业；“关联关系”的界定适用《中华人民共和国公司法》216条之规定。</w:t>
      </w:r>
    </w:p>
    <w:p w14:paraId="28380346">
      <w:pPr>
        <w:adjustRightInd w:val="0"/>
        <w:spacing w:line="440" w:lineRule="exact"/>
        <w:ind w:firstLine="431" w:firstLineChars="196"/>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 xml:space="preserve">6.1单位负责人为同一人或者存在直接控股、管理关系的不同供应商参加同一合同项下的采购活动的，相关投标均作无效标处理。 </w:t>
      </w:r>
    </w:p>
    <w:p w14:paraId="22DE7836">
      <w:pPr>
        <w:adjustRightInd w:val="0"/>
        <w:spacing w:line="440" w:lineRule="exact"/>
        <w:ind w:firstLine="431" w:firstLineChars="196"/>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6.2不同供应商之间存在以下利害关系并且存在影响采购公平竞争行为的，不得参加同一合同项下的采购活动，相关投标均作无效标处理：</w:t>
      </w:r>
    </w:p>
    <w:p w14:paraId="1E95540D">
      <w:pPr>
        <w:adjustRightInd w:val="0"/>
        <w:spacing w:line="440" w:lineRule="exact"/>
        <w:ind w:firstLine="431" w:firstLineChars="196"/>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（1）法定代表人或负责人或实际控制人是夫妻关系；</w:t>
      </w:r>
    </w:p>
    <w:p w14:paraId="37E8AE61">
      <w:pPr>
        <w:adjustRightInd w:val="0"/>
        <w:spacing w:line="440" w:lineRule="exact"/>
        <w:ind w:firstLine="431" w:firstLineChars="196"/>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（2）法定代表人或负责人或实际控制人是直系血亲关系；；</w:t>
      </w:r>
    </w:p>
    <w:p w14:paraId="29A2DDF1">
      <w:pPr>
        <w:adjustRightInd w:val="0"/>
        <w:spacing w:line="440" w:lineRule="exact"/>
        <w:ind w:firstLine="431" w:firstLineChars="196"/>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（3）法定代表人或负责人或实际控制人存在股份控制或实际控制关系；</w:t>
      </w:r>
    </w:p>
    <w:p w14:paraId="5924D567">
      <w:pPr>
        <w:adjustRightInd w:val="0"/>
        <w:spacing w:line="440" w:lineRule="exact"/>
        <w:ind w:firstLine="431" w:firstLineChars="196"/>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（4）存在共同直接或间接投资设立子公司、联营企业和合营企业情况；</w:t>
      </w:r>
    </w:p>
    <w:p w14:paraId="0FCCF193">
      <w:pPr>
        <w:adjustRightInd w:val="0"/>
        <w:spacing w:line="430" w:lineRule="atLeast"/>
        <w:ind w:firstLine="433" w:firstLineChars="196"/>
        <w:rPr>
          <w:rFonts w:hint="eastAsia" w:ascii="宋体" w:hAnsi="宋体" w:cs="宋体"/>
          <w:b w:val="0"/>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w:t>
      </w:r>
      <w:r>
        <w:rPr>
          <w:rFonts w:hint="eastAsia" w:ascii="宋体" w:hAnsi="宋体" w:cs="宋体"/>
          <w:color w:val="auto"/>
          <w:szCs w:val="22"/>
          <w:highlight w:val="none"/>
        </w:rPr>
        <w:t>有效供应商不足三家时，本项目作废标处理，重新组织采购。</w:t>
      </w:r>
    </w:p>
    <w:p w14:paraId="3EDBC302">
      <w:pPr>
        <w:pStyle w:val="4"/>
        <w:spacing w:before="0" w:after="120" w:line="700" w:lineRule="exact"/>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二、投标供应商资格要求:</w:t>
      </w:r>
    </w:p>
    <w:p w14:paraId="178A9C95">
      <w:pPr>
        <w:autoSpaceDE w:val="0"/>
        <w:autoSpaceDN w:val="0"/>
        <w:adjustRightInd w:val="0"/>
        <w:snapToGrid w:val="0"/>
        <w:spacing w:line="400" w:lineRule="atLeast"/>
        <w:ind w:firstLine="440" w:firstLineChars="200"/>
        <w:rPr>
          <w:rFonts w:hint="eastAsia" w:ascii="宋体" w:hAnsi="宋体" w:cs="宋体"/>
          <w:color w:val="auto"/>
          <w:sz w:val="22"/>
          <w:szCs w:val="22"/>
          <w:highlight w:val="none"/>
          <w:lang w:val="zh-CN"/>
        </w:rPr>
      </w:pPr>
      <w:r>
        <w:rPr>
          <w:rFonts w:hint="eastAsia" w:ascii="宋体" w:hAnsi="宋体" w:cs="宋体"/>
          <w:b w:val="0"/>
          <w:bCs w:val="0"/>
          <w:color w:val="auto"/>
          <w:sz w:val="22"/>
          <w:szCs w:val="22"/>
          <w:highlight w:val="none"/>
        </w:rPr>
        <w:t>按招标公告要求</w:t>
      </w:r>
    </w:p>
    <w:p w14:paraId="2D9FC427">
      <w:pPr>
        <w:pStyle w:val="4"/>
        <w:spacing w:before="0" w:after="120" w:line="700" w:lineRule="exact"/>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三、招标文件</w:t>
      </w:r>
    </w:p>
    <w:p w14:paraId="0C4B781E">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1、招标文件</w:t>
      </w:r>
    </w:p>
    <w:p w14:paraId="7B6FB2F1">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1.1招标文件发放</w:t>
      </w:r>
    </w:p>
    <w:p w14:paraId="1A4A6B25">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供应商在领取标书的同时须填写报名登记表。</w:t>
      </w:r>
    </w:p>
    <w:p w14:paraId="43D60F1D">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1.2招标文件约束力</w:t>
      </w:r>
    </w:p>
    <w:p w14:paraId="35B94333">
      <w:pPr>
        <w:autoSpaceDE w:val="0"/>
        <w:autoSpaceDN w:val="0"/>
        <w:adjustRightInd w:val="0"/>
        <w:snapToGrid w:val="0"/>
        <w:spacing w:line="400" w:lineRule="atLeast"/>
        <w:ind w:firstLine="442" w:firstLineChars="200"/>
        <w:rPr>
          <w:rFonts w:hint="eastAsia" w:ascii="宋体" w:hAnsi="宋体" w:cs="宋体"/>
          <w:color w:val="auto"/>
          <w:sz w:val="22"/>
          <w:szCs w:val="22"/>
          <w:highlight w:val="none"/>
          <w:u w:val="single"/>
          <w:lang w:val="zh-CN"/>
        </w:rPr>
      </w:pPr>
      <w:r>
        <w:rPr>
          <w:rFonts w:hint="eastAsia" w:ascii="宋体" w:hAnsi="宋体" w:cs="宋体"/>
          <w:color w:val="auto"/>
          <w:sz w:val="22"/>
          <w:szCs w:val="22"/>
          <w:highlight w:val="none"/>
          <w:u w:val="single"/>
          <w:lang w:val="zh-CN"/>
        </w:rPr>
        <w:t>供应商</w:t>
      </w:r>
      <w:r>
        <w:rPr>
          <w:rFonts w:hint="eastAsia" w:ascii="宋体" w:hAnsi="宋体" w:cs="宋体"/>
          <w:color w:val="auto"/>
          <w:sz w:val="22"/>
          <w:szCs w:val="22"/>
          <w:highlight w:val="none"/>
          <w:u w:val="single"/>
        </w:rPr>
        <w:t>一旦</w:t>
      </w:r>
      <w:r>
        <w:rPr>
          <w:rFonts w:hint="eastAsia" w:ascii="宋体" w:hAnsi="宋体" w:cs="宋体"/>
          <w:color w:val="auto"/>
          <w:sz w:val="22"/>
          <w:szCs w:val="22"/>
          <w:highlight w:val="none"/>
          <w:u w:val="single"/>
          <w:lang w:val="en-US" w:eastAsia="zh-CN"/>
        </w:rPr>
        <w:t>获取</w:t>
      </w:r>
      <w:r>
        <w:rPr>
          <w:rFonts w:hint="eastAsia" w:ascii="宋体" w:hAnsi="宋体" w:cs="宋体"/>
          <w:color w:val="auto"/>
          <w:sz w:val="22"/>
          <w:szCs w:val="22"/>
          <w:highlight w:val="none"/>
          <w:u w:val="single"/>
        </w:rPr>
        <w:t>本招标文件并参加投标，即被认为接受了本招标文件中招标通知(邀请)书及供应商须知中所有条款和规定。</w:t>
      </w:r>
    </w:p>
    <w:p w14:paraId="3565CCC7">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2、招标文件的澄清</w:t>
      </w:r>
    </w:p>
    <w:p w14:paraId="480482C4">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14:paraId="4CCD3AC8">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3、招标文件的修改</w:t>
      </w:r>
    </w:p>
    <w:p w14:paraId="1B8C53E3">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3.1在投标截止时间前，采购人或代理机构有权修改招标文件，并以书面形式通知供应商。补充文件作为招标文件的补充和组成部分，对所有供应商均有约束力。</w:t>
      </w:r>
    </w:p>
    <w:p w14:paraId="209C5C2B">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3.2为使供应商有足够的时间按招标文件要求修正投标文件，采购人可酌情推迟投标截止时间和开标时间，并将此变更通知供应商。</w:t>
      </w:r>
    </w:p>
    <w:p w14:paraId="243A1295">
      <w:pPr>
        <w:pStyle w:val="4"/>
        <w:spacing w:before="0" w:after="120" w:line="700" w:lineRule="exact"/>
        <w:ind w:left="0" w:firstLine="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四、投标文件</w:t>
      </w:r>
    </w:p>
    <w:p w14:paraId="4437657B">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1、投标文件</w:t>
      </w:r>
    </w:p>
    <w:p w14:paraId="55099797">
      <w:pPr>
        <w:autoSpaceDE w:val="0"/>
        <w:autoSpaceDN w:val="0"/>
        <w:adjustRightInd w:val="0"/>
        <w:snapToGrid w:val="0"/>
        <w:spacing w:line="400" w:lineRule="atLeast"/>
        <w:ind w:firstLine="440" w:firstLineChars="200"/>
        <w:textAlignment w:val="bottom"/>
        <w:rPr>
          <w:rFonts w:hint="eastAsia" w:ascii="宋体" w:hAnsi="宋体" w:cs="宋体"/>
          <w:b w:val="0"/>
          <w:color w:val="auto"/>
          <w:sz w:val="22"/>
          <w:szCs w:val="22"/>
          <w:highlight w:val="none"/>
        </w:rPr>
      </w:pPr>
      <w:r>
        <w:rPr>
          <w:rFonts w:hint="eastAsia" w:ascii="宋体" w:hAnsi="宋体" w:cs="宋体"/>
          <w:b w:val="0"/>
          <w:color w:val="auto"/>
          <w:sz w:val="22"/>
          <w:szCs w:val="22"/>
          <w:highlight w:val="none"/>
          <w:lang w:val="zh-CN"/>
        </w:rPr>
        <w:t>1.1</w:t>
      </w:r>
      <w:r>
        <w:rPr>
          <w:rFonts w:hint="eastAsia" w:ascii="宋体" w:hAnsi="宋体" w:cs="宋体"/>
          <w:b w:val="0"/>
          <w:color w:val="auto"/>
          <w:sz w:val="22"/>
          <w:szCs w:val="22"/>
          <w:highlight w:val="none"/>
        </w:rPr>
        <w:t>供应商应仔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14:paraId="585C90A5">
      <w:pPr>
        <w:autoSpaceDE w:val="0"/>
        <w:autoSpaceDN w:val="0"/>
        <w:adjustRightInd w:val="0"/>
        <w:snapToGrid w:val="0"/>
        <w:spacing w:line="400" w:lineRule="atLeast"/>
        <w:ind w:firstLine="440" w:firstLineChars="200"/>
        <w:textAlignment w:val="bottom"/>
        <w:rPr>
          <w:rFonts w:hint="eastAsia" w:ascii="宋体" w:hAnsi="宋体" w:cs="宋体"/>
          <w:b w:val="0"/>
          <w:color w:val="auto"/>
          <w:sz w:val="22"/>
          <w:szCs w:val="22"/>
          <w:highlight w:val="none"/>
        </w:rPr>
      </w:pPr>
      <w:r>
        <w:rPr>
          <w:rFonts w:hint="eastAsia" w:ascii="宋体" w:hAnsi="宋体" w:cs="宋体"/>
          <w:b w:val="0"/>
          <w:color w:val="auto"/>
          <w:sz w:val="22"/>
          <w:szCs w:val="22"/>
          <w:highlight w:val="none"/>
          <w:lang w:val="zh-CN"/>
        </w:rPr>
        <w:t>1.2</w:t>
      </w:r>
      <w:r>
        <w:rPr>
          <w:rFonts w:hint="eastAsia" w:ascii="宋体" w:hAnsi="宋体" w:cs="宋体"/>
          <w:b w:val="0"/>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8162EC8">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42A40A93">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2、投标文件的组成</w:t>
      </w:r>
    </w:p>
    <w:p w14:paraId="44504B9D">
      <w:pPr>
        <w:autoSpaceDE w:val="0"/>
        <w:autoSpaceDN w:val="0"/>
        <w:adjustRightInd w:val="0"/>
        <w:snapToGrid w:val="0"/>
        <w:spacing w:line="400" w:lineRule="atLeast"/>
        <w:ind w:firstLine="442" w:firstLineChars="200"/>
        <w:rPr>
          <w:rFonts w:hint="eastAsia" w:ascii="宋体" w:hAnsi="宋体" w:cs="宋体"/>
          <w:color w:val="auto"/>
          <w:sz w:val="22"/>
          <w:szCs w:val="22"/>
          <w:highlight w:val="none"/>
          <w:lang w:val="zh-CN"/>
        </w:rPr>
      </w:pPr>
      <w:r>
        <w:rPr>
          <w:rFonts w:hint="eastAsia" w:ascii="宋体" w:hAnsi="宋体" w:cs="宋体"/>
          <w:bCs w:val="0"/>
          <w:color w:val="auto"/>
          <w:sz w:val="22"/>
          <w:szCs w:val="22"/>
          <w:highlight w:val="none"/>
          <w:u w:val="single"/>
        </w:rPr>
        <w:t>投标文件由商务报价部分和技术资信部分二部分组成</w:t>
      </w:r>
      <w:r>
        <w:rPr>
          <w:rFonts w:hint="eastAsia" w:ascii="宋体" w:hAnsi="宋体" w:cs="宋体"/>
          <w:bCs w:val="0"/>
          <w:color w:val="auto"/>
          <w:sz w:val="22"/>
          <w:szCs w:val="22"/>
          <w:highlight w:val="none"/>
          <w:u w:val="single"/>
          <w:lang w:eastAsia="zh-CN"/>
        </w:rPr>
        <w:t>，</w:t>
      </w:r>
      <w:r>
        <w:rPr>
          <w:rFonts w:hint="eastAsia" w:ascii="宋体" w:hAnsi="宋体" w:cs="宋体"/>
          <w:bCs w:val="0"/>
          <w:color w:val="auto"/>
          <w:sz w:val="22"/>
          <w:szCs w:val="22"/>
          <w:highlight w:val="none"/>
          <w:u w:val="single"/>
        </w:rPr>
        <w:t>技术资信部分（含资信与服务）不得含报价，否则投标将被拒绝。</w:t>
      </w:r>
    </w:p>
    <w:p w14:paraId="4CFCEE17">
      <w:pPr>
        <w:autoSpaceDE w:val="0"/>
        <w:autoSpaceDN w:val="0"/>
        <w:adjustRightInd w:val="0"/>
        <w:snapToGrid w:val="0"/>
        <w:spacing w:line="400" w:lineRule="atLeast"/>
        <w:ind w:firstLine="440" w:firstLineChars="200"/>
        <w:rPr>
          <w:rFonts w:hint="eastAsia" w:ascii="宋体" w:hAnsi="宋体" w:cs="宋体"/>
          <w:b w:val="0"/>
          <w:color w:val="auto"/>
          <w:sz w:val="22"/>
          <w:szCs w:val="22"/>
          <w:highlight w:val="none"/>
          <w:lang w:val="zh-CN"/>
        </w:rPr>
      </w:pPr>
      <w:r>
        <w:rPr>
          <w:rFonts w:hint="eastAsia" w:ascii="宋体" w:hAnsi="宋体" w:cs="宋体"/>
          <w:b w:val="0"/>
          <w:color w:val="auto"/>
          <w:sz w:val="22"/>
          <w:szCs w:val="22"/>
          <w:highlight w:val="none"/>
          <w:lang w:val="zh-CN"/>
        </w:rPr>
        <w:t>2.1、</w:t>
      </w:r>
      <w:r>
        <w:rPr>
          <w:rFonts w:hint="eastAsia" w:ascii="宋体" w:hAnsi="宋体" w:cs="宋体"/>
          <w:color w:val="auto"/>
          <w:sz w:val="22"/>
          <w:szCs w:val="22"/>
          <w:highlight w:val="none"/>
          <w:u w:val="single"/>
        </w:rPr>
        <w:t>商务报价部分</w:t>
      </w:r>
      <w:r>
        <w:rPr>
          <w:rFonts w:hint="eastAsia" w:ascii="宋体" w:hAnsi="宋体" w:cs="宋体"/>
          <w:color w:val="auto"/>
          <w:sz w:val="22"/>
          <w:szCs w:val="22"/>
          <w:highlight w:val="none"/>
          <w:u w:val="single"/>
          <w:lang w:val="zh-CN"/>
        </w:rPr>
        <w:t>组成</w:t>
      </w:r>
    </w:p>
    <w:p w14:paraId="28EB98AF">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1）开标一览表（附件1-1）</w:t>
      </w:r>
      <w:r>
        <w:rPr>
          <w:rFonts w:hint="eastAsia" w:ascii="宋体" w:hAnsi="宋体" w:cs="宋体"/>
          <w:color w:val="auto"/>
          <w:sz w:val="22"/>
          <w:szCs w:val="22"/>
          <w:highlight w:val="none"/>
          <w:u w:val="single"/>
        </w:rPr>
        <w:t>（统一格式、不得更改）；</w:t>
      </w:r>
    </w:p>
    <w:p w14:paraId="6FBF86D4">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2）投标明细表（附件1-2）。</w:t>
      </w:r>
    </w:p>
    <w:p w14:paraId="5091B0A4">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2.2、</w:t>
      </w:r>
      <w:r>
        <w:rPr>
          <w:rFonts w:hint="eastAsia" w:ascii="宋体" w:hAnsi="宋体" w:cs="宋体"/>
          <w:color w:val="auto"/>
          <w:sz w:val="22"/>
          <w:szCs w:val="22"/>
          <w:highlight w:val="none"/>
          <w:u w:val="single"/>
        </w:rPr>
        <w:t>技术资信部分组成</w:t>
      </w:r>
    </w:p>
    <w:p w14:paraId="308BA4AB">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1）投标函（附件2-1）；</w:t>
      </w:r>
    </w:p>
    <w:p w14:paraId="7AA4210B">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2）法定代表人授权书（附件2-2）（统一格式、不得更改）；</w:t>
      </w:r>
    </w:p>
    <w:p w14:paraId="66DED3F6">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3) 供应商情况声明（附件2-3）；</w:t>
      </w:r>
    </w:p>
    <w:p w14:paraId="2EDD02A0">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4）近三年内在经营活动中没有重大违法记录的书面声明（附件2-4）；</w:t>
      </w:r>
    </w:p>
    <w:p w14:paraId="7D8E86B1">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5）依法缴纳税收和</w:t>
      </w:r>
      <w:r>
        <w:rPr>
          <w:rFonts w:hint="eastAsia" w:ascii="宋体" w:hAnsi="宋体" w:cs="宋体"/>
          <w:b w:val="0"/>
          <w:color w:val="auto"/>
          <w:highlight w:val="none"/>
        </w:rPr>
        <w:fldChar w:fldCharType="begin"/>
      </w:r>
      <w:r>
        <w:rPr>
          <w:rFonts w:hint="eastAsia" w:ascii="宋体" w:hAnsi="宋体" w:cs="宋体"/>
          <w:b w:val="0"/>
          <w:color w:val="auto"/>
          <w:highlight w:val="none"/>
        </w:rPr>
        <w:instrText xml:space="preserve"> HYPERLINK "http://baike.sogou.com/lemma/ShowInnerLink.htm?lemmaId=65969667&amp;ss_c=ssc.citiao.link" \t "_blank" </w:instrText>
      </w:r>
      <w:r>
        <w:rPr>
          <w:rFonts w:hint="eastAsia" w:ascii="宋体" w:hAnsi="宋体" w:cs="宋体"/>
          <w:b w:val="0"/>
          <w:color w:val="auto"/>
          <w:highlight w:val="none"/>
        </w:rPr>
        <w:fldChar w:fldCharType="separate"/>
      </w:r>
      <w:r>
        <w:rPr>
          <w:rFonts w:hint="eastAsia" w:ascii="宋体" w:hAnsi="宋体" w:cs="宋体"/>
          <w:b w:val="0"/>
          <w:color w:val="auto"/>
          <w:highlight w:val="none"/>
        </w:rPr>
        <w:t>社会保障资金</w:t>
      </w:r>
      <w:r>
        <w:rPr>
          <w:rFonts w:hint="eastAsia" w:ascii="宋体" w:hAnsi="宋体" w:cs="宋体"/>
          <w:b w:val="0"/>
          <w:color w:val="auto"/>
          <w:highlight w:val="none"/>
        </w:rPr>
        <w:fldChar w:fldCharType="end"/>
      </w:r>
      <w:r>
        <w:rPr>
          <w:rFonts w:hint="eastAsia" w:ascii="宋体" w:hAnsi="宋体" w:cs="宋体"/>
          <w:b w:val="0"/>
          <w:color w:val="auto"/>
          <w:highlight w:val="none"/>
        </w:rPr>
        <w:t>的相关材料（附件2-5）；</w:t>
      </w:r>
    </w:p>
    <w:p w14:paraId="1F170BB1">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6) 供应商营业执照（或事业单位法人证书）、税务登记证或三（五）证合一证照、资质证书（批文）（复印件加盖公章）；</w:t>
      </w:r>
    </w:p>
    <w:p w14:paraId="36727A8F">
      <w:pPr>
        <w:autoSpaceDE w:val="0"/>
        <w:autoSpaceDN w:val="0"/>
        <w:adjustRightInd w:val="0"/>
        <w:snapToGrid w:val="0"/>
        <w:spacing w:line="460" w:lineRule="atLeast"/>
        <w:ind w:left="752" w:leftChars="208" w:hanging="315" w:hangingChars="150"/>
        <w:textAlignment w:val="bottom"/>
        <w:rPr>
          <w:rFonts w:hint="eastAsia" w:ascii="宋体" w:hAnsi="宋体" w:eastAsia="宋体" w:cs="宋体"/>
          <w:b w:val="0"/>
          <w:color w:val="auto"/>
          <w:highlight w:val="none"/>
          <w:lang w:eastAsia="zh-CN"/>
        </w:rPr>
      </w:pPr>
      <w:r>
        <w:rPr>
          <w:rFonts w:hint="eastAsia" w:ascii="宋体" w:hAnsi="宋体" w:cs="宋体"/>
          <w:b w:val="0"/>
          <w:color w:val="auto"/>
          <w:highlight w:val="none"/>
        </w:rPr>
        <w:t>7)中华人民共和国经营保险业务许可证（复印件加盖有效公章）</w:t>
      </w:r>
      <w:r>
        <w:rPr>
          <w:rFonts w:hint="eastAsia" w:ascii="宋体" w:hAnsi="宋体" w:cs="宋体"/>
          <w:b w:val="0"/>
          <w:color w:val="auto"/>
          <w:highlight w:val="none"/>
          <w:lang w:eastAsia="zh-CN"/>
        </w:rPr>
        <w:t>；</w:t>
      </w:r>
    </w:p>
    <w:p w14:paraId="341EBD19">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8) 商务、技术响应表（附件2-6、附件2-7）（如不填写，则视为完全响应采购文件的要求）；</w:t>
      </w:r>
    </w:p>
    <w:p w14:paraId="24FD4D5F">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9）拟投入项目人员情况（附件2-8）</w:t>
      </w:r>
    </w:p>
    <w:p w14:paraId="390A71AA">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10）投标人类似业绩清单；</w:t>
      </w:r>
    </w:p>
    <w:p w14:paraId="784CC2F3">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11）根据“技术资信综合评分”提供各项方案（格式自拟））；</w:t>
      </w:r>
    </w:p>
    <w:p w14:paraId="0DBCA851">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highlight w:val="none"/>
        </w:rPr>
      </w:pPr>
      <w:r>
        <w:rPr>
          <w:rFonts w:hint="eastAsia" w:ascii="宋体" w:hAnsi="宋体" w:cs="宋体"/>
          <w:b w:val="0"/>
          <w:color w:val="auto"/>
          <w:highlight w:val="none"/>
        </w:rPr>
        <w:t>12）供应商相关资质、认证证书、获得荣誉、资信或信用证书等（如有则提供，复印件加盖有效公章）；</w:t>
      </w:r>
    </w:p>
    <w:p w14:paraId="4A91944C">
      <w:pPr>
        <w:autoSpaceDE w:val="0"/>
        <w:autoSpaceDN w:val="0"/>
        <w:adjustRightInd w:val="0"/>
        <w:snapToGrid w:val="0"/>
        <w:spacing w:line="460" w:lineRule="atLeast"/>
        <w:ind w:left="752" w:leftChars="208" w:hanging="315" w:hangingChars="150"/>
        <w:textAlignment w:val="bottom"/>
        <w:rPr>
          <w:rFonts w:hint="eastAsia" w:ascii="宋体" w:hAnsi="宋体" w:cs="宋体"/>
          <w:b w:val="0"/>
          <w:color w:val="auto"/>
          <w:sz w:val="22"/>
          <w:highlight w:val="none"/>
        </w:rPr>
      </w:pPr>
      <w:r>
        <w:rPr>
          <w:rFonts w:hint="eastAsia" w:ascii="宋体" w:hAnsi="宋体" w:cs="宋体"/>
          <w:b w:val="0"/>
          <w:color w:val="auto"/>
          <w:highlight w:val="none"/>
        </w:rPr>
        <w:t>13）其它应提供的文件。</w:t>
      </w:r>
    </w:p>
    <w:p w14:paraId="3D3E55DE">
      <w:pPr>
        <w:autoSpaceDE w:val="0"/>
        <w:autoSpaceDN w:val="0"/>
        <w:adjustRightInd w:val="0"/>
        <w:snapToGrid w:val="0"/>
        <w:spacing w:line="460" w:lineRule="atLeast"/>
        <w:ind w:left="768" w:leftChars="208" w:hanging="331" w:hangingChars="15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注：《法定代表人授权委托书》必须由投标人的法定代表人签名（盖章）并加盖单位公章（其他需要签字的部分可由授权代表签字并加盖公章）；资格、资质证书复印件以及其他关键文件资料均须加盖单位公章；签章不齐或未签章的视同未提供；</w:t>
      </w:r>
    </w:p>
    <w:p w14:paraId="380BFB75">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3、投标内容填写说明</w:t>
      </w:r>
    </w:p>
    <w:p w14:paraId="6E69C95A">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3.1、投标文件格式</w:t>
      </w:r>
    </w:p>
    <w:p w14:paraId="4AFEBA45">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供应商应按照第2条所列出的内容及格式组成投标文件</w:t>
      </w:r>
      <w:r>
        <w:rPr>
          <w:rFonts w:hint="eastAsia" w:ascii="宋体" w:hAnsi="宋体" w:cs="Arial"/>
          <w:color w:val="auto"/>
          <w:sz w:val="22"/>
          <w:szCs w:val="22"/>
          <w:highlight w:val="none"/>
        </w:rPr>
        <w:t>。</w:t>
      </w:r>
    </w:p>
    <w:p w14:paraId="2E7A693E">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3.2、开标一览表供应商需按格式填写，统一规格，不得自行增减内容。</w:t>
      </w:r>
    </w:p>
    <w:p w14:paraId="5F0A84A1">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bookmarkStart w:id="14" w:name="_Toc132122115"/>
      <w:bookmarkStart w:id="15" w:name="_Toc132122412"/>
      <w:r>
        <w:rPr>
          <w:rFonts w:hint="eastAsia" w:ascii="宋体" w:hAnsi="宋体" w:cs="Arial"/>
          <w:b w:val="0"/>
          <w:color w:val="auto"/>
          <w:sz w:val="22"/>
          <w:szCs w:val="22"/>
          <w:highlight w:val="none"/>
        </w:rPr>
        <w:t>4、投标报价</w:t>
      </w:r>
      <w:bookmarkEnd w:id="14"/>
      <w:bookmarkEnd w:id="15"/>
    </w:p>
    <w:p w14:paraId="52F7E28E">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4.1、供应商应按招标文件中《开标一览表》填写投标价格。</w:t>
      </w:r>
    </w:p>
    <w:p w14:paraId="46AFCA70">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4.2、本次招标只允许有一个报价，有选择的报价将不予接受。</w:t>
      </w:r>
    </w:p>
    <w:p w14:paraId="129B3B06">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4.3、本次招标只有一次投标报价的机会，投标报价为到货并送到最终用户验收合格后的全部费用。供应商应在各自技术和商务占优势的基础上并充分考虑本项目的重要性，提供对买方最优惠的投标报价。</w:t>
      </w:r>
    </w:p>
    <w:p w14:paraId="6BDB225F">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4.4、投标报价应按包含以下费用。</w:t>
      </w:r>
    </w:p>
    <w:p w14:paraId="6FE5CF79">
      <w:pPr>
        <w:autoSpaceDE w:val="0"/>
        <w:autoSpaceDN w:val="0"/>
        <w:adjustRightInd w:val="0"/>
        <w:snapToGrid w:val="0"/>
        <w:spacing w:line="400" w:lineRule="atLeast"/>
        <w:ind w:firstLine="552" w:firstLineChars="250"/>
        <w:textAlignment w:val="bottom"/>
        <w:rPr>
          <w:rFonts w:hint="eastAsia" w:ascii="宋体" w:hAnsi="宋体" w:cs="Arial"/>
          <w:color w:val="auto"/>
          <w:sz w:val="22"/>
          <w:szCs w:val="22"/>
          <w:highlight w:val="none"/>
          <w:u w:val="single"/>
        </w:rPr>
      </w:pPr>
      <w:r>
        <w:rPr>
          <w:rFonts w:hint="eastAsia" w:ascii="宋体" w:hAnsi="宋体" w:cs="Arial"/>
          <w:color w:val="auto"/>
          <w:sz w:val="22"/>
          <w:szCs w:val="22"/>
          <w:highlight w:val="none"/>
        </w:rPr>
        <w:t>应包括本次项目所涉及的所有</w:t>
      </w:r>
      <w:r>
        <w:rPr>
          <w:rFonts w:ascii="宋体" w:hAnsi="宋体" w:cs="Arial"/>
          <w:color w:val="auto"/>
          <w:sz w:val="22"/>
          <w:szCs w:val="22"/>
          <w:highlight w:val="none"/>
          <w:u w:val="single"/>
        </w:rPr>
        <w:t>服务范围内全部工作内容的价格，</w:t>
      </w:r>
      <w:r>
        <w:rPr>
          <w:rFonts w:hint="eastAsia" w:ascii="宋体" w:hAnsi="宋体" w:cs="Arial"/>
          <w:color w:val="auto"/>
          <w:sz w:val="22"/>
          <w:szCs w:val="22"/>
          <w:highlight w:val="none"/>
          <w:u w:val="single"/>
        </w:rPr>
        <w:t>合同价为完成本项目所有采购内容并完成合同约定的相应服务应支付的各项金额总和，</w:t>
      </w:r>
      <w:r>
        <w:rPr>
          <w:rFonts w:hint="eastAsia" w:ascii="宋体" w:hAnsi="宋体" w:cs="宋体"/>
          <w:bCs w:val="0"/>
          <w:color w:val="auto"/>
          <w:sz w:val="22"/>
          <w:szCs w:val="22"/>
          <w:highlight w:val="none"/>
          <w:u w:val="single"/>
        </w:rPr>
        <w:t>包含项目实施全过程所涉及的全部费用以及合理的利润、税金、风险等其他一切费用。投标报价为投标方所能承受的最低、最终报价，投标方不得再要求追加任何费用。</w:t>
      </w:r>
    </w:p>
    <w:p w14:paraId="7646FB32">
      <w:pPr>
        <w:autoSpaceDE w:val="0"/>
        <w:autoSpaceDN w:val="0"/>
        <w:adjustRightInd w:val="0"/>
        <w:snapToGrid w:val="0"/>
        <w:spacing w:line="400" w:lineRule="atLeast"/>
        <w:ind w:firstLine="552" w:firstLineChars="250"/>
        <w:textAlignment w:val="bottom"/>
        <w:rPr>
          <w:rFonts w:hint="eastAsia" w:ascii="宋体" w:hAnsi="宋体" w:cs="Arial"/>
          <w:color w:val="auto"/>
          <w:sz w:val="22"/>
          <w:szCs w:val="22"/>
          <w:highlight w:val="none"/>
        </w:rPr>
      </w:pPr>
      <w:r>
        <w:rPr>
          <w:rFonts w:hint="eastAsia" w:ascii="宋体" w:hAnsi="宋体" w:cs="Arial"/>
          <w:color w:val="auto"/>
          <w:sz w:val="22"/>
          <w:szCs w:val="22"/>
          <w:highlight w:val="none"/>
        </w:rPr>
        <w:t>供应商对在合同执行中，除上述费用及招标文件规定的由中标人负责的工作范围以外需要买方协调或提供便利的工作应当在投标文件中说明。</w:t>
      </w:r>
    </w:p>
    <w:p w14:paraId="0E67BA9A">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填写报价表格时，各项费用应如实填写，如已含在产品价格中，则填“含”，如免费则填“免”，不允许空白。</w:t>
      </w:r>
    </w:p>
    <w:p w14:paraId="5E950615">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5、采购人要求分类报价是为了方便评标，但在任何情况下不限制采购人以其认为最合适的条款签订合同的权利。</w:t>
      </w:r>
    </w:p>
    <w:p w14:paraId="3773D1AF">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bookmarkStart w:id="16" w:name="_Toc132122414"/>
      <w:bookmarkStart w:id="17" w:name="_Toc132122117"/>
      <w:r>
        <w:rPr>
          <w:rFonts w:ascii="宋体" w:hAnsi="宋体" w:eastAsia="宋体" w:cs="Arial"/>
          <w:b w:val="0"/>
          <w:color w:val="auto"/>
          <w:sz w:val="22"/>
          <w:szCs w:val="22"/>
          <w:highlight w:val="none"/>
        </w:rPr>
        <w:t>6</w:t>
      </w:r>
      <w:r>
        <w:rPr>
          <w:rFonts w:hint="eastAsia" w:ascii="宋体" w:hAnsi="宋体" w:eastAsia="宋体" w:cs="Arial"/>
          <w:b w:val="0"/>
          <w:color w:val="auto"/>
          <w:sz w:val="22"/>
          <w:szCs w:val="22"/>
          <w:highlight w:val="none"/>
        </w:rPr>
        <w:t>、投标文件的有效期</w:t>
      </w:r>
      <w:bookmarkEnd w:id="16"/>
      <w:bookmarkEnd w:id="17"/>
    </w:p>
    <w:p w14:paraId="05A903F0">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6</w:t>
      </w:r>
      <w:r>
        <w:rPr>
          <w:rFonts w:hint="eastAsia" w:ascii="宋体" w:hAnsi="宋体" w:eastAsia="宋体" w:cs="Arial"/>
          <w:b w:val="0"/>
          <w:color w:val="auto"/>
          <w:sz w:val="22"/>
          <w:szCs w:val="22"/>
          <w:highlight w:val="none"/>
        </w:rPr>
        <w:t>.1、自开标日起</w:t>
      </w:r>
      <w:r>
        <w:rPr>
          <w:rFonts w:hint="eastAsia" w:ascii="宋体" w:hAnsi="宋体" w:eastAsia="宋体" w:cs="Arial"/>
          <w:b w:val="0"/>
          <w:color w:val="auto"/>
          <w:sz w:val="22"/>
          <w:szCs w:val="22"/>
          <w:highlight w:val="none"/>
          <w:lang w:val="en-US" w:eastAsia="zh-CN"/>
        </w:rPr>
        <w:t>90</w:t>
      </w:r>
      <w:r>
        <w:rPr>
          <w:rFonts w:hint="eastAsia" w:ascii="宋体" w:hAnsi="宋体" w:eastAsia="宋体" w:cs="Arial"/>
          <w:b w:val="0"/>
          <w:color w:val="auto"/>
          <w:sz w:val="22"/>
          <w:szCs w:val="22"/>
          <w:highlight w:val="none"/>
        </w:rPr>
        <w:t>天内，投标文件应保持有效。有效期短于这个规定期限的投标将被拒绝。</w:t>
      </w:r>
    </w:p>
    <w:p w14:paraId="42A416D5">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6</w:t>
      </w:r>
      <w:r>
        <w:rPr>
          <w:rFonts w:hint="eastAsia" w:ascii="宋体" w:hAnsi="宋体" w:eastAsia="宋体" w:cs="Arial"/>
          <w:b w:val="0"/>
          <w:color w:val="auto"/>
          <w:sz w:val="22"/>
          <w:szCs w:val="22"/>
          <w:highlight w:val="none"/>
        </w:rPr>
        <w:t>.2、在特殊情况下，采购人可与供应商协商延长投标文件的有效期，这种要求和答复均应以书面形式进行。</w:t>
      </w:r>
    </w:p>
    <w:p w14:paraId="2713C688">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6</w:t>
      </w:r>
      <w:r>
        <w:rPr>
          <w:rFonts w:hint="eastAsia" w:ascii="宋体" w:hAnsi="宋体" w:eastAsia="宋体" w:cs="Arial"/>
          <w:b w:val="0"/>
          <w:color w:val="auto"/>
          <w:sz w:val="22"/>
          <w:szCs w:val="22"/>
          <w:highlight w:val="none"/>
        </w:rPr>
        <w:t>.3、供应商可拒绝接受延期要求。同意延长有效期的供应商不能修改投标文件。</w:t>
      </w:r>
    </w:p>
    <w:p w14:paraId="1D24904C">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bookmarkStart w:id="18" w:name="_Toc132122118"/>
      <w:bookmarkStart w:id="19" w:name="_Toc132122415"/>
      <w:r>
        <w:rPr>
          <w:rFonts w:ascii="宋体" w:hAnsi="宋体" w:eastAsia="宋体" w:cs="Arial"/>
          <w:b w:val="0"/>
          <w:color w:val="auto"/>
          <w:sz w:val="22"/>
          <w:szCs w:val="22"/>
          <w:highlight w:val="none"/>
        </w:rPr>
        <w:t>7</w:t>
      </w:r>
      <w:r>
        <w:rPr>
          <w:rFonts w:hint="eastAsia" w:ascii="宋体" w:hAnsi="宋体" w:eastAsia="宋体" w:cs="Arial"/>
          <w:b w:val="0"/>
          <w:color w:val="auto"/>
          <w:sz w:val="22"/>
          <w:szCs w:val="22"/>
          <w:highlight w:val="none"/>
        </w:rPr>
        <w:t>、投标文件的签署和份数</w:t>
      </w:r>
      <w:bookmarkEnd w:id="18"/>
      <w:bookmarkEnd w:id="19"/>
    </w:p>
    <w:p w14:paraId="376437B3">
      <w:pPr>
        <w:pStyle w:val="21"/>
        <w:adjustRightInd w:val="0"/>
        <w:snapToGrid w:val="0"/>
        <w:spacing w:line="440" w:lineRule="atLeast"/>
        <w:ind w:firstLine="442" w:firstLineChars="200"/>
        <w:rPr>
          <w:rFonts w:hint="eastAsia" w:ascii="宋体" w:hAnsi="宋体" w:eastAsia="宋体" w:cs="Arial"/>
          <w:color w:val="auto"/>
          <w:sz w:val="22"/>
          <w:szCs w:val="22"/>
          <w:highlight w:val="none"/>
          <w:u w:val="single"/>
        </w:rPr>
      </w:pPr>
      <w:r>
        <w:rPr>
          <w:rFonts w:ascii="宋体" w:hAnsi="宋体" w:eastAsia="宋体" w:cs="Arial"/>
          <w:color w:val="auto"/>
          <w:sz w:val="22"/>
          <w:szCs w:val="22"/>
          <w:highlight w:val="none"/>
        </w:rPr>
        <w:t>7.1</w:t>
      </w:r>
      <w:r>
        <w:rPr>
          <w:rFonts w:hint="eastAsia" w:ascii="宋体" w:hAnsi="宋体" w:eastAsia="宋体" w:cs="Arial"/>
          <w:color w:val="auto"/>
          <w:sz w:val="22"/>
          <w:szCs w:val="22"/>
          <w:highlight w:val="none"/>
        </w:rPr>
        <w:t>投标文件的签章：</w:t>
      </w:r>
    </w:p>
    <w:p w14:paraId="1F521354">
      <w:pPr>
        <w:pStyle w:val="21"/>
        <w:adjustRightInd w:val="0"/>
        <w:snapToGrid w:val="0"/>
        <w:spacing w:line="440" w:lineRule="atLeast"/>
        <w:ind w:firstLine="442" w:firstLineChars="20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1）投标文件的签章：见《</w:t>
      </w:r>
      <w:r>
        <w:rPr>
          <w:rFonts w:ascii="宋体" w:hAnsi="宋体" w:eastAsia="宋体" w:cs="Arial"/>
          <w:color w:val="auto"/>
          <w:sz w:val="22"/>
          <w:szCs w:val="22"/>
          <w:highlight w:val="none"/>
        </w:rPr>
        <w:t>投标通知(邀请)书</w:t>
      </w:r>
      <w:r>
        <w:rPr>
          <w:rFonts w:hint="eastAsia" w:ascii="宋体" w:hAnsi="宋体" w:eastAsia="宋体" w:cs="Arial"/>
          <w:color w:val="auto"/>
          <w:sz w:val="22"/>
          <w:szCs w:val="22"/>
          <w:highlight w:val="none"/>
        </w:rPr>
        <w:t>》；</w:t>
      </w:r>
    </w:p>
    <w:p w14:paraId="081DE8A6">
      <w:pPr>
        <w:pStyle w:val="21"/>
        <w:adjustRightInd w:val="0"/>
        <w:snapToGrid w:val="0"/>
        <w:spacing w:line="440" w:lineRule="atLeast"/>
        <w:ind w:firstLine="442" w:firstLineChars="200"/>
        <w:rPr>
          <w:rFonts w:hint="eastAsia" w:ascii="宋体" w:hAnsi="宋体" w:eastAsia="宋体" w:cs="Arial"/>
          <w:b w:val="0"/>
          <w:color w:val="auto"/>
          <w:sz w:val="22"/>
          <w:szCs w:val="22"/>
          <w:highlight w:val="none"/>
        </w:rPr>
      </w:pPr>
      <w:r>
        <w:rPr>
          <w:rFonts w:hint="eastAsia" w:ascii="宋体" w:hAnsi="宋体" w:eastAsia="宋体" w:cs="Arial"/>
          <w:color w:val="auto"/>
          <w:sz w:val="22"/>
          <w:szCs w:val="22"/>
          <w:highlight w:val="none"/>
        </w:rPr>
        <w:t>2）电子签章操作指南详见《供应商项目采购-电子招投标操作指南》</w:t>
      </w:r>
      <w:r>
        <w:rPr>
          <w:rFonts w:hint="eastAsia" w:ascii="宋体" w:hAnsi="宋体" w:eastAsia="宋体" w:cs="Arial"/>
          <w:b w:val="0"/>
          <w:color w:val="auto"/>
          <w:sz w:val="22"/>
          <w:szCs w:val="22"/>
          <w:highlight w:val="none"/>
        </w:rPr>
        <w:t>。</w:t>
      </w:r>
    </w:p>
    <w:p w14:paraId="4D64F1FA">
      <w:pPr>
        <w:pStyle w:val="21"/>
        <w:adjustRightInd w:val="0"/>
        <w:snapToGrid w:val="0"/>
        <w:spacing w:line="440" w:lineRule="atLeast"/>
        <w:ind w:firstLine="442" w:firstLineChars="200"/>
        <w:rPr>
          <w:rFonts w:hint="eastAsia" w:ascii="宋体" w:hAnsi="宋体" w:eastAsia="宋体" w:cs="Arial"/>
          <w:color w:val="auto"/>
          <w:sz w:val="22"/>
          <w:szCs w:val="22"/>
          <w:highlight w:val="none"/>
        </w:rPr>
      </w:pPr>
      <w:r>
        <w:rPr>
          <w:rFonts w:ascii="宋体" w:hAnsi="宋体" w:eastAsia="宋体" w:cs="Arial"/>
          <w:color w:val="auto"/>
          <w:sz w:val="22"/>
          <w:szCs w:val="22"/>
          <w:highlight w:val="none"/>
        </w:rPr>
        <w:t>7.2</w:t>
      </w:r>
      <w:r>
        <w:rPr>
          <w:rFonts w:hint="eastAsia" w:ascii="宋体" w:hAnsi="宋体" w:eastAsia="宋体" w:cs="Arial"/>
          <w:color w:val="auto"/>
          <w:sz w:val="22"/>
          <w:szCs w:val="22"/>
          <w:highlight w:val="none"/>
        </w:rPr>
        <w:t>磋商响应文件的份数</w:t>
      </w:r>
    </w:p>
    <w:p w14:paraId="4A251494">
      <w:pPr>
        <w:pStyle w:val="21"/>
        <w:adjustRightInd w:val="0"/>
        <w:snapToGrid w:val="0"/>
        <w:spacing w:line="440" w:lineRule="atLeast"/>
        <w:ind w:firstLine="442" w:firstLineChars="20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1）“电子加密投标文件”：在线上传递交（一份）。</w:t>
      </w:r>
    </w:p>
    <w:p w14:paraId="470D9B2C">
      <w:pPr>
        <w:pStyle w:val="21"/>
        <w:adjustRightInd w:val="0"/>
        <w:snapToGrid w:val="0"/>
        <w:spacing w:line="440" w:lineRule="atLeast"/>
        <w:ind w:firstLine="442" w:firstLineChars="20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2）“备份投标文件”：密封包装后（如采用邮寄方式建议用EMS邮寄或顺丰邮寄形式）投标截止时间前递交（一份），以签收时间为准。（收件地址：龙港市海港路1283号后幢一单元202室；收件人：温州超然招标代理有限公司 洪世铭收 联系电话：</w:t>
      </w:r>
      <w:r>
        <w:rPr>
          <w:rFonts w:ascii="宋体" w:hAnsi="宋体" w:eastAsia="宋体" w:cs="Arial"/>
          <w:color w:val="auto"/>
          <w:sz w:val="22"/>
          <w:szCs w:val="22"/>
          <w:highlight w:val="none"/>
        </w:rPr>
        <w:t>18267789396</w:t>
      </w:r>
      <w:r>
        <w:rPr>
          <w:rFonts w:hint="eastAsia" w:ascii="宋体" w:hAnsi="宋体" w:eastAsia="宋体" w:cs="Arial"/>
          <w:color w:val="auto"/>
          <w:sz w:val="22"/>
          <w:szCs w:val="22"/>
          <w:highlight w:val="none"/>
        </w:rPr>
        <w:t>）。</w:t>
      </w:r>
    </w:p>
    <w:p w14:paraId="405FC6FF">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8</w:t>
      </w:r>
      <w:r>
        <w:rPr>
          <w:rFonts w:hint="eastAsia" w:ascii="宋体" w:hAnsi="宋体" w:eastAsia="宋体" w:cs="Arial"/>
          <w:b w:val="0"/>
          <w:color w:val="auto"/>
          <w:sz w:val="22"/>
          <w:szCs w:val="22"/>
          <w:highlight w:val="none"/>
        </w:rPr>
        <w:t>、投标文件的修改和撤回</w:t>
      </w:r>
    </w:p>
    <w:p w14:paraId="573FD50E">
      <w:pPr>
        <w:pStyle w:val="21"/>
        <w:adjustRightInd w:val="0"/>
        <w:snapToGrid w:val="0"/>
        <w:spacing w:line="440" w:lineRule="atLeast"/>
        <w:ind w:firstLine="442" w:firstLineChars="200"/>
        <w:rPr>
          <w:rFonts w:hint="eastAsia" w:ascii="宋体" w:hAnsi="宋体" w:eastAsia="宋体" w:cs="Arial"/>
          <w:color w:val="auto"/>
          <w:sz w:val="22"/>
          <w:szCs w:val="22"/>
          <w:highlight w:val="none"/>
        </w:rPr>
      </w:pPr>
      <w:bookmarkStart w:id="20" w:name="_Toc132123547"/>
      <w:bookmarkStart w:id="21" w:name="_Toc132123838"/>
      <w:bookmarkStart w:id="22" w:name="_Toc132123634"/>
      <w:bookmarkStart w:id="23" w:name="_Toc132126154"/>
      <w:bookmarkStart w:id="24" w:name="_Toc132122119"/>
      <w:bookmarkStart w:id="25" w:name="_Toc132123881"/>
      <w:bookmarkStart w:id="26" w:name="_Toc132655776"/>
      <w:bookmarkStart w:id="27" w:name="_Toc132125574"/>
      <w:bookmarkStart w:id="28" w:name="_Toc132123439"/>
      <w:bookmarkStart w:id="29" w:name="_Toc132125983"/>
      <w:bookmarkStart w:id="30" w:name="_Toc132125037"/>
      <w:bookmarkStart w:id="31" w:name="_Toc132124594"/>
      <w:bookmarkStart w:id="32" w:name="_Toc132125151"/>
      <w:bookmarkStart w:id="33" w:name="_Toc132122416"/>
      <w:bookmarkStart w:id="34" w:name="_Toc132125095"/>
      <w:r>
        <w:rPr>
          <w:rFonts w:hint="eastAsia" w:ascii="宋体" w:hAnsi="宋体" w:eastAsia="宋体" w:cs="Arial"/>
          <w:color w:val="auto"/>
          <w:sz w:val="22"/>
          <w:szCs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r>
        <w:rPr>
          <w:rFonts w:ascii="宋体" w:hAnsi="宋体" w:eastAsia="宋体" w:cs="Arial"/>
          <w:color w:val="auto"/>
          <w:sz w:val="22"/>
          <w:szCs w:val="22"/>
          <w:highlight w:val="none"/>
        </w:rPr>
        <w:t>投标截止时间后，投标供应商不得撤回、修改《投标文件》</w:t>
      </w:r>
      <w:r>
        <w:rPr>
          <w:rFonts w:hint="eastAsia" w:ascii="宋体" w:hAnsi="宋体" w:eastAsia="宋体" w:cs="Arial"/>
          <w:color w:val="auto"/>
          <w:sz w:val="22"/>
          <w:szCs w:val="22"/>
          <w:highlight w:val="none"/>
        </w:rPr>
        <w:t>。四、投标文件的密封与递交</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4C3A228">
      <w:pPr>
        <w:pStyle w:val="21"/>
        <w:adjustRightInd w:val="0"/>
        <w:snapToGrid w:val="0"/>
        <w:spacing w:line="440" w:lineRule="atLeast"/>
        <w:rPr>
          <w:rFonts w:hint="eastAsia" w:ascii="宋体" w:hAnsi="宋体" w:eastAsia="宋体" w:cs="Arial"/>
          <w:b w:val="0"/>
          <w:bCs w:val="0"/>
          <w:color w:val="auto"/>
          <w:sz w:val="22"/>
          <w:szCs w:val="22"/>
          <w:highlight w:val="none"/>
        </w:rPr>
      </w:pPr>
      <w:r>
        <w:rPr>
          <w:rFonts w:hint="eastAsia" w:ascii="宋体" w:hAnsi="宋体" w:eastAsia="宋体" w:cs="Arial"/>
          <w:b w:val="0"/>
          <w:bCs w:val="0"/>
          <w:color w:val="auto"/>
          <w:sz w:val="22"/>
          <w:szCs w:val="22"/>
          <w:highlight w:val="none"/>
        </w:rPr>
        <w:t>1、投标文件的上传与递交</w:t>
      </w:r>
    </w:p>
    <w:p w14:paraId="5107A5B9">
      <w:pPr>
        <w:pStyle w:val="21"/>
        <w:adjustRightInd w:val="0"/>
        <w:snapToGrid w:val="0"/>
        <w:spacing w:line="440" w:lineRule="atLeast"/>
        <w:ind w:firstLine="45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（1）“电子加密投标文件”的上传、递交：</w:t>
      </w:r>
    </w:p>
    <w:p w14:paraId="6CC83C25">
      <w:pPr>
        <w:pStyle w:val="21"/>
        <w:adjustRightInd w:val="0"/>
        <w:snapToGrid w:val="0"/>
        <w:spacing w:line="440" w:lineRule="atLeast"/>
        <w:ind w:firstLine="45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a.投标供应商应在投标截止时间前将“电子加密投标文件”成功上传递交至“乐采云平台”，否则投标无效。</w:t>
      </w:r>
    </w:p>
    <w:p w14:paraId="41B5851A">
      <w:pPr>
        <w:pStyle w:val="21"/>
        <w:adjustRightInd w:val="0"/>
        <w:snapToGrid w:val="0"/>
        <w:spacing w:line="440" w:lineRule="atLeast"/>
        <w:ind w:firstLine="45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b.“电子加密投标文件”成功上传递交后，供应商可自行打印投标文件接收回执。</w:t>
      </w:r>
    </w:p>
    <w:p w14:paraId="71C95126">
      <w:pPr>
        <w:pStyle w:val="21"/>
        <w:adjustRightInd w:val="0"/>
        <w:snapToGrid w:val="0"/>
        <w:spacing w:line="440" w:lineRule="atLeast"/>
        <w:ind w:firstLine="45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（2）“备份投标文件”的密封包装、递交：</w:t>
      </w:r>
    </w:p>
    <w:p w14:paraId="701D166B">
      <w:pPr>
        <w:pStyle w:val="21"/>
        <w:adjustRightInd w:val="0"/>
        <w:snapToGrid w:val="0"/>
        <w:spacing w:line="440" w:lineRule="atLeast"/>
        <w:ind w:firstLine="45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a.投标供应商在“乐采云平台”完成“电子加密投标文件”的上传递交后，还可以（如采用邮寄方式建议用EMS邮寄或顺丰邮寄形式）在投标截止时间前递交以介质（U盘）存储的 “备份投标文件”（一份）；</w:t>
      </w:r>
    </w:p>
    <w:p w14:paraId="3266676D">
      <w:pPr>
        <w:pStyle w:val="21"/>
        <w:adjustRightInd w:val="0"/>
        <w:snapToGrid w:val="0"/>
        <w:spacing w:line="440" w:lineRule="atLeast"/>
        <w:ind w:firstLine="45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b.“备份投标文件”应当密封包装，并在包装上标注投标项目名称、投标单位名称并加盖公章。没有密封包装或者逾期送达至投标地点的“备份投标文件”将不予接收；</w:t>
      </w:r>
    </w:p>
    <w:p w14:paraId="2A225894">
      <w:pPr>
        <w:pStyle w:val="21"/>
        <w:adjustRightInd w:val="0"/>
        <w:snapToGrid w:val="0"/>
        <w:spacing w:line="440" w:lineRule="atLeast"/>
        <w:ind w:firstLine="45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c.通过“乐采云平台”成功上传递交的“电子加密投标文件”已按时解密的，“备份投标文件”自动失效。投标截止时间前，投标供应商仅递交了“备份投标文件”而未将“电子加密投标文件”成功上传至“乐采云平台”的，投标无效。</w:t>
      </w:r>
    </w:p>
    <w:p w14:paraId="4BE701C2">
      <w:pPr>
        <w:pStyle w:val="21"/>
        <w:adjustRightInd w:val="0"/>
        <w:snapToGrid w:val="0"/>
        <w:spacing w:line="440" w:lineRule="atLeast"/>
        <w:ind w:firstLine="220" w:firstLineChars="1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2、投标截止时间</w:t>
      </w:r>
    </w:p>
    <w:p w14:paraId="137B3A76">
      <w:pPr>
        <w:pStyle w:val="21"/>
        <w:spacing w:line="440" w:lineRule="atLeast"/>
        <w:ind w:firstLine="660" w:firstLineChars="3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2.1投标文件必须在投标文件递交截止时间前成功上传递交至“乐采云平台”，否则投标无效。</w:t>
      </w:r>
    </w:p>
    <w:p w14:paraId="5720428A">
      <w:pPr>
        <w:pStyle w:val="21"/>
        <w:adjustRightInd w:val="0"/>
        <w:snapToGrid w:val="0"/>
        <w:spacing w:line="440" w:lineRule="atLeast"/>
        <w:ind w:firstLine="220" w:firstLineChars="1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 xml:space="preserve">    2.2采购机构如因故推迟投标截止时间，应通知所有供应商。在这种情况下，供应商的权利和义务将受到新的截止时间的约束。</w:t>
      </w:r>
    </w:p>
    <w:p w14:paraId="6DC94F67">
      <w:pPr>
        <w:pStyle w:val="4"/>
        <w:tabs>
          <w:tab w:val="clear" w:pos="720"/>
        </w:tabs>
        <w:spacing w:before="0" w:after="120" w:line="700" w:lineRule="exact"/>
        <w:ind w:left="0" w:firstLine="0"/>
        <w:rPr>
          <w:rFonts w:hint="eastAsia" w:ascii="宋体" w:hAnsi="宋体" w:eastAsia="宋体"/>
          <w:b/>
          <w:color w:val="auto"/>
          <w:sz w:val="22"/>
          <w:szCs w:val="22"/>
          <w:highlight w:val="none"/>
        </w:rPr>
      </w:pPr>
      <w:bookmarkStart w:id="35" w:name="_Toc132125038"/>
      <w:bookmarkStart w:id="36" w:name="_Toc132125096"/>
      <w:bookmarkStart w:id="37" w:name="_Toc132125984"/>
      <w:bookmarkStart w:id="38" w:name="_Toc132123839"/>
      <w:bookmarkStart w:id="39" w:name="_Toc132122120"/>
      <w:bookmarkStart w:id="40" w:name="_Toc132125152"/>
      <w:bookmarkStart w:id="41" w:name="_Toc132122417"/>
      <w:bookmarkStart w:id="42" w:name="_Toc132124595"/>
      <w:bookmarkStart w:id="43" w:name="_Toc132123440"/>
      <w:bookmarkStart w:id="44" w:name="_Toc132123548"/>
      <w:bookmarkStart w:id="45" w:name="_Toc132123882"/>
      <w:bookmarkStart w:id="46" w:name="_Toc132125575"/>
      <w:bookmarkStart w:id="47" w:name="_Toc132123635"/>
      <w:bookmarkStart w:id="48" w:name="_Toc132655777"/>
      <w:bookmarkStart w:id="49" w:name="_Toc132126155"/>
      <w:r>
        <w:rPr>
          <w:rFonts w:hint="eastAsia" w:ascii="宋体" w:hAnsi="宋体" w:eastAsia="宋体"/>
          <w:b/>
          <w:color w:val="auto"/>
          <w:sz w:val="22"/>
          <w:szCs w:val="22"/>
          <w:highlight w:val="none"/>
        </w:rPr>
        <w:t>五、开标和评标</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4FA304A">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1、开标</w:t>
      </w:r>
    </w:p>
    <w:p w14:paraId="5E08D35D">
      <w:pPr>
        <w:pStyle w:val="21"/>
        <w:spacing w:line="440" w:lineRule="atLeast"/>
        <w:ind w:firstLine="442" w:firstLineChars="200"/>
        <w:rPr>
          <w:rFonts w:hint="eastAsia" w:ascii="宋体" w:hAnsi="宋体" w:eastAsia="宋体" w:cs="Arial"/>
          <w:color w:val="auto"/>
          <w:sz w:val="22"/>
          <w:szCs w:val="22"/>
          <w:highlight w:val="none"/>
        </w:rPr>
      </w:pPr>
      <w:r>
        <w:rPr>
          <w:rFonts w:hint="eastAsia" w:ascii="宋体" w:hAnsi="宋体" w:eastAsia="宋体" w:cs="Arial"/>
          <w:color w:val="auto"/>
          <w:sz w:val="22"/>
          <w:szCs w:val="22"/>
          <w:highlight w:val="none"/>
        </w:rPr>
        <w:t>1.1采购组织机构将按照招标文件规定的时间通过“乐采云平台”组织开标、开启投标文件，所有供应商均应当准时在线参加。</w:t>
      </w:r>
    </w:p>
    <w:p w14:paraId="27D919F7">
      <w:pPr>
        <w:pStyle w:val="21"/>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1</w:t>
      </w:r>
      <w:r>
        <w:rPr>
          <w:rFonts w:hint="eastAsia" w:ascii="宋体" w:hAnsi="宋体" w:eastAsia="宋体" w:cs="Arial"/>
          <w:b w:val="0"/>
          <w:color w:val="auto"/>
          <w:sz w:val="22"/>
          <w:szCs w:val="22"/>
          <w:highlight w:val="none"/>
        </w:rPr>
        <w:t>.</w:t>
      </w:r>
      <w:r>
        <w:rPr>
          <w:rFonts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rPr>
        <w:t>开标的准备工作由采购组织机构负责落实；</w:t>
      </w:r>
    </w:p>
    <w:p w14:paraId="147FEDE3">
      <w:pPr>
        <w:pStyle w:val="21"/>
        <w:spacing w:line="440" w:lineRule="atLeast"/>
        <w:ind w:firstLine="442" w:firstLineChars="200"/>
        <w:rPr>
          <w:rFonts w:hint="eastAsia" w:ascii="宋体" w:hAnsi="宋体" w:eastAsia="宋体" w:cs="Arial"/>
          <w:color w:val="auto"/>
          <w:sz w:val="22"/>
          <w:szCs w:val="22"/>
          <w:highlight w:val="none"/>
        </w:rPr>
      </w:pPr>
      <w:r>
        <w:rPr>
          <w:rFonts w:ascii="宋体" w:hAnsi="宋体" w:eastAsia="宋体" w:cs="Arial"/>
          <w:color w:val="auto"/>
          <w:sz w:val="22"/>
          <w:szCs w:val="22"/>
          <w:highlight w:val="none"/>
        </w:rPr>
        <w:t>1</w:t>
      </w:r>
      <w:r>
        <w:rPr>
          <w:rFonts w:hint="eastAsia" w:ascii="宋体" w:hAnsi="宋体" w:eastAsia="宋体" w:cs="Arial"/>
          <w:color w:val="auto"/>
          <w:sz w:val="22"/>
          <w:szCs w:val="22"/>
          <w:highlight w:val="none"/>
        </w:rPr>
        <w:t>.</w:t>
      </w:r>
      <w:r>
        <w:rPr>
          <w:rFonts w:ascii="宋体" w:hAnsi="宋体" w:eastAsia="宋体" w:cs="Arial"/>
          <w:color w:val="auto"/>
          <w:sz w:val="22"/>
          <w:szCs w:val="22"/>
          <w:highlight w:val="none"/>
        </w:rPr>
        <w:t>3</w:t>
      </w:r>
      <w:r>
        <w:rPr>
          <w:rFonts w:hint="eastAsia" w:ascii="宋体" w:hAnsi="宋体" w:eastAsia="宋体" w:cs="Arial"/>
          <w:color w:val="auto"/>
          <w:sz w:val="22"/>
          <w:szCs w:val="22"/>
          <w:highlight w:val="none"/>
        </w:rPr>
        <w:t>采购组织机构将按照招标文件规定的时间通过“乐采云平台”组织开标、开启投标文件，所有供应商均应当准时在线参加。投标供应商</w:t>
      </w:r>
      <w:r>
        <w:rPr>
          <w:rFonts w:ascii="宋体" w:hAnsi="宋体" w:eastAsia="宋体" w:cs="Arial"/>
          <w:color w:val="auto"/>
          <w:sz w:val="22"/>
          <w:szCs w:val="22"/>
          <w:highlight w:val="none"/>
        </w:rPr>
        <w:t>如不</w:t>
      </w:r>
      <w:r>
        <w:rPr>
          <w:rFonts w:hint="eastAsia" w:ascii="宋体" w:hAnsi="宋体" w:eastAsia="宋体" w:cs="Arial"/>
          <w:color w:val="auto"/>
          <w:sz w:val="22"/>
          <w:szCs w:val="22"/>
          <w:highlight w:val="none"/>
        </w:rPr>
        <w:t>参加</w:t>
      </w:r>
      <w:r>
        <w:rPr>
          <w:rFonts w:ascii="宋体" w:hAnsi="宋体" w:eastAsia="宋体" w:cs="Arial"/>
          <w:color w:val="auto"/>
          <w:sz w:val="22"/>
          <w:szCs w:val="22"/>
          <w:highlight w:val="none"/>
        </w:rPr>
        <w:t>开标大会的，</w:t>
      </w:r>
      <w:r>
        <w:rPr>
          <w:rFonts w:hint="eastAsia" w:ascii="宋体" w:hAnsi="宋体" w:eastAsia="宋体" w:cs="Arial"/>
          <w:color w:val="auto"/>
          <w:sz w:val="22"/>
          <w:szCs w:val="22"/>
          <w:highlight w:val="none"/>
        </w:rPr>
        <w:t>视同认可开标结果，</w:t>
      </w:r>
      <w:r>
        <w:rPr>
          <w:rFonts w:ascii="宋体" w:hAnsi="宋体" w:eastAsia="宋体" w:cs="Arial"/>
          <w:color w:val="auto"/>
          <w:sz w:val="22"/>
          <w:szCs w:val="22"/>
          <w:highlight w:val="none"/>
        </w:rPr>
        <w:t>事后不得对采购相关人员、开标过程和开标结果提出异议</w:t>
      </w:r>
      <w:r>
        <w:rPr>
          <w:rFonts w:hint="eastAsia" w:ascii="宋体" w:hAnsi="宋体" w:eastAsia="宋体" w:cs="Arial"/>
          <w:color w:val="auto"/>
          <w:sz w:val="22"/>
          <w:szCs w:val="22"/>
          <w:highlight w:val="none"/>
        </w:rPr>
        <w:t>，同时投标供应商因未在线参加开标而导致投标文件无法按时解密等一切后果由供应商自己承担。</w:t>
      </w:r>
    </w:p>
    <w:p w14:paraId="462A7DB4">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2、开标程序</w:t>
      </w:r>
    </w:p>
    <w:p w14:paraId="14F284FF">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ascii="宋体" w:hAnsi="宋体" w:eastAsia="宋体" w:cs="Arial"/>
          <w:b w:val="0"/>
          <w:color w:val="auto"/>
          <w:sz w:val="22"/>
          <w:szCs w:val="22"/>
          <w:highlight w:val="none"/>
        </w:rPr>
        <w:t>1</w:t>
      </w:r>
      <w:r>
        <w:rPr>
          <w:rFonts w:hint="eastAsia" w:ascii="宋体" w:hAnsi="宋体" w:eastAsia="宋体" w:cs="Arial"/>
          <w:b w:val="0"/>
          <w:color w:val="auto"/>
          <w:sz w:val="22"/>
          <w:szCs w:val="22"/>
          <w:highlight w:val="none"/>
        </w:rPr>
        <w:t>）采购代理机构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021EA4EF">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rPr>
        <w:t>）在所有投标文件解密成功后，采购代理机构向各投标供应商发起在线询标确认是否存在影响公平竞争情况；如各投标供应商对采购活动现场情况无异议，须在</w:t>
      </w:r>
      <w:r>
        <w:rPr>
          <w:rFonts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rPr>
        <w:t>0分钟内填写（签章）完成《国企采购活动现场确认声明书》并在询标确认中作为附件上传至“乐采云平台”或发送至采购组织机构邮箱：</w:t>
      </w:r>
      <w:r>
        <w:rPr>
          <w:rFonts w:ascii="宋体" w:hAnsi="宋体" w:eastAsia="宋体" w:cs="Arial"/>
          <w:color w:val="auto"/>
          <w:highlight w:val="none"/>
        </w:rPr>
        <w:t>376169591@qq.com</w:t>
      </w:r>
      <w:r>
        <w:rPr>
          <w:rFonts w:hint="eastAsia" w:ascii="宋体" w:hAnsi="宋体" w:eastAsia="宋体" w:cs="Arial"/>
          <w:b w:val="0"/>
          <w:color w:val="auto"/>
          <w:sz w:val="22"/>
          <w:szCs w:val="22"/>
          <w:highlight w:val="none"/>
        </w:rPr>
        <w:t>，否则按投标供应商默认处理；</w:t>
      </w:r>
    </w:p>
    <w:p w14:paraId="202A8E2A">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注：格式详见“</w:t>
      </w:r>
      <w:r>
        <w:rPr>
          <w:rFonts w:hint="eastAsia" w:ascii="宋体" w:hAnsi="宋体" w:eastAsia="宋体"/>
          <w:color w:val="auto"/>
          <w:highlight w:val="none"/>
        </w:rPr>
        <w:t xml:space="preserve"> </w:t>
      </w:r>
      <w:r>
        <w:rPr>
          <w:rFonts w:hint="eastAsia" w:ascii="宋体" w:hAnsi="宋体" w:eastAsia="宋体" w:cs="Arial"/>
          <w:b w:val="0"/>
          <w:color w:val="auto"/>
          <w:sz w:val="22"/>
          <w:szCs w:val="22"/>
          <w:highlight w:val="none"/>
        </w:rPr>
        <w:t>第五部分</w:t>
      </w:r>
      <w:r>
        <w:rPr>
          <w:rFonts w:ascii="宋体" w:hAnsi="宋体" w:eastAsia="宋体" w:cs="Arial"/>
          <w:b w:val="0"/>
          <w:color w:val="auto"/>
          <w:sz w:val="22"/>
          <w:szCs w:val="22"/>
          <w:highlight w:val="none"/>
        </w:rPr>
        <w:t xml:space="preserve"> 投标文件格式</w:t>
      </w:r>
      <w:r>
        <w:rPr>
          <w:rFonts w:hint="eastAsia" w:ascii="宋体" w:hAnsi="宋体" w:eastAsia="宋体" w:cs="Arial"/>
          <w:b w:val="0"/>
          <w:color w:val="auto"/>
          <w:sz w:val="22"/>
          <w:szCs w:val="22"/>
          <w:highlight w:val="none"/>
        </w:rPr>
        <w:t>”中的“三、采购活动现场确认声明书格式”。</w:t>
      </w:r>
    </w:p>
    <w:p w14:paraId="72F14454">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ascii="宋体" w:hAnsi="宋体" w:eastAsia="宋体" w:cs="Arial"/>
          <w:b w:val="0"/>
          <w:color w:val="auto"/>
          <w:sz w:val="22"/>
          <w:szCs w:val="22"/>
          <w:highlight w:val="none"/>
        </w:rPr>
        <w:t>3</w:t>
      </w:r>
      <w:r>
        <w:rPr>
          <w:rFonts w:hint="eastAsia" w:ascii="宋体" w:hAnsi="宋体" w:eastAsia="宋体" w:cs="Arial"/>
          <w:b w:val="0"/>
          <w:color w:val="auto"/>
          <w:sz w:val="22"/>
          <w:szCs w:val="22"/>
          <w:highlight w:val="none"/>
        </w:rPr>
        <w:t>）开启技术资信文件，进入资格审查；</w:t>
      </w:r>
    </w:p>
    <w:p w14:paraId="4B14DC2D">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ascii="宋体" w:hAnsi="宋体" w:eastAsia="宋体" w:cs="Arial"/>
          <w:b w:val="0"/>
          <w:color w:val="auto"/>
          <w:sz w:val="22"/>
          <w:szCs w:val="22"/>
          <w:highlight w:val="none"/>
        </w:rPr>
        <w:t>4</w:t>
      </w:r>
      <w:r>
        <w:rPr>
          <w:rFonts w:hint="eastAsia" w:ascii="宋体" w:hAnsi="宋体" w:eastAsia="宋体" w:cs="Arial"/>
          <w:b w:val="0"/>
          <w:color w:val="auto"/>
          <w:sz w:val="22"/>
          <w:szCs w:val="22"/>
          <w:highlight w:val="none"/>
        </w:rPr>
        <w:t>）资格审查未通过的供应商将通过邮件形式告知；资格审查通过的投标供应商进入技术资信评审；</w:t>
      </w:r>
    </w:p>
    <w:p w14:paraId="5C5B1F56">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（6）技术资信评审结束后，通过发送邮件形式</w:t>
      </w:r>
      <w:r>
        <w:rPr>
          <w:rFonts w:ascii="宋体" w:hAnsi="宋体" w:eastAsia="宋体" w:cs="Arial"/>
          <w:b w:val="0"/>
          <w:color w:val="auto"/>
          <w:sz w:val="22"/>
          <w:szCs w:val="22"/>
          <w:highlight w:val="none"/>
        </w:rPr>
        <w:t>公布</w:t>
      </w:r>
      <w:r>
        <w:rPr>
          <w:rFonts w:hint="eastAsia" w:ascii="宋体" w:hAnsi="宋体" w:eastAsia="宋体" w:cs="Arial"/>
          <w:b w:val="0"/>
          <w:color w:val="auto"/>
          <w:sz w:val="22"/>
          <w:szCs w:val="22"/>
          <w:highlight w:val="none"/>
        </w:rPr>
        <w:t>供应</w:t>
      </w:r>
      <w:r>
        <w:rPr>
          <w:rFonts w:ascii="宋体" w:hAnsi="宋体" w:eastAsia="宋体" w:cs="Arial"/>
          <w:b w:val="0"/>
          <w:color w:val="auto"/>
          <w:sz w:val="22"/>
          <w:szCs w:val="22"/>
          <w:highlight w:val="none"/>
        </w:rPr>
        <w:t>技术</w:t>
      </w:r>
      <w:r>
        <w:rPr>
          <w:rFonts w:hint="eastAsia" w:ascii="宋体" w:hAnsi="宋体" w:eastAsia="宋体" w:cs="Arial"/>
          <w:b w:val="0"/>
          <w:color w:val="auto"/>
          <w:sz w:val="22"/>
          <w:szCs w:val="22"/>
          <w:highlight w:val="none"/>
        </w:rPr>
        <w:t>资信</w:t>
      </w:r>
      <w:r>
        <w:rPr>
          <w:rFonts w:ascii="宋体" w:hAnsi="宋体" w:eastAsia="宋体" w:cs="Arial"/>
          <w:b w:val="0"/>
          <w:color w:val="auto"/>
          <w:sz w:val="22"/>
          <w:szCs w:val="22"/>
          <w:highlight w:val="none"/>
        </w:rPr>
        <w:t>评审</w:t>
      </w:r>
      <w:r>
        <w:rPr>
          <w:rFonts w:hint="eastAsia" w:ascii="宋体" w:hAnsi="宋体" w:eastAsia="宋体" w:cs="Arial"/>
          <w:b w:val="0"/>
          <w:color w:val="auto"/>
          <w:sz w:val="22"/>
          <w:szCs w:val="22"/>
          <w:highlight w:val="none"/>
        </w:rPr>
        <w:t>后有效投标</w:t>
      </w:r>
      <w:r>
        <w:rPr>
          <w:rFonts w:ascii="宋体" w:hAnsi="宋体" w:eastAsia="宋体" w:cs="Arial"/>
          <w:b w:val="0"/>
          <w:color w:val="auto"/>
          <w:sz w:val="22"/>
          <w:szCs w:val="22"/>
          <w:highlight w:val="none"/>
        </w:rPr>
        <w:t>供应商</w:t>
      </w:r>
      <w:r>
        <w:rPr>
          <w:rFonts w:hint="eastAsia" w:ascii="宋体" w:hAnsi="宋体" w:eastAsia="宋体" w:cs="Arial"/>
          <w:b w:val="0"/>
          <w:color w:val="auto"/>
          <w:sz w:val="22"/>
          <w:szCs w:val="22"/>
          <w:highlight w:val="none"/>
        </w:rPr>
        <w:t>的</w:t>
      </w:r>
      <w:r>
        <w:rPr>
          <w:rFonts w:ascii="宋体" w:hAnsi="宋体" w:eastAsia="宋体" w:cs="Arial"/>
          <w:b w:val="0"/>
          <w:color w:val="auto"/>
          <w:sz w:val="22"/>
          <w:szCs w:val="22"/>
          <w:highlight w:val="none"/>
        </w:rPr>
        <w:t>名单及各供应商得分情况</w:t>
      </w:r>
      <w:r>
        <w:rPr>
          <w:rFonts w:hint="eastAsia" w:ascii="宋体" w:hAnsi="宋体" w:eastAsia="宋体" w:cs="Arial"/>
          <w:b w:val="0"/>
          <w:color w:val="auto"/>
          <w:sz w:val="22"/>
          <w:szCs w:val="22"/>
          <w:highlight w:val="none"/>
        </w:rPr>
        <w:t>。随后开启商务报价投标文件，通过发送邮件形式</w:t>
      </w:r>
      <w:r>
        <w:rPr>
          <w:rFonts w:ascii="宋体" w:hAnsi="宋体" w:eastAsia="宋体" w:cs="Arial"/>
          <w:b w:val="0"/>
          <w:color w:val="auto"/>
          <w:sz w:val="22"/>
          <w:szCs w:val="22"/>
          <w:highlight w:val="none"/>
        </w:rPr>
        <w:t>公布</w:t>
      </w:r>
      <w:r>
        <w:rPr>
          <w:rFonts w:hint="eastAsia" w:ascii="宋体" w:hAnsi="宋体" w:eastAsia="宋体" w:cs="Arial"/>
          <w:b w:val="0"/>
          <w:color w:val="auto"/>
          <w:sz w:val="22"/>
          <w:szCs w:val="22"/>
          <w:highlight w:val="none"/>
        </w:rPr>
        <w:t>供应商</w:t>
      </w:r>
      <w:r>
        <w:rPr>
          <w:rFonts w:ascii="宋体" w:hAnsi="宋体" w:eastAsia="宋体" w:cs="Arial"/>
          <w:b w:val="0"/>
          <w:color w:val="auto"/>
          <w:sz w:val="22"/>
          <w:szCs w:val="22"/>
          <w:highlight w:val="none"/>
        </w:rPr>
        <w:t>务</w:t>
      </w:r>
      <w:r>
        <w:rPr>
          <w:rFonts w:hint="eastAsia" w:ascii="宋体" w:hAnsi="宋体" w:eastAsia="宋体" w:cs="Arial"/>
          <w:b w:val="0"/>
          <w:color w:val="auto"/>
          <w:sz w:val="22"/>
          <w:szCs w:val="22"/>
          <w:highlight w:val="none"/>
        </w:rPr>
        <w:t>报价</w:t>
      </w:r>
      <w:r>
        <w:rPr>
          <w:rFonts w:ascii="宋体" w:hAnsi="宋体" w:eastAsia="宋体" w:cs="Arial"/>
          <w:b w:val="0"/>
          <w:color w:val="auto"/>
          <w:sz w:val="22"/>
          <w:szCs w:val="22"/>
          <w:highlight w:val="none"/>
        </w:rPr>
        <w:t>评审</w:t>
      </w:r>
      <w:r>
        <w:rPr>
          <w:rFonts w:hint="eastAsia" w:ascii="宋体" w:hAnsi="宋体" w:eastAsia="宋体" w:cs="Arial"/>
          <w:b w:val="0"/>
          <w:color w:val="auto"/>
          <w:sz w:val="22"/>
          <w:szCs w:val="22"/>
          <w:highlight w:val="none"/>
        </w:rPr>
        <w:t>后有效投标</w:t>
      </w:r>
      <w:r>
        <w:rPr>
          <w:rFonts w:ascii="宋体" w:hAnsi="宋体" w:eastAsia="宋体" w:cs="Arial"/>
          <w:b w:val="0"/>
          <w:color w:val="auto"/>
          <w:sz w:val="22"/>
          <w:szCs w:val="22"/>
          <w:highlight w:val="none"/>
        </w:rPr>
        <w:t>供应商</w:t>
      </w:r>
      <w:r>
        <w:rPr>
          <w:rFonts w:hint="eastAsia" w:ascii="宋体" w:hAnsi="宋体" w:eastAsia="宋体" w:cs="Arial"/>
          <w:b w:val="0"/>
          <w:color w:val="auto"/>
          <w:sz w:val="22"/>
          <w:szCs w:val="22"/>
          <w:highlight w:val="none"/>
        </w:rPr>
        <w:t>的</w:t>
      </w:r>
      <w:r>
        <w:rPr>
          <w:rFonts w:ascii="宋体" w:hAnsi="宋体" w:eastAsia="宋体" w:cs="Arial"/>
          <w:b w:val="0"/>
          <w:color w:val="auto"/>
          <w:sz w:val="22"/>
          <w:szCs w:val="22"/>
          <w:highlight w:val="none"/>
        </w:rPr>
        <w:t>名单及各供应商得分情况</w:t>
      </w:r>
      <w:r>
        <w:rPr>
          <w:rFonts w:hint="eastAsia" w:ascii="宋体" w:hAnsi="宋体" w:eastAsia="宋体" w:cs="Arial"/>
          <w:b w:val="0"/>
          <w:color w:val="auto"/>
          <w:sz w:val="22"/>
          <w:szCs w:val="22"/>
          <w:highlight w:val="none"/>
        </w:rPr>
        <w:t>。</w:t>
      </w:r>
    </w:p>
    <w:p w14:paraId="1D074654">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（7）评审结束后，通过发送邮件形式公布中标（成交）候选供应商名单，及采购人最终确定中标或成交供应商名单的时间和公告方式等。</w:t>
      </w:r>
    </w:p>
    <w:p w14:paraId="26010898">
      <w:pPr>
        <w:pStyle w:val="21"/>
        <w:spacing w:line="440" w:lineRule="atLeast"/>
        <w:ind w:firstLine="442" w:firstLineChars="200"/>
        <w:rPr>
          <w:rFonts w:hint="eastAsia" w:ascii="宋体" w:hAnsi="宋体" w:eastAsia="宋体" w:cs="Arial"/>
          <w:b w:val="0"/>
          <w:color w:val="auto"/>
          <w:sz w:val="22"/>
          <w:szCs w:val="22"/>
          <w:highlight w:val="none"/>
        </w:rPr>
      </w:pPr>
      <w:r>
        <w:rPr>
          <w:rFonts w:hint="eastAsia" w:ascii="宋体" w:hAnsi="宋体" w:eastAsia="宋体" w:cs="Arial"/>
          <w:color w:val="auto"/>
          <w:sz w:val="22"/>
          <w:szCs w:val="22"/>
          <w:highlight w:val="none"/>
        </w:rPr>
        <w:t>特别说明：如遇“乐采云平台”电子化开标或评审程序调整的，按调整后程序执行。</w:t>
      </w:r>
    </w:p>
    <w:p w14:paraId="10CDF3E4">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3、评标</w:t>
      </w:r>
    </w:p>
    <w:p w14:paraId="5873457F">
      <w:pPr>
        <w:pStyle w:val="21"/>
        <w:adjustRightInd w:val="0"/>
        <w:snapToGrid w:val="0"/>
        <w:spacing w:line="440" w:lineRule="atLeast"/>
        <w:ind w:firstLine="440" w:firstLineChars="200"/>
        <w:rPr>
          <w:rFonts w:hint="eastAsia" w:ascii="宋体" w:hAnsi="宋体" w:eastAsia="宋体"/>
          <w:b w:val="0"/>
          <w:color w:val="auto"/>
          <w:sz w:val="22"/>
          <w:szCs w:val="22"/>
          <w:highlight w:val="none"/>
        </w:rPr>
      </w:pPr>
      <w:r>
        <w:rPr>
          <w:rFonts w:hint="eastAsia" w:ascii="宋体" w:hAnsi="宋体" w:eastAsia="宋体" w:cs="Arial"/>
          <w:b w:val="0"/>
          <w:color w:val="auto"/>
          <w:sz w:val="22"/>
          <w:szCs w:val="22"/>
          <w:highlight w:val="none"/>
        </w:rPr>
        <w:t>3.1评标由采购人依法组建的评标委员会负责</w:t>
      </w:r>
      <w:r>
        <w:rPr>
          <w:rFonts w:hint="eastAsia" w:ascii="宋体" w:hAnsi="宋体" w:eastAsia="宋体"/>
          <w:b w:val="0"/>
          <w:color w:val="auto"/>
          <w:sz w:val="22"/>
          <w:szCs w:val="22"/>
          <w:highlight w:val="none"/>
        </w:rPr>
        <w:t>，并独立履行下列职责：</w:t>
      </w:r>
    </w:p>
    <w:p w14:paraId="4C90A19C">
      <w:pPr>
        <w:snapToGrid w:val="0"/>
        <w:spacing w:line="440" w:lineRule="atLeast"/>
        <w:ind w:firstLine="431" w:firstLineChars="196"/>
        <w:rPr>
          <w:rFonts w:hint="eastAsia" w:ascii="宋体" w:hAnsi="宋体"/>
          <w:b w:val="0"/>
          <w:color w:val="auto"/>
          <w:sz w:val="22"/>
          <w:szCs w:val="22"/>
          <w:highlight w:val="none"/>
        </w:rPr>
      </w:pPr>
      <w:r>
        <w:rPr>
          <w:rFonts w:hint="eastAsia" w:ascii="宋体" w:hAnsi="宋体"/>
          <w:b w:val="0"/>
          <w:color w:val="auto"/>
          <w:sz w:val="22"/>
          <w:szCs w:val="22"/>
          <w:highlight w:val="none"/>
        </w:rPr>
        <w:t>1）审查投标文件是否符合招标文件要求，并作出评价；</w:t>
      </w:r>
    </w:p>
    <w:p w14:paraId="016CD25A">
      <w:pPr>
        <w:snapToGrid w:val="0"/>
        <w:spacing w:line="44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2）要求投标供应商对投标文件有关事项作出解释或者澄清；</w:t>
      </w:r>
    </w:p>
    <w:p w14:paraId="31365F60">
      <w:pPr>
        <w:snapToGrid w:val="0"/>
        <w:spacing w:line="44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3）按照招标文件确定的评标办法向采购人推荐中标候选人；</w:t>
      </w:r>
    </w:p>
    <w:p w14:paraId="7A97C8D8">
      <w:pPr>
        <w:pStyle w:val="21"/>
        <w:adjustRightInd w:val="0"/>
        <w:snapToGrid w:val="0"/>
        <w:spacing w:line="440" w:lineRule="atLeast"/>
        <w:ind w:firstLine="431" w:firstLineChars="196"/>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4）向采购机构或者有关部门报告非法干预评标工作的行为。</w:t>
      </w:r>
    </w:p>
    <w:p w14:paraId="2FC7121B">
      <w:pPr>
        <w:snapToGrid w:val="0"/>
        <w:spacing w:line="440" w:lineRule="atLeast"/>
        <w:ind w:firstLine="431" w:firstLineChars="196"/>
        <w:rPr>
          <w:rFonts w:hint="eastAsia" w:ascii="宋体" w:hAnsi="宋体"/>
          <w:b w:val="0"/>
          <w:color w:val="auto"/>
          <w:sz w:val="22"/>
          <w:szCs w:val="22"/>
          <w:highlight w:val="none"/>
        </w:rPr>
      </w:pPr>
      <w:r>
        <w:rPr>
          <w:rFonts w:hint="eastAsia" w:ascii="宋体" w:hAnsi="宋体"/>
          <w:b w:val="0"/>
          <w:color w:val="auto"/>
          <w:sz w:val="22"/>
          <w:szCs w:val="22"/>
          <w:highlight w:val="none"/>
        </w:rPr>
        <w:t>3.2评标应当遵循下列工作程序：</w:t>
      </w:r>
    </w:p>
    <w:p w14:paraId="4C736243">
      <w:pPr>
        <w:snapToGrid w:val="0"/>
        <w:spacing w:line="44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1）投标文件初审。初审分为资格性检查和符合性检查。</w:t>
      </w:r>
    </w:p>
    <w:p w14:paraId="62CCA825">
      <w:pPr>
        <w:snapToGrid w:val="0"/>
        <w:spacing w:line="44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（1）资格性检查。依据法律法规和招标文件的规定，对投标文件中的资格证明等进行审查，以确定投标供应商是否具备投标资格。</w:t>
      </w:r>
    </w:p>
    <w:p w14:paraId="1554027A">
      <w:pPr>
        <w:snapToGrid w:val="0"/>
        <w:spacing w:line="44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（2）符合性检查。依据招标文件的规定，从投标文件的有效性、完整性和对招标文件的响应程度进行审查，以确定是否对招标文件的实质性要求作出响应。</w:t>
      </w:r>
    </w:p>
    <w:p w14:paraId="11E1327D">
      <w:pPr>
        <w:snapToGrid w:val="0"/>
        <w:spacing w:line="440" w:lineRule="atLeast"/>
        <w:ind w:firstLine="440" w:firstLineChars="200"/>
        <w:rPr>
          <w:rFonts w:hint="eastAsia" w:ascii="宋体" w:hAnsi="宋体"/>
          <w:b w:val="0"/>
          <w:color w:val="auto"/>
          <w:sz w:val="22"/>
          <w:szCs w:val="22"/>
          <w:highlight w:val="none"/>
        </w:rPr>
      </w:pPr>
      <w:r>
        <w:rPr>
          <w:rFonts w:ascii="宋体" w:hAnsi="宋体"/>
          <w:b w:val="0"/>
          <w:color w:val="auto"/>
          <w:sz w:val="22"/>
          <w:szCs w:val="22"/>
          <w:highlight w:val="none"/>
        </w:rPr>
        <w:t>2</w:t>
      </w:r>
      <w:r>
        <w:rPr>
          <w:rFonts w:hint="eastAsia" w:ascii="宋体" w:hAnsi="宋体"/>
          <w:b w:val="0"/>
          <w:color w:val="auto"/>
          <w:sz w:val="22"/>
          <w:szCs w:val="22"/>
          <w:highlight w:val="none"/>
        </w:rPr>
        <w:t>）比较与评价。按招标文件中规定的评标方法和标准，对资格性检查和符合性检查合格的投标文件进行商务和技术评估，综合比较与评价。</w:t>
      </w:r>
    </w:p>
    <w:p w14:paraId="1C789068">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3.3、</w:t>
      </w:r>
      <w:r>
        <w:rPr>
          <w:rFonts w:hint="eastAsia" w:ascii="宋体" w:hAnsi="宋体" w:eastAsia="宋体" w:cs="Arial"/>
          <w:color w:val="auto"/>
          <w:sz w:val="22"/>
          <w:szCs w:val="22"/>
          <w:highlight w:val="none"/>
        </w:rPr>
        <w:t>评标时发现投标文件有下列情形之一的属于重大偏差(评标委员会按少数服从多数原则认定),按照无效投标处理：</w:t>
      </w:r>
    </w:p>
    <w:p w14:paraId="10CAB016">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1）未按招标文件要求编制或字迹模糊、辨认不清的投标文件；</w:t>
      </w:r>
    </w:p>
    <w:p w14:paraId="43C013CA">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2）供应商递交两份或两份以上内容不同的投标文件，未声明其中一份为有效的或同一投标文件中出现有选择性的报价，未声明以其中一个报价为准的；</w:t>
      </w:r>
    </w:p>
    <w:p w14:paraId="7FEA1C87">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3）投标文件中投标函、法定代表人授权委托书、开标一览表中没有加盖有效公章；</w:t>
      </w:r>
    </w:p>
    <w:p w14:paraId="45A9BCE1">
      <w:pPr>
        <w:pStyle w:val="21"/>
        <w:adjustRightInd w:val="0"/>
        <w:snapToGrid w:val="0"/>
        <w:spacing w:line="440" w:lineRule="atLeast"/>
        <w:ind w:firstLine="440" w:firstLineChars="200"/>
        <w:rPr>
          <w:rFonts w:hint="eastAsia" w:ascii="宋体" w:hAnsi="宋体" w:eastAsia="宋体"/>
          <w:b w:val="0"/>
          <w:color w:val="auto"/>
          <w:sz w:val="22"/>
          <w:highlight w:val="none"/>
        </w:rPr>
      </w:pPr>
      <w:r>
        <w:rPr>
          <w:rFonts w:hint="eastAsia" w:ascii="宋体" w:hAnsi="宋体" w:eastAsia="宋体"/>
          <w:b w:val="0"/>
          <w:color w:val="auto"/>
          <w:sz w:val="22"/>
          <w:highlight w:val="none"/>
        </w:rPr>
        <w:t>5）</w:t>
      </w:r>
      <w:r>
        <w:rPr>
          <w:rFonts w:hint="eastAsia" w:ascii="宋体" w:hAnsi="宋体" w:eastAsia="宋体" w:cs="Arial"/>
          <w:b w:val="0"/>
          <w:color w:val="auto"/>
          <w:sz w:val="22"/>
          <w:szCs w:val="22"/>
          <w:highlight w:val="none"/>
        </w:rPr>
        <w:t>投标文件中未提供</w:t>
      </w:r>
      <w:r>
        <w:rPr>
          <w:rFonts w:hint="eastAsia" w:ascii="宋体" w:hAnsi="宋体" w:eastAsia="宋体"/>
          <w:b w:val="0"/>
          <w:color w:val="auto"/>
          <w:sz w:val="22"/>
          <w:highlight w:val="none"/>
        </w:rPr>
        <w:t>供应商营业执照（或事业单位法人证书）、税务登记证或三（五）证合一证照的（复印件加盖投标人公章）；</w:t>
      </w:r>
    </w:p>
    <w:p w14:paraId="1FD9EC83">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b w:val="0"/>
          <w:color w:val="auto"/>
          <w:sz w:val="22"/>
          <w:highlight w:val="none"/>
        </w:rPr>
        <w:t>6）</w:t>
      </w:r>
      <w:r>
        <w:rPr>
          <w:rFonts w:hint="eastAsia" w:ascii="宋体" w:hAnsi="宋体" w:eastAsia="宋体" w:cs="Arial"/>
          <w:b w:val="0"/>
          <w:color w:val="auto"/>
          <w:sz w:val="22"/>
          <w:szCs w:val="22"/>
          <w:highlight w:val="none"/>
        </w:rPr>
        <w:t>供应商技术资信投标文件中出现投标产品的商务报价；</w:t>
      </w:r>
    </w:p>
    <w:p w14:paraId="6B055BFD">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7</w:t>
      </w:r>
      <w:r>
        <w:rPr>
          <w:rFonts w:hint="eastAsia" w:ascii="宋体" w:hAnsi="宋体" w:eastAsia="宋体" w:cs="Arial"/>
          <w:b w:val="0"/>
          <w:color w:val="auto"/>
          <w:sz w:val="22"/>
          <w:szCs w:val="22"/>
          <w:highlight w:val="none"/>
        </w:rPr>
        <w:t>）明显不符合技术规格、技术标准的要求或不满足招标文件技术的主要参数或提出的偏离采购人不予接受的投标文件；</w:t>
      </w:r>
    </w:p>
    <w:p w14:paraId="6F696FBA">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8</w:t>
      </w:r>
      <w:r>
        <w:rPr>
          <w:rFonts w:hint="eastAsia" w:ascii="宋体" w:hAnsi="宋体" w:eastAsia="宋体" w:cs="Arial"/>
          <w:b w:val="0"/>
          <w:color w:val="auto"/>
          <w:sz w:val="22"/>
          <w:szCs w:val="22"/>
          <w:highlight w:val="none"/>
        </w:rPr>
        <w:t>）不符合招标文件中规定的其他实质性要求的投标文件(是否为实质性偏离由评标委员会按少数服从多数原则认定)；</w:t>
      </w:r>
    </w:p>
    <w:p w14:paraId="41FCC3AE">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9</w:t>
      </w:r>
      <w:r>
        <w:rPr>
          <w:rFonts w:hint="eastAsia" w:ascii="宋体" w:hAnsi="宋体" w:eastAsia="宋体" w:cs="Arial"/>
          <w:b w:val="0"/>
          <w:color w:val="auto"/>
          <w:sz w:val="22"/>
          <w:szCs w:val="22"/>
          <w:highlight w:val="none"/>
        </w:rPr>
        <w:t>）供应商的</w:t>
      </w:r>
      <w:r>
        <w:rPr>
          <w:rFonts w:hint="eastAsia" w:ascii="宋体" w:hAnsi="宋体" w:eastAsia="宋体"/>
          <w:b w:val="0"/>
          <w:color w:val="auto"/>
          <w:sz w:val="22"/>
          <w:szCs w:val="22"/>
          <w:highlight w:val="none"/>
        </w:rPr>
        <w:t>投标文件</w:t>
      </w:r>
      <w:r>
        <w:rPr>
          <w:rFonts w:hint="eastAsia" w:ascii="宋体" w:hAnsi="宋体" w:eastAsia="宋体" w:cs="Arial"/>
          <w:b w:val="0"/>
          <w:color w:val="auto"/>
          <w:sz w:val="22"/>
          <w:szCs w:val="22"/>
          <w:highlight w:val="none"/>
        </w:rPr>
        <w:t>中有不明确的问题或其报价明显不合理且又不能合理说明（解释清楚）或者不能提供相关证明材料的；</w:t>
      </w:r>
    </w:p>
    <w:p w14:paraId="28F9B538">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w:t>
      </w:r>
      <w:r>
        <w:rPr>
          <w:rFonts w:ascii="宋体" w:hAnsi="宋体" w:eastAsia="宋体" w:cs="Arial"/>
          <w:b w:val="0"/>
          <w:color w:val="auto"/>
          <w:sz w:val="22"/>
          <w:szCs w:val="22"/>
          <w:highlight w:val="none"/>
        </w:rPr>
        <w:t>0</w:t>
      </w:r>
      <w:r>
        <w:rPr>
          <w:rFonts w:hint="eastAsia" w:ascii="宋体" w:hAnsi="宋体" w:eastAsia="宋体" w:cs="Arial"/>
          <w:b w:val="0"/>
          <w:color w:val="auto"/>
          <w:sz w:val="22"/>
          <w:szCs w:val="22"/>
          <w:highlight w:val="none"/>
        </w:rPr>
        <w:t>）</w:t>
      </w:r>
      <w:r>
        <w:rPr>
          <w:rFonts w:ascii="宋体" w:hAnsi="宋体" w:eastAsia="宋体" w:cs="Arial"/>
          <w:b w:val="0"/>
          <w:color w:val="auto"/>
          <w:sz w:val="22"/>
          <w:szCs w:val="22"/>
          <w:highlight w:val="none"/>
        </w:rPr>
        <w:t>评审小组认为投标供应商的报价明显低于其他通过符合性审查的投标供应商的报价，有可能影响产品质量或者不能诚信履约的，将要求投标供应商在合理的时间内提供书面说明，必要时提交相关证明材料；投标供应商不能证明其报价合理性的，评审小组将认定为无效投标。</w:t>
      </w:r>
    </w:p>
    <w:p w14:paraId="0FC95143">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w:t>
      </w:r>
      <w:r>
        <w:rPr>
          <w:rFonts w:ascii="宋体" w:hAnsi="宋体" w:eastAsia="宋体" w:cs="Arial"/>
          <w:b w:val="0"/>
          <w:color w:val="auto"/>
          <w:sz w:val="22"/>
          <w:szCs w:val="22"/>
          <w:highlight w:val="none"/>
        </w:rPr>
        <w:t>1</w:t>
      </w:r>
      <w:r>
        <w:rPr>
          <w:rFonts w:hint="eastAsia" w:ascii="宋体" w:hAnsi="宋体" w:eastAsia="宋体" w:cs="Arial"/>
          <w:b w:val="0"/>
          <w:color w:val="auto"/>
          <w:sz w:val="22"/>
          <w:szCs w:val="22"/>
          <w:highlight w:val="none"/>
        </w:rPr>
        <w:t>）存在串标、抬标或弄虚作假情况的</w:t>
      </w:r>
    </w:p>
    <w:p w14:paraId="6B1576BF">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w:t>
      </w:r>
      <w:r>
        <w:rPr>
          <w:rFonts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rPr>
        <w:t>）对关键条文的偏离、保留或反对，例如关于适用法律、税及关税、质量保证期等其他内容</w:t>
      </w:r>
    </w:p>
    <w:p w14:paraId="75EE89F2">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w:t>
      </w:r>
      <w:r>
        <w:rPr>
          <w:rFonts w:ascii="宋体" w:hAnsi="宋体" w:eastAsia="宋体" w:cs="Arial"/>
          <w:b w:val="0"/>
          <w:color w:val="auto"/>
          <w:sz w:val="22"/>
          <w:szCs w:val="22"/>
          <w:highlight w:val="none"/>
        </w:rPr>
        <w:t>3</w:t>
      </w:r>
      <w:r>
        <w:rPr>
          <w:rFonts w:hint="eastAsia" w:ascii="宋体" w:hAnsi="宋体" w:eastAsia="宋体" w:cs="Arial"/>
          <w:b w:val="0"/>
          <w:color w:val="auto"/>
          <w:sz w:val="22"/>
          <w:szCs w:val="22"/>
          <w:highlight w:val="none"/>
        </w:rPr>
        <w:t>）仅提交“备份投标文件”的；</w:t>
      </w:r>
    </w:p>
    <w:p w14:paraId="1404B135">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w:t>
      </w:r>
      <w:r>
        <w:rPr>
          <w:rFonts w:ascii="宋体" w:hAnsi="宋体" w:eastAsia="宋体" w:cs="Arial"/>
          <w:b w:val="0"/>
          <w:color w:val="auto"/>
          <w:sz w:val="22"/>
          <w:szCs w:val="22"/>
          <w:highlight w:val="none"/>
        </w:rPr>
        <w:t>4</w:t>
      </w:r>
      <w:r>
        <w:rPr>
          <w:rFonts w:hint="eastAsia" w:ascii="宋体" w:hAnsi="宋体" w:eastAsia="宋体" w:cs="Arial"/>
          <w:b w:val="0"/>
          <w:color w:val="auto"/>
          <w:sz w:val="22"/>
          <w:szCs w:val="22"/>
          <w:highlight w:val="none"/>
        </w:rPr>
        <w:t>)其他经评标委员会认定的未能在实质上响应的或违反国家有关规定的投标文件。</w:t>
      </w:r>
    </w:p>
    <w:p w14:paraId="37FDAB7A">
      <w:pPr>
        <w:pStyle w:val="21"/>
        <w:adjustRightInd w:val="0"/>
        <w:snapToGrid w:val="0"/>
        <w:spacing w:line="460" w:lineRule="atLeast"/>
        <w:ind w:firstLine="330" w:firstLineChars="15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3.4、开启供应商商务报价文件后发现价格、数量有误，其投标价将按下述原则处理：</w:t>
      </w:r>
    </w:p>
    <w:p w14:paraId="1848A99A">
      <w:pPr>
        <w:adjustRightInd w:val="0"/>
        <w:snapToGrid w:val="0"/>
        <w:spacing w:line="46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1)任何有漏去一些小项货物或服务的将被视为其费用已包含在投标总价中，投标价格不予调整。如果供应商不接受上述处理方式，将做为无效投标。</w:t>
      </w:r>
    </w:p>
    <w:p w14:paraId="581D86CD">
      <w:pPr>
        <w:adjustRightInd w:val="0"/>
        <w:snapToGrid w:val="0"/>
        <w:spacing w:line="46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2)任何有多报一些小项工程或货物的其投标价不予调整，如果该供应商中标，则合同价格必须为核减掉多报的一些小项工程或货物后的价格。如果供应商不接受上述处理方式，将做为无效投标。</w:t>
      </w:r>
    </w:p>
    <w:p w14:paraId="0B3A2ACD">
      <w:pPr>
        <w:adjustRightInd w:val="0"/>
        <w:snapToGrid w:val="0"/>
        <w:spacing w:line="46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3）对于计算错误的其投标价不予调整，如果该供应商中标，如其投标价格计算错误导致实际价格增加，则合同价格必须为计算正确的实际价格。如果供应商不接受上述处理方式，将做为无效投标。</w:t>
      </w:r>
    </w:p>
    <w:p w14:paraId="42AA9D48">
      <w:pPr>
        <w:adjustRightInd w:val="0"/>
        <w:snapToGrid w:val="0"/>
        <w:spacing w:line="460" w:lineRule="atLeast"/>
        <w:ind w:firstLine="440" w:firstLineChars="200"/>
        <w:rPr>
          <w:rFonts w:hint="eastAsia" w:ascii="宋体" w:hAnsi="宋体"/>
          <w:b w:val="0"/>
          <w:color w:val="auto"/>
          <w:sz w:val="22"/>
          <w:szCs w:val="22"/>
          <w:highlight w:val="none"/>
        </w:rPr>
      </w:pPr>
      <w:r>
        <w:rPr>
          <w:rFonts w:hint="eastAsia" w:ascii="宋体" w:hAnsi="宋体"/>
          <w:b w:val="0"/>
          <w:color w:val="auto"/>
          <w:sz w:val="22"/>
          <w:szCs w:val="22"/>
          <w:highlight w:val="none"/>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7DABF47C">
      <w:pPr>
        <w:adjustRightInd w:val="0"/>
        <w:snapToGrid w:val="0"/>
        <w:spacing w:line="440" w:lineRule="atLeast"/>
        <w:ind w:firstLine="440" w:firstLineChars="200"/>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3.5、实质上没有响应招标文件要求的投标将被拒绝。评标委员会不得通过询标使供应商修正或撤消不合要求的偏离从而使其投标成为实质上响应的投标。</w:t>
      </w:r>
    </w:p>
    <w:p w14:paraId="26575341">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3.6、评标委员会对投标文件的判定，只依据投标内容本身，不依靠开标后的任何外来证明。</w:t>
      </w:r>
    </w:p>
    <w:p w14:paraId="4E382C0D">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3.7、评标委员会</w:t>
      </w:r>
      <w:r>
        <w:rPr>
          <w:rFonts w:hint="eastAsia" w:ascii="宋体" w:hAnsi="宋体" w:eastAsia="宋体"/>
          <w:b w:val="0"/>
          <w:color w:val="auto"/>
          <w:sz w:val="22"/>
          <w:szCs w:val="22"/>
          <w:highlight w:val="none"/>
        </w:rPr>
        <w:t>在评标中，不得改变招标文件中规定的评标标准、方法和中标条件。</w:t>
      </w:r>
    </w:p>
    <w:p w14:paraId="5D8AEC2F">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4、投标文件的澄清</w:t>
      </w:r>
    </w:p>
    <w:p w14:paraId="34B15558">
      <w:pPr>
        <w:snapToGrid w:val="0"/>
        <w:spacing w:line="440" w:lineRule="atLeast"/>
        <w:ind w:firstLine="433" w:firstLineChars="196"/>
        <w:rPr>
          <w:rFonts w:hint="eastAsia" w:ascii="宋体" w:hAnsi="宋体" w:cs="Arial"/>
          <w:color w:val="auto"/>
          <w:sz w:val="22"/>
          <w:szCs w:val="22"/>
          <w:highlight w:val="none"/>
        </w:rPr>
      </w:pPr>
      <w:r>
        <w:rPr>
          <w:rFonts w:hint="eastAsia" w:ascii="宋体" w:hAnsi="宋体" w:cs="Arial"/>
          <w:color w:val="auto"/>
          <w:sz w:val="22"/>
          <w:szCs w:val="22"/>
          <w:highlight w:val="none"/>
        </w:rPr>
        <w:t>（1）对于投标文件中含义不明确、同类问题表述不一致或者有明显文字和计算错误的内容，评标委员会将以书面形式（或通过“乐采云平台”在线询标）的形式要求</w:t>
      </w:r>
      <w:r>
        <w:rPr>
          <w:rFonts w:ascii="宋体" w:hAnsi="宋体" w:cs="Arial"/>
          <w:color w:val="auto"/>
          <w:sz w:val="22"/>
          <w:szCs w:val="22"/>
          <w:highlight w:val="none"/>
        </w:rPr>
        <w:t>投标供应商</w:t>
      </w:r>
      <w:r>
        <w:rPr>
          <w:rFonts w:hint="eastAsia" w:ascii="宋体" w:hAnsi="宋体" w:cs="Arial"/>
          <w:color w:val="auto"/>
          <w:sz w:val="22"/>
          <w:szCs w:val="22"/>
          <w:highlight w:val="none"/>
        </w:rPr>
        <w:t>在规定的时间内作出必要的澄清、说明或者补正，投标供应商澄清、说明或补正时间为30分钟。</w:t>
      </w:r>
    </w:p>
    <w:p w14:paraId="7857AB99">
      <w:pPr>
        <w:snapToGrid w:val="0"/>
        <w:spacing w:line="440" w:lineRule="atLeast"/>
        <w:ind w:firstLine="433" w:firstLineChars="196"/>
        <w:rPr>
          <w:rFonts w:hint="eastAsia" w:ascii="宋体" w:hAnsi="宋体" w:cs="Arial"/>
          <w:b w:val="0"/>
          <w:color w:val="auto"/>
          <w:sz w:val="22"/>
          <w:szCs w:val="22"/>
          <w:highlight w:val="none"/>
        </w:rPr>
      </w:pPr>
      <w:r>
        <w:rPr>
          <w:rFonts w:ascii="宋体" w:hAnsi="宋体" w:cs="Arial"/>
          <w:color w:val="auto"/>
          <w:sz w:val="22"/>
          <w:szCs w:val="22"/>
          <w:highlight w:val="none"/>
        </w:rPr>
        <w:t>（</w:t>
      </w:r>
      <w:r>
        <w:rPr>
          <w:rFonts w:hint="eastAsia" w:ascii="宋体" w:hAnsi="宋体" w:cs="Arial"/>
          <w:color w:val="auto"/>
          <w:sz w:val="22"/>
          <w:szCs w:val="22"/>
          <w:highlight w:val="none"/>
        </w:rPr>
        <w:t>2</w:t>
      </w:r>
      <w:r>
        <w:rPr>
          <w:rFonts w:ascii="宋体" w:hAnsi="宋体" w:cs="Arial"/>
          <w:color w:val="auto"/>
          <w:sz w:val="22"/>
          <w:szCs w:val="22"/>
          <w:highlight w:val="none"/>
        </w:rPr>
        <w:t>）投标供应商</w:t>
      </w:r>
      <w:r>
        <w:rPr>
          <w:rFonts w:hint="eastAsia" w:ascii="宋体" w:hAnsi="宋体" w:cs="Arial"/>
          <w:color w:val="auto"/>
          <w:sz w:val="22"/>
          <w:szCs w:val="22"/>
          <w:highlight w:val="none"/>
        </w:rPr>
        <w:t>的澄清、说明或者补正应当采用书面（或通过“乐采云平台”在线答复）形式提交，并加盖公章，或者由法定代表人或其授权的代表签字。</w:t>
      </w:r>
      <w:r>
        <w:rPr>
          <w:rFonts w:ascii="宋体" w:hAnsi="宋体" w:cs="Arial"/>
          <w:color w:val="auto"/>
          <w:sz w:val="22"/>
          <w:szCs w:val="22"/>
          <w:highlight w:val="none"/>
        </w:rPr>
        <w:t>投标供应商</w:t>
      </w:r>
      <w:r>
        <w:rPr>
          <w:rFonts w:hint="eastAsia" w:ascii="宋体" w:hAnsi="宋体" w:cs="Arial"/>
          <w:color w:val="auto"/>
          <w:sz w:val="22"/>
          <w:szCs w:val="22"/>
          <w:highlight w:val="none"/>
        </w:rPr>
        <w:t>的澄清、说明或者补正不得超出投标文件的范围或者改变投标文件的实质性内容。</w:t>
      </w:r>
    </w:p>
    <w:p w14:paraId="2E321399">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b w:val="0"/>
          <w:color w:val="auto"/>
          <w:sz w:val="22"/>
          <w:szCs w:val="22"/>
          <w:highlight w:val="none"/>
        </w:rPr>
        <w:t>5、</w:t>
      </w:r>
      <w:r>
        <w:rPr>
          <w:rFonts w:hint="eastAsia" w:ascii="宋体" w:hAnsi="宋体" w:eastAsia="宋体" w:cs="Arial"/>
          <w:b w:val="0"/>
          <w:color w:val="auto"/>
          <w:sz w:val="22"/>
          <w:szCs w:val="22"/>
          <w:highlight w:val="none"/>
        </w:rPr>
        <w:t>评标原则</w:t>
      </w:r>
    </w:p>
    <w:p w14:paraId="37B4C94E">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评标委员会按照招标文件的要求和条件对投标文件进行商务和技术评估，综合比较与评价。</w:t>
      </w:r>
    </w:p>
    <w:p w14:paraId="4A63D1B0">
      <w:pPr>
        <w:pStyle w:val="21"/>
        <w:adjustRightInd w:val="0"/>
        <w:snapToGrid w:val="0"/>
        <w:spacing w:line="440" w:lineRule="atLeast"/>
        <w:ind w:firstLine="421" w:firstLineChars="162"/>
        <w:rPr>
          <w:rFonts w:hint="eastAsia" w:ascii="宋体" w:hAnsi="宋体" w:eastAsia="宋体" w:cs="Arial"/>
          <w:b w:val="0"/>
          <w:color w:val="auto"/>
          <w:sz w:val="22"/>
          <w:szCs w:val="22"/>
          <w:highlight w:val="none"/>
        </w:rPr>
      </w:pPr>
      <w:r>
        <w:rPr>
          <w:rFonts w:hint="eastAsia" w:ascii="宋体" w:hAnsi="宋体" w:eastAsia="宋体" w:cs="Arial"/>
          <w:b w:val="0"/>
          <w:color w:val="auto"/>
          <w:spacing w:val="20"/>
          <w:sz w:val="22"/>
          <w:szCs w:val="22"/>
          <w:highlight w:val="none"/>
        </w:rPr>
        <w:t>评标办法：</w:t>
      </w:r>
      <w:r>
        <w:rPr>
          <w:rFonts w:hint="eastAsia" w:ascii="宋体" w:hAnsi="宋体" w:eastAsia="宋体" w:cs="Arial"/>
          <w:b w:val="0"/>
          <w:color w:val="auto"/>
          <w:sz w:val="22"/>
          <w:szCs w:val="22"/>
          <w:highlight w:val="none"/>
        </w:rPr>
        <w:t>采用综合评分法,将最大限度地满足招标文件中规定的各项综合评价标准第一名的供应商,推荐为中标候选人（附后）。</w:t>
      </w:r>
    </w:p>
    <w:p w14:paraId="3E3C244A">
      <w:pPr>
        <w:pStyle w:val="4"/>
        <w:tabs>
          <w:tab w:val="clear" w:pos="720"/>
        </w:tabs>
        <w:spacing w:before="0" w:after="120" w:line="700" w:lineRule="exact"/>
        <w:ind w:left="0" w:firstLine="0"/>
        <w:rPr>
          <w:rFonts w:hint="eastAsia" w:ascii="宋体" w:hAnsi="宋体" w:eastAsia="宋体"/>
          <w:b/>
          <w:color w:val="auto"/>
          <w:sz w:val="22"/>
          <w:szCs w:val="22"/>
          <w:highlight w:val="none"/>
        </w:rPr>
      </w:pPr>
      <w:bookmarkStart w:id="50" w:name="_Toc132122418"/>
      <w:bookmarkStart w:id="51" w:name="_Toc132123636"/>
      <w:bookmarkStart w:id="52" w:name="_Toc132125576"/>
      <w:bookmarkStart w:id="53" w:name="_Toc132125039"/>
      <w:bookmarkStart w:id="54" w:name="_Toc132655778"/>
      <w:bookmarkStart w:id="55" w:name="_Toc132123883"/>
      <w:bookmarkStart w:id="56" w:name="_Toc132126156"/>
      <w:bookmarkStart w:id="57" w:name="_Toc132125985"/>
      <w:bookmarkStart w:id="58" w:name="_Toc132123549"/>
      <w:bookmarkStart w:id="59" w:name="_Toc132122121"/>
      <w:bookmarkStart w:id="60" w:name="_Toc132124596"/>
      <w:bookmarkStart w:id="61" w:name="_Toc132123840"/>
      <w:bookmarkStart w:id="62" w:name="_Toc132125153"/>
      <w:bookmarkStart w:id="63" w:name="_Toc132123441"/>
      <w:bookmarkStart w:id="64" w:name="_Toc132125097"/>
      <w:r>
        <w:rPr>
          <w:rFonts w:hint="eastAsia" w:ascii="宋体" w:hAnsi="宋体" w:eastAsia="宋体"/>
          <w:b/>
          <w:color w:val="auto"/>
          <w:sz w:val="22"/>
          <w:szCs w:val="22"/>
          <w:highlight w:val="none"/>
        </w:rPr>
        <w:t>六、授予合同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86B2DA7">
      <w:pPr>
        <w:pStyle w:val="21"/>
        <w:adjustRightInd w:val="0"/>
        <w:snapToGrid w:val="0"/>
        <w:spacing w:line="440" w:lineRule="atLeast"/>
        <w:ind w:firstLine="440" w:firstLineChars="200"/>
        <w:outlineLvl w:val="1"/>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1、中标条件</w:t>
      </w:r>
    </w:p>
    <w:p w14:paraId="4CDCD186">
      <w:pPr>
        <w:adjustRightInd w:val="0"/>
        <w:snapToGrid w:val="0"/>
        <w:spacing w:line="440" w:lineRule="atLeast"/>
        <w:ind w:firstLine="440" w:firstLineChars="200"/>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1)投标文件基本符合招标文件要求，能够最大限度满足招标文件中规定的各项综合评价标准</w:t>
      </w:r>
    </w:p>
    <w:p w14:paraId="7A8518FF">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2)供应商有很好的执行合同的能力</w:t>
      </w:r>
    </w:p>
    <w:p w14:paraId="6C945B8F">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bookmarkStart w:id="65" w:name="_Toc132122419"/>
      <w:bookmarkStart w:id="66" w:name="_Toc132122122"/>
      <w:r>
        <w:rPr>
          <w:rFonts w:hint="eastAsia" w:ascii="宋体" w:hAnsi="宋体" w:eastAsia="宋体" w:cs="Arial"/>
          <w:b w:val="0"/>
          <w:color w:val="auto"/>
          <w:sz w:val="22"/>
          <w:szCs w:val="22"/>
          <w:highlight w:val="none"/>
        </w:rPr>
        <w:t>3)供应商能够提供质量技术、商务经济占综合优势的产品及服务</w:t>
      </w:r>
      <w:bookmarkEnd w:id="65"/>
      <w:bookmarkEnd w:id="66"/>
    </w:p>
    <w:p w14:paraId="068866CC">
      <w:pPr>
        <w:pStyle w:val="21"/>
        <w:adjustRightInd w:val="0"/>
        <w:snapToGrid w:val="0"/>
        <w:spacing w:line="440" w:lineRule="atLeast"/>
        <w:ind w:firstLine="433" w:firstLineChars="196"/>
        <w:rPr>
          <w:rFonts w:hint="eastAsia" w:ascii="宋体" w:hAnsi="宋体" w:eastAsia="宋体" w:cs="Arial"/>
          <w:bCs w:val="0"/>
          <w:color w:val="auto"/>
          <w:sz w:val="22"/>
          <w:szCs w:val="22"/>
          <w:highlight w:val="none"/>
          <w:u w:val="single"/>
        </w:rPr>
      </w:pPr>
      <w:r>
        <w:rPr>
          <w:rFonts w:hint="eastAsia" w:ascii="宋体" w:hAnsi="宋体" w:eastAsia="宋体" w:cs="Arial"/>
          <w:bCs w:val="0"/>
          <w:color w:val="auto"/>
          <w:sz w:val="22"/>
          <w:szCs w:val="22"/>
          <w:highlight w:val="none"/>
          <w:u w:val="single"/>
        </w:rPr>
        <w:t>采购机构将把中标通知书授予综合得分第一名投标者，但最低报价不是中标的唯一保证。</w:t>
      </w:r>
    </w:p>
    <w:p w14:paraId="122F2C68">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bookmarkStart w:id="67" w:name="_Toc132122123"/>
      <w:bookmarkStart w:id="68" w:name="_Toc132122420"/>
      <w:r>
        <w:rPr>
          <w:rFonts w:hint="eastAsia" w:ascii="宋体" w:hAnsi="宋体" w:eastAsia="宋体" w:cs="Arial"/>
          <w:b w:val="0"/>
          <w:color w:val="auto"/>
          <w:sz w:val="22"/>
          <w:szCs w:val="22"/>
          <w:highlight w:val="none"/>
        </w:rPr>
        <w:t>2、中标通知</w:t>
      </w:r>
      <w:bookmarkEnd w:id="67"/>
      <w:bookmarkEnd w:id="68"/>
    </w:p>
    <w:p w14:paraId="4F9DEA2A">
      <w:pPr>
        <w:adjustRightInd w:val="0"/>
        <w:snapToGrid w:val="0"/>
        <w:spacing w:line="440" w:lineRule="atLeast"/>
        <w:ind w:firstLine="440" w:firstLineChars="200"/>
        <w:rPr>
          <w:rFonts w:hint="eastAsia" w:ascii="宋体" w:hAnsi="宋体"/>
          <w:b w:val="0"/>
          <w:color w:val="auto"/>
          <w:sz w:val="22"/>
          <w:szCs w:val="22"/>
          <w:highlight w:val="none"/>
        </w:rPr>
      </w:pPr>
      <w:r>
        <w:rPr>
          <w:rFonts w:hint="eastAsia" w:ascii="宋体" w:hAnsi="宋体" w:cs="Arial"/>
          <w:b w:val="0"/>
          <w:color w:val="auto"/>
          <w:sz w:val="22"/>
          <w:szCs w:val="22"/>
          <w:highlight w:val="none"/>
        </w:rPr>
        <w:t>2.1、</w:t>
      </w:r>
      <w:r>
        <w:rPr>
          <w:rFonts w:ascii="宋体" w:hAnsi="宋体" w:cs="Arial"/>
          <w:b w:val="0"/>
          <w:color w:val="auto"/>
          <w:sz w:val="22"/>
          <w:szCs w:val="22"/>
          <w:highlight w:val="none"/>
        </w:rPr>
        <w:t>采购组织机构在评标结束后</w:t>
      </w:r>
      <w:r>
        <w:rPr>
          <w:rFonts w:hint="eastAsia" w:ascii="宋体" w:hAnsi="宋体" w:cs="Arial"/>
          <w:b w:val="0"/>
          <w:color w:val="auto"/>
          <w:sz w:val="22"/>
          <w:szCs w:val="22"/>
          <w:highlight w:val="none"/>
        </w:rPr>
        <w:t>的2</w:t>
      </w:r>
      <w:r>
        <w:rPr>
          <w:rFonts w:ascii="宋体" w:hAnsi="宋体" w:cs="Arial"/>
          <w:b w:val="0"/>
          <w:color w:val="auto"/>
          <w:sz w:val="22"/>
          <w:szCs w:val="22"/>
          <w:highlight w:val="none"/>
        </w:rPr>
        <w:t>个工作日内将《评审报告》</w:t>
      </w:r>
      <w:r>
        <w:rPr>
          <w:rFonts w:hint="eastAsia" w:ascii="宋体" w:hAnsi="宋体" w:cs="Arial"/>
          <w:b w:val="0"/>
          <w:color w:val="auto"/>
          <w:sz w:val="22"/>
          <w:szCs w:val="22"/>
          <w:highlight w:val="none"/>
        </w:rPr>
        <w:t>交给采购人</w:t>
      </w:r>
      <w:r>
        <w:rPr>
          <w:rFonts w:ascii="宋体" w:hAnsi="宋体" w:cs="Arial"/>
          <w:b w:val="0"/>
          <w:color w:val="auto"/>
          <w:sz w:val="22"/>
          <w:szCs w:val="22"/>
          <w:highlight w:val="none"/>
        </w:rPr>
        <w:t>确认。</w:t>
      </w:r>
      <w:r>
        <w:rPr>
          <w:rFonts w:hint="eastAsia" w:ascii="宋体" w:hAnsi="宋体" w:cs="Arial"/>
          <w:b w:val="0"/>
          <w:color w:val="auto"/>
          <w:sz w:val="22"/>
          <w:szCs w:val="22"/>
          <w:highlight w:val="none"/>
        </w:rPr>
        <w:t>采购人将在收到评审报告后的5个工作日内确定中标成交供应商，并将确认意见以书面形式回复采购代理机构。</w:t>
      </w:r>
    </w:p>
    <w:p w14:paraId="14BD0ACF">
      <w:pPr>
        <w:adjustRightInd w:val="0"/>
        <w:snapToGrid w:val="0"/>
        <w:spacing w:line="440" w:lineRule="atLeast"/>
        <w:ind w:firstLine="440" w:firstLineChars="200"/>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采购结果经采购人确认后2个工作日内，采购代理机构将对外发布中标成交公告和中标通知书</w:t>
      </w:r>
    </w:p>
    <w:p w14:paraId="22A41E73">
      <w:pPr>
        <w:adjustRightInd w:val="0"/>
        <w:snapToGrid w:val="0"/>
        <w:spacing w:line="440" w:lineRule="atLeast"/>
        <w:ind w:firstLine="440" w:firstLineChars="200"/>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2.2、评标委员会对评标结果不负责解释。</w:t>
      </w:r>
    </w:p>
    <w:p w14:paraId="1F944C99">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3、询问、质疑和投诉</w:t>
      </w:r>
    </w:p>
    <w:p w14:paraId="0B3E9261">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3.1</w:t>
      </w:r>
      <w:r>
        <w:rPr>
          <w:rFonts w:ascii="宋体" w:hAnsi="宋体" w:eastAsia="宋体" w:cs="Arial"/>
          <w:b w:val="0"/>
          <w:color w:val="auto"/>
          <w:sz w:val="22"/>
          <w:szCs w:val="22"/>
          <w:highlight w:val="none"/>
        </w:rPr>
        <w:t>询问：在采购活动中供应商可以就某一事项向采购组织机构发出“询问”，采购组织机构将在收到供应商“询问”后三个工作日内予以答复，但规定不予答复的内容除外。</w:t>
      </w:r>
    </w:p>
    <w:p w14:paraId="36B07576">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3.2</w:t>
      </w:r>
      <w:r>
        <w:rPr>
          <w:rFonts w:ascii="宋体" w:hAnsi="宋体" w:eastAsia="宋体" w:cs="Arial"/>
          <w:b w:val="0"/>
          <w:color w:val="auto"/>
          <w:sz w:val="22"/>
          <w:szCs w:val="22"/>
          <w:highlight w:val="none"/>
        </w:rPr>
        <w:t>质疑：投标供应商认为采购文件、采购过程和采购结果使自己的合法权益受到损害的，应当在知道或者应知其权益受到损害之日起七个工作日内，以书面形式向采购组织机构提出质疑。</w:t>
      </w:r>
      <w:r>
        <w:rPr>
          <w:rFonts w:hint="eastAsia" w:ascii="宋体" w:hAnsi="宋体" w:eastAsia="宋体" w:cs="Arial"/>
          <w:b w:val="0"/>
          <w:color w:val="auto"/>
          <w:sz w:val="22"/>
          <w:szCs w:val="22"/>
          <w:highlight w:val="none"/>
        </w:rPr>
        <w:t>对采购文件提出质疑的，应在规定的时间内提出，</w:t>
      </w:r>
      <w:r>
        <w:rPr>
          <w:rFonts w:ascii="宋体" w:hAnsi="宋体" w:eastAsia="宋体" w:cs="Arial"/>
          <w:b w:val="0"/>
          <w:color w:val="auto"/>
          <w:sz w:val="22"/>
          <w:szCs w:val="22"/>
          <w:highlight w:val="none"/>
        </w:rPr>
        <w:t>否则采购组织机构可以不予答复。</w:t>
      </w:r>
    </w:p>
    <w:p w14:paraId="30C7C38F">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3.2.1上述所指“供应商应知其权益受到损害之日”，是指：</w:t>
      </w:r>
    </w:p>
    <w:p w14:paraId="59319E48">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（一）</w:t>
      </w:r>
      <w:r>
        <w:rPr>
          <w:rFonts w:ascii="宋体" w:hAnsi="宋体" w:eastAsia="宋体" w:cs="Wingdings"/>
          <w:b w:val="0"/>
          <w:color w:val="auto"/>
          <w:sz w:val="22"/>
          <w:szCs w:val="22"/>
          <w:highlight w:val="none"/>
        </w:rPr>
        <w:t>对采购文件提出质疑的，为</w:t>
      </w:r>
      <w:r>
        <w:rPr>
          <w:rFonts w:hint="eastAsia" w:ascii="宋体" w:hAnsi="宋体" w:eastAsia="宋体" w:cs="Wingdings"/>
          <w:b w:val="0"/>
          <w:color w:val="auto"/>
          <w:sz w:val="22"/>
          <w:szCs w:val="22"/>
          <w:highlight w:val="none"/>
        </w:rPr>
        <w:t>获取采购文件之日或者采购文件公告期限届满之日（公告期限届满后获取采购文件的，以公告期限届满之日为准）起</w:t>
      </w:r>
      <w:r>
        <w:rPr>
          <w:rFonts w:ascii="宋体" w:hAnsi="宋体" w:eastAsia="宋体" w:cs="Wingdings"/>
          <w:b w:val="0"/>
          <w:color w:val="auto"/>
          <w:sz w:val="22"/>
          <w:szCs w:val="22"/>
          <w:highlight w:val="none"/>
        </w:rPr>
        <w:t>7</w:t>
      </w:r>
      <w:r>
        <w:rPr>
          <w:rFonts w:hint="eastAsia" w:ascii="宋体" w:hAnsi="宋体" w:eastAsia="宋体" w:cs="Wingdings"/>
          <w:b w:val="0"/>
          <w:color w:val="auto"/>
          <w:sz w:val="22"/>
          <w:szCs w:val="22"/>
          <w:highlight w:val="none"/>
        </w:rPr>
        <w:t>个工作日内</w:t>
      </w:r>
      <w:r>
        <w:rPr>
          <w:rFonts w:ascii="宋体" w:hAnsi="宋体" w:eastAsia="宋体" w:cs="Arial"/>
          <w:b w:val="0"/>
          <w:color w:val="auto"/>
          <w:sz w:val="22"/>
          <w:szCs w:val="22"/>
          <w:highlight w:val="none"/>
        </w:rPr>
        <w:t>；</w:t>
      </w:r>
    </w:p>
    <w:p w14:paraId="6F80973E">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（二）对采购过程提出质疑的，为各采购程序环节结束之日；</w:t>
      </w:r>
    </w:p>
    <w:p w14:paraId="238767B4">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（三）对中标或者成交结果提出质疑的，为中标或者成交结果公告期限届满之日。</w:t>
      </w:r>
    </w:p>
    <w:p w14:paraId="6087724B">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3.2.2</w:t>
      </w:r>
      <w:r>
        <w:rPr>
          <w:rFonts w:ascii="宋体" w:hAnsi="宋体" w:eastAsia="宋体" w:cs="Arial"/>
          <w:b w:val="0"/>
          <w:color w:val="auto"/>
          <w:sz w:val="22"/>
          <w:szCs w:val="22"/>
          <w:highlight w:val="none"/>
        </w:rPr>
        <w:t>质疑书须包括以下内容：</w:t>
      </w:r>
    </w:p>
    <w:p w14:paraId="7BCEDA06">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（一）质疑人的名称、地址、邮政编码、联系人、联系电话、法定代表人签字或盖章；</w:t>
      </w:r>
    </w:p>
    <w:p w14:paraId="181BEB0A">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（二）被质疑采购项目名称、编号及采购内容；</w:t>
      </w:r>
    </w:p>
    <w:p w14:paraId="1D1E9FC6">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（三）具体的质疑事项及事实依据；</w:t>
      </w:r>
    </w:p>
    <w:p w14:paraId="4641DA53">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（四）认为自己合法权益受到损害或可能受到损害的相关证据材料；</w:t>
      </w:r>
    </w:p>
    <w:p w14:paraId="787BA84B">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（五）提出质疑的日期。</w:t>
      </w:r>
    </w:p>
    <w:p w14:paraId="1D741026">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3.2.3</w:t>
      </w:r>
      <w:r>
        <w:rPr>
          <w:rFonts w:ascii="宋体" w:hAnsi="宋体" w:eastAsia="宋体" w:cs="Arial"/>
          <w:b w:val="0"/>
          <w:color w:val="auto"/>
          <w:sz w:val="22"/>
          <w:szCs w:val="22"/>
          <w:highlight w:val="none"/>
        </w:rPr>
        <w:t>投标供应商认可采购组织机构在质疑答复程序中启用的调查和重新评审等程序，在该程序操作过程未明显违反法律禁止性规定时，不得再提出异议。</w:t>
      </w:r>
    </w:p>
    <w:p w14:paraId="65CAB6B5">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046D1130">
      <w:pPr>
        <w:adjustRightInd w:val="0"/>
        <w:snapToGrid w:val="0"/>
        <w:spacing w:line="440" w:lineRule="atLeast"/>
        <w:ind w:firstLine="440" w:firstLineChars="200"/>
        <w:rPr>
          <w:rFonts w:hint="eastAsia" w:ascii="宋体" w:hAnsi="宋体" w:cs="Arial"/>
          <w:b w:val="0"/>
          <w:color w:val="auto"/>
          <w:sz w:val="22"/>
          <w:szCs w:val="22"/>
          <w:highlight w:val="none"/>
        </w:rPr>
      </w:pPr>
      <w:r>
        <w:rPr>
          <w:rFonts w:hint="eastAsia" w:ascii="宋体" w:hAnsi="宋体" w:cs="Arial"/>
          <w:b w:val="0"/>
          <w:color w:val="auto"/>
          <w:sz w:val="22"/>
          <w:szCs w:val="22"/>
          <w:highlight w:val="none"/>
        </w:rPr>
        <w:t>3</w:t>
      </w:r>
      <w:r>
        <w:rPr>
          <w:rFonts w:ascii="宋体" w:hAnsi="宋体" w:cs="Arial"/>
          <w:b w:val="0"/>
          <w:color w:val="auto"/>
          <w:sz w:val="22"/>
          <w:szCs w:val="22"/>
          <w:highlight w:val="none"/>
        </w:rPr>
        <w:t>.3 投诉：投标供应商对采购组织机构的质疑答复不满意或者采购组织机构未在规定时间内作出答复的，可以在答复期满后十五个工作日内向同级采购监管部门投诉。</w:t>
      </w:r>
    </w:p>
    <w:p w14:paraId="5A0577F7">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bookmarkStart w:id="69" w:name="_Toc132122124"/>
      <w:bookmarkStart w:id="70" w:name="_Toc132122421"/>
      <w:r>
        <w:rPr>
          <w:rFonts w:hint="eastAsia" w:ascii="宋体" w:hAnsi="宋体" w:eastAsia="宋体" w:cs="Arial"/>
          <w:b w:val="0"/>
          <w:color w:val="auto"/>
          <w:sz w:val="22"/>
          <w:szCs w:val="22"/>
          <w:highlight w:val="none"/>
        </w:rPr>
        <w:t>4、签订合同</w:t>
      </w:r>
      <w:bookmarkEnd w:id="69"/>
      <w:bookmarkEnd w:id="70"/>
    </w:p>
    <w:p w14:paraId="4859796D">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4.1、中标供应商在领取中标通知书后7工作日内与采购人签订合同。如中标供应商未经采购人许可，在规定的时间内未到采购人处签订合同的，视为拒签合同，在经监管部门同意后，可以向排名在其后的中标候选人发出中标通知书。</w:t>
      </w:r>
    </w:p>
    <w:p w14:paraId="538CA28E">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4.2、招标文件、中标人的投标文件及投标修改文件、评标过程中有关澄清文件及经双方签章的询标纪要和中标通知书均作为合同附件。</w:t>
      </w:r>
    </w:p>
    <w:p w14:paraId="2A487DB8">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4.3、拒签合同的责任</w:t>
      </w:r>
    </w:p>
    <w:p w14:paraId="425316D0">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中标供应商接到中标通知书后，在规定时间内借故否认已经承诺的条件、拒签合同者，以投标违约处理，并赔偿采购人由此造成的直接经济损失。</w:t>
      </w:r>
    </w:p>
    <w:p w14:paraId="6D73544E">
      <w:pPr>
        <w:pStyle w:val="21"/>
        <w:adjustRightInd w:val="0"/>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采购人重新组织招标的，所需费用由原中标供应商承担。</w:t>
      </w:r>
    </w:p>
    <w:p w14:paraId="2AD8B753">
      <w:pPr>
        <w:pStyle w:val="21"/>
        <w:snapToGrid w:val="0"/>
        <w:spacing w:line="440" w:lineRule="atLeast"/>
        <w:ind w:firstLine="440" w:firstLineChars="200"/>
        <w:rPr>
          <w:rFonts w:hint="eastAsia" w:ascii="宋体" w:hAnsi="宋体" w:eastAsia="宋体" w:cs="Arial"/>
          <w:b w:val="0"/>
          <w:color w:val="auto"/>
          <w:sz w:val="22"/>
          <w:szCs w:val="22"/>
          <w:highlight w:val="none"/>
        </w:rPr>
      </w:pPr>
      <w:r>
        <w:rPr>
          <w:rFonts w:hint="eastAsia" w:ascii="宋体" w:hAnsi="宋体" w:eastAsia="宋体"/>
          <w:b w:val="0"/>
          <w:color w:val="auto"/>
          <w:sz w:val="22"/>
          <w:szCs w:val="22"/>
          <w:highlight w:val="none"/>
        </w:rPr>
        <w:t>5</w:t>
      </w:r>
      <w:r>
        <w:rPr>
          <w:rFonts w:hint="eastAsia" w:ascii="宋体" w:hAnsi="宋体" w:eastAsia="宋体" w:cs="Arial"/>
          <w:b w:val="0"/>
          <w:color w:val="auto"/>
          <w:sz w:val="22"/>
          <w:szCs w:val="22"/>
          <w:highlight w:val="none"/>
        </w:rPr>
        <w:t>、前期费用及招标代理服务费</w:t>
      </w:r>
    </w:p>
    <w:p w14:paraId="44669B43">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highlight w:val="none"/>
        </w:rPr>
      </w:pPr>
      <w:r>
        <w:rPr>
          <w:rFonts w:hint="eastAsia" w:ascii="宋体" w:hAnsi="宋体"/>
          <w:b w:val="0"/>
          <w:color w:val="auto"/>
          <w:sz w:val="22"/>
          <w:szCs w:val="22"/>
          <w:highlight w:val="none"/>
        </w:rPr>
        <w:t>5.1、</w:t>
      </w:r>
      <w:r>
        <w:rPr>
          <w:rFonts w:ascii="宋体" w:hAnsi="宋体"/>
          <w:b w:val="0"/>
          <w:color w:val="auto"/>
          <w:sz w:val="22"/>
          <w:szCs w:val="22"/>
          <w:highlight w:val="none"/>
        </w:rPr>
        <w:t>中标</w:t>
      </w:r>
      <w:r>
        <w:rPr>
          <w:rFonts w:hint="eastAsia" w:ascii="宋体" w:hAnsi="宋体"/>
          <w:b w:val="0"/>
          <w:color w:val="auto"/>
          <w:sz w:val="22"/>
          <w:szCs w:val="22"/>
          <w:highlight w:val="none"/>
        </w:rPr>
        <w:t>供应商</w:t>
      </w:r>
      <w:r>
        <w:rPr>
          <w:rFonts w:ascii="宋体" w:hAnsi="宋体"/>
          <w:b w:val="0"/>
          <w:color w:val="auto"/>
          <w:sz w:val="22"/>
          <w:szCs w:val="22"/>
          <w:highlight w:val="none"/>
        </w:rPr>
        <w:t>向招标代理机构支付招标代理服务费</w:t>
      </w:r>
      <w:r>
        <w:rPr>
          <w:rFonts w:hint="eastAsia" w:ascii="宋体" w:hAnsi="宋体"/>
          <w:b w:val="0"/>
          <w:color w:val="auto"/>
          <w:sz w:val="22"/>
          <w:szCs w:val="22"/>
          <w:highlight w:val="none"/>
          <w:lang w:val="en-US" w:eastAsia="zh-CN"/>
        </w:rPr>
        <w:t>9000元（不包含于投标报价中）</w:t>
      </w:r>
      <w:r>
        <w:rPr>
          <w:rFonts w:hint="eastAsia" w:ascii="宋体" w:hAnsi="宋体"/>
          <w:b w:val="0"/>
          <w:color w:val="auto"/>
          <w:sz w:val="22"/>
          <w:szCs w:val="22"/>
          <w:highlight w:val="none"/>
        </w:rPr>
        <w:t>。招标代理服务费汇入以下帐号：</w:t>
      </w:r>
    </w:p>
    <w:p w14:paraId="5FDD40B6">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highlight w:val="none"/>
        </w:rPr>
      </w:pPr>
      <w:r>
        <w:rPr>
          <w:rFonts w:ascii="宋体" w:hAnsi="宋体"/>
          <w:b w:val="0"/>
          <w:color w:val="auto"/>
          <w:sz w:val="22"/>
          <w:szCs w:val="22"/>
          <w:highlight w:val="none"/>
        </w:rPr>
        <w:t>户  名：</w:t>
      </w:r>
      <w:r>
        <w:rPr>
          <w:rFonts w:hint="eastAsia" w:ascii="宋体" w:hAnsi="宋体"/>
          <w:b w:val="0"/>
          <w:color w:val="auto"/>
          <w:sz w:val="22"/>
          <w:szCs w:val="22"/>
          <w:highlight w:val="none"/>
        </w:rPr>
        <w:t>温州超然招标代理有限公司</w:t>
      </w:r>
    </w:p>
    <w:p w14:paraId="1AEAE96F">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highlight w:val="none"/>
        </w:rPr>
      </w:pPr>
      <w:r>
        <w:rPr>
          <w:rFonts w:ascii="宋体" w:hAnsi="宋体"/>
          <w:b w:val="0"/>
          <w:color w:val="auto"/>
          <w:sz w:val="22"/>
          <w:szCs w:val="22"/>
          <w:highlight w:val="none"/>
        </w:rPr>
        <w:t>帐  号：</w:t>
      </w:r>
      <w:r>
        <w:rPr>
          <w:rFonts w:hint="eastAsia" w:ascii="宋体" w:hAnsi="宋体"/>
          <w:b w:val="0"/>
          <w:color w:val="auto"/>
          <w:sz w:val="22"/>
          <w:szCs w:val="22"/>
          <w:highlight w:val="none"/>
        </w:rPr>
        <w:t>9330 0901 0011 1188 92</w:t>
      </w:r>
    </w:p>
    <w:p w14:paraId="28A26270">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highlight w:val="none"/>
        </w:rPr>
      </w:pPr>
      <w:r>
        <w:rPr>
          <w:rFonts w:ascii="宋体" w:hAnsi="宋体"/>
          <w:b w:val="0"/>
          <w:color w:val="auto"/>
          <w:sz w:val="22"/>
          <w:szCs w:val="22"/>
          <w:highlight w:val="none"/>
        </w:rPr>
        <w:t>开户行：</w:t>
      </w:r>
      <w:r>
        <w:rPr>
          <w:rFonts w:hint="eastAsia" w:ascii="宋体" w:hAnsi="宋体"/>
          <w:b w:val="0"/>
          <w:color w:val="auto"/>
          <w:sz w:val="22"/>
          <w:szCs w:val="22"/>
          <w:highlight w:val="none"/>
        </w:rPr>
        <w:t>中国邮政储蓄银行股份有限公司苍南县支行</w:t>
      </w:r>
    </w:p>
    <w:p w14:paraId="7920EAA8">
      <w:pPr>
        <w:pStyle w:val="5"/>
        <w:ind w:firstLine="0" w:firstLineChars="0"/>
        <w:rPr>
          <w:rFonts w:ascii="Cambria Math" w:hAnsi="Cambria Math" w:eastAsia="Cambria Math"/>
          <w:color w:val="auto"/>
          <w:highlight w:val="none"/>
        </w:rPr>
      </w:pPr>
    </w:p>
    <w:p w14:paraId="0814AEAF">
      <w:pPr>
        <w:pStyle w:val="5"/>
        <w:ind w:firstLine="0" w:firstLineChars="0"/>
        <w:rPr>
          <w:rFonts w:ascii="Cambria Math" w:hAnsi="Cambria Math" w:eastAsia="宋体"/>
          <w:color w:val="auto"/>
          <w:highlight w:val="none"/>
        </w:rPr>
      </w:pPr>
    </w:p>
    <w:p w14:paraId="23F934D7">
      <w:pPr>
        <w:pStyle w:val="4"/>
        <w:spacing w:before="0" w:after="120" w:line="700" w:lineRule="exact"/>
        <w:ind w:left="0" w:firstLine="0"/>
        <w:jc w:val="center"/>
        <w:rPr>
          <w:rFonts w:ascii="Cambria Math" w:hAnsi="Cambria Math" w:eastAsia="Cambria Math"/>
          <w:b/>
          <w:color w:val="auto"/>
          <w:sz w:val="32"/>
          <w:highlight w:val="none"/>
        </w:rPr>
      </w:pPr>
      <w:r>
        <w:rPr>
          <w:rFonts w:hint="eastAsia" w:ascii="Cambria Math" w:hAnsi="Cambria Math" w:eastAsia="Cambria Math"/>
          <w:b/>
          <w:color w:val="auto"/>
          <w:sz w:val="32"/>
          <w:highlight w:val="none"/>
        </w:rPr>
        <w:t>第四部分、合同格式（仅供参考）</w:t>
      </w:r>
    </w:p>
    <w:p w14:paraId="455DAB37">
      <w:pPr>
        <w:wordWrap w:val="0"/>
        <w:overflowPunct w:val="0"/>
        <w:spacing w:line="360" w:lineRule="auto"/>
        <w:ind w:firstLine="422" w:firstLineChars="200"/>
        <w:jc w:val="right"/>
        <w:rPr>
          <w:rFonts w:hint="eastAsia" w:ascii="Arial" w:hAnsi="新宋体" w:eastAsia="新宋体" w:cs="Arial"/>
          <w:bCs w:val="0"/>
          <w:highlight w:val="none"/>
        </w:rPr>
      </w:pPr>
      <w:r>
        <w:rPr>
          <w:rFonts w:hint="eastAsia" w:ascii="Arial" w:hAnsi="新宋体" w:eastAsia="新宋体" w:cs="Arial"/>
          <w:bCs w:val="0"/>
          <w:highlight w:val="none"/>
        </w:rPr>
        <w:t xml:space="preserve">合同编号：       </w:t>
      </w:r>
    </w:p>
    <w:p w14:paraId="41364D41">
      <w:pPr>
        <w:widowControl/>
        <w:spacing w:line="360" w:lineRule="auto"/>
        <w:ind w:firstLine="440" w:firstLineChars="200"/>
        <w:jc w:val="left"/>
        <w:rPr>
          <w:rFonts w:hint="eastAsia" w:ascii="宋体" w:hAnsi="宋体" w:cs="宋体"/>
          <w:b w:val="0"/>
          <w:sz w:val="22"/>
          <w:szCs w:val="22"/>
          <w:highlight w:val="none"/>
        </w:rPr>
      </w:pPr>
      <w:bookmarkStart w:id="71" w:name="_Hlk107853675"/>
      <w:r>
        <w:rPr>
          <w:rFonts w:hint="eastAsia" w:ascii="宋体" w:hAnsi="宋体" w:cs="宋体"/>
          <w:b w:val="0"/>
          <w:sz w:val="22"/>
          <w:szCs w:val="22"/>
          <w:highlight w:val="none"/>
        </w:rPr>
        <w:t xml:space="preserve">注：该合同样本仅做参考，中标后，以采购人与供应商签订的正式合同为准。 </w:t>
      </w:r>
    </w:p>
    <w:p w14:paraId="5A6114FE">
      <w:pPr>
        <w:widowControl/>
        <w:spacing w:line="360" w:lineRule="auto"/>
        <w:ind w:firstLine="440" w:firstLineChars="200"/>
        <w:jc w:val="left"/>
        <w:rPr>
          <w:rFonts w:hint="eastAsia" w:ascii="宋体" w:hAnsi="宋体" w:cs="宋体"/>
          <w:b w:val="0"/>
          <w:sz w:val="22"/>
          <w:szCs w:val="22"/>
          <w:highlight w:val="none"/>
        </w:rPr>
      </w:pPr>
      <w:r>
        <w:rPr>
          <w:rFonts w:hint="eastAsia" w:ascii="宋体" w:hAnsi="宋体" w:cs="宋体"/>
          <w:b w:val="0"/>
          <w:sz w:val="22"/>
          <w:szCs w:val="22"/>
          <w:highlight w:val="none"/>
        </w:rPr>
        <w:t>采购人</w:t>
      </w:r>
      <w:r>
        <w:rPr>
          <w:rFonts w:hint="eastAsia" w:ascii="宋体" w:hAnsi="宋体" w:cs="宋体"/>
          <w:b w:val="0"/>
          <w:sz w:val="22"/>
          <w:szCs w:val="22"/>
          <w:highlight w:val="none"/>
          <w:u w:val="single"/>
        </w:rPr>
        <w:t>：                （</w:t>
      </w:r>
      <w:r>
        <w:rPr>
          <w:rFonts w:hint="eastAsia" w:ascii="宋体" w:hAnsi="宋体" w:cs="宋体"/>
          <w:b w:val="0"/>
          <w:sz w:val="22"/>
          <w:szCs w:val="22"/>
          <w:highlight w:val="none"/>
        </w:rPr>
        <w:t xml:space="preserve">甲方） </w:t>
      </w:r>
    </w:p>
    <w:p w14:paraId="2C23BF03">
      <w:pPr>
        <w:widowControl/>
        <w:spacing w:line="360" w:lineRule="auto"/>
        <w:ind w:firstLine="440" w:firstLineChars="200"/>
        <w:jc w:val="left"/>
        <w:rPr>
          <w:rFonts w:hint="eastAsia" w:ascii="宋体" w:hAnsi="宋体" w:cs="宋体"/>
          <w:b w:val="0"/>
          <w:sz w:val="22"/>
          <w:szCs w:val="22"/>
          <w:highlight w:val="none"/>
        </w:rPr>
      </w:pPr>
      <w:r>
        <w:rPr>
          <w:rFonts w:hint="eastAsia" w:ascii="宋体" w:hAnsi="宋体" w:cs="宋体"/>
          <w:b w:val="0"/>
          <w:sz w:val="22"/>
          <w:szCs w:val="22"/>
          <w:highlight w:val="none"/>
        </w:rPr>
        <w:t>中标供应商</w:t>
      </w:r>
      <w:r>
        <w:rPr>
          <w:rFonts w:hint="eastAsia" w:ascii="宋体" w:hAnsi="宋体" w:cs="宋体"/>
          <w:b w:val="0"/>
          <w:sz w:val="22"/>
          <w:szCs w:val="22"/>
          <w:highlight w:val="none"/>
          <w:u w:val="single"/>
        </w:rPr>
        <w:t>：                （</w:t>
      </w:r>
      <w:r>
        <w:rPr>
          <w:rFonts w:hint="eastAsia" w:ascii="宋体" w:hAnsi="宋体" w:cs="宋体"/>
          <w:b w:val="0"/>
          <w:sz w:val="22"/>
          <w:szCs w:val="22"/>
          <w:highlight w:val="none"/>
        </w:rPr>
        <w:t xml:space="preserve">乙方） </w:t>
      </w:r>
    </w:p>
    <w:p w14:paraId="462580FE">
      <w:pPr>
        <w:widowControl/>
        <w:spacing w:line="360" w:lineRule="auto"/>
        <w:ind w:firstLine="440" w:firstLineChars="200"/>
        <w:jc w:val="left"/>
        <w:rPr>
          <w:rFonts w:hint="eastAsia" w:ascii="宋体" w:hAnsi="宋体" w:cs="宋体"/>
          <w:b w:val="0"/>
          <w:sz w:val="22"/>
          <w:szCs w:val="22"/>
          <w:highlight w:val="none"/>
        </w:rPr>
      </w:pPr>
      <w:r>
        <w:rPr>
          <w:rFonts w:hint="eastAsia" w:ascii="宋体" w:hAnsi="宋体" w:cs="宋体"/>
          <w:b w:val="0"/>
          <w:sz w:val="22"/>
          <w:szCs w:val="22"/>
          <w:highlight w:val="none"/>
        </w:rPr>
        <w:t>根据      项目（项目编号：    ）的采购结果，及该项目的采购文件、投标文件及其投标中的承诺书等，甲乙双方订立合同，共同遵守。</w:t>
      </w:r>
    </w:p>
    <w:bookmarkEnd w:id="71"/>
    <w:p w14:paraId="66964C7F">
      <w:pPr>
        <w:widowControl/>
        <w:spacing w:line="360" w:lineRule="auto"/>
        <w:jc w:val="left"/>
        <w:rPr>
          <w:rFonts w:hint="eastAsia" w:ascii="宋体" w:hAnsi="宋体" w:cs="宋体"/>
          <w:b w:val="0"/>
          <w:bCs w:val="0"/>
          <w:sz w:val="22"/>
          <w:szCs w:val="22"/>
          <w:highlight w:val="none"/>
        </w:rPr>
      </w:pPr>
      <w:bookmarkStart w:id="72" w:name="_Toc1978"/>
      <w:bookmarkStart w:id="73" w:name="_Toc15928"/>
      <w:bookmarkStart w:id="74" w:name="_Toc18775"/>
      <w:bookmarkStart w:id="75" w:name="_Toc2315"/>
      <w:bookmarkStart w:id="76" w:name="_Toc28251"/>
      <w:bookmarkStart w:id="77" w:name="_Hlk107854715"/>
      <w:r>
        <w:rPr>
          <w:rFonts w:hint="eastAsia" w:ascii="宋体" w:hAnsi="宋体" w:cs="宋体"/>
          <w:b w:val="0"/>
          <w:bCs w:val="0"/>
          <w:sz w:val="22"/>
          <w:szCs w:val="22"/>
          <w:highlight w:val="none"/>
        </w:rPr>
        <w:t>一、本合同签订依据</w:t>
      </w:r>
      <w:bookmarkEnd w:id="72"/>
      <w:bookmarkEnd w:id="73"/>
      <w:bookmarkEnd w:id="74"/>
      <w:bookmarkEnd w:id="75"/>
      <w:bookmarkEnd w:id="76"/>
    </w:p>
    <w:p w14:paraId="7CC3044C">
      <w:pPr>
        <w:widowControl/>
        <w:spacing w:line="360" w:lineRule="auto"/>
        <w:ind w:firstLine="440" w:firstLineChars="200"/>
        <w:jc w:val="left"/>
        <w:rPr>
          <w:rFonts w:hint="eastAsia" w:ascii="宋体" w:hAnsi="宋体" w:cs="宋体"/>
          <w:b w:val="0"/>
          <w:sz w:val="22"/>
          <w:szCs w:val="22"/>
          <w:highlight w:val="none"/>
        </w:rPr>
      </w:pPr>
      <w:r>
        <w:rPr>
          <w:rFonts w:hint="eastAsia" w:ascii="宋体" w:hAnsi="宋体" w:cs="宋体"/>
          <w:b w:val="0"/>
          <w:sz w:val="22"/>
          <w:szCs w:val="22"/>
          <w:highlight w:val="none"/>
        </w:rPr>
        <w:t>《温州市市属国有企业采购管理办法（试行）》温国资委〔2020〕125号及《中华人民共和国民法典》等有关法律法规。</w:t>
      </w:r>
    </w:p>
    <w:p w14:paraId="768D3CC0">
      <w:pPr>
        <w:spacing w:line="360" w:lineRule="auto"/>
        <w:outlineLvl w:val="0"/>
        <w:rPr>
          <w:rFonts w:hint="eastAsia" w:ascii="宋体" w:hAnsi="宋体" w:cs="宋体"/>
          <w:b w:val="0"/>
          <w:sz w:val="22"/>
          <w:szCs w:val="22"/>
          <w:highlight w:val="none"/>
        </w:rPr>
      </w:pPr>
      <w:bookmarkStart w:id="78" w:name="_Toc32248"/>
      <w:bookmarkStart w:id="79" w:name="_Toc31996"/>
      <w:bookmarkStart w:id="80" w:name="_Toc17184"/>
      <w:bookmarkStart w:id="81" w:name="_Toc20725"/>
      <w:bookmarkStart w:id="82" w:name="_Toc30758"/>
      <w:r>
        <w:rPr>
          <w:rFonts w:hint="eastAsia" w:ascii="宋体" w:hAnsi="宋体" w:cs="宋体"/>
          <w:b w:val="0"/>
          <w:bCs w:val="0"/>
          <w:sz w:val="22"/>
          <w:szCs w:val="22"/>
          <w:highlight w:val="none"/>
        </w:rPr>
        <w:t>二、</w:t>
      </w:r>
      <w:bookmarkEnd w:id="78"/>
      <w:bookmarkEnd w:id="79"/>
      <w:bookmarkEnd w:id="80"/>
      <w:bookmarkEnd w:id="81"/>
      <w:bookmarkEnd w:id="82"/>
      <w:r>
        <w:rPr>
          <w:rFonts w:hint="eastAsia" w:ascii="宋体" w:hAnsi="宋体" w:cs="宋体"/>
          <w:b w:val="0"/>
          <w:sz w:val="22"/>
          <w:szCs w:val="22"/>
          <w:highlight w:val="none"/>
        </w:rPr>
        <w:t>价款</w:t>
      </w:r>
    </w:p>
    <w:p w14:paraId="4280C0E4">
      <w:pPr>
        <w:spacing w:line="360" w:lineRule="auto"/>
        <w:ind w:firstLine="440" w:firstLineChars="200"/>
        <w:rPr>
          <w:rFonts w:hint="eastAsia" w:ascii="宋体" w:hAnsi="宋体" w:cs="宋体"/>
          <w:b w:val="0"/>
          <w:sz w:val="22"/>
          <w:szCs w:val="22"/>
          <w:highlight w:val="none"/>
        </w:rPr>
      </w:pPr>
      <w:bookmarkStart w:id="83" w:name="_Toc3654"/>
      <w:bookmarkStart w:id="84" w:name="_Toc30506"/>
      <w:bookmarkStart w:id="85" w:name="_Toc14993"/>
      <w:bookmarkStart w:id="86" w:name="_Toc30158"/>
      <w:bookmarkStart w:id="87" w:name="_Toc26916"/>
      <w:r>
        <w:rPr>
          <w:rFonts w:hint="eastAsia" w:ascii="宋体" w:hAnsi="宋体" w:cs="宋体"/>
          <w:b w:val="0"/>
          <w:bCs w:val="0"/>
          <w:sz w:val="22"/>
          <w:szCs w:val="22"/>
          <w:highlight w:val="none"/>
        </w:rPr>
        <w:t>本项目为总价合同，本合同</w:t>
      </w:r>
      <w:bookmarkEnd w:id="83"/>
      <w:bookmarkEnd w:id="84"/>
      <w:bookmarkEnd w:id="85"/>
      <w:bookmarkEnd w:id="86"/>
      <w:bookmarkEnd w:id="87"/>
      <w:r>
        <w:rPr>
          <w:rFonts w:hint="eastAsia" w:ascii="宋体" w:hAnsi="宋体" w:cs="宋体"/>
          <w:b w:val="0"/>
          <w:sz w:val="22"/>
          <w:szCs w:val="22"/>
          <w:highlight w:val="none"/>
        </w:rPr>
        <w:t>合同金额（中标金额</w:t>
      </w:r>
      <w:r>
        <w:rPr>
          <w:rFonts w:hint="eastAsia" w:ascii="宋体" w:hAnsi="宋体" w:cs="宋体"/>
          <w:b w:val="0"/>
          <w:bCs w:val="0"/>
          <w:sz w:val="22"/>
          <w:szCs w:val="22"/>
          <w:highlight w:val="none"/>
        </w:rPr>
        <w:t>（含税）</w:t>
      </w:r>
      <w:r>
        <w:rPr>
          <w:rFonts w:hint="eastAsia" w:ascii="宋体" w:hAnsi="宋体" w:cs="宋体"/>
          <w:b w:val="0"/>
          <w:sz w:val="22"/>
          <w:szCs w:val="22"/>
          <w:highlight w:val="none"/>
        </w:rPr>
        <w:t>）：￥</w:t>
      </w:r>
      <w:r>
        <w:rPr>
          <w:rFonts w:hint="eastAsia" w:ascii="宋体" w:hAnsi="宋体" w:cs="宋体"/>
          <w:b w:val="0"/>
          <w:sz w:val="22"/>
          <w:szCs w:val="22"/>
          <w:highlight w:val="none"/>
          <w:u w:val="single"/>
        </w:rPr>
        <w:t xml:space="preserve">       </w:t>
      </w:r>
      <w:r>
        <w:rPr>
          <w:rFonts w:hint="eastAsia" w:ascii="宋体" w:hAnsi="宋体" w:cs="宋体"/>
          <w:b w:val="0"/>
          <w:sz w:val="22"/>
          <w:szCs w:val="22"/>
          <w:highlight w:val="none"/>
        </w:rPr>
        <w:t>元（大写：</w:t>
      </w:r>
      <w:r>
        <w:rPr>
          <w:rFonts w:hint="eastAsia" w:ascii="宋体" w:hAnsi="宋体" w:cs="宋体"/>
          <w:b w:val="0"/>
          <w:sz w:val="22"/>
          <w:szCs w:val="22"/>
          <w:highlight w:val="none"/>
          <w:u w:val="single"/>
        </w:rPr>
        <w:t xml:space="preserve">        </w:t>
      </w:r>
      <w:r>
        <w:rPr>
          <w:rFonts w:hint="eastAsia" w:ascii="宋体" w:hAnsi="宋体" w:cs="宋体"/>
          <w:b w:val="0"/>
          <w:sz w:val="22"/>
          <w:szCs w:val="22"/>
          <w:highlight w:val="none"/>
        </w:rPr>
        <w:t>元人民币）</w:t>
      </w:r>
      <w:r>
        <w:rPr>
          <w:rFonts w:hint="eastAsia" w:ascii="宋体" w:hAnsi="宋体" w:cs="宋体"/>
          <w:b w:val="0"/>
          <w:sz w:val="22"/>
          <w:szCs w:val="22"/>
          <w:highlight w:val="none"/>
          <w:lang w:val="zh-CN"/>
        </w:rPr>
        <w:t>。</w:t>
      </w:r>
    </w:p>
    <w:p w14:paraId="70740D66">
      <w:pPr>
        <w:widowControl/>
        <w:spacing w:line="360" w:lineRule="auto"/>
        <w:jc w:val="left"/>
        <w:rPr>
          <w:rFonts w:hint="eastAsia" w:ascii="宋体" w:hAnsi="宋体" w:cs="宋体"/>
          <w:b w:val="0"/>
          <w:bCs w:val="0"/>
          <w:sz w:val="22"/>
          <w:szCs w:val="22"/>
          <w:highlight w:val="none"/>
        </w:rPr>
      </w:pPr>
      <w:r>
        <w:rPr>
          <w:rFonts w:hint="eastAsia" w:ascii="宋体" w:hAnsi="宋体" w:cs="宋体"/>
          <w:b w:val="0"/>
          <w:bCs w:val="0"/>
          <w:sz w:val="22"/>
          <w:szCs w:val="22"/>
          <w:highlight w:val="none"/>
        </w:rPr>
        <w:t>三、服务内容</w:t>
      </w:r>
    </w:p>
    <w:p w14:paraId="62B96873">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rPr>
        <w:t>1、</w:t>
      </w:r>
      <w:r>
        <w:rPr>
          <w:rFonts w:hint="eastAsia" w:ascii="宋体" w:hAnsi="宋体"/>
          <w:b w:val="0"/>
          <w:sz w:val="22"/>
          <w:szCs w:val="22"/>
          <w:highlight w:val="none"/>
          <w:lang w:val="en-US" w:eastAsia="zh-CN"/>
        </w:rPr>
        <w:t>被保险对象：供水范围内截至到投保月上期月末的在册居民阶梯用水客户，以及保期内新增居民阶梯用水客户。供水范围内截至到投保月上期月末的在册企业客户以及保期内新增企业客户。</w:t>
      </w:r>
      <w:r>
        <w:rPr>
          <w:rFonts w:ascii="宋体" w:hAnsi="宋体"/>
          <w:b w:val="0"/>
          <w:sz w:val="22"/>
          <w:szCs w:val="22"/>
          <w:highlight w:val="none"/>
          <w:lang w:val="en-US" w:eastAsia="zh-CN"/>
        </w:rPr>
        <w:t>居民用水：</w:t>
      </w:r>
      <w:r>
        <w:rPr>
          <w:rFonts w:hint="eastAsia" w:ascii="宋体" w:hAnsi="宋体"/>
          <w:b w:val="0"/>
          <w:sz w:val="22"/>
          <w:szCs w:val="22"/>
          <w:highlight w:val="none"/>
          <w:lang w:val="en-US" w:eastAsia="zh-CN"/>
        </w:rPr>
        <w:t>19万</w:t>
      </w:r>
      <w:r>
        <w:rPr>
          <w:rFonts w:ascii="宋体" w:hAnsi="宋体"/>
          <w:b w:val="0"/>
          <w:sz w:val="22"/>
          <w:szCs w:val="22"/>
          <w:highlight w:val="none"/>
          <w:lang w:val="en-US" w:eastAsia="zh-CN"/>
        </w:rPr>
        <w:t>户，非居民用水：</w:t>
      </w:r>
      <w:r>
        <w:rPr>
          <w:rFonts w:hint="eastAsia" w:ascii="宋体" w:hAnsi="宋体"/>
          <w:b w:val="0"/>
          <w:sz w:val="22"/>
          <w:szCs w:val="22"/>
          <w:highlight w:val="none"/>
          <w:lang w:val="en-US" w:eastAsia="zh-CN"/>
        </w:rPr>
        <w:t>4200</w:t>
      </w:r>
      <w:r>
        <w:rPr>
          <w:rFonts w:ascii="宋体" w:hAnsi="宋体"/>
          <w:b w:val="0"/>
          <w:sz w:val="22"/>
          <w:szCs w:val="22"/>
          <w:highlight w:val="none"/>
          <w:lang w:val="en-US" w:eastAsia="zh-CN"/>
        </w:rPr>
        <w:t>户</w:t>
      </w:r>
      <w:r>
        <w:rPr>
          <w:rFonts w:hint="eastAsia" w:ascii="宋体" w:hAnsi="宋体"/>
          <w:b w:val="0"/>
          <w:sz w:val="22"/>
          <w:szCs w:val="22"/>
          <w:highlight w:val="none"/>
          <w:lang w:val="en-US" w:eastAsia="zh-CN"/>
        </w:rPr>
        <w:t>。</w:t>
      </w:r>
    </w:p>
    <w:p w14:paraId="354B7468">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rPr>
        <w:t>2、</w:t>
      </w:r>
      <w:r>
        <w:rPr>
          <w:rFonts w:hint="eastAsia" w:ascii="宋体" w:hAnsi="宋体"/>
          <w:b w:val="0"/>
          <w:sz w:val="22"/>
          <w:szCs w:val="22"/>
          <w:highlight w:val="none"/>
          <w:lang w:val="en-US" w:eastAsia="zh-CN"/>
        </w:rPr>
        <w:t>保险内容：龙港水务有限公司为被保险对象购买保险，用于居民阶梯用水对象因户内漏水等原因从而需支付超平常量的阶梯差额水费、污水处理费；用于企业客户因厂内漏水等原因从而需要支付超平常量的污水处理费。</w:t>
      </w:r>
    </w:p>
    <w:p w14:paraId="3F075850">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rPr>
        <w:t>3、</w:t>
      </w:r>
      <w:r>
        <w:rPr>
          <w:rFonts w:hint="eastAsia" w:ascii="宋体" w:hAnsi="宋体"/>
          <w:b w:val="0"/>
          <w:sz w:val="22"/>
          <w:szCs w:val="22"/>
          <w:highlight w:val="none"/>
          <w:lang w:val="en-US" w:eastAsia="zh-CN"/>
        </w:rPr>
        <w:t>赔付方式：承保对象发生户内漏水事项后，按对应水价先向水务公司支付水费，再凭水费发票和水务公司出具的户内漏水确认单向投保保险公司索赔。</w:t>
      </w:r>
    </w:p>
    <w:p w14:paraId="71BA18AC">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rPr>
        <w:t>4、</w:t>
      </w:r>
      <w:r>
        <w:rPr>
          <w:rFonts w:hint="eastAsia" w:ascii="宋体" w:hAnsi="宋体"/>
          <w:b w:val="0"/>
          <w:sz w:val="22"/>
          <w:szCs w:val="22"/>
          <w:highlight w:val="none"/>
          <w:lang w:val="en-US" w:eastAsia="zh-CN"/>
        </w:rPr>
        <w:t>赔付金额：用水客户索赔的赔付标的是因户内漏水计量的水量按居民阶梯水价的计价金额与计量水量按居民非阶梯水价计价金额的差额，每次事故绝对免赔50元人民币。企业客户因厂内漏水产生的全部污水费用免赔为50元。</w:t>
      </w:r>
    </w:p>
    <w:p w14:paraId="668A8331">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eastAsia="zh-CN"/>
        </w:rPr>
        <w:t>残疾军人、“三属”（指烈士遗属、因公牺牲军人遗属、病故军人遗属）、复员军人（指1954年10月31日之前入伍，后经批准从部队复员的人员）、带病回乡退伍军人、年龄在70周岁以上的老人、符合低保户要求的低保户，以上人群提供证明不受索赔起点限制。</w:t>
      </w:r>
    </w:p>
    <w:p w14:paraId="73BE7448">
      <w:pPr>
        <w:snapToGrid w:val="0"/>
        <w:spacing w:line="460" w:lineRule="exact"/>
        <w:ind w:firstLine="541" w:firstLineChars="246"/>
        <w:rPr>
          <w:rFonts w:ascii="宋体" w:hAnsi="宋体"/>
          <w:b w:val="0"/>
          <w:sz w:val="22"/>
          <w:szCs w:val="22"/>
          <w:highlight w:val="none"/>
          <w:lang w:val="en-US" w:eastAsia="zh-CN"/>
        </w:rPr>
      </w:pPr>
      <w:r>
        <w:rPr>
          <w:rFonts w:hint="eastAsia" w:ascii="宋体" w:hAnsi="宋体"/>
          <w:b w:val="0"/>
          <w:sz w:val="22"/>
          <w:szCs w:val="22"/>
          <w:highlight w:val="none"/>
          <w:lang w:val="en-US" w:eastAsia="zh-CN"/>
        </w:rPr>
        <w:t>5、赔付期限：投保合同签订之日起壹年，以水费销账日为依据是否在赔付期内。</w:t>
      </w:r>
    </w:p>
    <w:p w14:paraId="7FBE65EA">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6、赔偿限额：保期内赔付限额为合同金额的110%。</w:t>
      </w:r>
    </w:p>
    <w:p w14:paraId="3A2EF739">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7、乙方不定期组织开展保险相关教育，使相关人员充分了解保险重要性。</w:t>
      </w:r>
    </w:p>
    <w:p w14:paraId="37EAB511">
      <w:pPr>
        <w:snapToGrid w:val="0"/>
        <w:spacing w:line="460" w:lineRule="exact"/>
        <w:ind w:firstLine="541" w:firstLineChars="246"/>
        <w:rPr>
          <w:rFonts w:hint="eastAsia" w:ascii="宋体" w:hAnsi="宋体"/>
          <w:b w:val="0"/>
          <w:sz w:val="22"/>
          <w:szCs w:val="22"/>
          <w:highlight w:val="none"/>
          <w:lang w:val="en-US" w:eastAsia="zh-CN"/>
        </w:rPr>
      </w:pPr>
      <w:r>
        <w:rPr>
          <w:rFonts w:hint="eastAsia" w:ascii="宋体" w:hAnsi="宋体"/>
          <w:b w:val="0"/>
          <w:sz w:val="22"/>
          <w:szCs w:val="22"/>
          <w:highlight w:val="none"/>
          <w:lang w:val="en-US" w:eastAsia="zh-CN"/>
        </w:rPr>
        <w:t>8、团队设置：成立针对本次项目的专门团队负责本项目的保险服务。</w:t>
      </w:r>
    </w:p>
    <w:p w14:paraId="68275ECB">
      <w:pPr>
        <w:snapToGrid w:val="0"/>
        <w:spacing w:line="460" w:lineRule="exact"/>
        <w:ind w:firstLine="541" w:firstLineChars="246"/>
        <w:rPr>
          <w:rFonts w:hint="eastAsia" w:ascii="宋体" w:hAnsi="宋体"/>
          <w:b w:val="0"/>
          <w:sz w:val="22"/>
          <w:szCs w:val="22"/>
          <w:highlight w:val="none"/>
          <w:lang w:val="en-US"/>
        </w:rPr>
      </w:pPr>
      <w:r>
        <w:rPr>
          <w:rFonts w:hint="eastAsia" w:ascii="宋体" w:hAnsi="宋体"/>
          <w:b w:val="0"/>
          <w:sz w:val="22"/>
          <w:szCs w:val="22"/>
          <w:highlight w:val="none"/>
          <w:lang w:val="en-US" w:eastAsia="zh-CN"/>
        </w:rPr>
        <w:t>9、勘查时效：设立365天无休日，24小时报案、咨询受理电话服务。</w:t>
      </w:r>
    </w:p>
    <w:p w14:paraId="7AA1DB19">
      <w:pPr>
        <w:widowControl/>
        <w:spacing w:line="360" w:lineRule="auto"/>
        <w:jc w:val="left"/>
        <w:rPr>
          <w:rFonts w:hint="eastAsia" w:ascii="宋体" w:hAnsi="宋体" w:cs="宋体"/>
          <w:b w:val="0"/>
          <w:bCs w:val="0"/>
          <w:sz w:val="22"/>
          <w:szCs w:val="22"/>
          <w:highlight w:val="none"/>
        </w:rPr>
      </w:pPr>
      <w:r>
        <w:rPr>
          <w:rFonts w:hint="eastAsia" w:ascii="宋体" w:hAnsi="宋体" w:cs="宋体"/>
          <w:b w:val="0"/>
          <w:sz w:val="22"/>
          <w:szCs w:val="22"/>
          <w:highlight w:val="none"/>
        </w:rPr>
        <w:t>四、</w:t>
      </w:r>
      <w:r>
        <w:rPr>
          <w:rFonts w:hint="eastAsia" w:ascii="宋体" w:hAnsi="宋体" w:cs="宋体"/>
          <w:b w:val="0"/>
          <w:bCs w:val="0"/>
          <w:sz w:val="22"/>
          <w:szCs w:val="22"/>
          <w:highlight w:val="none"/>
        </w:rPr>
        <w:t>服务期限</w:t>
      </w:r>
    </w:p>
    <w:p w14:paraId="77BD5AAD">
      <w:pPr>
        <w:spacing w:line="360" w:lineRule="auto"/>
        <w:ind w:firstLine="440" w:firstLineChars="200"/>
        <w:rPr>
          <w:rFonts w:hint="eastAsia" w:ascii="宋体" w:hAnsi="宋体" w:cs="宋体"/>
          <w:b w:val="0"/>
          <w:sz w:val="22"/>
          <w:szCs w:val="22"/>
          <w:highlight w:val="none"/>
        </w:rPr>
      </w:pPr>
      <w:r>
        <w:rPr>
          <w:rFonts w:hint="eastAsia" w:ascii="宋体" w:hAnsi="宋体" w:cs="宋体"/>
          <w:b w:val="0"/>
          <w:bCs w:val="0"/>
          <w:sz w:val="22"/>
          <w:szCs w:val="22"/>
          <w:highlight w:val="none"/>
        </w:rPr>
        <w:t>项</w:t>
      </w:r>
      <w:r>
        <w:rPr>
          <w:rFonts w:hint="eastAsia" w:ascii="宋体" w:hAnsi="宋体" w:cs="宋体"/>
          <w:b w:val="0"/>
          <w:sz w:val="22"/>
          <w:szCs w:val="22"/>
          <w:highlight w:val="none"/>
        </w:rPr>
        <w:t>目服务期一年（202</w:t>
      </w:r>
      <w:r>
        <w:rPr>
          <w:rFonts w:hint="eastAsia" w:ascii="宋体" w:hAnsi="宋体" w:cs="宋体"/>
          <w:b w:val="0"/>
          <w:sz w:val="22"/>
          <w:szCs w:val="22"/>
          <w:highlight w:val="none"/>
          <w:lang w:val="en-US" w:eastAsia="zh-CN"/>
        </w:rPr>
        <w:t>5</w:t>
      </w:r>
      <w:r>
        <w:rPr>
          <w:rFonts w:hint="eastAsia" w:ascii="宋体" w:hAnsi="宋体" w:cs="宋体"/>
          <w:b w:val="0"/>
          <w:sz w:val="22"/>
          <w:szCs w:val="22"/>
          <w:highlight w:val="none"/>
        </w:rPr>
        <w:t>年   月   日至202</w:t>
      </w:r>
      <w:r>
        <w:rPr>
          <w:rFonts w:hint="eastAsia" w:ascii="宋体" w:hAnsi="宋体" w:cs="宋体"/>
          <w:b w:val="0"/>
          <w:sz w:val="22"/>
          <w:szCs w:val="22"/>
          <w:highlight w:val="none"/>
          <w:lang w:val="en-US" w:eastAsia="zh-CN"/>
        </w:rPr>
        <w:t>6</w:t>
      </w:r>
      <w:r>
        <w:rPr>
          <w:rFonts w:hint="eastAsia" w:ascii="宋体" w:hAnsi="宋体" w:cs="宋体"/>
          <w:b w:val="0"/>
          <w:sz w:val="22"/>
          <w:szCs w:val="22"/>
          <w:highlight w:val="none"/>
        </w:rPr>
        <w:t>年   月   日），采用1+1+1模式，合同到期后（也可视情况提前1-2月），经甲方与乙方双方同意可以续签，最多续签两次，续签合同的服务内容、要求和单价或单价计算规则不变。即使具备续签条件，甲方仍有权不续签。</w:t>
      </w:r>
    </w:p>
    <w:p w14:paraId="22E308BF">
      <w:pPr>
        <w:widowControl/>
        <w:spacing w:line="360" w:lineRule="auto"/>
        <w:jc w:val="left"/>
        <w:rPr>
          <w:rFonts w:hint="eastAsia" w:ascii="宋体" w:hAnsi="宋体" w:cs="宋体"/>
          <w:b w:val="0"/>
          <w:bCs w:val="0"/>
          <w:sz w:val="22"/>
          <w:szCs w:val="22"/>
          <w:highlight w:val="none"/>
        </w:rPr>
      </w:pPr>
      <w:bookmarkStart w:id="88" w:name="_Toc4191"/>
      <w:bookmarkStart w:id="89" w:name="_Toc4180"/>
      <w:bookmarkStart w:id="90" w:name="_Toc28127"/>
      <w:bookmarkStart w:id="91" w:name="_Toc719"/>
      <w:bookmarkStart w:id="92" w:name="_Toc20797"/>
      <w:r>
        <w:rPr>
          <w:rFonts w:hint="eastAsia" w:ascii="宋体" w:hAnsi="宋体" w:cs="宋体"/>
          <w:b w:val="0"/>
          <w:bCs w:val="0"/>
          <w:sz w:val="22"/>
          <w:szCs w:val="22"/>
          <w:highlight w:val="none"/>
        </w:rPr>
        <w:t>五、履约保证金及付款方式</w:t>
      </w:r>
      <w:bookmarkEnd w:id="88"/>
      <w:bookmarkEnd w:id="89"/>
      <w:bookmarkEnd w:id="90"/>
      <w:bookmarkEnd w:id="91"/>
      <w:bookmarkEnd w:id="92"/>
    </w:p>
    <w:p w14:paraId="01D41C3E">
      <w:pPr>
        <w:spacing w:line="360" w:lineRule="auto"/>
        <w:ind w:firstLine="440" w:firstLineChars="200"/>
        <w:rPr>
          <w:rFonts w:hint="eastAsia" w:ascii="宋体" w:hAnsi="宋体" w:cs="宋体"/>
          <w:b w:val="0"/>
          <w:bCs w:val="0"/>
          <w:sz w:val="22"/>
          <w:szCs w:val="22"/>
          <w:highlight w:val="none"/>
        </w:rPr>
      </w:pPr>
      <w:r>
        <w:rPr>
          <w:rFonts w:hint="eastAsia" w:ascii="宋体" w:hAnsi="宋体" w:cs="宋体"/>
          <w:b w:val="0"/>
          <w:bCs w:val="0"/>
          <w:sz w:val="22"/>
          <w:szCs w:val="22"/>
          <w:highlight w:val="none"/>
        </w:rPr>
        <w:t>5.1履约保证金</w:t>
      </w:r>
    </w:p>
    <w:p w14:paraId="70504162">
      <w:pPr>
        <w:spacing w:line="360" w:lineRule="auto"/>
        <w:ind w:left="640" w:leftChars="200" w:hanging="220" w:hangingChars="100"/>
        <w:rPr>
          <w:rFonts w:hint="eastAsia" w:ascii="宋体" w:hAnsi="宋体" w:cs="宋体"/>
          <w:b w:val="0"/>
          <w:bCs w:val="0"/>
          <w:sz w:val="22"/>
          <w:szCs w:val="22"/>
          <w:highlight w:val="none"/>
        </w:rPr>
      </w:pPr>
      <w:r>
        <w:rPr>
          <w:rFonts w:hint="eastAsia" w:ascii="宋体" w:hAnsi="宋体" w:cs="宋体"/>
          <w:b w:val="0"/>
          <w:bCs w:val="0"/>
          <w:sz w:val="22"/>
          <w:szCs w:val="22"/>
          <w:highlight w:val="none"/>
        </w:rPr>
        <w:t>签订合同后5个工作日内，乙方须以银行转账或银行保函或保险保函的方式向甲方提交人民币万元（小写：￥    元整）作为履约保证金。履约保证金在服务期终止后，扣除违约金(如果有)后一次性退还乙方。如续签合同的，则在续签合同服务期结束后退还。</w:t>
      </w:r>
    </w:p>
    <w:p w14:paraId="1C22F71E">
      <w:pPr>
        <w:pStyle w:val="124"/>
        <w:spacing w:line="360" w:lineRule="auto"/>
        <w:ind w:leftChars="0" w:firstLine="440" w:firstLineChars="200"/>
        <w:rPr>
          <w:rFonts w:hint="eastAsia" w:ascii="宋体" w:hAnsi="宋体" w:cs="宋体"/>
          <w:bCs/>
          <w:sz w:val="22"/>
          <w:szCs w:val="22"/>
          <w:highlight w:val="none"/>
        </w:rPr>
      </w:pPr>
      <w:r>
        <w:rPr>
          <w:rFonts w:hint="eastAsia" w:ascii="宋体" w:hAnsi="宋体" w:cs="宋体"/>
          <w:bCs/>
          <w:sz w:val="22"/>
          <w:szCs w:val="22"/>
          <w:highlight w:val="none"/>
        </w:rPr>
        <w:t>5.2付款方式</w:t>
      </w:r>
    </w:p>
    <w:p w14:paraId="1A44E0A0">
      <w:pPr>
        <w:spacing w:line="360" w:lineRule="auto"/>
        <w:ind w:firstLine="440" w:firstLineChars="200"/>
        <w:rPr>
          <w:rFonts w:hint="eastAsia" w:ascii="宋体" w:hAnsi="宋体" w:cs="宋体"/>
          <w:b w:val="0"/>
          <w:bCs w:val="0"/>
          <w:sz w:val="22"/>
          <w:szCs w:val="22"/>
          <w:highlight w:val="none"/>
          <w:lang w:val="zh-CN"/>
        </w:rPr>
      </w:pPr>
      <w:r>
        <w:rPr>
          <w:rFonts w:hint="eastAsia" w:ascii="宋体" w:hAnsi="宋体" w:cs="宋体"/>
          <w:b w:val="0"/>
          <w:bCs w:val="0"/>
          <w:sz w:val="22"/>
          <w:szCs w:val="22"/>
          <w:highlight w:val="none"/>
        </w:rPr>
        <w:t>合同签订后，甲方在收到乙方履约保证金和缴费通知书之后，甲方向乙方支付100%的合同款。</w:t>
      </w:r>
      <w:bookmarkStart w:id="93" w:name="_Toc9971"/>
      <w:bookmarkStart w:id="94" w:name="_Toc17371"/>
      <w:bookmarkStart w:id="95" w:name="_Toc3251"/>
      <w:bookmarkStart w:id="96" w:name="_Toc13161"/>
      <w:bookmarkStart w:id="97" w:name="_Toc20773"/>
      <w:r>
        <w:rPr>
          <w:rFonts w:hint="eastAsia" w:ascii="宋体" w:hAnsi="宋体" w:cs="宋体"/>
          <w:b w:val="0"/>
          <w:bCs w:val="0"/>
          <w:sz w:val="22"/>
          <w:szCs w:val="22"/>
          <w:highlight w:val="none"/>
        </w:rPr>
        <w:t>甲方</w:t>
      </w:r>
      <w:r>
        <w:rPr>
          <w:rFonts w:hint="eastAsia" w:ascii="宋体" w:hAnsi="宋体" w:cs="宋体"/>
          <w:b w:val="0"/>
          <w:bCs w:val="0"/>
          <w:sz w:val="22"/>
          <w:szCs w:val="22"/>
          <w:highlight w:val="none"/>
          <w:lang w:val="zh-CN"/>
        </w:rPr>
        <w:t>对于满足合同约定支付条件的，自收到相应金额的发票后</w:t>
      </w:r>
      <w:r>
        <w:rPr>
          <w:rFonts w:hint="eastAsia" w:ascii="宋体" w:hAnsi="宋体" w:cs="宋体"/>
          <w:b w:val="0"/>
          <w:bCs w:val="0"/>
          <w:sz w:val="22"/>
          <w:szCs w:val="22"/>
          <w:highlight w:val="none"/>
        </w:rPr>
        <w:t>15</w:t>
      </w:r>
      <w:r>
        <w:rPr>
          <w:rFonts w:hint="eastAsia" w:ascii="宋体" w:hAnsi="宋体" w:cs="宋体"/>
          <w:b w:val="0"/>
          <w:bCs w:val="0"/>
          <w:sz w:val="22"/>
          <w:szCs w:val="22"/>
          <w:highlight w:val="none"/>
          <w:lang w:val="zh-CN"/>
        </w:rPr>
        <w:t>个工作日内将资金支付到合同约定的</w:t>
      </w:r>
      <w:r>
        <w:rPr>
          <w:rFonts w:hint="eastAsia" w:ascii="宋体" w:hAnsi="宋体" w:cs="宋体"/>
          <w:b w:val="0"/>
          <w:bCs w:val="0"/>
          <w:sz w:val="22"/>
          <w:szCs w:val="22"/>
          <w:highlight w:val="none"/>
        </w:rPr>
        <w:t>乙方</w:t>
      </w:r>
      <w:r>
        <w:rPr>
          <w:rFonts w:hint="eastAsia" w:ascii="宋体" w:hAnsi="宋体" w:cs="宋体"/>
          <w:b w:val="0"/>
          <w:bCs w:val="0"/>
          <w:sz w:val="22"/>
          <w:szCs w:val="22"/>
          <w:highlight w:val="none"/>
          <w:lang w:val="zh-CN"/>
        </w:rPr>
        <w:t>账户。</w:t>
      </w:r>
    </w:p>
    <w:p w14:paraId="7CB01CE2">
      <w:pPr>
        <w:widowControl/>
        <w:spacing w:line="360" w:lineRule="auto"/>
        <w:jc w:val="left"/>
        <w:rPr>
          <w:rFonts w:hint="eastAsia" w:ascii="宋体" w:hAnsi="宋体" w:cs="宋体"/>
          <w:b w:val="0"/>
          <w:bCs w:val="0"/>
          <w:sz w:val="22"/>
          <w:szCs w:val="22"/>
          <w:highlight w:val="none"/>
        </w:rPr>
      </w:pPr>
      <w:r>
        <w:rPr>
          <w:rFonts w:hint="eastAsia" w:ascii="宋体" w:hAnsi="宋体" w:cs="宋体"/>
          <w:b w:val="0"/>
          <w:bCs w:val="0"/>
          <w:sz w:val="22"/>
          <w:szCs w:val="22"/>
          <w:highlight w:val="none"/>
        </w:rPr>
        <w:t>六、双方</w:t>
      </w:r>
      <w:bookmarkEnd w:id="93"/>
      <w:bookmarkEnd w:id="94"/>
      <w:bookmarkEnd w:id="95"/>
      <w:bookmarkEnd w:id="96"/>
      <w:bookmarkEnd w:id="97"/>
      <w:r>
        <w:rPr>
          <w:rFonts w:hint="eastAsia" w:ascii="宋体" w:hAnsi="宋体" w:cs="宋体"/>
          <w:b w:val="0"/>
          <w:sz w:val="22"/>
          <w:szCs w:val="22"/>
          <w:highlight w:val="none"/>
        </w:rPr>
        <w:t>责任和义务</w:t>
      </w:r>
    </w:p>
    <w:p w14:paraId="1F2C7197">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6.1甲方与乙方签订合同并开展投保工作，由甲方向乙方支付保费，乙方收到保费的次日向甲方提交生效的保险合同。</w:t>
      </w:r>
    </w:p>
    <w:p w14:paraId="4B4090DF">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6.2乙方应按合同约定提供承保、理赔服务。</w:t>
      </w:r>
    </w:p>
    <w:p w14:paraId="72BAFA76">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6.3合同生效后，甲、乙双方应按各自的职责，相互合作、紧密配合，积极推动本项目向健康、可持续方向发展。如乙方在实施中有违约、懈怠，影响到项目的整体开展，甲方提出后，仍未改进的，甲方可中止保险合作合同。</w:t>
      </w:r>
    </w:p>
    <w:p w14:paraId="35D4B09A">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6.4乙方向甲方委派的项目组人员应当固定，乙方保证项目组人员具备完成此次服务的相关资质、经验等条件，乙方更换人员必须经甲方书面同意。</w:t>
      </w:r>
    </w:p>
    <w:p w14:paraId="26A004A6">
      <w:pPr>
        <w:widowControl/>
        <w:numPr>
          <w:ilvl w:val="0"/>
          <w:numId w:val="1"/>
        </w:numPr>
        <w:spacing w:line="360" w:lineRule="auto"/>
        <w:jc w:val="left"/>
        <w:rPr>
          <w:rFonts w:hint="eastAsia" w:ascii="宋体" w:hAnsi="宋体" w:cs="宋体"/>
          <w:b w:val="0"/>
          <w:bCs w:val="0"/>
          <w:sz w:val="22"/>
          <w:szCs w:val="22"/>
          <w:highlight w:val="none"/>
        </w:rPr>
      </w:pPr>
      <w:bookmarkStart w:id="98" w:name="_Toc622"/>
      <w:bookmarkStart w:id="99" w:name="_Toc10830"/>
      <w:bookmarkStart w:id="100" w:name="_Toc16046"/>
      <w:bookmarkStart w:id="101" w:name="_Toc8287"/>
      <w:bookmarkStart w:id="102" w:name="_Toc30276"/>
      <w:r>
        <w:rPr>
          <w:rFonts w:hint="eastAsia" w:ascii="宋体" w:hAnsi="宋体" w:cs="宋体"/>
          <w:b w:val="0"/>
          <w:bCs w:val="0"/>
          <w:sz w:val="22"/>
          <w:szCs w:val="22"/>
          <w:highlight w:val="none"/>
        </w:rPr>
        <w:t>违约责任</w:t>
      </w:r>
      <w:bookmarkEnd w:id="98"/>
      <w:bookmarkEnd w:id="99"/>
      <w:bookmarkEnd w:id="100"/>
      <w:bookmarkEnd w:id="101"/>
      <w:bookmarkEnd w:id="102"/>
    </w:p>
    <w:p w14:paraId="2EAABE4C">
      <w:pPr>
        <w:widowControl/>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7.1 除不可抗力外，如果乙方没有按照本合同约定的期限、地点和方式实施服务，那么甲方可要求乙方支付违约金，迟延履行违约金按每迟延履行一日的按1000元计算，最高限额为本合同总价的5%；迟延履行的违约金计算数额达到前述最高限额之日起，甲方有权在要求乙方支付违约金的同时，书面通知乙方终止本合同</w:t>
      </w:r>
      <w:r>
        <w:rPr>
          <w:rFonts w:hint="eastAsia"/>
          <w:b w:val="0"/>
          <w:highlight w:val="none"/>
        </w:rPr>
        <w:t>并退还已支付的合同金额</w:t>
      </w:r>
      <w:r>
        <w:rPr>
          <w:rFonts w:hint="eastAsia" w:ascii="宋体" w:hAnsi="宋体" w:cs="宋体"/>
          <w:b w:val="0"/>
          <w:sz w:val="22"/>
          <w:szCs w:val="22"/>
          <w:highlight w:val="none"/>
        </w:rPr>
        <w:t>；</w:t>
      </w:r>
    </w:p>
    <w:p w14:paraId="0ABD7D32">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7.4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由有过错的一方依法承担违约责任，违约责任包括但不限于赔偿守约方的损失以及为了维权所支出的一切费用；如属各方当事人的过错，则根据各方当事人过错的实际情况，由各方当事人分别承担各自应负的违约责任。若发生违约情形，违约方依法依约承担其相应法律责任后，除非守约方书面通知违约方终止本合同的，本合同仍须继续履行；</w:t>
      </w:r>
    </w:p>
    <w:p w14:paraId="7BCAAE46">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7.5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B0A88A3">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7.6 以上违约金甲方可从履约保证金中扣罚，如合同履行过程中发生履约保证金扣罚情况，乙方必须在5个工作日内将扣罚部分金额补足，履约保证金总额保持不变。乙方未按要求补足履约保证金，甲方有权进一步采取措施直至单方面终止合同，相关责任由乙方承担；如违约方给甲方造成损失的，还应当负责赔偿。</w:t>
      </w:r>
    </w:p>
    <w:p w14:paraId="729A4C9C">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八、验收标准和方式</w:t>
      </w:r>
    </w:p>
    <w:p w14:paraId="193801AF">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8.1验收标准：按合同、采购文件要求的服务内容以及响应文件中乙方承诺的服务为标准。</w:t>
      </w:r>
    </w:p>
    <w:p w14:paraId="726945AB">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8.2验收方式：</w:t>
      </w:r>
    </w:p>
    <w:p w14:paraId="1503002F">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（1）保险服务期结束后，乙方根据验收标准为主要内容向甲方提出书面的验收申请，甲方需在乙方提出验收申请之日起30日内安排验收。</w:t>
      </w:r>
    </w:p>
    <w:p w14:paraId="36F288B7">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甲方根据本合同约定对乙方保险服务项目进行验收，验收合格的由甲方出具验收证明。验收不合格的，乙方进行修改调整并达到合同及附件（采购文件、响应文件及评标过程中形成的文字资料、询标纪要）的约定。</w:t>
      </w:r>
    </w:p>
    <w:p w14:paraId="37853D72">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九、技术规范和知识产权</w:t>
      </w:r>
    </w:p>
    <w:p w14:paraId="22B1DD70">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C415C67">
      <w:pPr>
        <w:widowControl/>
        <w:spacing w:line="360" w:lineRule="auto"/>
        <w:ind w:firstLine="440" w:firstLineChars="200"/>
        <w:jc w:val="left"/>
        <w:rPr>
          <w:rFonts w:hint="eastAsia" w:ascii="宋体" w:hAnsi="宋体" w:cs="宋体"/>
          <w:b w:val="0"/>
          <w:sz w:val="22"/>
          <w:szCs w:val="22"/>
          <w:highlight w:val="none"/>
        </w:rPr>
      </w:pPr>
      <w:bookmarkStart w:id="103" w:name="_Toc19408"/>
      <w:bookmarkStart w:id="104" w:name="_Toc22718"/>
      <w:bookmarkStart w:id="105" w:name="_Toc9955"/>
      <w:bookmarkStart w:id="106" w:name="_Toc11601"/>
      <w:bookmarkStart w:id="107" w:name="_Toc6588"/>
      <w:r>
        <w:rPr>
          <w:rFonts w:hint="eastAsia" w:ascii="宋体" w:hAnsi="宋体" w:cs="宋体"/>
          <w:b w:val="0"/>
          <w:sz w:val="22"/>
          <w:szCs w:val="22"/>
          <w:highlight w:val="none"/>
        </w:rPr>
        <w:t>乙方应保证其提供的服务不受任何第三方提出的侵犯其商标权等知识产权方面的起诉；如果任何第三方提出侵权指控，那么乙方须与该第三方交涉并承担由此发生的一切责任、费用和赔偿，乙方还应及时澄清相关信息，使甲方声誉免受损害，甲方保留追责的权利。</w:t>
      </w:r>
    </w:p>
    <w:p w14:paraId="2635A804">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十、履约检查和问题反馈</w:t>
      </w:r>
    </w:p>
    <w:p w14:paraId="2D5C7777">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10.1甲方有权在其认为必要时，对乙方是否能够按照合同约定提供服务进行履约检查，以确保乙方所提供的服务能够依约满足甲方之项目需求，但不得因履约检查妨碍乙方的正常工作，乙方应予积极配合；</w:t>
      </w:r>
    </w:p>
    <w:p w14:paraId="7C50D067">
      <w:pPr>
        <w:spacing w:line="360" w:lineRule="auto"/>
        <w:ind w:firstLine="440" w:firstLineChars="200"/>
        <w:rPr>
          <w:rFonts w:hint="eastAsia" w:ascii="宋体" w:hAnsi="宋体" w:cs="宋体"/>
          <w:b w:val="0"/>
          <w:bCs w:val="0"/>
          <w:sz w:val="22"/>
          <w:szCs w:val="22"/>
          <w:highlight w:val="none"/>
        </w:rPr>
      </w:pPr>
      <w:r>
        <w:rPr>
          <w:rFonts w:hint="eastAsia" w:ascii="宋体" w:hAnsi="宋体" w:cs="宋体"/>
          <w:b w:val="0"/>
          <w:sz w:val="22"/>
          <w:szCs w:val="22"/>
          <w:highlight w:val="none"/>
        </w:rPr>
        <w:t>10.2 合同履行期间，甲方有权将履行过程中出现的问题反馈给乙方，双方当事人应以书面形式约定需要完善和改进的内容。</w:t>
      </w:r>
      <w:bookmarkEnd w:id="103"/>
      <w:bookmarkEnd w:id="104"/>
      <w:bookmarkEnd w:id="105"/>
      <w:bookmarkEnd w:id="106"/>
      <w:bookmarkEnd w:id="107"/>
      <w:bookmarkStart w:id="108" w:name="_Toc27205"/>
      <w:bookmarkStart w:id="109" w:name="_Toc9474"/>
      <w:bookmarkStart w:id="110" w:name="_Toc7593"/>
      <w:bookmarkStart w:id="111" w:name="_Toc388"/>
      <w:bookmarkStart w:id="112" w:name="_Toc25681"/>
    </w:p>
    <w:p w14:paraId="260D8D81">
      <w:pPr>
        <w:widowControl/>
        <w:spacing w:line="360" w:lineRule="auto"/>
        <w:jc w:val="left"/>
        <w:rPr>
          <w:rFonts w:hint="eastAsia" w:ascii="宋体" w:hAnsi="宋体" w:cs="宋体"/>
          <w:b w:val="0"/>
          <w:bCs w:val="0"/>
          <w:sz w:val="22"/>
          <w:szCs w:val="22"/>
          <w:highlight w:val="none"/>
        </w:rPr>
      </w:pPr>
      <w:r>
        <w:rPr>
          <w:rFonts w:hint="eastAsia" w:ascii="宋体" w:hAnsi="宋体" w:cs="宋体"/>
          <w:b w:val="0"/>
          <w:bCs w:val="0"/>
          <w:sz w:val="22"/>
          <w:szCs w:val="22"/>
          <w:highlight w:val="none"/>
        </w:rPr>
        <w:t>十一、技术资料和保密义务</w:t>
      </w:r>
      <w:bookmarkEnd w:id="108"/>
      <w:bookmarkEnd w:id="109"/>
      <w:bookmarkEnd w:id="110"/>
      <w:bookmarkEnd w:id="111"/>
      <w:bookmarkEnd w:id="112"/>
    </w:p>
    <w:p w14:paraId="627196A2">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11.1 乙方有权依据合同约定和项目需要，向甲方了解有关情况，调阅有关资料等，甲方应予积极配合；</w:t>
      </w:r>
    </w:p>
    <w:p w14:paraId="7D46943C">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11.2 乙方有义务妥善保管和保护由甲方提供的前款信息和资料等；</w:t>
      </w:r>
    </w:p>
    <w:p w14:paraId="226F3C5C">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11.3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992C5A9">
      <w:pPr>
        <w:spacing w:line="360" w:lineRule="auto"/>
        <w:outlineLvl w:val="0"/>
        <w:rPr>
          <w:rFonts w:hint="eastAsia" w:ascii="宋体" w:hAnsi="宋体" w:cs="宋体"/>
          <w:b w:val="0"/>
          <w:sz w:val="22"/>
          <w:szCs w:val="22"/>
          <w:highlight w:val="none"/>
        </w:rPr>
      </w:pPr>
      <w:bookmarkStart w:id="113" w:name="_Toc5917"/>
      <w:bookmarkStart w:id="114" w:name="_Toc26434"/>
      <w:bookmarkStart w:id="115" w:name="_Toc11501"/>
      <w:bookmarkStart w:id="116" w:name="_Toc19198"/>
      <w:bookmarkStart w:id="117" w:name="_Toc1634"/>
      <w:r>
        <w:rPr>
          <w:rFonts w:hint="eastAsia" w:ascii="宋体" w:hAnsi="宋体" w:cs="宋体"/>
          <w:b w:val="0"/>
          <w:bCs w:val="0"/>
          <w:sz w:val="22"/>
          <w:szCs w:val="22"/>
          <w:highlight w:val="none"/>
        </w:rPr>
        <w:t>十二、</w:t>
      </w:r>
      <w:bookmarkEnd w:id="113"/>
      <w:bookmarkEnd w:id="114"/>
      <w:bookmarkEnd w:id="115"/>
      <w:bookmarkEnd w:id="116"/>
      <w:bookmarkEnd w:id="117"/>
      <w:r>
        <w:rPr>
          <w:rFonts w:hint="eastAsia" w:ascii="宋体" w:hAnsi="宋体" w:cs="宋体"/>
          <w:b w:val="0"/>
          <w:sz w:val="22"/>
          <w:szCs w:val="22"/>
          <w:highlight w:val="none"/>
        </w:rPr>
        <w:t>质量保证</w:t>
      </w:r>
    </w:p>
    <w:p w14:paraId="3C868908">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12.1 乙方应建立和完善履行合同的内部质量保证体系，并提供相关内部规章制度给甲方，以便甲方进行监督检查；</w:t>
      </w:r>
    </w:p>
    <w:p w14:paraId="20EA27EA">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12.2 乙方应保证履行合同的人员数量和素质、软件和硬件设备的配置、场地、环境和设施等满足全面履行合同的要求，并应接受甲方的监督检查。</w:t>
      </w:r>
    </w:p>
    <w:p w14:paraId="503F3A07">
      <w:pPr>
        <w:spacing w:line="360" w:lineRule="auto"/>
        <w:outlineLvl w:val="0"/>
        <w:rPr>
          <w:rFonts w:hint="eastAsia" w:ascii="宋体" w:hAnsi="宋体" w:cs="宋体"/>
          <w:b w:val="0"/>
          <w:sz w:val="22"/>
          <w:szCs w:val="22"/>
          <w:highlight w:val="none"/>
        </w:rPr>
      </w:pPr>
      <w:bookmarkStart w:id="118" w:name="_Toc22267"/>
      <w:r>
        <w:rPr>
          <w:rFonts w:hint="eastAsia" w:ascii="宋体" w:hAnsi="宋体" w:cs="宋体"/>
          <w:b w:val="0"/>
          <w:sz w:val="22"/>
          <w:szCs w:val="22"/>
          <w:highlight w:val="none"/>
        </w:rPr>
        <w:t>十三、延迟履行</w:t>
      </w:r>
      <w:bookmarkEnd w:id="118"/>
    </w:p>
    <w:p w14:paraId="3E7E344D">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D6DC7ED">
      <w:pPr>
        <w:spacing w:line="360" w:lineRule="auto"/>
        <w:outlineLvl w:val="0"/>
        <w:rPr>
          <w:rFonts w:hint="eastAsia" w:ascii="宋体" w:hAnsi="宋体" w:cs="宋体"/>
          <w:b w:val="0"/>
          <w:sz w:val="22"/>
          <w:szCs w:val="22"/>
          <w:highlight w:val="none"/>
        </w:rPr>
      </w:pPr>
      <w:bookmarkStart w:id="119" w:name="_Toc22033"/>
      <w:bookmarkStart w:id="120" w:name="_Toc23920"/>
      <w:bookmarkStart w:id="121" w:name="_Toc6344"/>
      <w:bookmarkStart w:id="122" w:name="_Toc16306"/>
      <w:bookmarkStart w:id="123" w:name="_Toc25941"/>
      <w:r>
        <w:rPr>
          <w:rFonts w:hint="eastAsia" w:ascii="宋体" w:hAnsi="宋体" w:cs="宋体"/>
          <w:b w:val="0"/>
          <w:sz w:val="22"/>
          <w:szCs w:val="22"/>
          <w:highlight w:val="none"/>
        </w:rPr>
        <w:t>十四、合同变更</w:t>
      </w:r>
    </w:p>
    <w:p w14:paraId="73A01970">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合同继续履行将损害国家利益和社会公共利益的，双方当事人应当以书面形式变更合同。有过错的一方应当承担赔偿责任，双方当事人都有过错的，各自承担相应的责任。</w:t>
      </w:r>
    </w:p>
    <w:p w14:paraId="43FBE9AE">
      <w:pPr>
        <w:spacing w:line="360" w:lineRule="auto"/>
        <w:outlineLvl w:val="0"/>
        <w:rPr>
          <w:rFonts w:hint="eastAsia" w:ascii="宋体" w:hAnsi="宋体" w:cs="宋体"/>
          <w:b w:val="0"/>
          <w:sz w:val="22"/>
          <w:szCs w:val="22"/>
          <w:highlight w:val="none"/>
        </w:rPr>
      </w:pPr>
      <w:bookmarkStart w:id="124" w:name="_Toc42"/>
      <w:bookmarkStart w:id="125" w:name="_Toc10663"/>
      <w:bookmarkStart w:id="126" w:name="_Toc26689"/>
      <w:bookmarkStart w:id="127" w:name="_Toc23368"/>
      <w:bookmarkStart w:id="128" w:name="_Toc21830"/>
      <w:r>
        <w:rPr>
          <w:rFonts w:hint="eastAsia" w:ascii="宋体" w:hAnsi="宋体" w:cs="宋体"/>
          <w:b w:val="0"/>
          <w:sz w:val="22"/>
          <w:szCs w:val="22"/>
          <w:highlight w:val="none"/>
        </w:rPr>
        <w:t>十五、合同转让和分包</w:t>
      </w:r>
      <w:bookmarkEnd w:id="124"/>
      <w:bookmarkEnd w:id="125"/>
      <w:bookmarkEnd w:id="126"/>
      <w:bookmarkEnd w:id="127"/>
      <w:bookmarkEnd w:id="128"/>
    </w:p>
    <w:p w14:paraId="16A09859">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合同的权利义务依法不得转让和分包。</w:t>
      </w:r>
    </w:p>
    <w:p w14:paraId="41499D81">
      <w:pPr>
        <w:widowControl/>
        <w:spacing w:line="360" w:lineRule="auto"/>
        <w:jc w:val="left"/>
        <w:rPr>
          <w:rFonts w:hint="eastAsia" w:ascii="宋体" w:hAnsi="宋体" w:cs="宋体"/>
          <w:b w:val="0"/>
          <w:bCs w:val="0"/>
          <w:sz w:val="22"/>
          <w:szCs w:val="22"/>
          <w:highlight w:val="none"/>
        </w:rPr>
      </w:pPr>
      <w:r>
        <w:rPr>
          <w:rFonts w:hint="eastAsia" w:ascii="宋体" w:hAnsi="宋体" w:cs="宋体"/>
          <w:b w:val="0"/>
          <w:bCs w:val="0"/>
          <w:sz w:val="22"/>
          <w:szCs w:val="22"/>
          <w:highlight w:val="none"/>
        </w:rPr>
        <w:t>十六、不可抗力</w:t>
      </w:r>
      <w:bookmarkEnd w:id="119"/>
      <w:bookmarkEnd w:id="120"/>
      <w:bookmarkEnd w:id="121"/>
      <w:bookmarkEnd w:id="122"/>
      <w:bookmarkEnd w:id="123"/>
    </w:p>
    <w:p w14:paraId="68E51329">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如果双方中任何一方由于战争、严重火灾、水灾、破坏性台风和地震以及其它经双方同意属不可抗力的事故，致使合同履行受阻时，经双方协商，履行合同期限可予延长，延长时限应相当于事故所影响的时间，或双方协商解决。</w:t>
      </w:r>
    </w:p>
    <w:p w14:paraId="4E2E21F1">
      <w:pPr>
        <w:widowControl/>
        <w:spacing w:line="360" w:lineRule="auto"/>
        <w:jc w:val="left"/>
        <w:rPr>
          <w:rFonts w:hint="eastAsia" w:ascii="宋体" w:hAnsi="宋体" w:cs="宋体"/>
          <w:b w:val="0"/>
          <w:bCs w:val="0"/>
          <w:sz w:val="22"/>
          <w:szCs w:val="22"/>
          <w:highlight w:val="none"/>
        </w:rPr>
      </w:pPr>
      <w:bookmarkStart w:id="129" w:name="_Toc14030"/>
      <w:bookmarkStart w:id="130" w:name="_Toc16142"/>
      <w:bookmarkStart w:id="131" w:name="_Toc10278"/>
      <w:bookmarkStart w:id="132" w:name="_Toc386"/>
      <w:bookmarkStart w:id="133" w:name="_Toc5959"/>
      <w:r>
        <w:rPr>
          <w:rFonts w:hint="eastAsia" w:ascii="宋体" w:hAnsi="宋体" w:cs="宋体"/>
          <w:b w:val="0"/>
          <w:bCs w:val="0"/>
          <w:sz w:val="22"/>
          <w:szCs w:val="22"/>
          <w:highlight w:val="none"/>
        </w:rPr>
        <w:t>十七、税费</w:t>
      </w:r>
      <w:bookmarkEnd w:id="129"/>
      <w:bookmarkEnd w:id="130"/>
      <w:bookmarkEnd w:id="131"/>
      <w:bookmarkEnd w:id="132"/>
      <w:bookmarkEnd w:id="133"/>
    </w:p>
    <w:p w14:paraId="066F9F2E">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与合同有关的一切税费，均按照中华人民共和国法律的相关规定。</w:t>
      </w:r>
    </w:p>
    <w:p w14:paraId="36CD1B8B">
      <w:pPr>
        <w:widowControl/>
        <w:spacing w:line="360" w:lineRule="auto"/>
        <w:jc w:val="left"/>
        <w:rPr>
          <w:rFonts w:hint="eastAsia" w:ascii="宋体" w:hAnsi="宋体" w:cs="宋体"/>
          <w:b w:val="0"/>
          <w:bCs w:val="0"/>
          <w:sz w:val="22"/>
          <w:szCs w:val="22"/>
          <w:highlight w:val="none"/>
        </w:rPr>
      </w:pPr>
      <w:bookmarkStart w:id="134" w:name="_Toc23347"/>
      <w:bookmarkStart w:id="135" w:name="_Toc12172"/>
      <w:bookmarkStart w:id="136" w:name="_Toc23153"/>
      <w:bookmarkStart w:id="137" w:name="_Toc25781"/>
      <w:bookmarkStart w:id="138" w:name="_Toc24018"/>
      <w:r>
        <w:rPr>
          <w:rFonts w:hint="eastAsia" w:ascii="宋体" w:hAnsi="宋体" w:cs="宋体"/>
          <w:b w:val="0"/>
          <w:bCs w:val="0"/>
          <w:sz w:val="22"/>
          <w:szCs w:val="22"/>
          <w:highlight w:val="none"/>
        </w:rPr>
        <w:t>十八、乙方破产</w:t>
      </w:r>
      <w:bookmarkEnd w:id="134"/>
      <w:bookmarkEnd w:id="135"/>
      <w:bookmarkEnd w:id="136"/>
      <w:bookmarkEnd w:id="137"/>
      <w:bookmarkEnd w:id="138"/>
    </w:p>
    <w:p w14:paraId="3D78FB7E">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6EA8EEA">
      <w:pPr>
        <w:widowControl/>
        <w:spacing w:line="360" w:lineRule="auto"/>
        <w:jc w:val="left"/>
        <w:rPr>
          <w:rFonts w:hint="eastAsia" w:ascii="宋体" w:hAnsi="宋体" w:cs="宋体"/>
          <w:b w:val="0"/>
          <w:bCs w:val="0"/>
          <w:sz w:val="22"/>
          <w:szCs w:val="22"/>
          <w:highlight w:val="none"/>
        </w:rPr>
      </w:pPr>
      <w:bookmarkStart w:id="139" w:name="_Toc6134"/>
      <w:bookmarkStart w:id="140" w:name="_Toc8620"/>
      <w:bookmarkStart w:id="141" w:name="_Toc32186"/>
      <w:bookmarkStart w:id="142" w:name="_Toc22679"/>
      <w:bookmarkStart w:id="143" w:name="_Toc21398"/>
      <w:bookmarkStart w:id="144" w:name="_Toc15387"/>
      <w:bookmarkStart w:id="145" w:name="_Toc29333"/>
      <w:bookmarkStart w:id="146" w:name="_Toc5035"/>
      <w:r>
        <w:rPr>
          <w:rFonts w:hint="eastAsia" w:ascii="宋体" w:hAnsi="宋体" w:cs="宋体"/>
          <w:b w:val="0"/>
          <w:bCs w:val="0"/>
          <w:sz w:val="22"/>
          <w:szCs w:val="22"/>
          <w:highlight w:val="none"/>
        </w:rPr>
        <w:t>十九、合同中止、终止</w:t>
      </w:r>
      <w:bookmarkEnd w:id="139"/>
      <w:bookmarkEnd w:id="140"/>
      <w:bookmarkEnd w:id="141"/>
      <w:bookmarkEnd w:id="142"/>
      <w:bookmarkEnd w:id="143"/>
      <w:bookmarkEnd w:id="144"/>
      <w:bookmarkEnd w:id="145"/>
      <w:bookmarkEnd w:id="146"/>
    </w:p>
    <w:p w14:paraId="2CDDD2E3">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19.1 双方当事人不得擅自中止或者终止合同；</w:t>
      </w:r>
    </w:p>
    <w:p w14:paraId="5916D96D">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19.2 合同继续履行将损害国家利益和社会公共利益的，双方当事人应当中止或者终止合同。有过错的一方应当承担赔偿责任，双方当事人都有过错的，各自承担相应的责任。</w:t>
      </w:r>
    </w:p>
    <w:p w14:paraId="72084034">
      <w:pPr>
        <w:spacing w:line="360" w:lineRule="auto"/>
        <w:outlineLvl w:val="0"/>
        <w:rPr>
          <w:rFonts w:hint="eastAsia" w:ascii="宋体" w:hAnsi="宋体" w:cs="宋体"/>
          <w:b w:val="0"/>
          <w:sz w:val="22"/>
          <w:szCs w:val="22"/>
          <w:highlight w:val="none"/>
        </w:rPr>
      </w:pPr>
      <w:bookmarkStart w:id="147" w:name="_Toc25706"/>
      <w:bookmarkStart w:id="148" w:name="_Toc15687"/>
      <w:bookmarkStart w:id="149" w:name="_Toc8270"/>
      <w:bookmarkStart w:id="150" w:name="_Toc8632"/>
      <w:bookmarkStart w:id="151" w:name="_Toc2751"/>
      <w:r>
        <w:rPr>
          <w:rFonts w:hint="eastAsia" w:ascii="宋体" w:hAnsi="宋体" w:cs="宋体"/>
          <w:b w:val="0"/>
          <w:bCs w:val="0"/>
          <w:sz w:val="22"/>
          <w:szCs w:val="22"/>
          <w:highlight w:val="none"/>
        </w:rPr>
        <w:t>二十、</w:t>
      </w:r>
      <w:bookmarkEnd w:id="147"/>
      <w:bookmarkEnd w:id="148"/>
      <w:bookmarkEnd w:id="149"/>
      <w:bookmarkEnd w:id="150"/>
      <w:bookmarkEnd w:id="151"/>
      <w:bookmarkStart w:id="152" w:name="_Toc8843"/>
      <w:bookmarkStart w:id="153" w:name="_Toc16814"/>
      <w:bookmarkStart w:id="154" w:name="_Toc17590"/>
      <w:bookmarkStart w:id="155" w:name="_Toc983"/>
      <w:bookmarkStart w:id="156" w:name="_Toc13471"/>
      <w:r>
        <w:rPr>
          <w:rFonts w:hint="eastAsia" w:ascii="宋体" w:hAnsi="宋体" w:cs="宋体"/>
          <w:b w:val="0"/>
          <w:sz w:val="22"/>
          <w:szCs w:val="22"/>
          <w:highlight w:val="none"/>
        </w:rPr>
        <w:t>通知和送达</w:t>
      </w:r>
    </w:p>
    <w:p w14:paraId="2F29D214">
      <w:pPr>
        <w:spacing w:line="360" w:lineRule="auto"/>
        <w:ind w:firstLine="440" w:firstLineChars="200"/>
        <w:rPr>
          <w:rFonts w:hint="eastAsia" w:ascii="宋体" w:hAnsi="宋体" w:cs="宋体"/>
          <w:b w:val="0"/>
          <w:sz w:val="22"/>
          <w:szCs w:val="22"/>
          <w:highlight w:val="none"/>
        </w:rPr>
      </w:pPr>
      <w:bookmarkStart w:id="157" w:name="_Toc27674"/>
      <w:bookmarkStart w:id="158" w:name="_Toc18401"/>
      <w:r>
        <w:rPr>
          <w:rFonts w:hint="eastAsia" w:ascii="宋体" w:hAnsi="宋体" w:cs="宋体"/>
          <w:b w:val="0"/>
          <w:sz w:val="22"/>
          <w:szCs w:val="22"/>
          <w:highlight w:val="none"/>
        </w:rPr>
        <w:t>20.1任何一方因履行合同而以合同第一部分尾部所列明的传真或电子邮件发出的所有通知、文件、材料，均视为已向对方当事人送达；任何一方变更上述送达方式或者地址的，应于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b w:val="0"/>
          <w:sz w:val="22"/>
          <w:szCs w:val="22"/>
          <w:highlight w:val="none"/>
          <w:u w:val="single"/>
        </w:rPr>
        <w:t>3</w:t>
      </w:r>
      <w:r>
        <w:rPr>
          <w:rFonts w:hint="eastAsia" w:ascii="宋体" w:hAnsi="宋体" w:cs="宋体"/>
          <w:b w:val="0"/>
          <w:sz w:val="22"/>
          <w:szCs w:val="22"/>
          <w:highlight w:val="none"/>
        </w:rPr>
        <w:t>个工作日内书面通知对方当事人，在对方当事人收到有关变更通知之前，变更前的约定送达方式或者地址仍视为有效。</w:t>
      </w:r>
    </w:p>
    <w:p w14:paraId="1F6D113F">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20.2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7"/>
      <w:bookmarkEnd w:id="158"/>
    </w:p>
    <w:p w14:paraId="0F288921">
      <w:pPr>
        <w:spacing w:line="360" w:lineRule="auto"/>
        <w:outlineLvl w:val="0"/>
        <w:rPr>
          <w:rFonts w:hint="eastAsia" w:ascii="宋体" w:hAnsi="宋体" w:cs="宋体"/>
          <w:b w:val="0"/>
          <w:sz w:val="22"/>
          <w:szCs w:val="22"/>
          <w:highlight w:val="none"/>
        </w:rPr>
      </w:pPr>
      <w:bookmarkStart w:id="159" w:name="_Toc28906"/>
      <w:bookmarkStart w:id="160" w:name="_Toc5063"/>
      <w:bookmarkStart w:id="161" w:name="_Toc27644"/>
      <w:bookmarkStart w:id="162" w:name="_Toc20808"/>
      <w:bookmarkStart w:id="163" w:name="_Toc12254"/>
      <w:r>
        <w:rPr>
          <w:rFonts w:hint="eastAsia" w:ascii="宋体" w:hAnsi="宋体" w:cs="宋体"/>
          <w:b w:val="0"/>
          <w:sz w:val="22"/>
          <w:szCs w:val="22"/>
          <w:highlight w:val="none"/>
        </w:rPr>
        <w:t>二十一、合同使用的文字和适用的法律</w:t>
      </w:r>
      <w:bookmarkEnd w:id="159"/>
      <w:bookmarkEnd w:id="160"/>
      <w:bookmarkEnd w:id="161"/>
      <w:bookmarkEnd w:id="162"/>
      <w:bookmarkEnd w:id="163"/>
    </w:p>
    <w:p w14:paraId="1E323FD8">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21.1 合同使用汉语书就、变更和解释；</w:t>
      </w:r>
    </w:p>
    <w:p w14:paraId="3EBD75FF">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21.2 合同适用中华人民共和国法律。</w:t>
      </w:r>
    </w:p>
    <w:p w14:paraId="57CB2174">
      <w:pPr>
        <w:spacing w:line="360" w:lineRule="auto"/>
        <w:outlineLvl w:val="0"/>
        <w:rPr>
          <w:rFonts w:hint="eastAsia" w:ascii="宋体" w:hAnsi="宋体" w:cs="宋体"/>
          <w:b w:val="0"/>
          <w:sz w:val="22"/>
          <w:szCs w:val="22"/>
          <w:highlight w:val="none"/>
        </w:rPr>
      </w:pPr>
      <w:bookmarkStart w:id="164" w:name="_Toc30599"/>
      <w:bookmarkStart w:id="165" w:name="_Toc18540"/>
      <w:bookmarkStart w:id="166" w:name="_Toc4355"/>
      <w:r>
        <w:rPr>
          <w:rFonts w:hint="eastAsia" w:ascii="宋体" w:hAnsi="宋体" w:cs="宋体"/>
          <w:b w:val="0"/>
          <w:sz w:val="22"/>
          <w:szCs w:val="22"/>
          <w:highlight w:val="none"/>
        </w:rPr>
        <w:t>二十二、计量单位</w:t>
      </w:r>
      <w:bookmarkEnd w:id="164"/>
      <w:bookmarkEnd w:id="165"/>
      <w:bookmarkEnd w:id="166"/>
    </w:p>
    <w:p w14:paraId="77F89C33">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除技术规范中另有规定外，合同的计量单位均使用国家法定计量单位。</w:t>
      </w:r>
    </w:p>
    <w:p w14:paraId="18077D2D">
      <w:pPr>
        <w:widowControl/>
        <w:spacing w:line="360" w:lineRule="auto"/>
        <w:jc w:val="left"/>
        <w:rPr>
          <w:rFonts w:hint="eastAsia" w:ascii="宋体" w:hAnsi="宋体" w:cs="宋体"/>
          <w:b w:val="0"/>
          <w:bCs w:val="0"/>
          <w:sz w:val="22"/>
          <w:szCs w:val="22"/>
          <w:highlight w:val="none"/>
        </w:rPr>
      </w:pPr>
      <w:r>
        <w:rPr>
          <w:rFonts w:hint="eastAsia" w:ascii="宋体" w:hAnsi="宋体" w:cs="宋体"/>
          <w:b w:val="0"/>
          <w:sz w:val="22"/>
          <w:szCs w:val="22"/>
          <w:highlight w:val="none"/>
        </w:rPr>
        <w:t>二</w:t>
      </w:r>
      <w:r>
        <w:rPr>
          <w:rFonts w:hint="eastAsia" w:ascii="宋体" w:hAnsi="宋体" w:cs="宋体"/>
          <w:b w:val="0"/>
          <w:bCs w:val="0"/>
          <w:sz w:val="22"/>
          <w:szCs w:val="22"/>
          <w:highlight w:val="none"/>
        </w:rPr>
        <w:t>十</w:t>
      </w:r>
      <w:r>
        <w:rPr>
          <w:rFonts w:hint="eastAsia" w:ascii="宋体" w:hAnsi="宋体" w:cs="宋体"/>
          <w:b w:val="0"/>
          <w:sz w:val="22"/>
          <w:szCs w:val="22"/>
          <w:highlight w:val="none"/>
        </w:rPr>
        <w:t>三</w:t>
      </w:r>
      <w:r>
        <w:rPr>
          <w:rFonts w:hint="eastAsia" w:ascii="宋体" w:hAnsi="宋体" w:cs="宋体"/>
          <w:b w:val="0"/>
          <w:bCs w:val="0"/>
          <w:sz w:val="22"/>
          <w:szCs w:val="22"/>
          <w:highlight w:val="none"/>
        </w:rPr>
        <w:t>、争端的解决</w:t>
      </w:r>
      <w:bookmarkEnd w:id="152"/>
      <w:bookmarkEnd w:id="153"/>
      <w:bookmarkEnd w:id="154"/>
      <w:bookmarkEnd w:id="155"/>
      <w:bookmarkEnd w:id="156"/>
    </w:p>
    <w:p w14:paraId="4AE20CC4">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23.1 合同实施或与合同有关的一切争端，甲乙双方应通过友好协商解决，如果协商仍得不到解决，任何一方可向甲方所在地的法院提起诉讼。</w:t>
      </w:r>
    </w:p>
    <w:p w14:paraId="520EE8C7">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23.2 在诉讼期间，除正在执行诉讼的部分外，本合同的其他部分应继续执行。</w:t>
      </w:r>
    </w:p>
    <w:bookmarkEnd w:id="77"/>
    <w:p w14:paraId="16FE81BE">
      <w:pPr>
        <w:widowControl/>
        <w:spacing w:line="360" w:lineRule="auto"/>
        <w:jc w:val="left"/>
        <w:rPr>
          <w:rFonts w:hint="eastAsia" w:ascii="宋体" w:hAnsi="宋体" w:cs="宋体"/>
          <w:b w:val="0"/>
          <w:bCs w:val="0"/>
          <w:sz w:val="22"/>
          <w:szCs w:val="22"/>
          <w:highlight w:val="none"/>
        </w:rPr>
      </w:pPr>
      <w:bookmarkStart w:id="167" w:name="_Toc31773"/>
      <w:bookmarkStart w:id="168" w:name="_Toc7999"/>
      <w:bookmarkStart w:id="169" w:name="_Toc21702"/>
      <w:bookmarkStart w:id="170" w:name="_Toc30383"/>
      <w:bookmarkStart w:id="171" w:name="_Toc23107"/>
      <w:r>
        <w:rPr>
          <w:rFonts w:hint="eastAsia" w:ascii="宋体" w:hAnsi="宋体" w:cs="宋体"/>
          <w:b w:val="0"/>
          <w:bCs w:val="0"/>
          <w:sz w:val="22"/>
          <w:szCs w:val="22"/>
          <w:highlight w:val="none"/>
        </w:rPr>
        <w:t>二十四、合同生效</w:t>
      </w:r>
      <w:bookmarkEnd w:id="167"/>
      <w:bookmarkEnd w:id="168"/>
      <w:bookmarkEnd w:id="169"/>
      <w:bookmarkEnd w:id="170"/>
      <w:bookmarkEnd w:id="171"/>
    </w:p>
    <w:p w14:paraId="124E81BF">
      <w:pPr>
        <w:adjustRightInd w:val="0"/>
        <w:snapToGrid w:val="0"/>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24.1 本合同经甲乙双方签字盖章之日起正式生效。</w:t>
      </w:r>
    </w:p>
    <w:p w14:paraId="3434892B">
      <w:pPr>
        <w:adjustRightInd w:val="0"/>
        <w:snapToGrid w:val="0"/>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24.2 本合同一式柒份，甲方肆份、乙方贰份、代理公司壹份。</w:t>
      </w:r>
    </w:p>
    <w:p w14:paraId="595610D1">
      <w:pPr>
        <w:adjustRightInd w:val="0"/>
        <w:snapToGrid w:val="0"/>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24.3 如需修改或补充合同内容，经协商，双方应签署书面修改或补充协议，该协议将作为本合同的一个组成部分。</w:t>
      </w:r>
    </w:p>
    <w:p w14:paraId="09548877">
      <w:pPr>
        <w:adjustRightInd w:val="0"/>
        <w:snapToGrid w:val="0"/>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24.4 合同组成部分</w:t>
      </w:r>
    </w:p>
    <w:p w14:paraId="451EB903">
      <w:pPr>
        <w:spacing w:line="360" w:lineRule="auto"/>
        <w:ind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60BDF6D">
      <w:pPr>
        <w:numPr>
          <w:ilvl w:val="0"/>
          <w:numId w:val="2"/>
        </w:numPr>
        <w:spacing w:line="360" w:lineRule="auto"/>
        <w:ind w:left="0"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本合同及其补充合同、变更协议；</w:t>
      </w:r>
    </w:p>
    <w:p w14:paraId="01D4460C">
      <w:pPr>
        <w:numPr>
          <w:ilvl w:val="0"/>
          <w:numId w:val="2"/>
        </w:numPr>
        <w:spacing w:line="360" w:lineRule="auto"/>
        <w:ind w:left="0"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中标（成交）通知书；</w:t>
      </w:r>
    </w:p>
    <w:p w14:paraId="7E39B225">
      <w:pPr>
        <w:numPr>
          <w:ilvl w:val="0"/>
          <w:numId w:val="2"/>
        </w:numPr>
        <w:spacing w:line="360" w:lineRule="auto"/>
        <w:ind w:left="0"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乙方投标文件（含澄清或者说明文件）；</w:t>
      </w:r>
    </w:p>
    <w:p w14:paraId="67847846">
      <w:pPr>
        <w:numPr>
          <w:ilvl w:val="0"/>
          <w:numId w:val="2"/>
        </w:numPr>
        <w:spacing w:line="360" w:lineRule="auto"/>
        <w:ind w:left="0"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采购文件（含澄清或者修改文件）；</w:t>
      </w:r>
    </w:p>
    <w:p w14:paraId="4AA2A6EB">
      <w:pPr>
        <w:numPr>
          <w:ilvl w:val="0"/>
          <w:numId w:val="2"/>
        </w:numPr>
        <w:spacing w:line="360" w:lineRule="auto"/>
        <w:ind w:left="0" w:firstLine="440" w:firstLineChars="200"/>
        <w:rPr>
          <w:rFonts w:hint="eastAsia" w:ascii="宋体" w:hAnsi="宋体" w:cs="宋体"/>
          <w:b w:val="0"/>
          <w:sz w:val="22"/>
          <w:szCs w:val="22"/>
          <w:highlight w:val="none"/>
        </w:rPr>
      </w:pPr>
      <w:r>
        <w:rPr>
          <w:rFonts w:hint="eastAsia" w:ascii="宋体" w:hAnsi="宋体" w:cs="宋体"/>
          <w:b w:val="0"/>
          <w:sz w:val="22"/>
          <w:szCs w:val="22"/>
          <w:highlight w:val="none"/>
        </w:rPr>
        <w:t>其他相关文件。</w:t>
      </w:r>
    </w:p>
    <w:tbl>
      <w:tblPr>
        <w:tblStyle w:val="3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9"/>
        <w:gridCol w:w="4457"/>
      </w:tblGrid>
      <w:tr w14:paraId="370A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9" w:type="dxa"/>
            <w:vAlign w:val="center"/>
          </w:tcPr>
          <w:p w14:paraId="3C7EFB1E">
            <w:pPr>
              <w:widowControl/>
              <w:adjustRightInd w:val="0"/>
              <w:snapToGrid w:val="0"/>
              <w:spacing w:line="360" w:lineRule="auto"/>
              <w:rPr>
                <w:rFonts w:hint="eastAsia" w:ascii="宋体" w:hAnsi="宋体" w:cs="宋体"/>
                <w:b w:val="0"/>
                <w:spacing w:val="-6"/>
                <w:sz w:val="22"/>
                <w:szCs w:val="22"/>
                <w:highlight w:val="none"/>
              </w:rPr>
            </w:pPr>
            <w:r>
              <w:rPr>
                <w:rFonts w:hint="eastAsia" w:ascii="宋体" w:hAnsi="宋体" w:cs="宋体"/>
                <w:b w:val="0"/>
                <w:sz w:val="22"/>
                <w:szCs w:val="22"/>
                <w:highlight w:val="none"/>
              </w:rPr>
              <w:br w:type="page"/>
            </w:r>
            <w:r>
              <w:rPr>
                <w:rFonts w:hint="eastAsia" w:ascii="宋体" w:hAnsi="宋体" w:cs="宋体"/>
                <w:b w:val="0"/>
                <w:spacing w:val="-6"/>
                <w:sz w:val="22"/>
                <w:szCs w:val="22"/>
                <w:highlight w:val="none"/>
              </w:rPr>
              <w:t>甲方（采购人）：（盖章）</w:t>
            </w:r>
          </w:p>
        </w:tc>
        <w:tc>
          <w:tcPr>
            <w:tcW w:w="4457" w:type="dxa"/>
            <w:vAlign w:val="center"/>
          </w:tcPr>
          <w:p w14:paraId="34D258C0">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乙方（中标供应商）：（盖章）</w:t>
            </w:r>
          </w:p>
        </w:tc>
      </w:tr>
      <w:tr w14:paraId="6201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9" w:type="dxa"/>
            <w:vAlign w:val="center"/>
          </w:tcPr>
          <w:p w14:paraId="082264DD">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甲方代表：(签字）</w:t>
            </w:r>
          </w:p>
        </w:tc>
        <w:tc>
          <w:tcPr>
            <w:tcW w:w="4457" w:type="dxa"/>
            <w:vAlign w:val="center"/>
          </w:tcPr>
          <w:p w14:paraId="73CE1043">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乙方代表：（签字）</w:t>
            </w:r>
          </w:p>
        </w:tc>
      </w:tr>
      <w:tr w14:paraId="6D22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9" w:type="dxa"/>
            <w:vAlign w:val="center"/>
          </w:tcPr>
          <w:p w14:paraId="07BC9FE4">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地址：</w:t>
            </w:r>
          </w:p>
        </w:tc>
        <w:tc>
          <w:tcPr>
            <w:tcW w:w="4457" w:type="dxa"/>
            <w:vAlign w:val="center"/>
          </w:tcPr>
          <w:p w14:paraId="0D3E386E">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地址：</w:t>
            </w:r>
          </w:p>
        </w:tc>
      </w:tr>
      <w:tr w14:paraId="4DB9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9" w:type="dxa"/>
            <w:vAlign w:val="center"/>
          </w:tcPr>
          <w:p w14:paraId="078A13E1">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邮编：</w:t>
            </w:r>
          </w:p>
        </w:tc>
        <w:tc>
          <w:tcPr>
            <w:tcW w:w="4457" w:type="dxa"/>
            <w:vAlign w:val="center"/>
          </w:tcPr>
          <w:p w14:paraId="45ADB5B0">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邮编：</w:t>
            </w:r>
          </w:p>
        </w:tc>
      </w:tr>
      <w:tr w14:paraId="062D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9" w:type="dxa"/>
            <w:vAlign w:val="center"/>
          </w:tcPr>
          <w:p w14:paraId="6738549D">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电话：</w:t>
            </w:r>
          </w:p>
        </w:tc>
        <w:tc>
          <w:tcPr>
            <w:tcW w:w="4457" w:type="dxa"/>
            <w:vAlign w:val="center"/>
          </w:tcPr>
          <w:p w14:paraId="605FCCFE">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电话：</w:t>
            </w:r>
          </w:p>
        </w:tc>
      </w:tr>
      <w:tr w14:paraId="6CD3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9" w:type="dxa"/>
            <w:vAlign w:val="center"/>
          </w:tcPr>
          <w:p w14:paraId="1C454708">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传真：</w:t>
            </w:r>
          </w:p>
        </w:tc>
        <w:tc>
          <w:tcPr>
            <w:tcW w:w="4457" w:type="dxa"/>
            <w:vAlign w:val="center"/>
          </w:tcPr>
          <w:p w14:paraId="378CFBB6">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传真：</w:t>
            </w:r>
          </w:p>
        </w:tc>
      </w:tr>
      <w:tr w14:paraId="7604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9" w:type="dxa"/>
            <w:vAlign w:val="center"/>
          </w:tcPr>
          <w:p w14:paraId="4C66C290">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开户银行：</w:t>
            </w:r>
          </w:p>
        </w:tc>
        <w:tc>
          <w:tcPr>
            <w:tcW w:w="4457" w:type="dxa"/>
            <w:vAlign w:val="center"/>
          </w:tcPr>
          <w:p w14:paraId="4423B78C">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开户银行：</w:t>
            </w:r>
          </w:p>
        </w:tc>
      </w:tr>
      <w:tr w14:paraId="0157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9" w:type="dxa"/>
            <w:vAlign w:val="center"/>
          </w:tcPr>
          <w:p w14:paraId="7F9335F5">
            <w:pPr>
              <w:spacing w:line="360" w:lineRule="auto"/>
              <w:rPr>
                <w:rFonts w:hint="eastAsia" w:ascii="宋体" w:hAnsi="宋体" w:cs="宋体"/>
                <w:b w:val="0"/>
                <w:sz w:val="22"/>
                <w:szCs w:val="22"/>
                <w:highlight w:val="none"/>
              </w:rPr>
            </w:pPr>
            <w:r>
              <w:rPr>
                <w:rFonts w:hint="eastAsia" w:ascii="宋体" w:hAnsi="宋体" w:cs="宋体"/>
                <w:b w:val="0"/>
                <w:sz w:val="22"/>
                <w:szCs w:val="22"/>
                <w:highlight w:val="none"/>
              </w:rPr>
              <w:t>账号：</w:t>
            </w:r>
          </w:p>
        </w:tc>
        <w:tc>
          <w:tcPr>
            <w:tcW w:w="4457" w:type="dxa"/>
            <w:vAlign w:val="center"/>
          </w:tcPr>
          <w:p w14:paraId="4F889210">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账号：</w:t>
            </w:r>
          </w:p>
        </w:tc>
      </w:tr>
      <w:tr w14:paraId="77A7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99" w:type="dxa"/>
            <w:vAlign w:val="center"/>
          </w:tcPr>
          <w:p w14:paraId="47374D3D">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签字日期：      年    月    日</w:t>
            </w:r>
          </w:p>
        </w:tc>
        <w:tc>
          <w:tcPr>
            <w:tcW w:w="4457" w:type="dxa"/>
            <w:vAlign w:val="center"/>
          </w:tcPr>
          <w:p w14:paraId="3ACC3540">
            <w:pPr>
              <w:spacing w:line="360" w:lineRule="auto"/>
              <w:rPr>
                <w:rFonts w:hint="eastAsia" w:ascii="宋体" w:hAnsi="宋体" w:cs="宋体"/>
                <w:b w:val="0"/>
                <w:spacing w:val="-6"/>
                <w:sz w:val="22"/>
                <w:szCs w:val="22"/>
                <w:highlight w:val="none"/>
              </w:rPr>
            </w:pPr>
            <w:r>
              <w:rPr>
                <w:rFonts w:hint="eastAsia" w:ascii="宋体" w:hAnsi="宋体" w:cs="宋体"/>
                <w:b w:val="0"/>
                <w:spacing w:val="-6"/>
                <w:sz w:val="22"/>
                <w:szCs w:val="22"/>
                <w:highlight w:val="none"/>
              </w:rPr>
              <w:t>签字日期：      年    月    日</w:t>
            </w:r>
          </w:p>
        </w:tc>
      </w:tr>
    </w:tbl>
    <w:p w14:paraId="6DC685DC">
      <w:pPr>
        <w:rPr>
          <w:rFonts w:hint="eastAsia"/>
          <w:b w:val="0"/>
          <w:highlight w:val="none"/>
          <w:lang w:val="en-US" w:eastAsia="zh-CN"/>
        </w:rPr>
      </w:pPr>
    </w:p>
    <w:p w14:paraId="47AC26F0">
      <w:pPr>
        <w:rPr>
          <w:rFonts w:hint="eastAsia"/>
          <w:b w:val="0"/>
          <w:highlight w:val="none"/>
          <w:lang w:val="en-US" w:eastAsia="zh-CN"/>
        </w:rPr>
      </w:pPr>
    </w:p>
    <w:p w14:paraId="6AE65E44">
      <w:pPr>
        <w:rPr>
          <w:b w:val="0"/>
          <w:highlight w:val="none"/>
          <w:lang w:val="en-US" w:eastAsia="zh-CN"/>
        </w:rPr>
      </w:pPr>
    </w:p>
    <w:p w14:paraId="7E5046D4">
      <w:pPr>
        <w:pStyle w:val="79"/>
        <w:tabs>
          <w:tab w:val="left" w:pos="699"/>
        </w:tabs>
        <w:spacing w:line="360" w:lineRule="auto"/>
        <w:ind w:right="537" w:firstLine="0" w:firstLineChars="0"/>
        <w:rPr>
          <w:rFonts w:ascii="Cambria Math" w:hAnsi="Cambria Math" w:eastAsiaTheme="minorEastAsia"/>
          <w:b/>
          <w:sz w:val="22"/>
          <w:szCs w:val="22"/>
          <w:highlight w:val="none"/>
        </w:rPr>
      </w:pPr>
      <w:r>
        <w:rPr>
          <w:rFonts w:hint="eastAsia" w:cs="宋体" w:asciiTheme="minorEastAsia" w:hAnsiTheme="minorEastAsia" w:eastAsiaTheme="minorEastAsia"/>
          <w:sz w:val="22"/>
          <w:szCs w:val="22"/>
          <w:highlight w:val="none"/>
        </w:rPr>
        <w:br w:type="page"/>
      </w:r>
    </w:p>
    <w:p w14:paraId="39C12997">
      <w:pPr>
        <w:pStyle w:val="79"/>
        <w:tabs>
          <w:tab w:val="left" w:pos="699"/>
        </w:tabs>
        <w:spacing w:line="360" w:lineRule="auto"/>
        <w:ind w:right="537" w:firstLine="0" w:firstLineChars="0"/>
        <w:jc w:val="both"/>
        <w:rPr>
          <w:rFonts w:ascii="Cambria Math" w:hAnsi="Cambria Math" w:eastAsia="Cambria Math"/>
          <w:b/>
          <w:sz w:val="22"/>
          <w:szCs w:val="22"/>
          <w:highlight w:val="none"/>
        </w:rPr>
      </w:pPr>
      <w:r>
        <w:rPr>
          <w:rFonts w:ascii="Cambria Math" w:hAnsi="Cambria Math" w:eastAsia="Cambria Math"/>
          <w:b/>
          <w:sz w:val="22"/>
          <w:szCs w:val="22"/>
          <w:highlight w:val="none"/>
        </w:rPr>
        <w:t xml:space="preserve"> </w:t>
      </w:r>
    </w:p>
    <w:p w14:paraId="09ECA247">
      <w:pPr>
        <w:pStyle w:val="4"/>
        <w:spacing w:before="0" w:after="120" w:line="700" w:lineRule="exact"/>
        <w:ind w:left="0" w:firstLine="0"/>
        <w:jc w:val="center"/>
        <w:rPr>
          <w:rFonts w:ascii="Cambria Math" w:hAnsi="Cambria Math" w:eastAsia="Cambria Math"/>
          <w:b/>
          <w:color w:val="auto"/>
          <w:sz w:val="44"/>
          <w:szCs w:val="44"/>
          <w:highlight w:val="none"/>
        </w:rPr>
      </w:pPr>
      <w:r>
        <w:rPr>
          <w:rFonts w:hint="eastAsia" w:ascii="Cambria Math" w:hAnsi="Cambria Math" w:eastAsia="Cambria Math"/>
          <w:b/>
          <w:color w:val="auto"/>
          <w:sz w:val="44"/>
          <w:szCs w:val="44"/>
          <w:highlight w:val="none"/>
        </w:rPr>
        <w:t>第五部分   投标文件格式</w:t>
      </w:r>
    </w:p>
    <w:p w14:paraId="70DE9198">
      <w:pPr>
        <w:pStyle w:val="4"/>
        <w:spacing w:before="0" w:after="120" w:line="700" w:lineRule="exact"/>
        <w:ind w:left="0" w:firstLine="0"/>
        <w:rPr>
          <w:rFonts w:ascii="Cambria Math" w:hAnsi="Cambria Math" w:eastAsia="Cambria Math"/>
          <w:b/>
          <w:color w:val="auto"/>
          <w:sz w:val="32"/>
          <w:highlight w:val="none"/>
        </w:rPr>
      </w:pPr>
      <w:r>
        <w:rPr>
          <w:rFonts w:hint="eastAsia" w:ascii="Cambria Math" w:hAnsi="Cambria Math" w:eastAsia="Cambria Math"/>
          <w:b/>
          <w:color w:val="auto"/>
          <w:sz w:val="32"/>
          <w:highlight w:val="none"/>
        </w:rPr>
        <w:t>商务部分</w:t>
      </w:r>
    </w:p>
    <w:p w14:paraId="649EA047">
      <w:pPr>
        <w:adjustRightInd w:val="0"/>
        <w:snapToGrid w:val="0"/>
        <w:spacing w:line="460" w:lineRule="atLeast"/>
        <w:ind w:left="360" w:hanging="360" w:hangingChars="100"/>
        <w:rPr>
          <w:rFonts w:ascii="Cambria Math" w:hAnsi="Cambria Math" w:eastAsia="Cambria Math"/>
          <w:b w:val="0"/>
          <w:color w:val="auto"/>
          <w:spacing w:val="20"/>
          <w:sz w:val="32"/>
          <w:szCs w:val="32"/>
          <w:highlight w:val="none"/>
        </w:rPr>
      </w:pPr>
      <w:r>
        <w:rPr>
          <w:rFonts w:hint="eastAsia" w:ascii="Cambria Math" w:hAnsi="Cambria Math" w:eastAsia="Cambria Math"/>
          <w:b w:val="0"/>
          <w:color w:val="auto"/>
          <w:spacing w:val="20"/>
          <w:sz w:val="32"/>
          <w:szCs w:val="32"/>
          <w:highlight w:val="none"/>
        </w:rPr>
        <w:t>（密封封面格式）（仅供参考）</w:t>
      </w:r>
    </w:p>
    <w:p w14:paraId="63182AF3">
      <w:pPr>
        <w:adjustRightInd w:val="0"/>
        <w:snapToGrid w:val="0"/>
        <w:spacing w:line="460" w:lineRule="atLeast"/>
        <w:ind w:left="360" w:hanging="360" w:hangingChars="100"/>
        <w:jc w:val="right"/>
        <w:rPr>
          <w:rFonts w:ascii="Cambria Math" w:hAnsi="Cambria Math"/>
          <w:b w:val="0"/>
          <w:color w:val="auto"/>
          <w:spacing w:val="20"/>
          <w:sz w:val="32"/>
          <w:szCs w:val="32"/>
          <w:highlight w:val="none"/>
        </w:rPr>
      </w:pPr>
      <w:r>
        <w:rPr>
          <w:rFonts w:hint="eastAsia" w:ascii="Cambria Math" w:hAnsi="Cambria Math" w:eastAsia="Cambria Math"/>
          <w:b w:val="0"/>
          <w:color w:val="FF0000"/>
          <w:spacing w:val="20"/>
          <w:sz w:val="32"/>
          <w:szCs w:val="32"/>
          <w:highlight w:val="none"/>
        </w:rPr>
        <w:t>正本</w:t>
      </w:r>
      <w:r>
        <w:rPr>
          <w:rFonts w:hint="eastAsia" w:ascii="Cambria Math" w:hAnsi="Cambria Math"/>
          <w:b w:val="0"/>
          <w:color w:val="auto"/>
          <w:spacing w:val="20"/>
          <w:sz w:val="32"/>
          <w:szCs w:val="32"/>
          <w:highlight w:val="none"/>
        </w:rPr>
        <w:t>/副本</w:t>
      </w:r>
    </w:p>
    <w:p w14:paraId="710AC5F6">
      <w:pPr>
        <w:adjustRightInd w:val="0"/>
        <w:snapToGrid w:val="0"/>
        <w:spacing w:line="460" w:lineRule="atLeast"/>
        <w:ind w:left="360" w:hanging="360" w:hangingChars="100"/>
        <w:rPr>
          <w:rFonts w:ascii="Cambria Math" w:hAnsi="Cambria Math" w:eastAsia="Cambria Math"/>
          <w:b w:val="0"/>
          <w:color w:val="auto"/>
          <w:spacing w:val="20"/>
          <w:sz w:val="32"/>
          <w:szCs w:val="32"/>
          <w:highlight w:val="none"/>
        </w:rPr>
      </w:pPr>
    </w:p>
    <w:p w14:paraId="653CD933">
      <w:pPr>
        <w:adjustRightInd w:val="0"/>
        <w:snapToGrid w:val="0"/>
        <w:spacing w:line="460" w:lineRule="atLeast"/>
        <w:rPr>
          <w:rFonts w:ascii="Cambria Math" w:hAnsi="Cambria Math" w:eastAsia="Cambria Math"/>
          <w:b w:val="0"/>
          <w:color w:val="auto"/>
          <w:spacing w:val="20"/>
          <w:sz w:val="36"/>
          <w:szCs w:val="36"/>
          <w:highlight w:val="none"/>
        </w:rPr>
      </w:pPr>
    </w:p>
    <w:p w14:paraId="6F5FA8EE">
      <w:pPr>
        <w:spacing w:line="360" w:lineRule="auto"/>
        <w:jc w:val="center"/>
        <w:rPr>
          <w:rFonts w:ascii="Cambria Math" w:hAnsi="Cambria Math" w:eastAsia="Cambria Math"/>
          <w:b w:val="0"/>
          <w:color w:val="auto"/>
          <w:sz w:val="96"/>
          <w:szCs w:val="22"/>
          <w:highlight w:val="none"/>
        </w:rPr>
      </w:pPr>
      <w:r>
        <w:rPr>
          <w:rFonts w:hint="eastAsia" w:ascii="Cambria Math" w:hAnsi="Cambria Math" w:eastAsia="Cambria Math"/>
          <w:b w:val="0"/>
          <w:color w:val="auto"/>
          <w:sz w:val="96"/>
          <w:szCs w:val="22"/>
          <w:highlight w:val="none"/>
        </w:rPr>
        <w:t>商务报价投标文件</w:t>
      </w:r>
    </w:p>
    <w:p w14:paraId="3326439F">
      <w:pPr>
        <w:spacing w:line="360" w:lineRule="auto"/>
        <w:jc w:val="center"/>
        <w:rPr>
          <w:rFonts w:ascii="Cambria Math" w:hAnsi="Cambria Math" w:eastAsia="Cambria Math"/>
          <w:b w:val="0"/>
          <w:color w:val="auto"/>
          <w:sz w:val="44"/>
          <w:szCs w:val="44"/>
          <w:highlight w:val="none"/>
        </w:rPr>
      </w:pPr>
      <w:r>
        <w:rPr>
          <w:rFonts w:hint="eastAsia" w:ascii="Cambria Math" w:hAnsi="Cambria Math" w:eastAsia="Cambria Math"/>
          <w:b w:val="0"/>
          <w:color w:val="auto"/>
          <w:sz w:val="44"/>
          <w:szCs w:val="44"/>
          <w:highlight w:val="none"/>
        </w:rPr>
        <w:t>开标时启封</w:t>
      </w:r>
    </w:p>
    <w:p w14:paraId="42FF6BBD">
      <w:pPr>
        <w:spacing w:line="360" w:lineRule="auto"/>
        <w:jc w:val="center"/>
        <w:rPr>
          <w:rFonts w:ascii="Cambria Math" w:hAnsi="Cambria Math" w:eastAsia="Cambria Math"/>
          <w:b w:val="0"/>
          <w:color w:val="auto"/>
          <w:sz w:val="44"/>
          <w:szCs w:val="44"/>
          <w:highlight w:val="none"/>
        </w:rPr>
      </w:pPr>
    </w:p>
    <w:p w14:paraId="1E20E087">
      <w:pPr>
        <w:spacing w:line="360" w:lineRule="auto"/>
        <w:ind w:firstLine="1271" w:firstLineChars="454"/>
        <w:rPr>
          <w:rFonts w:ascii="Cambria Math" w:hAnsi="Cambria Math" w:eastAsia="Cambria Math"/>
          <w:b w:val="0"/>
          <w:color w:val="auto"/>
          <w:sz w:val="36"/>
          <w:szCs w:val="22"/>
          <w:highlight w:val="none"/>
          <w:u w:val="single"/>
        </w:rPr>
      </w:pPr>
      <w:r>
        <w:rPr>
          <w:rFonts w:hint="eastAsia" w:ascii="Cambria Math" w:hAnsi="Cambria Math" w:eastAsia="Cambria Math"/>
          <w:b w:val="0"/>
          <w:color w:val="auto"/>
          <w:sz w:val="28"/>
          <w:szCs w:val="22"/>
          <w:highlight w:val="none"/>
        </w:rPr>
        <w:t>项目名称：</w:t>
      </w:r>
    </w:p>
    <w:p w14:paraId="23543962">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项目编号：</w:t>
      </w:r>
    </w:p>
    <w:p w14:paraId="631A1F65">
      <w:pPr>
        <w:spacing w:line="360" w:lineRule="auto"/>
        <w:ind w:firstLine="1271" w:firstLineChars="454"/>
        <w:rPr>
          <w:rFonts w:ascii="Cambria Math" w:hAnsi="Cambria Math" w:eastAsia="Cambria Math"/>
          <w:b w:val="0"/>
          <w:color w:val="auto"/>
          <w:sz w:val="28"/>
          <w:szCs w:val="22"/>
          <w:highlight w:val="none"/>
        </w:rPr>
      </w:pPr>
      <w:r>
        <w:rPr>
          <w:rFonts w:hint="eastAsia" w:ascii="Cambria Math" w:hAnsi="Cambria Math" w:eastAsia="Cambria Math"/>
          <w:b w:val="0"/>
          <w:color w:val="auto"/>
          <w:sz w:val="28"/>
          <w:szCs w:val="22"/>
          <w:highlight w:val="none"/>
        </w:rPr>
        <w:t>采 购 人：</w:t>
      </w:r>
    </w:p>
    <w:p w14:paraId="47912779">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投标单位（盖章）：</w:t>
      </w:r>
    </w:p>
    <w:p w14:paraId="446429FF">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投标人地址：</w:t>
      </w:r>
    </w:p>
    <w:p w14:paraId="53A179C9">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授权代表（签字或盖章）：</w:t>
      </w:r>
    </w:p>
    <w:p w14:paraId="4E5C7782">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日期：</w:t>
      </w:r>
    </w:p>
    <w:p w14:paraId="481D20A3">
      <w:pPr>
        <w:adjustRightInd w:val="0"/>
        <w:snapToGrid w:val="0"/>
        <w:spacing w:line="460" w:lineRule="atLeast"/>
        <w:rPr>
          <w:rFonts w:ascii="Cambria Math" w:hAnsi="Cambria Math" w:eastAsia="Cambria Math"/>
          <w:b w:val="0"/>
          <w:color w:val="auto"/>
          <w:spacing w:val="20"/>
          <w:sz w:val="36"/>
          <w:szCs w:val="36"/>
          <w:highlight w:val="none"/>
        </w:rPr>
      </w:pPr>
    </w:p>
    <w:p w14:paraId="33D1AA66">
      <w:pPr>
        <w:adjustRightInd w:val="0"/>
        <w:snapToGrid w:val="0"/>
        <w:spacing w:line="460" w:lineRule="atLeast"/>
        <w:rPr>
          <w:rFonts w:ascii="Cambria Math" w:hAnsi="Cambria Math" w:eastAsia="Cambria Math"/>
          <w:b w:val="0"/>
          <w:color w:val="auto"/>
          <w:spacing w:val="20"/>
          <w:sz w:val="36"/>
          <w:szCs w:val="36"/>
          <w:highlight w:val="none"/>
        </w:rPr>
      </w:pPr>
    </w:p>
    <w:p w14:paraId="0B3DF301">
      <w:pPr>
        <w:pStyle w:val="4"/>
        <w:spacing w:before="0" w:after="120" w:line="700" w:lineRule="exact"/>
        <w:ind w:left="0" w:firstLine="0"/>
        <w:rPr>
          <w:rFonts w:ascii="Cambria Math" w:hAnsi="Cambria Math" w:eastAsia="Cambria Math"/>
          <w:b/>
          <w:color w:val="auto"/>
          <w:sz w:val="32"/>
          <w:highlight w:val="none"/>
        </w:rPr>
      </w:pPr>
    </w:p>
    <w:p w14:paraId="69EC9251">
      <w:pPr>
        <w:pStyle w:val="5"/>
        <w:rPr>
          <w:highlight w:val="none"/>
        </w:rPr>
      </w:pPr>
    </w:p>
    <w:p w14:paraId="50AEE1EC">
      <w:pPr>
        <w:rPr>
          <w:rFonts w:ascii="Cambria Math" w:hAnsi="Cambria Math"/>
          <w:color w:val="auto"/>
          <w:sz w:val="32"/>
          <w:szCs w:val="32"/>
          <w:highlight w:val="none"/>
        </w:rPr>
      </w:pPr>
    </w:p>
    <w:p w14:paraId="5EAD04D1">
      <w:pPr>
        <w:rPr>
          <w:rFonts w:ascii="Cambria Math" w:hAnsi="Cambria Math" w:eastAsia="等线"/>
          <w:color w:val="auto"/>
          <w:sz w:val="32"/>
          <w:szCs w:val="32"/>
          <w:highlight w:val="none"/>
        </w:rPr>
      </w:pPr>
      <w:r>
        <w:rPr>
          <w:rFonts w:hint="eastAsia" w:ascii="Cambria Math" w:hAnsi="Cambria Math" w:eastAsia="Cambria Math"/>
          <w:color w:val="auto"/>
          <w:sz w:val="32"/>
          <w:szCs w:val="32"/>
          <w:highlight w:val="none"/>
        </w:rPr>
        <w:t>附件</w:t>
      </w:r>
      <w:r>
        <w:rPr>
          <w:rFonts w:hint="eastAsia" w:ascii="Cambria Math" w:hAnsi="Cambria Math" w:eastAsia="等线"/>
          <w:color w:val="auto"/>
          <w:sz w:val="32"/>
          <w:szCs w:val="32"/>
          <w:highlight w:val="none"/>
        </w:rPr>
        <w:t>1-</w:t>
      </w:r>
      <w:r>
        <w:rPr>
          <w:rFonts w:ascii="Cambria Math" w:hAnsi="Cambria Math" w:eastAsia="等线"/>
          <w:color w:val="auto"/>
          <w:sz w:val="32"/>
          <w:szCs w:val="32"/>
          <w:highlight w:val="none"/>
        </w:rPr>
        <w:t>1</w:t>
      </w:r>
    </w:p>
    <w:p w14:paraId="14229D92">
      <w:pPr>
        <w:autoSpaceDE w:val="0"/>
        <w:autoSpaceDN w:val="0"/>
        <w:adjustRightInd w:val="0"/>
        <w:jc w:val="center"/>
        <w:rPr>
          <w:rFonts w:ascii="Cambria Math" w:hAnsi="Cambria Math" w:eastAsia="Cambria Math"/>
          <w:b w:val="0"/>
          <w:bCs w:val="0"/>
          <w:color w:val="auto"/>
          <w:sz w:val="44"/>
          <w:szCs w:val="44"/>
          <w:highlight w:val="none"/>
          <w:lang w:val="zh-CN"/>
        </w:rPr>
      </w:pPr>
      <w:r>
        <w:rPr>
          <w:rFonts w:hint="eastAsia" w:ascii="Cambria Math" w:hAnsi="Cambria Math" w:eastAsia="Cambria Math"/>
          <w:b w:val="0"/>
          <w:bCs w:val="0"/>
          <w:color w:val="auto"/>
          <w:sz w:val="44"/>
          <w:szCs w:val="44"/>
          <w:highlight w:val="none"/>
          <w:lang w:val="zh-CN"/>
        </w:rPr>
        <w:t>开标一览表</w:t>
      </w:r>
    </w:p>
    <w:p w14:paraId="29426FCE">
      <w:pPr>
        <w:autoSpaceDE w:val="0"/>
        <w:autoSpaceDN w:val="0"/>
        <w:adjustRightInd w:val="0"/>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项目名称：招标编号：报价单位：人民币元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6347"/>
      </w:tblGrid>
      <w:tr w14:paraId="1F9A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 w:hRule="atLeast"/>
          <w:jc w:val="center"/>
        </w:trPr>
        <w:tc>
          <w:tcPr>
            <w:tcW w:w="3062" w:type="dxa"/>
            <w:vAlign w:val="center"/>
          </w:tcPr>
          <w:p w14:paraId="66E1B827">
            <w:pPr>
              <w:pStyle w:val="21"/>
              <w:snapToGrid w:val="0"/>
              <w:spacing w:line="460" w:lineRule="atLeast"/>
              <w:jc w:val="center"/>
              <w:rPr>
                <w:rFonts w:ascii="宋体" w:hAnsi="宋体" w:eastAsia="宋体" w:cs="Yu Mincho Light"/>
                <w:b w:val="0"/>
                <w:sz w:val="22"/>
                <w:szCs w:val="22"/>
                <w:highlight w:val="none"/>
              </w:rPr>
            </w:pPr>
            <w:r>
              <w:rPr>
                <w:rFonts w:hint="eastAsia" w:ascii="宋体" w:hAnsi="宋体" w:eastAsia="宋体" w:cs="Yu Mincho Light"/>
                <w:b w:val="0"/>
                <w:sz w:val="22"/>
                <w:szCs w:val="22"/>
                <w:highlight w:val="none"/>
              </w:rPr>
              <w:t>名称</w:t>
            </w:r>
          </w:p>
        </w:tc>
        <w:tc>
          <w:tcPr>
            <w:tcW w:w="6347" w:type="dxa"/>
            <w:vAlign w:val="center"/>
          </w:tcPr>
          <w:p w14:paraId="3C3EF08A">
            <w:pPr>
              <w:pStyle w:val="21"/>
              <w:snapToGrid w:val="0"/>
              <w:spacing w:line="460" w:lineRule="atLeast"/>
              <w:jc w:val="center"/>
              <w:rPr>
                <w:rFonts w:ascii="宋体" w:hAnsi="宋体" w:eastAsia="宋体" w:cs="Yu Mincho Light"/>
                <w:b w:val="0"/>
                <w:sz w:val="22"/>
                <w:szCs w:val="22"/>
                <w:highlight w:val="none"/>
              </w:rPr>
            </w:pPr>
            <w:bookmarkStart w:id="172" w:name="_Hlk33642857"/>
            <w:r>
              <w:rPr>
                <w:rFonts w:hint="eastAsia" w:ascii="宋体" w:hAnsi="宋体" w:eastAsia="宋体" w:cs="Yu Mincho Light"/>
                <w:b w:val="0"/>
                <w:sz w:val="22"/>
                <w:szCs w:val="22"/>
                <w:highlight w:val="none"/>
              </w:rPr>
              <w:t>投标</w:t>
            </w:r>
            <w:bookmarkEnd w:id="172"/>
            <w:r>
              <w:rPr>
                <w:rFonts w:hint="eastAsia" w:ascii="宋体" w:hAnsi="宋体" w:eastAsia="宋体" w:cs="Yu Mincho Light"/>
                <w:b w:val="0"/>
                <w:sz w:val="22"/>
                <w:szCs w:val="22"/>
                <w:highlight w:val="none"/>
              </w:rPr>
              <w:t>总价</w:t>
            </w:r>
          </w:p>
        </w:tc>
      </w:tr>
      <w:tr w14:paraId="28E6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3062" w:type="dxa"/>
            <w:vAlign w:val="center"/>
          </w:tcPr>
          <w:p w14:paraId="04EBA580">
            <w:pPr>
              <w:pStyle w:val="21"/>
              <w:spacing w:line="460" w:lineRule="atLeast"/>
              <w:jc w:val="center"/>
              <w:rPr>
                <w:rFonts w:ascii="宋体" w:hAnsi="宋体" w:eastAsia="宋体" w:cs="Yu Mincho Light"/>
                <w:b w:val="0"/>
                <w:sz w:val="24"/>
                <w:szCs w:val="24"/>
                <w:highlight w:val="none"/>
              </w:rPr>
            </w:pPr>
            <w:r>
              <w:rPr>
                <w:rFonts w:hint="eastAsia" w:ascii="宋体" w:hAnsi="宋体" w:eastAsia="宋体" w:cs="Yu Mincho Light"/>
                <w:b w:val="0"/>
                <w:sz w:val="24"/>
                <w:szCs w:val="24"/>
                <w:highlight w:val="none"/>
                <w:lang w:eastAsia="zh-CN"/>
              </w:rPr>
              <w:t>龙港水务用水客户户内漏水保险服务项目</w:t>
            </w:r>
          </w:p>
        </w:tc>
        <w:tc>
          <w:tcPr>
            <w:tcW w:w="6347" w:type="dxa"/>
            <w:vAlign w:val="center"/>
          </w:tcPr>
          <w:p w14:paraId="4E570D7F">
            <w:pPr>
              <w:jc w:val="left"/>
              <w:rPr>
                <w:rFonts w:hint="eastAsia" w:ascii="新宋体" w:hAnsi="新宋体" w:eastAsia="新宋体"/>
                <w:b w:val="0"/>
                <w:sz w:val="24"/>
                <w:szCs w:val="22"/>
                <w:highlight w:val="none"/>
              </w:rPr>
            </w:pPr>
            <w:r>
              <w:rPr>
                <w:rFonts w:hint="eastAsia" w:ascii="新宋体" w:hAnsi="新宋体" w:eastAsia="新宋体"/>
                <w:b w:val="0"/>
                <w:sz w:val="24"/>
                <w:szCs w:val="22"/>
                <w:highlight w:val="none"/>
              </w:rPr>
              <w:t>(大写) :</w:t>
            </w:r>
            <w:r>
              <w:rPr>
                <w:rFonts w:hint="eastAsia" w:ascii="新宋体" w:hAnsi="新宋体" w:eastAsia="新宋体"/>
                <w:b w:val="0"/>
                <w:sz w:val="24"/>
                <w:szCs w:val="22"/>
                <w:highlight w:val="none"/>
                <w:u w:val="single"/>
              </w:rPr>
              <w:t xml:space="preserve">                  </w:t>
            </w:r>
          </w:p>
          <w:p w14:paraId="7F99B7A2">
            <w:pPr>
              <w:rPr>
                <w:rFonts w:hint="eastAsia" w:ascii="新宋体" w:hAnsi="新宋体" w:eastAsia="新宋体"/>
                <w:b w:val="0"/>
                <w:sz w:val="24"/>
                <w:szCs w:val="22"/>
                <w:highlight w:val="none"/>
              </w:rPr>
            </w:pPr>
          </w:p>
          <w:p w14:paraId="0E9DD2F8">
            <w:pPr>
              <w:pStyle w:val="21"/>
              <w:spacing w:line="460" w:lineRule="atLeast"/>
              <w:jc w:val="left"/>
              <w:rPr>
                <w:rFonts w:ascii="宋体" w:hAnsi="宋体" w:eastAsia="宋体" w:cs="Yu Mincho Light"/>
                <w:b w:val="0"/>
                <w:sz w:val="24"/>
                <w:szCs w:val="24"/>
                <w:highlight w:val="none"/>
                <w:u w:val="single"/>
              </w:rPr>
            </w:pPr>
            <w:r>
              <w:rPr>
                <w:rFonts w:hint="eastAsia" w:ascii="新宋体" w:hAnsi="新宋体" w:eastAsia="新宋体"/>
                <w:b w:val="0"/>
                <w:sz w:val="24"/>
                <w:szCs w:val="22"/>
                <w:highlight w:val="none"/>
              </w:rPr>
              <w:t>(</w:t>
            </w:r>
            <w:r>
              <w:rPr>
                <w:rFonts w:hint="eastAsia" w:ascii="新宋体" w:hAnsi="新宋体" w:eastAsia="新宋体"/>
                <w:b w:val="0"/>
                <w:sz w:val="24"/>
                <w:szCs w:val="22"/>
                <w:highlight w:val="none"/>
                <w:lang w:val="en-US" w:eastAsia="zh-CN"/>
              </w:rPr>
              <w:t>小</w:t>
            </w:r>
            <w:r>
              <w:rPr>
                <w:rFonts w:hint="eastAsia" w:ascii="新宋体" w:hAnsi="新宋体" w:eastAsia="新宋体"/>
                <w:b w:val="0"/>
                <w:sz w:val="24"/>
                <w:szCs w:val="22"/>
                <w:highlight w:val="none"/>
              </w:rPr>
              <w:t>写) :</w:t>
            </w:r>
            <w:r>
              <w:rPr>
                <w:rFonts w:hint="eastAsia" w:ascii="新宋体" w:hAnsi="新宋体" w:eastAsia="新宋体"/>
                <w:b w:val="0"/>
                <w:sz w:val="24"/>
                <w:szCs w:val="22"/>
                <w:highlight w:val="none"/>
                <w:u w:val="single"/>
              </w:rPr>
              <w:t xml:space="preserve">                </w:t>
            </w:r>
          </w:p>
        </w:tc>
      </w:tr>
      <w:tr w14:paraId="4FF3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62" w:type="dxa"/>
            <w:vAlign w:val="center"/>
          </w:tcPr>
          <w:p w14:paraId="5021CCD4">
            <w:pPr>
              <w:pStyle w:val="21"/>
              <w:spacing w:line="460" w:lineRule="atLeast"/>
              <w:jc w:val="center"/>
              <w:rPr>
                <w:rFonts w:ascii="宋体" w:hAnsi="宋体" w:eastAsia="宋体" w:cs="Yu Mincho Light"/>
                <w:b w:val="0"/>
                <w:sz w:val="24"/>
                <w:szCs w:val="24"/>
                <w:highlight w:val="none"/>
              </w:rPr>
            </w:pPr>
            <w:r>
              <w:rPr>
                <w:rFonts w:hint="eastAsia" w:ascii="宋体" w:hAnsi="宋体" w:eastAsia="宋体" w:cs="Yu Mincho Light"/>
                <w:b w:val="0"/>
                <w:sz w:val="24"/>
                <w:szCs w:val="24"/>
                <w:highlight w:val="none"/>
              </w:rPr>
              <w:t>服务期限</w:t>
            </w:r>
          </w:p>
        </w:tc>
        <w:tc>
          <w:tcPr>
            <w:tcW w:w="6347" w:type="dxa"/>
            <w:vAlign w:val="center"/>
          </w:tcPr>
          <w:p w14:paraId="7F9A965E">
            <w:pPr>
              <w:pStyle w:val="21"/>
              <w:spacing w:line="460" w:lineRule="atLeast"/>
              <w:jc w:val="center"/>
              <w:rPr>
                <w:rFonts w:ascii="宋体" w:hAnsi="宋体" w:eastAsia="宋体" w:cs="Yu Mincho Light"/>
                <w:b w:val="0"/>
                <w:sz w:val="22"/>
                <w:szCs w:val="22"/>
                <w:highlight w:val="none"/>
              </w:rPr>
            </w:pPr>
          </w:p>
        </w:tc>
      </w:tr>
      <w:tr w14:paraId="6950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62" w:type="dxa"/>
            <w:vAlign w:val="center"/>
          </w:tcPr>
          <w:p w14:paraId="03DC6897">
            <w:pPr>
              <w:pStyle w:val="21"/>
              <w:spacing w:line="460" w:lineRule="atLeast"/>
              <w:jc w:val="center"/>
              <w:rPr>
                <w:rFonts w:ascii="宋体" w:hAnsi="宋体" w:eastAsia="宋体" w:cs="Yu Mincho Light"/>
                <w:b w:val="0"/>
                <w:sz w:val="24"/>
                <w:szCs w:val="24"/>
                <w:highlight w:val="none"/>
              </w:rPr>
            </w:pPr>
            <w:r>
              <w:rPr>
                <w:rFonts w:hint="eastAsia" w:ascii="宋体" w:hAnsi="宋体" w:eastAsia="宋体" w:cs="Yu Mincho Light"/>
                <w:b w:val="0"/>
                <w:sz w:val="24"/>
                <w:szCs w:val="24"/>
                <w:highlight w:val="none"/>
              </w:rPr>
              <w:t>项目负责人</w:t>
            </w:r>
          </w:p>
        </w:tc>
        <w:tc>
          <w:tcPr>
            <w:tcW w:w="6347" w:type="dxa"/>
            <w:vAlign w:val="center"/>
          </w:tcPr>
          <w:p w14:paraId="41E7CDF3">
            <w:pPr>
              <w:pStyle w:val="21"/>
              <w:spacing w:line="460" w:lineRule="atLeast"/>
              <w:jc w:val="center"/>
              <w:rPr>
                <w:rFonts w:ascii="宋体" w:hAnsi="宋体" w:eastAsia="宋体" w:cs="Yu Mincho Light"/>
                <w:b w:val="0"/>
                <w:sz w:val="22"/>
                <w:szCs w:val="22"/>
                <w:highlight w:val="none"/>
              </w:rPr>
            </w:pPr>
          </w:p>
        </w:tc>
      </w:tr>
      <w:tr w14:paraId="13E5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62" w:type="dxa"/>
            <w:vAlign w:val="center"/>
          </w:tcPr>
          <w:p w14:paraId="0EDD8B94">
            <w:pPr>
              <w:pStyle w:val="21"/>
              <w:spacing w:line="460" w:lineRule="atLeast"/>
              <w:jc w:val="center"/>
              <w:rPr>
                <w:rFonts w:ascii="宋体" w:hAnsi="宋体" w:eastAsia="宋体" w:cs="Yu Mincho Light"/>
                <w:b w:val="0"/>
                <w:sz w:val="24"/>
                <w:szCs w:val="24"/>
                <w:highlight w:val="none"/>
              </w:rPr>
            </w:pPr>
            <w:r>
              <w:rPr>
                <w:rFonts w:hint="eastAsia" w:ascii="宋体" w:hAnsi="宋体" w:eastAsia="宋体" w:cs="Yu Mincho Light"/>
                <w:b w:val="0"/>
                <w:sz w:val="24"/>
                <w:szCs w:val="24"/>
                <w:highlight w:val="none"/>
              </w:rPr>
              <w:t>备注</w:t>
            </w:r>
          </w:p>
        </w:tc>
        <w:tc>
          <w:tcPr>
            <w:tcW w:w="6347" w:type="dxa"/>
            <w:vAlign w:val="center"/>
          </w:tcPr>
          <w:p w14:paraId="276288B9">
            <w:pPr>
              <w:pStyle w:val="21"/>
              <w:spacing w:line="460" w:lineRule="atLeast"/>
              <w:jc w:val="center"/>
              <w:rPr>
                <w:rFonts w:ascii="宋体" w:hAnsi="宋体" w:eastAsia="宋体" w:cs="Yu Mincho Light"/>
                <w:b w:val="0"/>
                <w:sz w:val="22"/>
                <w:szCs w:val="22"/>
                <w:highlight w:val="none"/>
              </w:rPr>
            </w:pPr>
          </w:p>
        </w:tc>
      </w:tr>
    </w:tbl>
    <w:p w14:paraId="34F22D5C">
      <w:pPr>
        <w:pStyle w:val="21"/>
        <w:spacing w:line="460" w:lineRule="atLeast"/>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注：</w:t>
      </w:r>
      <w:r>
        <w:rPr>
          <w:rFonts w:hint="eastAsia" w:ascii="Cambria Math" w:hAnsi="Cambria Math" w:eastAsia="宋体"/>
          <w:b w:val="0"/>
          <w:color w:val="auto"/>
          <w:sz w:val="22"/>
          <w:szCs w:val="22"/>
          <w:highlight w:val="none"/>
        </w:rPr>
        <w:t>1、</w:t>
      </w:r>
      <w:r>
        <w:rPr>
          <w:rFonts w:hint="eastAsia" w:ascii="Cambria Math" w:hAnsi="Cambria Math" w:eastAsia="Cambria Math"/>
          <w:b w:val="0"/>
          <w:color w:val="auto"/>
          <w:sz w:val="22"/>
          <w:szCs w:val="22"/>
          <w:highlight w:val="none"/>
        </w:rPr>
        <w:t>开标一览表中投标价为符合招标文件要求的</w:t>
      </w:r>
      <w:r>
        <w:rPr>
          <w:rFonts w:hint="eastAsia" w:asciiTheme="minorEastAsia" w:hAnsiTheme="minorEastAsia" w:eastAsiaTheme="minorEastAsia"/>
          <w:b w:val="0"/>
          <w:color w:val="auto"/>
          <w:sz w:val="22"/>
          <w:szCs w:val="22"/>
          <w:highlight w:val="none"/>
        </w:rPr>
        <w:t>总</w:t>
      </w:r>
      <w:r>
        <w:rPr>
          <w:rFonts w:hint="eastAsia" w:ascii="Cambria Math" w:hAnsi="Cambria Math" w:eastAsia="Cambria Math"/>
          <w:b w:val="0"/>
          <w:color w:val="auto"/>
          <w:sz w:val="22"/>
          <w:szCs w:val="22"/>
          <w:highlight w:val="none"/>
        </w:rPr>
        <w:t>报价</w:t>
      </w:r>
      <w:r>
        <w:rPr>
          <w:rFonts w:hint="eastAsia" w:ascii="宋体" w:hAnsi="宋体" w:eastAsia="宋体" w:cs="宋体"/>
          <w:b w:val="0"/>
          <w:color w:val="auto"/>
          <w:sz w:val="22"/>
          <w:szCs w:val="22"/>
          <w:highlight w:val="none"/>
        </w:rPr>
        <w:t>，</w:t>
      </w:r>
      <w:r>
        <w:rPr>
          <w:rFonts w:hint="eastAsia" w:ascii="Cambria Math" w:hAnsi="Cambria Math" w:eastAsia="Cambria Math"/>
          <w:b w:val="0"/>
          <w:color w:val="auto"/>
          <w:sz w:val="22"/>
          <w:szCs w:val="22"/>
          <w:highlight w:val="none"/>
        </w:rPr>
        <w:t xml:space="preserve">包含项目实施全过程所涉及的全部费用以及合理的利润、税金、风险等其他一切费用。        </w:t>
      </w:r>
    </w:p>
    <w:p w14:paraId="3366B218">
      <w:pPr>
        <w:pStyle w:val="21"/>
        <w:spacing w:line="460" w:lineRule="atLeast"/>
        <w:rPr>
          <w:rFonts w:ascii="Cambria Math" w:hAnsi="Cambria Math" w:eastAsia="Cambria Math"/>
          <w:b w:val="0"/>
          <w:color w:val="auto"/>
          <w:sz w:val="22"/>
          <w:szCs w:val="22"/>
          <w:highlight w:val="none"/>
        </w:rPr>
      </w:pPr>
      <w:r>
        <w:rPr>
          <w:rFonts w:hint="eastAsia" w:ascii="Cambria Math" w:hAnsi="Cambria Math" w:eastAsia="宋体"/>
          <w:b w:val="0"/>
          <w:color w:val="auto"/>
          <w:sz w:val="22"/>
          <w:szCs w:val="22"/>
          <w:highlight w:val="none"/>
        </w:rPr>
        <w:t>2</w:t>
      </w:r>
      <w:r>
        <w:rPr>
          <w:rFonts w:hint="eastAsia" w:ascii="Cambria Math" w:hAnsi="Cambria Math" w:eastAsia="Cambria Math"/>
          <w:b w:val="0"/>
          <w:color w:val="auto"/>
          <w:sz w:val="22"/>
          <w:szCs w:val="22"/>
          <w:highlight w:val="none"/>
        </w:rPr>
        <w:t>、▲不提供此表格将被视为没有实质性响应招标文件，其投标文件将被拒绝。</w:t>
      </w:r>
    </w:p>
    <w:p w14:paraId="52B7AFC9">
      <w:pPr>
        <w:adjustRightInd w:val="0"/>
        <w:snapToGrid w:val="0"/>
        <w:spacing w:line="460" w:lineRule="atLeast"/>
        <w:rPr>
          <w:rFonts w:ascii="Cambria Math" w:hAnsi="Cambria Math" w:eastAsia="Cambria Math"/>
          <w:b w:val="0"/>
          <w:color w:val="auto"/>
          <w:sz w:val="22"/>
          <w:szCs w:val="22"/>
          <w:highlight w:val="none"/>
        </w:rPr>
      </w:pPr>
    </w:p>
    <w:p w14:paraId="237AD1AE">
      <w:pPr>
        <w:autoSpaceDE w:val="0"/>
        <w:autoSpaceDN w:val="0"/>
        <w:adjustRightInd w:val="0"/>
        <w:spacing w:line="460" w:lineRule="atLeast"/>
        <w:rPr>
          <w:rFonts w:ascii="Cambria Math" w:hAnsi="Cambria Math" w:eastAsia="Cambria Math"/>
          <w:b w:val="0"/>
          <w:color w:val="auto"/>
          <w:sz w:val="22"/>
          <w:szCs w:val="22"/>
          <w:highlight w:val="none"/>
          <w:lang w:val="zh-CN"/>
        </w:rPr>
      </w:pPr>
      <w:r>
        <w:rPr>
          <w:rFonts w:ascii="Cambria Math" w:hAnsi="Cambria Math" w:eastAsia="Cambria Math"/>
          <w:b w:val="0"/>
          <w:color w:val="auto"/>
          <w:sz w:val="22"/>
          <w:szCs w:val="22"/>
          <w:highlight w:val="none"/>
        </w:rPr>
        <w:t>投标单位</w:t>
      </w:r>
      <w:r>
        <w:rPr>
          <w:rFonts w:hint="eastAsia" w:ascii="Cambria Math" w:hAnsi="Cambria Math" w:eastAsia="Cambria Math"/>
          <w:b w:val="0"/>
          <w:color w:val="auto"/>
          <w:sz w:val="22"/>
          <w:szCs w:val="22"/>
          <w:highlight w:val="none"/>
          <w:lang w:val="zh-CN"/>
        </w:rPr>
        <w:t>（盖章）：</w:t>
      </w:r>
    </w:p>
    <w:p w14:paraId="21EEB00D">
      <w:pPr>
        <w:autoSpaceDE w:val="0"/>
        <w:autoSpaceDN w:val="0"/>
        <w:adjustRightInd w:val="0"/>
        <w:spacing w:line="460" w:lineRule="atLeast"/>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rPr>
        <w:t>授权代表</w:t>
      </w:r>
      <w:r>
        <w:rPr>
          <w:rFonts w:hint="eastAsia" w:ascii="Cambria Math" w:hAnsi="Cambria Math" w:eastAsia="Cambria Math"/>
          <w:b w:val="0"/>
          <w:color w:val="auto"/>
          <w:sz w:val="22"/>
          <w:szCs w:val="22"/>
          <w:highlight w:val="none"/>
          <w:lang w:val="zh-CN"/>
        </w:rPr>
        <w:t>（签字）：</w:t>
      </w:r>
    </w:p>
    <w:p w14:paraId="0BD3AF7D">
      <w:pPr>
        <w:autoSpaceDE w:val="0"/>
        <w:autoSpaceDN w:val="0"/>
        <w:adjustRightInd w:val="0"/>
        <w:spacing w:line="460" w:lineRule="atLeast"/>
        <w:rPr>
          <w:rFonts w:ascii="Cambria Math" w:hAnsi="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日期：</w:t>
      </w:r>
    </w:p>
    <w:p w14:paraId="1B278D43">
      <w:pPr>
        <w:autoSpaceDE w:val="0"/>
        <w:autoSpaceDN w:val="0"/>
        <w:adjustRightInd w:val="0"/>
        <w:spacing w:line="460" w:lineRule="atLeast"/>
        <w:rPr>
          <w:rFonts w:ascii="Cambria Math" w:hAnsi="Cambria Math"/>
          <w:b w:val="0"/>
          <w:color w:val="auto"/>
          <w:sz w:val="22"/>
          <w:szCs w:val="22"/>
          <w:highlight w:val="none"/>
          <w:lang w:val="zh-CN"/>
        </w:rPr>
      </w:pPr>
    </w:p>
    <w:p w14:paraId="6914045D">
      <w:pPr>
        <w:autoSpaceDE w:val="0"/>
        <w:autoSpaceDN w:val="0"/>
        <w:adjustRightInd w:val="0"/>
        <w:spacing w:line="460" w:lineRule="atLeast"/>
        <w:rPr>
          <w:rFonts w:ascii="Cambria Math" w:hAnsi="Cambria Math"/>
          <w:b w:val="0"/>
          <w:color w:val="auto"/>
          <w:sz w:val="22"/>
          <w:szCs w:val="22"/>
          <w:highlight w:val="none"/>
          <w:lang w:val="zh-CN"/>
        </w:rPr>
      </w:pPr>
    </w:p>
    <w:p w14:paraId="2A9C7D9F">
      <w:pPr>
        <w:autoSpaceDE w:val="0"/>
        <w:autoSpaceDN w:val="0"/>
        <w:adjustRightInd w:val="0"/>
        <w:spacing w:line="460" w:lineRule="atLeast"/>
        <w:rPr>
          <w:rFonts w:ascii="Cambria Math" w:hAnsi="Cambria Math"/>
          <w:b w:val="0"/>
          <w:color w:val="auto"/>
          <w:sz w:val="22"/>
          <w:szCs w:val="22"/>
          <w:highlight w:val="none"/>
          <w:lang w:val="zh-CN"/>
        </w:rPr>
      </w:pPr>
    </w:p>
    <w:p w14:paraId="752626E5">
      <w:pPr>
        <w:autoSpaceDE w:val="0"/>
        <w:autoSpaceDN w:val="0"/>
        <w:adjustRightInd w:val="0"/>
        <w:spacing w:line="460" w:lineRule="atLeast"/>
        <w:rPr>
          <w:rFonts w:ascii="Cambria Math" w:hAnsi="Cambria Math"/>
          <w:b w:val="0"/>
          <w:color w:val="auto"/>
          <w:sz w:val="22"/>
          <w:szCs w:val="22"/>
          <w:highlight w:val="none"/>
          <w:lang w:val="zh-CN"/>
        </w:rPr>
      </w:pPr>
    </w:p>
    <w:p w14:paraId="07FDA3A4">
      <w:pPr>
        <w:autoSpaceDE w:val="0"/>
        <w:autoSpaceDN w:val="0"/>
        <w:adjustRightInd w:val="0"/>
        <w:spacing w:line="460" w:lineRule="atLeast"/>
        <w:rPr>
          <w:rFonts w:ascii="Cambria Math" w:hAnsi="Cambria Math"/>
          <w:b w:val="0"/>
          <w:color w:val="auto"/>
          <w:sz w:val="22"/>
          <w:szCs w:val="22"/>
          <w:highlight w:val="none"/>
          <w:lang w:val="zh-CN"/>
        </w:rPr>
      </w:pPr>
    </w:p>
    <w:p w14:paraId="134B2CD2">
      <w:pPr>
        <w:autoSpaceDE w:val="0"/>
        <w:autoSpaceDN w:val="0"/>
        <w:adjustRightInd w:val="0"/>
        <w:spacing w:line="460" w:lineRule="atLeast"/>
        <w:rPr>
          <w:rFonts w:ascii="Cambria Math" w:hAnsi="Cambria Math"/>
          <w:b w:val="0"/>
          <w:color w:val="auto"/>
          <w:sz w:val="22"/>
          <w:szCs w:val="22"/>
          <w:highlight w:val="none"/>
          <w:lang w:val="zh-CN"/>
        </w:rPr>
      </w:pPr>
    </w:p>
    <w:p w14:paraId="3E9916CC">
      <w:pPr>
        <w:autoSpaceDE w:val="0"/>
        <w:autoSpaceDN w:val="0"/>
        <w:adjustRightInd w:val="0"/>
        <w:spacing w:line="460" w:lineRule="atLeast"/>
        <w:rPr>
          <w:rFonts w:ascii="Cambria Math" w:hAnsi="Cambria Math"/>
          <w:b w:val="0"/>
          <w:color w:val="auto"/>
          <w:sz w:val="22"/>
          <w:szCs w:val="22"/>
          <w:highlight w:val="none"/>
          <w:lang w:val="zh-CN"/>
        </w:rPr>
      </w:pPr>
    </w:p>
    <w:p w14:paraId="1C5C01F8">
      <w:pPr>
        <w:autoSpaceDE w:val="0"/>
        <w:autoSpaceDN w:val="0"/>
        <w:adjustRightInd w:val="0"/>
        <w:spacing w:line="460" w:lineRule="atLeast"/>
        <w:rPr>
          <w:rFonts w:ascii="Cambria Math" w:hAnsi="Cambria Math"/>
          <w:b w:val="0"/>
          <w:color w:val="auto"/>
          <w:sz w:val="22"/>
          <w:szCs w:val="22"/>
          <w:highlight w:val="none"/>
          <w:lang w:val="zh-CN"/>
        </w:rPr>
      </w:pPr>
    </w:p>
    <w:p w14:paraId="3D082780">
      <w:pPr>
        <w:autoSpaceDE w:val="0"/>
        <w:autoSpaceDN w:val="0"/>
        <w:adjustRightInd w:val="0"/>
        <w:spacing w:line="460" w:lineRule="atLeast"/>
        <w:rPr>
          <w:rFonts w:ascii="Cambria Math" w:hAnsi="Cambria Math"/>
          <w:b w:val="0"/>
          <w:color w:val="auto"/>
          <w:sz w:val="22"/>
          <w:szCs w:val="22"/>
          <w:highlight w:val="none"/>
          <w:lang w:val="zh-CN"/>
        </w:rPr>
      </w:pPr>
    </w:p>
    <w:p w14:paraId="28A6640F">
      <w:pPr>
        <w:autoSpaceDE w:val="0"/>
        <w:autoSpaceDN w:val="0"/>
        <w:adjustRightInd w:val="0"/>
        <w:spacing w:line="460" w:lineRule="atLeast"/>
        <w:rPr>
          <w:rFonts w:ascii="Cambria Math" w:hAnsi="Cambria Math"/>
          <w:b w:val="0"/>
          <w:color w:val="auto"/>
          <w:sz w:val="22"/>
          <w:szCs w:val="22"/>
          <w:highlight w:val="none"/>
          <w:lang w:val="zh-CN"/>
        </w:rPr>
      </w:pPr>
    </w:p>
    <w:p w14:paraId="6D60AF16">
      <w:pPr>
        <w:pStyle w:val="4"/>
        <w:spacing w:before="0" w:after="120" w:line="700" w:lineRule="exact"/>
        <w:ind w:left="0" w:firstLine="0"/>
        <w:rPr>
          <w:rFonts w:ascii="Cambria Math" w:hAnsi="Cambria Math" w:eastAsia="Cambria Math"/>
          <w:b/>
          <w:color w:val="auto"/>
          <w:sz w:val="32"/>
          <w:highlight w:val="none"/>
        </w:rPr>
      </w:pPr>
      <w:r>
        <w:rPr>
          <w:rFonts w:hint="eastAsia" w:ascii="Cambria Math" w:hAnsi="Cambria Math" w:eastAsia="Cambria Math"/>
          <w:b/>
          <w:color w:val="auto"/>
          <w:sz w:val="32"/>
          <w:highlight w:val="none"/>
        </w:rPr>
        <w:t>技术部分</w:t>
      </w:r>
    </w:p>
    <w:p w14:paraId="0462C083">
      <w:pPr>
        <w:adjustRightInd w:val="0"/>
        <w:snapToGrid w:val="0"/>
        <w:spacing w:line="460" w:lineRule="atLeast"/>
        <w:ind w:left="360" w:hanging="360" w:hangingChars="100"/>
        <w:rPr>
          <w:rFonts w:ascii="Cambria Math" w:hAnsi="Cambria Math" w:eastAsia="Cambria Math"/>
          <w:b w:val="0"/>
          <w:color w:val="auto"/>
          <w:spacing w:val="20"/>
          <w:sz w:val="32"/>
          <w:szCs w:val="32"/>
          <w:highlight w:val="none"/>
        </w:rPr>
      </w:pPr>
      <w:r>
        <w:rPr>
          <w:rFonts w:hint="eastAsia" w:ascii="Cambria Math" w:hAnsi="Cambria Math" w:eastAsia="Cambria Math"/>
          <w:b w:val="0"/>
          <w:color w:val="auto"/>
          <w:spacing w:val="20"/>
          <w:sz w:val="32"/>
          <w:szCs w:val="32"/>
          <w:highlight w:val="none"/>
        </w:rPr>
        <w:t>（密封封面格式）（仅供参考）</w:t>
      </w:r>
    </w:p>
    <w:p w14:paraId="7AEFAA8F">
      <w:pPr>
        <w:adjustRightInd w:val="0"/>
        <w:snapToGrid w:val="0"/>
        <w:spacing w:line="460" w:lineRule="atLeast"/>
        <w:ind w:left="360" w:hanging="360" w:hangingChars="100"/>
        <w:jc w:val="right"/>
        <w:rPr>
          <w:rFonts w:ascii="Cambria Math" w:hAnsi="Cambria Math"/>
          <w:b w:val="0"/>
          <w:color w:val="auto"/>
          <w:spacing w:val="20"/>
          <w:sz w:val="32"/>
          <w:szCs w:val="32"/>
          <w:highlight w:val="none"/>
        </w:rPr>
      </w:pPr>
      <w:r>
        <w:rPr>
          <w:rFonts w:hint="eastAsia" w:ascii="Cambria Math" w:hAnsi="Cambria Math" w:eastAsia="Cambria Math"/>
          <w:b w:val="0"/>
          <w:color w:val="FF0000"/>
          <w:spacing w:val="20"/>
          <w:sz w:val="32"/>
          <w:szCs w:val="32"/>
          <w:highlight w:val="none"/>
        </w:rPr>
        <w:t>正本</w:t>
      </w:r>
      <w:r>
        <w:rPr>
          <w:rFonts w:hint="eastAsia" w:ascii="Cambria Math" w:hAnsi="Cambria Math"/>
          <w:b w:val="0"/>
          <w:color w:val="auto"/>
          <w:spacing w:val="20"/>
          <w:sz w:val="32"/>
          <w:szCs w:val="32"/>
          <w:highlight w:val="none"/>
        </w:rPr>
        <w:t>/副本</w:t>
      </w:r>
    </w:p>
    <w:p w14:paraId="1BD0A5CA">
      <w:pPr>
        <w:adjustRightInd w:val="0"/>
        <w:snapToGrid w:val="0"/>
        <w:spacing w:line="460" w:lineRule="atLeast"/>
        <w:ind w:left="360" w:hanging="360" w:hangingChars="100"/>
        <w:rPr>
          <w:rFonts w:ascii="Cambria Math" w:hAnsi="Cambria Math" w:eastAsia="Cambria Math"/>
          <w:b w:val="0"/>
          <w:color w:val="auto"/>
          <w:spacing w:val="20"/>
          <w:sz w:val="32"/>
          <w:szCs w:val="32"/>
          <w:highlight w:val="none"/>
        </w:rPr>
      </w:pPr>
    </w:p>
    <w:p w14:paraId="76D28004">
      <w:pPr>
        <w:adjustRightInd w:val="0"/>
        <w:snapToGrid w:val="0"/>
        <w:spacing w:line="460" w:lineRule="atLeast"/>
        <w:ind w:left="400" w:hanging="400" w:hangingChars="100"/>
        <w:rPr>
          <w:rFonts w:ascii="Cambria Math" w:hAnsi="Cambria Math" w:eastAsia="Cambria Math"/>
          <w:b w:val="0"/>
          <w:color w:val="auto"/>
          <w:spacing w:val="20"/>
          <w:sz w:val="36"/>
          <w:szCs w:val="36"/>
          <w:highlight w:val="none"/>
        </w:rPr>
      </w:pPr>
    </w:p>
    <w:p w14:paraId="5CCCB809">
      <w:pPr>
        <w:spacing w:line="360" w:lineRule="auto"/>
        <w:jc w:val="center"/>
        <w:rPr>
          <w:rFonts w:ascii="Cambria Math" w:hAnsi="Cambria Math" w:eastAsia="Cambria Math"/>
          <w:b w:val="0"/>
          <w:color w:val="auto"/>
          <w:sz w:val="96"/>
          <w:szCs w:val="22"/>
          <w:highlight w:val="none"/>
        </w:rPr>
      </w:pPr>
      <w:r>
        <w:rPr>
          <w:rFonts w:hint="eastAsia" w:ascii="Cambria Math" w:hAnsi="Cambria Math" w:eastAsia="Cambria Math"/>
          <w:b w:val="0"/>
          <w:color w:val="auto"/>
          <w:sz w:val="96"/>
          <w:szCs w:val="22"/>
          <w:highlight w:val="none"/>
        </w:rPr>
        <w:t>技术资信投标文件</w:t>
      </w:r>
    </w:p>
    <w:p w14:paraId="5669B89D">
      <w:pPr>
        <w:spacing w:line="360" w:lineRule="auto"/>
        <w:jc w:val="center"/>
        <w:rPr>
          <w:rFonts w:ascii="Cambria Math" w:hAnsi="Cambria Math" w:eastAsia="Cambria Math"/>
          <w:b w:val="0"/>
          <w:color w:val="auto"/>
          <w:sz w:val="44"/>
          <w:szCs w:val="44"/>
          <w:highlight w:val="none"/>
        </w:rPr>
      </w:pPr>
      <w:r>
        <w:rPr>
          <w:rFonts w:hint="eastAsia" w:ascii="Cambria Math" w:hAnsi="Cambria Math" w:eastAsia="Cambria Math"/>
          <w:b w:val="0"/>
          <w:color w:val="auto"/>
          <w:sz w:val="44"/>
          <w:szCs w:val="44"/>
          <w:highlight w:val="none"/>
        </w:rPr>
        <w:t>开标时启封</w:t>
      </w:r>
    </w:p>
    <w:p w14:paraId="1C263C67">
      <w:pPr>
        <w:spacing w:line="360" w:lineRule="auto"/>
        <w:rPr>
          <w:rFonts w:ascii="Cambria Math" w:hAnsi="Cambria Math" w:eastAsia="Cambria Math"/>
          <w:b w:val="0"/>
          <w:color w:val="auto"/>
          <w:szCs w:val="22"/>
          <w:highlight w:val="none"/>
        </w:rPr>
      </w:pPr>
    </w:p>
    <w:p w14:paraId="1AABDC17">
      <w:pPr>
        <w:spacing w:line="360" w:lineRule="auto"/>
        <w:ind w:firstLine="1271" w:firstLineChars="454"/>
        <w:rPr>
          <w:rFonts w:ascii="Cambria Math" w:hAnsi="Cambria Math" w:eastAsia="Cambria Math"/>
          <w:b w:val="0"/>
          <w:color w:val="auto"/>
          <w:sz w:val="36"/>
          <w:szCs w:val="22"/>
          <w:highlight w:val="none"/>
          <w:u w:val="single"/>
        </w:rPr>
      </w:pPr>
      <w:r>
        <w:rPr>
          <w:rFonts w:hint="eastAsia" w:ascii="Cambria Math" w:hAnsi="Cambria Math" w:eastAsia="Cambria Math"/>
          <w:b w:val="0"/>
          <w:color w:val="auto"/>
          <w:sz w:val="28"/>
          <w:szCs w:val="22"/>
          <w:highlight w:val="none"/>
        </w:rPr>
        <w:t>项目名称：</w:t>
      </w:r>
    </w:p>
    <w:p w14:paraId="7F358A31">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项目编号：</w:t>
      </w:r>
    </w:p>
    <w:p w14:paraId="5B020574">
      <w:pPr>
        <w:spacing w:line="360" w:lineRule="auto"/>
        <w:ind w:firstLine="1271" w:firstLineChars="454"/>
        <w:rPr>
          <w:rFonts w:ascii="Cambria Math" w:hAnsi="Cambria Math" w:eastAsia="Cambria Math"/>
          <w:b w:val="0"/>
          <w:color w:val="auto"/>
          <w:sz w:val="28"/>
          <w:szCs w:val="22"/>
          <w:highlight w:val="none"/>
        </w:rPr>
      </w:pPr>
      <w:r>
        <w:rPr>
          <w:rFonts w:hint="eastAsia" w:ascii="Cambria Math" w:hAnsi="Cambria Math" w:eastAsia="Cambria Math"/>
          <w:b w:val="0"/>
          <w:color w:val="auto"/>
          <w:sz w:val="28"/>
          <w:szCs w:val="22"/>
          <w:highlight w:val="none"/>
        </w:rPr>
        <w:t>采 购 人：</w:t>
      </w:r>
    </w:p>
    <w:p w14:paraId="4766F69F">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投标单位（盖章）：</w:t>
      </w:r>
    </w:p>
    <w:p w14:paraId="7D533CEC">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投标人地址：</w:t>
      </w:r>
    </w:p>
    <w:p w14:paraId="22C4B4F1">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授权代表（签字或盖章）：</w:t>
      </w:r>
    </w:p>
    <w:p w14:paraId="0C935FCA">
      <w:pPr>
        <w:spacing w:line="360" w:lineRule="auto"/>
        <w:ind w:firstLine="1271" w:firstLineChars="454"/>
        <w:rPr>
          <w:rFonts w:ascii="Cambria Math" w:hAnsi="Cambria Math" w:eastAsia="Cambria Math"/>
          <w:b w:val="0"/>
          <w:color w:val="auto"/>
          <w:sz w:val="28"/>
          <w:szCs w:val="22"/>
          <w:highlight w:val="none"/>
          <w:u w:val="single"/>
        </w:rPr>
      </w:pPr>
      <w:r>
        <w:rPr>
          <w:rFonts w:hint="eastAsia" w:ascii="Cambria Math" w:hAnsi="Cambria Math" w:eastAsia="Cambria Math"/>
          <w:b w:val="0"/>
          <w:color w:val="auto"/>
          <w:sz w:val="28"/>
          <w:szCs w:val="22"/>
          <w:highlight w:val="none"/>
        </w:rPr>
        <w:t>日期：</w:t>
      </w:r>
    </w:p>
    <w:p w14:paraId="6CA8716F">
      <w:pPr>
        <w:adjustRightInd w:val="0"/>
        <w:snapToGrid w:val="0"/>
        <w:spacing w:line="460" w:lineRule="atLeast"/>
        <w:ind w:left="280" w:hanging="280" w:hangingChars="100"/>
        <w:rPr>
          <w:rFonts w:ascii="Cambria Math" w:hAnsi="Cambria Math" w:eastAsia="Cambria Math"/>
          <w:b w:val="0"/>
          <w:color w:val="auto"/>
          <w:sz w:val="28"/>
          <w:szCs w:val="22"/>
          <w:highlight w:val="none"/>
          <w:u w:val="single"/>
        </w:rPr>
      </w:pPr>
    </w:p>
    <w:p w14:paraId="351571C4">
      <w:pPr>
        <w:adjustRightInd w:val="0"/>
        <w:snapToGrid w:val="0"/>
        <w:spacing w:line="460" w:lineRule="atLeast"/>
        <w:ind w:left="400" w:hanging="400" w:hangingChars="100"/>
        <w:rPr>
          <w:rFonts w:ascii="Cambria Math" w:hAnsi="Cambria Math" w:eastAsia="Cambria Math"/>
          <w:b w:val="0"/>
          <w:color w:val="auto"/>
          <w:spacing w:val="20"/>
          <w:sz w:val="36"/>
          <w:szCs w:val="36"/>
          <w:highlight w:val="none"/>
        </w:rPr>
      </w:pPr>
    </w:p>
    <w:p w14:paraId="372EAAD5">
      <w:pPr>
        <w:adjustRightInd w:val="0"/>
        <w:snapToGrid w:val="0"/>
        <w:spacing w:line="460" w:lineRule="atLeast"/>
        <w:ind w:left="400" w:hanging="400" w:hangingChars="100"/>
        <w:rPr>
          <w:rFonts w:ascii="Cambria Math" w:hAnsi="Cambria Math" w:eastAsia="Cambria Math"/>
          <w:b w:val="0"/>
          <w:color w:val="auto"/>
          <w:spacing w:val="20"/>
          <w:sz w:val="36"/>
          <w:szCs w:val="36"/>
          <w:highlight w:val="none"/>
        </w:rPr>
      </w:pPr>
    </w:p>
    <w:p w14:paraId="0560277F">
      <w:pPr>
        <w:adjustRightInd w:val="0"/>
        <w:snapToGrid w:val="0"/>
        <w:spacing w:line="460" w:lineRule="atLeast"/>
        <w:rPr>
          <w:rFonts w:ascii="Cambria Math" w:hAnsi="Cambria Math" w:eastAsia="Cambria Math"/>
          <w:b w:val="0"/>
          <w:color w:val="auto"/>
          <w:spacing w:val="20"/>
          <w:sz w:val="36"/>
          <w:szCs w:val="36"/>
          <w:highlight w:val="none"/>
        </w:rPr>
      </w:pPr>
    </w:p>
    <w:p w14:paraId="58B14C0D">
      <w:pPr>
        <w:adjustRightInd w:val="0"/>
        <w:snapToGrid w:val="0"/>
        <w:spacing w:line="460" w:lineRule="atLeast"/>
        <w:rPr>
          <w:rFonts w:ascii="Cambria Math" w:hAnsi="Cambria Math" w:eastAsia="Cambria Math"/>
          <w:b w:val="0"/>
          <w:color w:val="auto"/>
          <w:spacing w:val="20"/>
          <w:sz w:val="36"/>
          <w:szCs w:val="36"/>
          <w:highlight w:val="none"/>
        </w:rPr>
      </w:pPr>
    </w:p>
    <w:p w14:paraId="437CA15A">
      <w:pPr>
        <w:rPr>
          <w:rFonts w:ascii="Cambria Math" w:hAnsi="Cambria Math" w:eastAsia="Cambria Math"/>
          <w:color w:val="auto"/>
          <w:highlight w:val="none"/>
        </w:rPr>
      </w:pPr>
    </w:p>
    <w:p w14:paraId="08B5BE86">
      <w:pPr>
        <w:rPr>
          <w:rFonts w:ascii="Cambria Math" w:hAnsi="Cambria Math" w:eastAsia="Cambria Math"/>
          <w:color w:val="auto"/>
          <w:highlight w:val="none"/>
        </w:rPr>
      </w:pPr>
    </w:p>
    <w:p w14:paraId="7CFC2DC3">
      <w:pPr>
        <w:rPr>
          <w:rFonts w:ascii="Cambria Math" w:hAnsi="Cambria Math" w:eastAsia="Cambria Math"/>
          <w:color w:val="auto"/>
          <w:highlight w:val="none"/>
        </w:rPr>
      </w:pPr>
    </w:p>
    <w:p w14:paraId="2E798FA4">
      <w:pPr>
        <w:rPr>
          <w:rFonts w:ascii="Cambria Math" w:hAnsi="Cambria Math" w:eastAsia="Cambria Math"/>
          <w:color w:val="auto"/>
          <w:highlight w:val="none"/>
        </w:rPr>
      </w:pPr>
    </w:p>
    <w:p w14:paraId="26EE5EC6">
      <w:pPr>
        <w:rPr>
          <w:rFonts w:ascii="Cambria Math" w:hAnsi="Cambria Math" w:eastAsia="Cambria Math"/>
          <w:color w:val="auto"/>
          <w:highlight w:val="none"/>
        </w:rPr>
      </w:pPr>
    </w:p>
    <w:p w14:paraId="3B658EE6">
      <w:pPr>
        <w:rPr>
          <w:rFonts w:ascii="Cambria Math" w:hAnsi="Cambria Math" w:eastAsia="Cambria Math"/>
          <w:color w:val="auto"/>
          <w:highlight w:val="none"/>
        </w:rPr>
      </w:pPr>
    </w:p>
    <w:p w14:paraId="337E4E2D">
      <w:pPr>
        <w:rPr>
          <w:rFonts w:ascii="Cambria Math" w:hAnsi="Cambria Math" w:eastAsia="Cambria Math"/>
          <w:color w:val="auto"/>
          <w:highlight w:val="none"/>
        </w:rPr>
      </w:pPr>
    </w:p>
    <w:p w14:paraId="14BC139A">
      <w:pPr>
        <w:rPr>
          <w:rFonts w:ascii="Cambria Math" w:hAnsi="Cambria Math" w:eastAsia="等线"/>
          <w:color w:val="auto"/>
          <w:sz w:val="32"/>
          <w:szCs w:val="32"/>
          <w:highlight w:val="none"/>
        </w:rPr>
      </w:pPr>
      <w:r>
        <w:rPr>
          <w:rFonts w:hint="eastAsia" w:ascii="Cambria Math" w:hAnsi="Cambria Math" w:eastAsia="Cambria Math"/>
          <w:color w:val="auto"/>
          <w:sz w:val="32"/>
          <w:szCs w:val="32"/>
          <w:highlight w:val="none"/>
        </w:rPr>
        <w:t>附件</w:t>
      </w:r>
      <w:r>
        <w:rPr>
          <w:rFonts w:hint="eastAsia" w:ascii="Cambria Math" w:hAnsi="Cambria Math" w:eastAsia="等线"/>
          <w:color w:val="auto"/>
          <w:sz w:val="32"/>
          <w:szCs w:val="32"/>
          <w:highlight w:val="none"/>
        </w:rPr>
        <w:t>2-</w:t>
      </w:r>
      <w:r>
        <w:rPr>
          <w:rFonts w:ascii="Cambria Math" w:hAnsi="Cambria Math" w:eastAsia="等线"/>
          <w:color w:val="auto"/>
          <w:sz w:val="32"/>
          <w:szCs w:val="32"/>
          <w:highlight w:val="none"/>
        </w:rPr>
        <w:t>1</w:t>
      </w:r>
    </w:p>
    <w:p w14:paraId="0422AB58">
      <w:pPr>
        <w:autoSpaceDE w:val="0"/>
        <w:autoSpaceDN w:val="0"/>
        <w:adjustRightInd w:val="0"/>
        <w:spacing w:line="440" w:lineRule="atLeast"/>
        <w:ind w:firstLine="3960" w:firstLineChars="1100"/>
        <w:rPr>
          <w:rFonts w:ascii="Cambria Math" w:hAnsi="Cambria Math" w:eastAsia="Cambria Math"/>
          <w:b w:val="0"/>
          <w:color w:val="auto"/>
          <w:sz w:val="36"/>
          <w:szCs w:val="36"/>
          <w:highlight w:val="none"/>
          <w:lang w:val="zh-CN"/>
        </w:rPr>
      </w:pPr>
      <w:r>
        <w:rPr>
          <w:rFonts w:hint="eastAsia" w:ascii="Cambria Math" w:hAnsi="Cambria Math" w:eastAsia="Cambria Math"/>
          <w:b w:val="0"/>
          <w:color w:val="auto"/>
          <w:sz w:val="36"/>
          <w:szCs w:val="36"/>
          <w:highlight w:val="none"/>
          <w:lang w:val="zh-CN"/>
        </w:rPr>
        <w:t>投标函</w:t>
      </w:r>
    </w:p>
    <w:p w14:paraId="761C9CEF">
      <w:pPr>
        <w:autoSpaceDE w:val="0"/>
        <w:autoSpaceDN w:val="0"/>
        <w:adjustRightInd w:val="0"/>
        <w:spacing w:line="440" w:lineRule="atLeast"/>
        <w:rPr>
          <w:rFonts w:ascii="Cambria Math" w:hAnsi="Cambria Math" w:eastAsia="Cambria Math"/>
          <w:b w:val="0"/>
          <w:color w:val="auto"/>
          <w:sz w:val="22"/>
          <w:szCs w:val="22"/>
          <w:highlight w:val="none"/>
        </w:rPr>
      </w:pPr>
      <w:r>
        <w:rPr>
          <w:rFonts w:hint="eastAsia" w:ascii="宋体" w:hAnsi="宋体" w:cs="宋体"/>
          <w:b w:val="0"/>
          <w:color w:val="auto"/>
          <w:sz w:val="22"/>
          <w:szCs w:val="22"/>
          <w:highlight w:val="none"/>
          <w:u w:val="single"/>
        </w:rPr>
        <w:t>温州公用事业发展集团龙港水务有限公司</w:t>
      </w:r>
      <w:r>
        <w:rPr>
          <w:rFonts w:hint="eastAsia" w:ascii="Cambria Math" w:hAnsi="Cambria Math" w:eastAsia="Cambria Math"/>
          <w:b w:val="0"/>
          <w:color w:val="auto"/>
          <w:sz w:val="22"/>
          <w:szCs w:val="22"/>
          <w:highlight w:val="none"/>
        </w:rPr>
        <w:t>：</w:t>
      </w:r>
    </w:p>
    <w:p w14:paraId="26671064">
      <w:pPr>
        <w:autoSpaceDE w:val="0"/>
        <w:autoSpaceDN w:val="0"/>
        <w:adjustRightInd w:val="0"/>
        <w:spacing w:line="440" w:lineRule="atLeast"/>
        <w:ind w:firstLine="440" w:firstLineChars="200"/>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u w:val="single"/>
          <w:lang w:val="zh-CN"/>
        </w:rPr>
        <w:t>（供应商全称）</w:t>
      </w:r>
      <w:r>
        <w:rPr>
          <w:rFonts w:hint="eastAsia" w:ascii="Cambria Math" w:hAnsi="Cambria Math" w:eastAsia="Cambria Math"/>
          <w:b w:val="0"/>
          <w:color w:val="auto"/>
          <w:sz w:val="22"/>
          <w:szCs w:val="22"/>
          <w:highlight w:val="none"/>
          <w:lang w:val="zh-CN"/>
        </w:rPr>
        <w:t>授权（</w:t>
      </w:r>
      <w:r>
        <w:rPr>
          <w:rFonts w:hint="eastAsia" w:ascii="Cambria Math" w:hAnsi="Cambria Math" w:eastAsia="Cambria Math"/>
          <w:b w:val="0"/>
          <w:color w:val="auto"/>
          <w:sz w:val="22"/>
          <w:szCs w:val="22"/>
          <w:highlight w:val="none"/>
          <w:u w:val="single"/>
          <w:lang w:val="zh-CN"/>
        </w:rPr>
        <w:t>授权代表名称）（职务、职称）</w:t>
      </w:r>
      <w:r>
        <w:rPr>
          <w:rFonts w:hint="eastAsia" w:ascii="Cambria Math" w:hAnsi="Cambria Math" w:eastAsia="Cambria Math"/>
          <w:b w:val="0"/>
          <w:color w:val="auto"/>
          <w:sz w:val="22"/>
          <w:szCs w:val="22"/>
          <w:highlight w:val="none"/>
          <w:lang w:val="zh-CN"/>
        </w:rPr>
        <w:t>为授权代表，参加贵方组织的（</w:t>
      </w:r>
      <w:r>
        <w:rPr>
          <w:rFonts w:hint="eastAsia" w:ascii="Cambria Math" w:hAnsi="Cambria Math" w:eastAsia="Cambria Math"/>
          <w:b w:val="0"/>
          <w:color w:val="auto"/>
          <w:sz w:val="22"/>
          <w:szCs w:val="22"/>
          <w:highlight w:val="none"/>
          <w:u w:val="single"/>
          <w:lang w:val="zh-CN"/>
        </w:rPr>
        <w:t>招标项目名称）（括号内填投标编号）</w:t>
      </w:r>
      <w:r>
        <w:rPr>
          <w:rFonts w:hint="eastAsia" w:ascii="Cambria Math" w:hAnsi="Cambria Math" w:eastAsia="Cambria Math"/>
          <w:b w:val="0"/>
          <w:color w:val="auto"/>
          <w:sz w:val="22"/>
          <w:szCs w:val="22"/>
          <w:highlight w:val="none"/>
          <w:lang w:val="zh-CN"/>
        </w:rPr>
        <w:t>招标的有关活动，并对项目</w:t>
      </w:r>
      <w:r>
        <w:rPr>
          <w:rFonts w:hint="eastAsia" w:ascii="Cambria Math" w:hAnsi="Cambria Math" w:eastAsia="Cambria Math"/>
          <w:b w:val="0"/>
          <w:color w:val="auto"/>
          <w:sz w:val="22"/>
          <w:szCs w:val="22"/>
          <w:highlight w:val="none"/>
          <w:u w:val="single"/>
          <w:lang w:val="zh-CN"/>
        </w:rPr>
        <w:t>（招标项目名称）进</w:t>
      </w:r>
      <w:r>
        <w:rPr>
          <w:rFonts w:hint="eastAsia" w:ascii="Cambria Math" w:hAnsi="Cambria Math" w:eastAsia="Cambria Math"/>
          <w:b w:val="0"/>
          <w:color w:val="auto"/>
          <w:sz w:val="22"/>
          <w:szCs w:val="22"/>
          <w:highlight w:val="none"/>
          <w:lang w:val="zh-CN"/>
        </w:rPr>
        <w:t>行投标。为此：</w:t>
      </w:r>
    </w:p>
    <w:p w14:paraId="14A5D921">
      <w:pPr>
        <w:numPr>
          <w:ilvl w:val="0"/>
          <w:numId w:val="3"/>
        </w:numPr>
        <w:autoSpaceDE w:val="0"/>
        <w:autoSpaceDN w:val="0"/>
        <w:adjustRightInd w:val="0"/>
        <w:spacing w:line="440" w:lineRule="atLeast"/>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提供供应商须知规定的全部投标文件：</w:t>
      </w:r>
    </w:p>
    <w:p w14:paraId="09E7AD1C">
      <w:pPr>
        <w:autoSpaceDE w:val="0"/>
        <w:autoSpaceDN w:val="0"/>
        <w:adjustRightInd w:val="0"/>
        <w:spacing w:line="440" w:lineRule="atLeast"/>
        <w:ind w:firstLine="450"/>
        <w:rPr>
          <w:rFonts w:ascii="Cambria Math" w:hAnsi="Cambria Math" w:eastAsia="Cambria Math"/>
          <w:b w:val="0"/>
          <w:color w:val="auto"/>
          <w:sz w:val="22"/>
          <w:szCs w:val="22"/>
          <w:highlight w:val="none"/>
          <w:lang w:val="zh-CN"/>
        </w:rPr>
      </w:pPr>
      <w:r>
        <w:rPr>
          <w:rFonts w:ascii="Cambria Math" w:hAnsi="Cambria Math" w:eastAsia="Cambria Math"/>
          <w:b w:val="0"/>
          <w:color w:val="auto"/>
          <w:sz w:val="22"/>
          <w:szCs w:val="22"/>
          <w:highlight w:val="none"/>
          <w:lang w:val="zh-CN"/>
        </w:rPr>
        <w:t>2</w:t>
      </w:r>
      <w:r>
        <w:rPr>
          <w:rFonts w:hint="eastAsia" w:ascii="Cambria Math" w:hAnsi="Cambria Math" w:eastAsia="Cambria Math"/>
          <w:b w:val="0"/>
          <w:color w:val="auto"/>
          <w:sz w:val="22"/>
          <w:szCs w:val="22"/>
          <w:highlight w:val="none"/>
          <w:lang w:val="zh-CN"/>
        </w:rPr>
        <w:t>、保证遵守招标文件中的有关规定和收费标准。</w:t>
      </w:r>
    </w:p>
    <w:p w14:paraId="1722A728">
      <w:pPr>
        <w:autoSpaceDE w:val="0"/>
        <w:autoSpaceDN w:val="0"/>
        <w:adjustRightInd w:val="0"/>
        <w:spacing w:line="440" w:lineRule="atLeast"/>
        <w:ind w:firstLine="465"/>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3、保证忠实地执行采购人、中标人双方所签的合同，并承担合同规定的责任义务。</w:t>
      </w:r>
    </w:p>
    <w:p w14:paraId="7D9EE0E3">
      <w:pPr>
        <w:autoSpaceDE w:val="0"/>
        <w:autoSpaceDN w:val="0"/>
        <w:adjustRightInd w:val="0"/>
        <w:spacing w:line="440" w:lineRule="atLeast"/>
        <w:ind w:firstLine="465"/>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4、</w:t>
      </w:r>
      <w:r>
        <w:rPr>
          <w:rFonts w:hint="eastAsia" w:ascii="Cambria Math" w:hAnsi="Cambria Math" w:eastAsia="Cambria Math"/>
          <w:b w:val="0"/>
          <w:color w:val="auto"/>
          <w:sz w:val="22"/>
          <w:szCs w:val="20"/>
          <w:highlight w:val="none"/>
        </w:rPr>
        <w:t>我方承诺在合同生效后</w:t>
      </w:r>
      <w:r>
        <w:rPr>
          <w:rFonts w:hint="eastAsia" w:ascii="Cambria Math" w:hAnsi="Cambria Math" w:eastAsia="Cambria Math"/>
          <w:b w:val="0"/>
          <w:color w:val="auto"/>
          <w:sz w:val="22"/>
          <w:szCs w:val="20"/>
          <w:highlight w:val="none"/>
          <w:lang w:val="zh-CN"/>
        </w:rPr>
        <w:t>接到采购人供货通知后按招标文件规定交货</w:t>
      </w:r>
      <w:r>
        <w:rPr>
          <w:rFonts w:hint="eastAsia" w:ascii="Cambria Math" w:hAnsi="Cambria Math" w:eastAsia="Cambria Math"/>
          <w:b w:val="0"/>
          <w:color w:val="auto"/>
          <w:sz w:val="22"/>
          <w:szCs w:val="20"/>
          <w:highlight w:val="none"/>
        </w:rPr>
        <w:t>。</w:t>
      </w:r>
    </w:p>
    <w:p w14:paraId="0BE1602A">
      <w:pPr>
        <w:autoSpaceDE w:val="0"/>
        <w:autoSpaceDN w:val="0"/>
        <w:adjustRightInd w:val="0"/>
        <w:spacing w:line="440" w:lineRule="atLeast"/>
        <w:ind w:firstLine="465"/>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736BAB6">
      <w:pPr>
        <w:spacing w:line="340" w:lineRule="exact"/>
        <w:ind w:firstLine="495" w:firstLineChars="225"/>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6、利益冲突：近三年内直至目前，我公司与本项目的采购人、招标代理机构没有任何的隶属关系。</w:t>
      </w:r>
    </w:p>
    <w:p w14:paraId="4C2920F0">
      <w:pPr>
        <w:autoSpaceDE w:val="0"/>
        <w:autoSpaceDN w:val="0"/>
        <w:adjustRightInd w:val="0"/>
        <w:spacing w:line="440" w:lineRule="atLeast"/>
        <w:ind w:firstLine="465"/>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rPr>
        <w:t>7、</w:t>
      </w:r>
      <w:r>
        <w:rPr>
          <w:rFonts w:hint="eastAsia" w:ascii="Cambria Math" w:hAnsi="Cambria Math" w:eastAsia="Cambria Math"/>
          <w:b w:val="0"/>
          <w:bCs w:val="0"/>
          <w:color w:val="auto"/>
          <w:sz w:val="22"/>
          <w:szCs w:val="22"/>
          <w:highlight w:val="none"/>
        </w:rPr>
        <w:t>我公司没有被浙江省财政厅、温州市财政局及本项目所在地的采购管理部门限制参加投标。</w:t>
      </w:r>
    </w:p>
    <w:p w14:paraId="780B3704">
      <w:pPr>
        <w:autoSpaceDE w:val="0"/>
        <w:autoSpaceDN w:val="0"/>
        <w:adjustRightInd w:val="0"/>
        <w:spacing w:line="440" w:lineRule="atLeast"/>
        <w:ind w:firstLine="450"/>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8、愿意向贵方提供任何与该项投标有关的数据、情况和技术资料，完全理解贵方不一定接受最低价的投标或收到的任何投标。</w:t>
      </w:r>
    </w:p>
    <w:p w14:paraId="4A1F0DF7">
      <w:pPr>
        <w:autoSpaceDE w:val="0"/>
        <w:autoSpaceDN w:val="0"/>
        <w:adjustRightInd w:val="0"/>
        <w:spacing w:line="440" w:lineRule="atLeast"/>
        <w:ind w:firstLine="450"/>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9、本投标自开标之日起</w:t>
      </w:r>
      <w:r>
        <w:rPr>
          <w:rFonts w:hint="eastAsia" w:ascii="Cambria Math" w:hAnsi="Cambria Math"/>
          <w:b w:val="0"/>
          <w:color w:val="auto"/>
          <w:sz w:val="22"/>
          <w:szCs w:val="22"/>
          <w:highlight w:val="none"/>
          <w:lang w:val="en-US" w:eastAsia="zh-CN"/>
        </w:rPr>
        <w:t>90</w:t>
      </w:r>
      <w:r>
        <w:rPr>
          <w:rFonts w:hint="eastAsia" w:ascii="Cambria Math" w:hAnsi="Cambria Math" w:eastAsia="Cambria Math"/>
          <w:b w:val="0"/>
          <w:color w:val="auto"/>
          <w:sz w:val="22"/>
          <w:szCs w:val="22"/>
          <w:highlight w:val="none"/>
          <w:lang w:val="zh-CN"/>
        </w:rPr>
        <w:t>天内有效。</w:t>
      </w:r>
    </w:p>
    <w:p w14:paraId="44E86ABF">
      <w:pPr>
        <w:autoSpaceDE w:val="0"/>
        <w:autoSpaceDN w:val="0"/>
        <w:adjustRightInd w:val="0"/>
        <w:spacing w:line="440" w:lineRule="atLeast"/>
        <w:ind w:firstLine="450"/>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10、与本投标有关的一切往来通讯请寄：</w:t>
      </w:r>
    </w:p>
    <w:p w14:paraId="35EAB959">
      <w:pPr>
        <w:autoSpaceDE w:val="0"/>
        <w:autoSpaceDN w:val="0"/>
        <w:adjustRightInd w:val="0"/>
        <w:spacing w:line="440" w:lineRule="atLeast"/>
        <w:ind w:firstLine="660" w:firstLineChars="300"/>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地址：</w:t>
      </w:r>
    </w:p>
    <w:p w14:paraId="40A6A908">
      <w:pPr>
        <w:autoSpaceDE w:val="0"/>
        <w:autoSpaceDN w:val="0"/>
        <w:adjustRightInd w:val="0"/>
        <w:spacing w:line="440" w:lineRule="atLeast"/>
        <w:ind w:firstLine="660" w:firstLineChars="300"/>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邮编：               电话：                   传真：</w:t>
      </w:r>
    </w:p>
    <w:p w14:paraId="1D6E3265">
      <w:pPr>
        <w:autoSpaceDE w:val="0"/>
        <w:autoSpaceDN w:val="0"/>
        <w:adjustRightInd w:val="0"/>
        <w:spacing w:line="440" w:lineRule="atLeast"/>
        <w:ind w:firstLine="1980" w:firstLineChars="900"/>
        <w:jc w:val="center"/>
        <w:rPr>
          <w:rFonts w:ascii="Cambria Math" w:hAnsi="Cambria Math" w:eastAsia="Cambria Math"/>
          <w:b w:val="0"/>
          <w:color w:val="auto"/>
          <w:sz w:val="22"/>
          <w:szCs w:val="22"/>
          <w:highlight w:val="none"/>
          <w:lang w:val="zh-CN"/>
        </w:rPr>
      </w:pPr>
    </w:p>
    <w:p w14:paraId="0E67F132">
      <w:pPr>
        <w:autoSpaceDE w:val="0"/>
        <w:autoSpaceDN w:val="0"/>
        <w:adjustRightInd w:val="0"/>
        <w:spacing w:line="440" w:lineRule="atLeast"/>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投标单位（盖章）：</w:t>
      </w:r>
    </w:p>
    <w:p w14:paraId="1B1D9F01">
      <w:pPr>
        <w:autoSpaceDE w:val="0"/>
        <w:autoSpaceDN w:val="0"/>
        <w:adjustRightInd w:val="0"/>
        <w:spacing w:line="440" w:lineRule="atLeast"/>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授权代表（签字）：</w:t>
      </w:r>
    </w:p>
    <w:p w14:paraId="3FC6CDAF">
      <w:pPr>
        <w:adjustRightInd w:val="0"/>
        <w:snapToGrid w:val="0"/>
        <w:spacing w:line="460" w:lineRule="atLeast"/>
        <w:ind w:left="220" w:hanging="220" w:hangingChars="100"/>
        <w:rPr>
          <w:rFonts w:ascii="Cambria Math" w:hAnsi="Cambria Math" w:eastAsia="Cambria Math"/>
          <w:b w:val="0"/>
          <w:color w:val="auto"/>
          <w:spacing w:val="20"/>
          <w:sz w:val="36"/>
          <w:szCs w:val="36"/>
          <w:highlight w:val="none"/>
        </w:rPr>
      </w:pPr>
      <w:r>
        <w:rPr>
          <w:rFonts w:hint="eastAsia" w:ascii="Cambria Math" w:hAnsi="Cambria Math" w:eastAsia="Cambria Math"/>
          <w:b w:val="0"/>
          <w:color w:val="auto"/>
          <w:sz w:val="22"/>
          <w:szCs w:val="22"/>
          <w:highlight w:val="none"/>
          <w:lang w:val="zh-CN"/>
        </w:rPr>
        <w:t>日期：</w:t>
      </w:r>
    </w:p>
    <w:p w14:paraId="0F5068C1">
      <w:pPr>
        <w:autoSpaceDE w:val="0"/>
        <w:autoSpaceDN w:val="0"/>
        <w:adjustRightInd w:val="0"/>
        <w:spacing w:line="440" w:lineRule="atLeast"/>
        <w:ind w:firstLine="1980" w:firstLineChars="900"/>
        <w:jc w:val="center"/>
        <w:rPr>
          <w:rFonts w:ascii="Cambria Math" w:hAnsi="Cambria Math" w:eastAsia="Cambria Math"/>
          <w:b w:val="0"/>
          <w:color w:val="auto"/>
          <w:sz w:val="22"/>
          <w:szCs w:val="22"/>
          <w:highlight w:val="none"/>
          <w:lang w:val="zh-CN"/>
        </w:rPr>
      </w:pPr>
    </w:p>
    <w:p w14:paraId="0DDA498E">
      <w:pPr>
        <w:autoSpaceDE w:val="0"/>
        <w:autoSpaceDN w:val="0"/>
        <w:adjustRightInd w:val="0"/>
        <w:spacing w:line="440" w:lineRule="atLeast"/>
        <w:ind w:firstLine="1980" w:firstLineChars="900"/>
        <w:jc w:val="center"/>
        <w:rPr>
          <w:rFonts w:ascii="Cambria Math" w:hAnsi="Cambria Math" w:eastAsia="Cambria Math"/>
          <w:b w:val="0"/>
          <w:color w:val="auto"/>
          <w:sz w:val="22"/>
          <w:szCs w:val="22"/>
          <w:highlight w:val="none"/>
          <w:lang w:val="zh-CN"/>
        </w:rPr>
      </w:pPr>
    </w:p>
    <w:p w14:paraId="7A014656">
      <w:pPr>
        <w:autoSpaceDE w:val="0"/>
        <w:autoSpaceDN w:val="0"/>
        <w:adjustRightInd w:val="0"/>
        <w:spacing w:line="440" w:lineRule="atLeast"/>
        <w:ind w:firstLine="1980" w:firstLineChars="900"/>
        <w:jc w:val="center"/>
        <w:rPr>
          <w:rFonts w:ascii="Cambria Math" w:hAnsi="Cambria Math" w:eastAsia="Cambria Math"/>
          <w:b w:val="0"/>
          <w:color w:val="auto"/>
          <w:sz w:val="22"/>
          <w:szCs w:val="22"/>
          <w:highlight w:val="none"/>
          <w:lang w:val="zh-CN"/>
        </w:rPr>
      </w:pPr>
    </w:p>
    <w:p w14:paraId="17070D0E">
      <w:pPr>
        <w:rPr>
          <w:rFonts w:ascii="Cambria Math" w:hAnsi="Cambria Math" w:eastAsia="Cambria Math"/>
          <w:color w:val="auto"/>
          <w:highlight w:val="none"/>
        </w:rPr>
      </w:pPr>
    </w:p>
    <w:p w14:paraId="57AE9149">
      <w:pPr>
        <w:rPr>
          <w:rFonts w:ascii="Cambria Math" w:hAnsi="Cambria Math" w:eastAsia="Cambria Math"/>
          <w:color w:val="auto"/>
          <w:highlight w:val="none"/>
        </w:rPr>
      </w:pPr>
    </w:p>
    <w:p w14:paraId="4022E7CA">
      <w:pPr>
        <w:rPr>
          <w:rFonts w:ascii="Cambria Math" w:hAnsi="Cambria Math" w:eastAsia="Cambria Math"/>
          <w:color w:val="auto"/>
          <w:highlight w:val="none"/>
        </w:rPr>
      </w:pPr>
    </w:p>
    <w:p w14:paraId="0B272A95">
      <w:pPr>
        <w:rPr>
          <w:rFonts w:ascii="Cambria Math" w:hAnsi="Cambria Math" w:eastAsia="等线"/>
          <w:color w:val="auto"/>
          <w:sz w:val="36"/>
          <w:szCs w:val="36"/>
          <w:highlight w:val="none"/>
        </w:rPr>
      </w:pPr>
      <w:r>
        <w:rPr>
          <w:rFonts w:hint="eastAsia" w:ascii="Cambria Math" w:hAnsi="Cambria Math" w:eastAsia="Cambria Math"/>
          <w:color w:val="auto"/>
          <w:sz w:val="36"/>
          <w:szCs w:val="36"/>
          <w:highlight w:val="none"/>
        </w:rPr>
        <w:t>附件</w:t>
      </w:r>
      <w:r>
        <w:rPr>
          <w:rFonts w:hint="eastAsia" w:ascii="Cambria Math" w:hAnsi="Cambria Math" w:eastAsia="等线"/>
          <w:color w:val="auto"/>
          <w:sz w:val="36"/>
          <w:szCs w:val="36"/>
          <w:highlight w:val="none"/>
        </w:rPr>
        <w:t>2-</w:t>
      </w:r>
      <w:r>
        <w:rPr>
          <w:rFonts w:ascii="Cambria Math" w:hAnsi="Cambria Math" w:eastAsia="等线"/>
          <w:color w:val="auto"/>
          <w:sz w:val="36"/>
          <w:szCs w:val="36"/>
          <w:highlight w:val="none"/>
        </w:rPr>
        <w:t>2</w:t>
      </w:r>
    </w:p>
    <w:p w14:paraId="3A61ABF6">
      <w:pPr>
        <w:tabs>
          <w:tab w:val="left" w:pos="1080"/>
        </w:tabs>
        <w:autoSpaceDE w:val="0"/>
        <w:autoSpaceDN w:val="0"/>
        <w:adjustRightInd w:val="0"/>
        <w:spacing w:line="440" w:lineRule="atLeast"/>
        <w:jc w:val="center"/>
        <w:rPr>
          <w:rFonts w:ascii="Cambria Math" w:hAnsi="Cambria Math" w:eastAsia="Cambria Math"/>
          <w:b w:val="0"/>
          <w:color w:val="auto"/>
          <w:sz w:val="36"/>
          <w:szCs w:val="36"/>
          <w:highlight w:val="none"/>
          <w:lang w:val="zh-CN"/>
        </w:rPr>
      </w:pPr>
      <w:r>
        <w:rPr>
          <w:rFonts w:hint="eastAsia" w:ascii="Cambria Math" w:hAnsi="Cambria Math" w:eastAsia="Cambria Math"/>
          <w:b w:val="0"/>
          <w:color w:val="auto"/>
          <w:sz w:val="36"/>
          <w:szCs w:val="36"/>
          <w:highlight w:val="none"/>
          <w:lang w:val="zh-CN"/>
        </w:rPr>
        <w:t>法定代表人授权书</w:t>
      </w:r>
    </w:p>
    <w:p w14:paraId="617352C9">
      <w:pPr>
        <w:spacing w:line="360" w:lineRule="auto"/>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u w:val="single"/>
        </w:rPr>
        <w:t>（采购人名称）</w:t>
      </w:r>
      <w:r>
        <w:rPr>
          <w:rFonts w:hint="eastAsia" w:ascii="Cambria Math" w:hAnsi="Cambria Math" w:eastAsia="Cambria Math"/>
          <w:b w:val="0"/>
          <w:color w:val="auto"/>
          <w:sz w:val="22"/>
          <w:szCs w:val="22"/>
          <w:highlight w:val="none"/>
          <w:lang w:val="zh-CN"/>
        </w:rPr>
        <w:t>：</w:t>
      </w:r>
    </w:p>
    <w:p w14:paraId="514F9A11">
      <w:pPr>
        <w:spacing w:line="360" w:lineRule="auto"/>
        <w:ind w:firstLine="440" w:firstLineChars="200"/>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本授权委托书声明：我</w:t>
      </w:r>
      <w:r>
        <w:rPr>
          <w:rFonts w:hint="eastAsia" w:ascii="Cambria Math" w:hAnsi="Cambria Math" w:eastAsia="Cambria Math"/>
          <w:b w:val="0"/>
          <w:color w:val="auto"/>
          <w:sz w:val="22"/>
          <w:szCs w:val="22"/>
          <w:highlight w:val="none"/>
          <w:u w:val="single"/>
        </w:rPr>
        <w:t xml:space="preserve">   （法定代表人姓名）   </w:t>
      </w:r>
      <w:r>
        <w:rPr>
          <w:rFonts w:hint="eastAsia" w:ascii="Cambria Math" w:hAnsi="Cambria Math" w:eastAsia="Cambria Math"/>
          <w:b w:val="0"/>
          <w:color w:val="auto"/>
          <w:sz w:val="22"/>
          <w:szCs w:val="22"/>
          <w:highlight w:val="none"/>
        </w:rPr>
        <w:t>系</w:t>
      </w:r>
      <w:r>
        <w:rPr>
          <w:rFonts w:hint="eastAsia" w:ascii="Cambria Math" w:hAnsi="Cambria Math" w:eastAsia="Cambria Math"/>
          <w:b w:val="0"/>
          <w:color w:val="auto"/>
          <w:sz w:val="22"/>
          <w:szCs w:val="22"/>
          <w:highlight w:val="none"/>
          <w:u w:val="single"/>
        </w:rPr>
        <w:t xml:space="preserve">   （供 应 商 名 称）  </w:t>
      </w:r>
      <w:r>
        <w:rPr>
          <w:rFonts w:hint="eastAsia" w:ascii="Cambria Math" w:hAnsi="Cambria Math" w:eastAsia="Cambria Math"/>
          <w:b w:val="0"/>
          <w:color w:val="auto"/>
          <w:sz w:val="22"/>
          <w:szCs w:val="22"/>
          <w:highlight w:val="none"/>
        </w:rPr>
        <w:t>的法定代表人，现授权委托</w:t>
      </w:r>
      <w:r>
        <w:rPr>
          <w:rFonts w:hint="eastAsia" w:ascii="Cambria Math" w:hAnsi="Cambria Math" w:eastAsia="Cambria Math"/>
          <w:b w:val="0"/>
          <w:color w:val="auto"/>
          <w:sz w:val="22"/>
          <w:szCs w:val="22"/>
          <w:highlight w:val="none"/>
          <w:u w:val="single"/>
        </w:rPr>
        <w:t xml:space="preserve">  （单 位 名 称）   </w:t>
      </w:r>
      <w:r>
        <w:rPr>
          <w:rFonts w:hint="eastAsia" w:ascii="Cambria Math" w:hAnsi="Cambria Math" w:eastAsia="Cambria Math"/>
          <w:b w:val="0"/>
          <w:color w:val="auto"/>
          <w:sz w:val="22"/>
          <w:szCs w:val="22"/>
          <w:highlight w:val="none"/>
        </w:rPr>
        <w:t>的</w:t>
      </w:r>
      <w:r>
        <w:rPr>
          <w:rFonts w:hint="eastAsia" w:ascii="Cambria Math" w:hAnsi="Cambria Math" w:eastAsia="Cambria Math"/>
          <w:b w:val="0"/>
          <w:color w:val="auto"/>
          <w:sz w:val="22"/>
          <w:szCs w:val="22"/>
          <w:highlight w:val="none"/>
          <w:u w:val="single"/>
        </w:rPr>
        <w:t xml:space="preserve">  （授权代表姓名）  </w:t>
      </w:r>
      <w:r>
        <w:rPr>
          <w:rFonts w:hint="eastAsia" w:ascii="Cambria Math" w:hAnsi="Cambria Math" w:eastAsia="Cambria Math"/>
          <w:b w:val="0"/>
          <w:color w:val="auto"/>
          <w:sz w:val="22"/>
          <w:szCs w:val="22"/>
          <w:highlight w:val="none"/>
        </w:rPr>
        <w:t>为我公司法定代表人授权代表，参加贵处组织的</w:t>
      </w:r>
      <w:r>
        <w:rPr>
          <w:rFonts w:hint="eastAsia" w:ascii="Cambria Math" w:hAnsi="Cambria Math" w:eastAsia="Cambria Math"/>
          <w:b w:val="0"/>
          <w:color w:val="auto"/>
          <w:sz w:val="22"/>
          <w:szCs w:val="22"/>
          <w:highlight w:val="none"/>
          <w:u w:val="single"/>
        </w:rPr>
        <w:t xml:space="preserve">  （招标项目名称，括号中填写项目编号）</w:t>
      </w:r>
      <w:r>
        <w:rPr>
          <w:rFonts w:hint="eastAsia" w:ascii="Cambria Math" w:hAnsi="Cambria Math" w:eastAsia="Cambria Math"/>
          <w:b w:val="0"/>
          <w:color w:val="auto"/>
          <w:sz w:val="22"/>
          <w:szCs w:val="22"/>
          <w:highlight w:val="none"/>
        </w:rPr>
        <w:t>投标，全权处理本次招投标活动中的一切事宜，我承认授权代表全权代表我所签署的本项目的投标文件的内容。</w:t>
      </w:r>
    </w:p>
    <w:p w14:paraId="7708827D">
      <w:pPr>
        <w:spacing w:line="360" w:lineRule="auto"/>
        <w:ind w:firstLine="440" w:firstLineChars="200"/>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授权代表无转授权，特此授权</w:t>
      </w:r>
    </w:p>
    <w:p w14:paraId="23CFD1BC">
      <w:pPr>
        <w:spacing w:line="360" w:lineRule="auto"/>
        <w:ind w:left="1260"/>
        <w:rPr>
          <w:rFonts w:ascii="Cambria Math" w:hAnsi="Cambria Math" w:eastAsia="Cambria Math"/>
          <w:b w:val="0"/>
          <w:color w:val="auto"/>
          <w:sz w:val="22"/>
          <w:szCs w:val="22"/>
          <w:highlight w:val="none"/>
        </w:rPr>
      </w:pPr>
    </w:p>
    <w:p w14:paraId="2B5C2DE4">
      <w:pPr>
        <w:spacing w:line="360" w:lineRule="auto"/>
        <w:ind w:left="2100" w:right="440"/>
        <w:jc w:val="center"/>
        <w:rPr>
          <w:rFonts w:ascii="Cambria Math" w:hAnsi="Cambria Math" w:eastAsia="Cambria Math"/>
          <w:b w:val="0"/>
          <w:color w:val="auto"/>
          <w:sz w:val="22"/>
          <w:szCs w:val="22"/>
          <w:highlight w:val="none"/>
        </w:rPr>
      </w:pPr>
    </w:p>
    <w:p w14:paraId="1F444B37">
      <w:pPr>
        <w:spacing w:line="360" w:lineRule="auto"/>
        <w:ind w:left="2100" w:right="440"/>
        <w:jc w:val="center"/>
        <w:rPr>
          <w:rFonts w:ascii="Cambria Math" w:hAnsi="Cambria Math" w:eastAsia="Cambria Math"/>
          <w:b w:val="0"/>
          <w:color w:val="auto"/>
          <w:sz w:val="22"/>
          <w:szCs w:val="22"/>
          <w:highlight w:val="none"/>
        </w:rPr>
      </w:pPr>
    </w:p>
    <w:p w14:paraId="08B70CA5">
      <w:pPr>
        <w:spacing w:line="360" w:lineRule="auto"/>
        <w:ind w:left="2100" w:right="440"/>
        <w:jc w:val="center"/>
        <w:rPr>
          <w:rFonts w:ascii="Cambria Math" w:hAnsi="Cambria Math" w:eastAsia="Cambria Math"/>
          <w:b w:val="0"/>
          <w:color w:val="auto"/>
          <w:sz w:val="22"/>
          <w:szCs w:val="22"/>
          <w:highlight w:val="none"/>
        </w:rPr>
      </w:pPr>
    </w:p>
    <w:p w14:paraId="55591EF7">
      <w:pPr>
        <w:spacing w:line="360" w:lineRule="auto"/>
        <w:ind w:left="2100" w:right="440"/>
        <w:jc w:val="center"/>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 xml:space="preserve">   投标单位：</w:t>
      </w:r>
      <w:r>
        <w:rPr>
          <w:rFonts w:hint="eastAsia" w:ascii="Cambria Math" w:hAnsi="Cambria Math" w:eastAsia="Cambria Math"/>
          <w:b w:val="0"/>
          <w:color w:val="auto"/>
          <w:sz w:val="22"/>
          <w:szCs w:val="22"/>
          <w:highlight w:val="none"/>
          <w:u w:val="single"/>
        </w:rPr>
        <w:t xml:space="preserve">                              （盖章）</w:t>
      </w:r>
    </w:p>
    <w:p w14:paraId="5176A9E0">
      <w:pPr>
        <w:spacing w:line="360" w:lineRule="auto"/>
        <w:ind w:left="2100" w:right="440"/>
        <w:jc w:val="center"/>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 xml:space="preserve">  法定代表人：</w:t>
      </w:r>
      <w:r>
        <w:rPr>
          <w:rFonts w:hint="eastAsia" w:ascii="Cambria Math" w:hAnsi="Cambria Math" w:eastAsia="Cambria Math"/>
          <w:b w:val="0"/>
          <w:color w:val="auto"/>
          <w:sz w:val="22"/>
          <w:szCs w:val="22"/>
          <w:highlight w:val="none"/>
          <w:u w:val="single"/>
        </w:rPr>
        <w:t xml:space="preserve">                           （签字或盖章）</w:t>
      </w:r>
    </w:p>
    <w:p w14:paraId="41D10499">
      <w:pPr>
        <w:spacing w:line="360" w:lineRule="auto"/>
        <w:ind w:left="2833" w:leftChars="1349" w:firstLine="2200" w:firstLineChars="1000"/>
        <w:rPr>
          <w:rFonts w:ascii="Cambria Math" w:hAnsi="Cambria Math" w:eastAsia="Cambria Math"/>
          <w:b w:val="0"/>
          <w:color w:val="auto"/>
          <w:sz w:val="22"/>
          <w:szCs w:val="22"/>
          <w:highlight w:val="none"/>
        </w:rPr>
      </w:pPr>
    </w:p>
    <w:p w14:paraId="3C424536">
      <w:pPr>
        <w:spacing w:line="360" w:lineRule="auto"/>
        <w:ind w:right="330" w:firstLine="3300" w:firstLineChars="1500"/>
        <w:jc w:val="right"/>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授权委托日期：年 月日</w:t>
      </w:r>
    </w:p>
    <w:tbl>
      <w:tblPr>
        <w:tblStyle w:val="3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14:paraId="191F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8647" w:type="dxa"/>
          </w:tcPr>
          <w:p w14:paraId="76F1EE68">
            <w:pPr>
              <w:pStyle w:val="21"/>
              <w:spacing w:line="440" w:lineRule="atLeast"/>
              <w:ind w:firstLine="440"/>
              <w:jc w:val="center"/>
              <w:rPr>
                <w:rFonts w:ascii="Cambria Math" w:hAnsi="Cambria Math" w:eastAsia="Cambria Math" w:cs="Yu Mincho Light"/>
                <w:b w:val="0"/>
                <w:color w:val="auto"/>
                <w:sz w:val="22"/>
                <w:szCs w:val="22"/>
                <w:highlight w:val="none"/>
              </w:rPr>
            </w:pPr>
            <w:r>
              <w:rPr>
                <w:rFonts w:hint="eastAsia" w:ascii="Cambria Math" w:hAnsi="Cambria Math" w:eastAsia="Cambria Math" w:cs="Yu Mincho Light"/>
                <w:b w:val="0"/>
                <w:color w:val="auto"/>
                <w:sz w:val="22"/>
                <w:szCs w:val="22"/>
                <w:highlight w:val="none"/>
              </w:rPr>
              <w:t>授权代表身份证影印件或复印件</w:t>
            </w:r>
          </w:p>
        </w:tc>
      </w:tr>
    </w:tbl>
    <w:p w14:paraId="68A472D9">
      <w:pPr>
        <w:snapToGrid w:val="0"/>
        <w:spacing w:line="360" w:lineRule="atLeast"/>
        <w:outlineLvl w:val="0"/>
        <w:rPr>
          <w:rFonts w:ascii="Cambria Math" w:hAnsi="Cambria Math" w:eastAsia="Cambria Math"/>
          <w:b w:val="0"/>
          <w:color w:val="auto"/>
          <w:sz w:val="36"/>
          <w:szCs w:val="36"/>
          <w:highlight w:val="none"/>
          <w:lang w:val="zh-CN"/>
        </w:rPr>
      </w:pPr>
    </w:p>
    <w:p w14:paraId="70CDA9F3">
      <w:pPr>
        <w:snapToGrid w:val="0"/>
        <w:spacing w:line="360" w:lineRule="atLeast"/>
        <w:outlineLvl w:val="0"/>
        <w:rPr>
          <w:rFonts w:ascii="Cambria Math" w:hAnsi="Cambria Math" w:eastAsia="Cambria Math"/>
          <w:b w:val="0"/>
          <w:color w:val="auto"/>
          <w:sz w:val="36"/>
          <w:szCs w:val="36"/>
          <w:highlight w:val="none"/>
          <w:lang w:val="zh-CN"/>
        </w:rPr>
      </w:pPr>
    </w:p>
    <w:p w14:paraId="2CE55ACF">
      <w:pPr>
        <w:snapToGrid w:val="0"/>
        <w:spacing w:line="360" w:lineRule="atLeast"/>
        <w:outlineLvl w:val="0"/>
        <w:rPr>
          <w:rFonts w:ascii="Cambria Math" w:hAnsi="Cambria Math" w:eastAsia="Cambria Math"/>
          <w:b w:val="0"/>
          <w:color w:val="auto"/>
          <w:sz w:val="36"/>
          <w:szCs w:val="36"/>
          <w:highlight w:val="none"/>
          <w:lang w:val="zh-CN"/>
        </w:rPr>
      </w:pPr>
    </w:p>
    <w:p w14:paraId="1476E427">
      <w:pPr>
        <w:snapToGrid w:val="0"/>
        <w:spacing w:line="360" w:lineRule="atLeast"/>
        <w:outlineLvl w:val="0"/>
        <w:rPr>
          <w:rFonts w:ascii="Cambria Math" w:hAnsi="Cambria Math" w:eastAsia="Cambria Math"/>
          <w:b w:val="0"/>
          <w:color w:val="auto"/>
          <w:sz w:val="36"/>
          <w:szCs w:val="36"/>
          <w:highlight w:val="none"/>
          <w:lang w:val="zh-CN"/>
        </w:rPr>
      </w:pPr>
    </w:p>
    <w:p w14:paraId="421600F5">
      <w:pPr>
        <w:pStyle w:val="4"/>
        <w:spacing w:before="0" w:after="120" w:line="700" w:lineRule="exact"/>
        <w:ind w:left="0" w:firstLine="0"/>
        <w:rPr>
          <w:rFonts w:ascii="Cambria Math" w:hAnsi="Cambria Math" w:eastAsia="等线"/>
          <w:b/>
          <w:color w:val="auto"/>
          <w:sz w:val="32"/>
          <w:highlight w:val="none"/>
        </w:rPr>
      </w:pPr>
      <w:r>
        <w:rPr>
          <w:rFonts w:hint="eastAsia" w:ascii="Cambria Math" w:hAnsi="Cambria Math" w:eastAsia="Cambria Math"/>
          <w:b/>
          <w:color w:val="auto"/>
          <w:sz w:val="32"/>
          <w:highlight w:val="none"/>
        </w:rPr>
        <w:t>附件</w:t>
      </w:r>
      <w:r>
        <w:rPr>
          <w:rFonts w:hint="eastAsia" w:ascii="Cambria Math" w:hAnsi="Cambria Math" w:eastAsia="等线"/>
          <w:b/>
          <w:color w:val="auto"/>
          <w:sz w:val="32"/>
          <w:highlight w:val="none"/>
        </w:rPr>
        <w:t>2-</w:t>
      </w:r>
      <w:r>
        <w:rPr>
          <w:rFonts w:ascii="Cambria Math" w:hAnsi="Cambria Math" w:eastAsia="等线"/>
          <w:b/>
          <w:color w:val="auto"/>
          <w:sz w:val="32"/>
          <w:highlight w:val="none"/>
        </w:rPr>
        <w:t>3</w:t>
      </w:r>
    </w:p>
    <w:p w14:paraId="3BAD4F45">
      <w:pPr>
        <w:autoSpaceDE w:val="0"/>
        <w:autoSpaceDN w:val="0"/>
        <w:adjustRightInd w:val="0"/>
        <w:spacing w:line="440" w:lineRule="atLeast"/>
        <w:jc w:val="center"/>
        <w:rPr>
          <w:rFonts w:ascii="Cambria Math" w:hAnsi="Cambria Math" w:eastAsia="Cambria Math"/>
          <w:b w:val="0"/>
          <w:color w:val="auto"/>
          <w:sz w:val="36"/>
          <w:szCs w:val="36"/>
          <w:highlight w:val="none"/>
          <w:lang w:val="zh-CN"/>
        </w:rPr>
      </w:pPr>
      <w:r>
        <w:rPr>
          <w:rFonts w:hint="eastAsia" w:ascii="Cambria Math" w:hAnsi="Cambria Math" w:eastAsia="Cambria Math"/>
          <w:b w:val="0"/>
          <w:color w:val="auto"/>
          <w:sz w:val="36"/>
          <w:szCs w:val="36"/>
          <w:highlight w:val="none"/>
          <w:lang w:val="zh-CN"/>
        </w:rPr>
        <w:t>供应商情况声明</w:t>
      </w:r>
    </w:p>
    <w:p w14:paraId="38A20D56">
      <w:pPr>
        <w:autoSpaceDE w:val="0"/>
        <w:autoSpaceDN w:val="0"/>
        <w:adjustRightInd w:val="0"/>
        <w:spacing w:line="440" w:lineRule="atLeast"/>
        <w:jc w:val="center"/>
        <w:rPr>
          <w:rFonts w:ascii="Cambria Math" w:hAnsi="Cambria Math" w:eastAsia="Cambria Math"/>
          <w:b w:val="0"/>
          <w:color w:val="auto"/>
          <w:sz w:val="36"/>
          <w:szCs w:val="36"/>
          <w:highlight w:val="none"/>
          <w:lang w:val="zh-CN"/>
        </w:rPr>
      </w:pPr>
    </w:p>
    <w:p w14:paraId="16975971">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1、名称及概况：</w:t>
      </w:r>
    </w:p>
    <w:p w14:paraId="06B9BC96">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（1）投标供应商名称：</w:t>
      </w:r>
    </w:p>
    <w:p w14:paraId="792AB5E8">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（2）总部地址：</w:t>
      </w:r>
    </w:p>
    <w:p w14:paraId="29E313A4">
      <w:pPr>
        <w:spacing w:line="360" w:lineRule="auto"/>
        <w:rPr>
          <w:rFonts w:ascii="Cambria Math" w:hAnsi="Cambria Math" w:eastAsia="Cambria Math"/>
          <w:b w:val="0"/>
          <w:color w:val="auto"/>
          <w:sz w:val="22"/>
          <w:szCs w:val="22"/>
          <w:highlight w:val="none"/>
          <w:u w:val="single"/>
        </w:rPr>
      </w:pPr>
      <w:r>
        <w:rPr>
          <w:rFonts w:ascii="Cambria Math" w:hAnsi="Cambria Math" w:eastAsia="Cambria Math"/>
          <w:b w:val="0"/>
          <w:color w:val="auto"/>
          <w:sz w:val="22"/>
          <w:szCs w:val="22"/>
          <w:highlight w:val="none"/>
        </w:rPr>
        <w:t>传真/电话号码：</w:t>
      </w:r>
    </w:p>
    <w:p w14:paraId="68ADC4A5">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（3）成立或注册日期：</w:t>
      </w:r>
    </w:p>
    <w:p w14:paraId="16B536A2">
      <w:pPr>
        <w:spacing w:line="360" w:lineRule="auto"/>
        <w:rPr>
          <w:rFonts w:ascii="Cambria Math" w:hAnsi="Cambria Math" w:eastAsia="Cambria Math"/>
          <w:b w:val="0"/>
          <w:color w:val="auto"/>
          <w:sz w:val="22"/>
          <w:szCs w:val="22"/>
          <w:highlight w:val="none"/>
          <w:u w:val="single"/>
        </w:rPr>
      </w:pPr>
      <w:r>
        <w:rPr>
          <w:rFonts w:ascii="Cambria Math" w:hAnsi="Cambria Math" w:eastAsia="Cambria Math"/>
          <w:b w:val="0"/>
          <w:color w:val="auto"/>
          <w:sz w:val="22"/>
          <w:szCs w:val="22"/>
          <w:highlight w:val="none"/>
        </w:rPr>
        <w:t>（4）实收资本：</w:t>
      </w:r>
    </w:p>
    <w:p w14:paraId="3C84546E">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（5）近期资产负债表（</w:t>
      </w:r>
      <w:r>
        <w:rPr>
          <w:rFonts w:ascii="Cambria Math" w:hAnsi="Cambria Math" w:eastAsia="Cambria Math"/>
          <w:b w:val="0"/>
          <w:color w:val="auto"/>
          <w:sz w:val="22"/>
          <w:szCs w:val="22"/>
          <w:highlight w:val="none"/>
          <w:u w:val="single"/>
        </w:rPr>
        <w:t>到        年    月    日止</w:t>
      </w:r>
      <w:r>
        <w:rPr>
          <w:rFonts w:ascii="Cambria Math" w:hAnsi="Cambria Math" w:eastAsia="Cambria Math"/>
          <w:b w:val="0"/>
          <w:color w:val="auto"/>
          <w:sz w:val="22"/>
          <w:szCs w:val="22"/>
          <w:highlight w:val="none"/>
        </w:rPr>
        <w:t>）</w:t>
      </w:r>
    </w:p>
    <w:p w14:paraId="77737472">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1）固定资产：</w:t>
      </w:r>
    </w:p>
    <w:p w14:paraId="20F9156C">
      <w:pPr>
        <w:spacing w:line="360" w:lineRule="auto"/>
        <w:rPr>
          <w:rFonts w:ascii="Cambria Math" w:hAnsi="Cambria Math" w:eastAsia="Cambria Math"/>
          <w:b w:val="0"/>
          <w:color w:val="auto"/>
          <w:sz w:val="22"/>
          <w:szCs w:val="22"/>
          <w:highlight w:val="none"/>
          <w:u w:val="single"/>
        </w:rPr>
      </w:pPr>
      <w:r>
        <w:rPr>
          <w:rFonts w:ascii="Cambria Math" w:hAnsi="Cambria Math" w:eastAsia="Cambria Math"/>
          <w:b w:val="0"/>
          <w:color w:val="auto"/>
          <w:sz w:val="22"/>
          <w:szCs w:val="22"/>
          <w:highlight w:val="none"/>
        </w:rPr>
        <w:t>2）流动资产：</w:t>
      </w:r>
    </w:p>
    <w:p w14:paraId="12D1F56F">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3）长期负债：</w:t>
      </w:r>
    </w:p>
    <w:p w14:paraId="24767432">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4）流动负债：</w:t>
      </w:r>
    </w:p>
    <w:p w14:paraId="7BCB3B55">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5）净值：</w:t>
      </w:r>
    </w:p>
    <w:p w14:paraId="43E66298">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6）主要负责人姓名：</w:t>
      </w:r>
    </w:p>
    <w:p w14:paraId="1083821B">
      <w:pPr>
        <w:spacing w:line="360" w:lineRule="auto"/>
        <w:rPr>
          <w:rFonts w:ascii="Cambria Math" w:hAnsi="Cambria Math" w:eastAsia="Cambria Math"/>
          <w:b w:val="0"/>
          <w:color w:val="auto"/>
          <w:sz w:val="22"/>
          <w:szCs w:val="22"/>
          <w:highlight w:val="none"/>
          <w:u w:val="single"/>
        </w:rPr>
      </w:pPr>
      <w:r>
        <w:rPr>
          <w:rFonts w:ascii="Cambria Math" w:hAnsi="Cambria Math" w:eastAsia="Cambria Math"/>
          <w:b w:val="0"/>
          <w:color w:val="auto"/>
          <w:sz w:val="22"/>
          <w:szCs w:val="22"/>
          <w:highlight w:val="none"/>
        </w:rPr>
        <w:t>2、企业生产设备及规模：</w:t>
      </w:r>
    </w:p>
    <w:p w14:paraId="1CBD3079">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3、企业人员情况：职工（在职）人数人</w:t>
      </w:r>
    </w:p>
    <w:p w14:paraId="789E4F79">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 xml:space="preserve">4、近三年的年营业总额                       </w:t>
      </w:r>
    </w:p>
    <w:p w14:paraId="28AC8D26">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兹证明上述声明是真实、正确的、并提供了全部能提供的资料和数据，我们同意遵照贵方要求出示有关证明文件。</w:t>
      </w:r>
    </w:p>
    <w:p w14:paraId="5F8A9439">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投标人名称</w:t>
      </w:r>
      <w:r>
        <w:rPr>
          <w:rFonts w:ascii="Cambria Math" w:hAnsi="Cambria Math" w:eastAsia="Cambria Math"/>
          <w:b w:val="0"/>
          <w:color w:val="auto"/>
          <w:sz w:val="22"/>
          <w:szCs w:val="22"/>
          <w:highlight w:val="none"/>
          <w:u w:val="single"/>
        </w:rPr>
        <w:t xml:space="preserve">                （盖章）</w:t>
      </w:r>
    </w:p>
    <w:p w14:paraId="043F15F2">
      <w:pPr>
        <w:spacing w:line="360" w:lineRule="auto"/>
        <w:rPr>
          <w:rFonts w:ascii="Cambria Math" w:hAnsi="Cambria Math" w:eastAsia="Cambria Math"/>
          <w:b w:val="0"/>
          <w:color w:val="auto"/>
          <w:sz w:val="22"/>
          <w:szCs w:val="22"/>
          <w:highlight w:val="none"/>
          <w:u w:val="single"/>
        </w:rPr>
      </w:pPr>
      <w:r>
        <w:rPr>
          <w:rFonts w:ascii="Cambria Math" w:hAnsi="Cambria Math" w:eastAsia="Cambria Math"/>
          <w:b w:val="0"/>
          <w:color w:val="auto"/>
          <w:sz w:val="22"/>
          <w:szCs w:val="22"/>
          <w:highlight w:val="none"/>
        </w:rPr>
        <w:t>法定代表人姓名和职务</w:t>
      </w:r>
    </w:p>
    <w:p w14:paraId="0C566016">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授权代表人签字</w:t>
      </w:r>
    </w:p>
    <w:p w14:paraId="49BB16FA">
      <w:pPr>
        <w:spacing w:line="360" w:lineRule="auto"/>
        <w:rPr>
          <w:rFonts w:ascii="Cambria Math" w:hAnsi="Cambria Math" w:eastAsia="Cambria Math"/>
          <w:b w:val="0"/>
          <w:color w:val="auto"/>
          <w:sz w:val="22"/>
          <w:szCs w:val="22"/>
          <w:highlight w:val="none"/>
        </w:rPr>
      </w:pPr>
      <w:r>
        <w:rPr>
          <w:rFonts w:ascii="Cambria Math" w:hAnsi="Cambria Math" w:eastAsia="Cambria Math"/>
          <w:b w:val="0"/>
          <w:color w:val="auto"/>
          <w:sz w:val="22"/>
          <w:szCs w:val="22"/>
          <w:highlight w:val="none"/>
        </w:rPr>
        <w:t>签字日期</w:t>
      </w:r>
    </w:p>
    <w:p w14:paraId="721526F2">
      <w:pPr>
        <w:spacing w:line="360" w:lineRule="auto"/>
        <w:rPr>
          <w:rFonts w:ascii="Cambria Math" w:hAnsi="Cambria Math" w:eastAsia="Cambria Math"/>
          <w:color w:val="auto"/>
          <w:szCs w:val="22"/>
          <w:highlight w:val="none"/>
        </w:rPr>
      </w:pPr>
      <w:r>
        <w:rPr>
          <w:rFonts w:ascii="Cambria Math" w:hAnsi="Cambria Math" w:eastAsia="Cambria Math"/>
          <w:b w:val="0"/>
          <w:color w:val="auto"/>
          <w:sz w:val="22"/>
          <w:szCs w:val="22"/>
          <w:highlight w:val="none"/>
        </w:rPr>
        <w:t>电子邮件</w:t>
      </w:r>
    </w:p>
    <w:p w14:paraId="588135BC">
      <w:pPr>
        <w:spacing w:line="400" w:lineRule="exact"/>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 xml:space="preserve">5.投标单位有效营业执照（或事业单位法人证书）副本和税务登记证或三（五）证合一证照（复印件，加盖单位公章） </w:t>
      </w:r>
    </w:p>
    <w:p w14:paraId="0525B5F2">
      <w:pPr>
        <w:snapToGrid w:val="0"/>
        <w:spacing w:line="360" w:lineRule="atLeast"/>
        <w:outlineLvl w:val="0"/>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7．投标单位资格资质证书及招标文件要求提供的资格证明、证书（复印件加盖单位公章）</w:t>
      </w:r>
    </w:p>
    <w:p w14:paraId="09104215">
      <w:pPr>
        <w:snapToGrid w:val="0"/>
        <w:spacing w:line="360" w:lineRule="atLeast"/>
        <w:outlineLvl w:val="0"/>
        <w:rPr>
          <w:rFonts w:ascii="Cambria Math" w:hAnsi="Cambria Math" w:eastAsia="Cambria Math"/>
          <w:b w:val="0"/>
          <w:color w:val="auto"/>
          <w:sz w:val="22"/>
          <w:szCs w:val="22"/>
          <w:highlight w:val="none"/>
        </w:rPr>
      </w:pPr>
    </w:p>
    <w:p w14:paraId="08FB7D0B">
      <w:pPr>
        <w:pStyle w:val="4"/>
        <w:spacing w:before="0" w:after="120" w:line="700" w:lineRule="exact"/>
        <w:ind w:left="0" w:firstLine="0"/>
        <w:rPr>
          <w:rFonts w:ascii="Cambria Math" w:hAnsi="Cambria Math" w:eastAsia="等线"/>
          <w:b/>
          <w:color w:val="auto"/>
          <w:sz w:val="32"/>
          <w:highlight w:val="none"/>
        </w:rPr>
      </w:pPr>
      <w:r>
        <w:rPr>
          <w:rFonts w:hint="eastAsia" w:ascii="Cambria Math" w:hAnsi="Cambria Math" w:eastAsia="Cambria Math"/>
          <w:b/>
          <w:color w:val="auto"/>
          <w:sz w:val="32"/>
          <w:highlight w:val="none"/>
        </w:rPr>
        <w:t>附件</w:t>
      </w:r>
      <w:r>
        <w:rPr>
          <w:rFonts w:hint="eastAsia" w:ascii="Cambria Math" w:hAnsi="Cambria Math" w:eastAsia="等线"/>
          <w:b/>
          <w:color w:val="auto"/>
          <w:sz w:val="32"/>
          <w:highlight w:val="none"/>
        </w:rPr>
        <w:t>2-</w:t>
      </w:r>
      <w:r>
        <w:rPr>
          <w:rFonts w:ascii="Cambria Math" w:hAnsi="Cambria Math" w:eastAsia="等线"/>
          <w:b/>
          <w:color w:val="auto"/>
          <w:sz w:val="32"/>
          <w:highlight w:val="none"/>
        </w:rPr>
        <w:t>4</w:t>
      </w:r>
    </w:p>
    <w:p w14:paraId="129E77D6">
      <w:pPr>
        <w:spacing w:line="360" w:lineRule="auto"/>
        <w:rPr>
          <w:rFonts w:ascii="Cambria Math" w:hAnsi="Cambria Math" w:eastAsiaTheme="minorEastAsia"/>
          <w:b w:val="0"/>
          <w:color w:val="auto"/>
          <w:sz w:val="44"/>
          <w:szCs w:val="32"/>
          <w:highlight w:val="none"/>
        </w:rPr>
      </w:pPr>
    </w:p>
    <w:p w14:paraId="1AF85A46">
      <w:pPr>
        <w:pStyle w:val="23"/>
        <w:rPr>
          <w:highlight w:val="none"/>
        </w:rPr>
      </w:pPr>
    </w:p>
    <w:p w14:paraId="337765B9">
      <w:pPr>
        <w:spacing w:line="360" w:lineRule="auto"/>
        <w:jc w:val="center"/>
        <w:rPr>
          <w:rFonts w:ascii="Cambria Math" w:hAnsi="Cambria Math" w:eastAsia="Cambria Math"/>
          <w:b w:val="0"/>
          <w:color w:val="auto"/>
          <w:sz w:val="44"/>
          <w:szCs w:val="32"/>
          <w:highlight w:val="none"/>
        </w:rPr>
      </w:pPr>
      <w:r>
        <w:rPr>
          <w:rFonts w:hint="eastAsia" w:ascii="Cambria Math" w:hAnsi="Cambria Math" w:eastAsia="Cambria Math"/>
          <w:b w:val="0"/>
          <w:color w:val="auto"/>
          <w:sz w:val="44"/>
          <w:szCs w:val="32"/>
          <w:highlight w:val="none"/>
        </w:rPr>
        <w:t>近三年内在经营活动中没有重大违法记录的书面声明</w:t>
      </w:r>
    </w:p>
    <w:p w14:paraId="355A35AB">
      <w:pPr>
        <w:spacing w:line="360" w:lineRule="auto"/>
        <w:rPr>
          <w:rFonts w:hint="eastAsia" w:ascii="宋体" w:hAnsi="宋体" w:cs="宋体"/>
          <w:b w:val="0"/>
          <w:color w:val="auto"/>
          <w:sz w:val="28"/>
          <w:szCs w:val="28"/>
          <w:highlight w:val="none"/>
          <w:u w:val="single"/>
        </w:rPr>
      </w:pPr>
    </w:p>
    <w:p w14:paraId="4150DEF0">
      <w:pPr>
        <w:spacing w:line="360" w:lineRule="auto"/>
        <w:rPr>
          <w:rFonts w:hint="eastAsia" w:ascii="宋体" w:hAnsi="宋体" w:cs="宋体"/>
          <w:b w:val="0"/>
          <w:color w:val="auto"/>
          <w:sz w:val="28"/>
          <w:szCs w:val="28"/>
          <w:highlight w:val="none"/>
          <w:u w:val="single"/>
        </w:rPr>
      </w:pPr>
    </w:p>
    <w:p w14:paraId="68F4F8CC">
      <w:pPr>
        <w:spacing w:line="360" w:lineRule="auto"/>
        <w:rPr>
          <w:rFonts w:ascii="Cambria Math" w:hAnsi="Cambria Math" w:eastAsia="Cambria Math"/>
          <w:b w:val="0"/>
          <w:color w:val="auto"/>
          <w:sz w:val="28"/>
          <w:szCs w:val="28"/>
          <w:highlight w:val="none"/>
          <w:u w:val="single"/>
        </w:rPr>
      </w:pPr>
      <w:r>
        <w:rPr>
          <w:rFonts w:hint="eastAsia" w:ascii="宋体" w:hAnsi="宋体" w:cs="宋体"/>
          <w:b w:val="0"/>
          <w:color w:val="auto"/>
          <w:sz w:val="28"/>
          <w:szCs w:val="28"/>
          <w:highlight w:val="none"/>
          <w:u w:val="single"/>
        </w:rPr>
        <w:t>温州公用事业发展集团龙港水务有限公司</w:t>
      </w:r>
      <w:r>
        <w:rPr>
          <w:rFonts w:ascii="Cambria Math" w:hAnsi="Cambria Math" w:eastAsia="Cambria Math"/>
          <w:b w:val="0"/>
          <w:color w:val="auto"/>
          <w:sz w:val="28"/>
          <w:szCs w:val="28"/>
          <w:highlight w:val="none"/>
        </w:rPr>
        <w:t>：</w:t>
      </w:r>
    </w:p>
    <w:p w14:paraId="19C4D50E">
      <w:pPr>
        <w:spacing w:line="360" w:lineRule="auto"/>
        <w:ind w:firstLine="560" w:firstLineChars="200"/>
        <w:rPr>
          <w:rFonts w:ascii="Cambria Math" w:hAnsi="Cambria Math" w:eastAsia="Cambria Math"/>
          <w:b w:val="0"/>
          <w:color w:val="auto"/>
          <w:sz w:val="28"/>
          <w:szCs w:val="28"/>
          <w:highlight w:val="none"/>
        </w:rPr>
      </w:pPr>
    </w:p>
    <w:p w14:paraId="22A8D9BA">
      <w:pPr>
        <w:spacing w:line="360" w:lineRule="auto"/>
        <w:ind w:firstLine="560" w:firstLineChars="200"/>
        <w:rPr>
          <w:rFonts w:ascii="Cambria Math" w:hAnsi="Cambria Math" w:eastAsia="Cambria Math"/>
          <w:b w:val="0"/>
          <w:color w:val="auto"/>
          <w:sz w:val="28"/>
          <w:szCs w:val="28"/>
          <w:highlight w:val="none"/>
        </w:rPr>
      </w:pPr>
      <w:r>
        <w:rPr>
          <w:rFonts w:hint="eastAsia" w:ascii="Cambria Math" w:hAnsi="Cambria Math" w:eastAsia="Cambria Math"/>
          <w:b w:val="0"/>
          <w:color w:val="auto"/>
          <w:sz w:val="28"/>
          <w:szCs w:val="28"/>
          <w:highlight w:val="none"/>
        </w:rPr>
        <w:t>我公司参加本次采购活动前三年内在经营活动中没有重大违法记录</w:t>
      </w:r>
      <w:r>
        <w:rPr>
          <w:rFonts w:ascii="Cambria Math" w:hAnsi="Cambria Math" w:eastAsia="Cambria Math"/>
          <w:b w:val="0"/>
          <w:color w:val="auto"/>
          <w:sz w:val="28"/>
          <w:szCs w:val="28"/>
          <w:highlight w:val="none"/>
        </w:rPr>
        <w:t>,</w:t>
      </w:r>
      <w:r>
        <w:rPr>
          <w:rFonts w:hint="eastAsia" w:ascii="Cambria Math" w:hAnsi="Cambria Math" w:eastAsia="Cambria Math"/>
          <w:b w:val="0"/>
          <w:color w:val="auto"/>
          <w:sz w:val="28"/>
          <w:szCs w:val="28"/>
          <w:highlight w:val="none"/>
        </w:rPr>
        <w:t>特此声明。若在本次采购活动过程中发现我公司近三年内在经营活动中有重大违法记录</w:t>
      </w:r>
      <w:r>
        <w:rPr>
          <w:rFonts w:ascii="Cambria Math" w:hAnsi="Cambria Math" w:eastAsia="Cambria Math"/>
          <w:b w:val="0"/>
          <w:color w:val="auto"/>
          <w:sz w:val="28"/>
          <w:szCs w:val="28"/>
          <w:highlight w:val="none"/>
        </w:rPr>
        <w:t>,</w:t>
      </w:r>
      <w:r>
        <w:rPr>
          <w:rFonts w:hint="eastAsia" w:ascii="Cambria Math" w:hAnsi="Cambria Math" w:eastAsia="Cambria Math"/>
          <w:b w:val="0"/>
          <w:color w:val="auto"/>
          <w:sz w:val="28"/>
          <w:szCs w:val="28"/>
          <w:highlight w:val="none"/>
        </w:rPr>
        <w:t>我公司将无条件退出本项目的投标</w:t>
      </w:r>
      <w:r>
        <w:rPr>
          <w:rFonts w:ascii="Cambria Math" w:hAnsi="Cambria Math" w:eastAsia="Cambria Math"/>
          <w:b w:val="0"/>
          <w:color w:val="auto"/>
          <w:sz w:val="28"/>
          <w:szCs w:val="28"/>
          <w:highlight w:val="none"/>
        </w:rPr>
        <w:t>,</w:t>
      </w:r>
      <w:r>
        <w:rPr>
          <w:rFonts w:hint="eastAsia" w:ascii="Cambria Math" w:hAnsi="Cambria Math" w:eastAsia="Cambria Math"/>
          <w:b w:val="0"/>
          <w:color w:val="auto"/>
          <w:sz w:val="28"/>
          <w:szCs w:val="28"/>
          <w:highlight w:val="none"/>
        </w:rPr>
        <w:t>并承担因此引起的一切后果。</w:t>
      </w:r>
    </w:p>
    <w:p w14:paraId="00BB20E6">
      <w:pPr>
        <w:spacing w:line="360" w:lineRule="auto"/>
        <w:ind w:firstLine="420" w:firstLineChars="200"/>
        <w:rPr>
          <w:rFonts w:ascii="Cambria Math" w:hAnsi="Cambria Math" w:eastAsia="Cambria Math"/>
          <w:b w:val="0"/>
          <w:color w:val="auto"/>
          <w:szCs w:val="22"/>
          <w:highlight w:val="none"/>
        </w:rPr>
      </w:pPr>
    </w:p>
    <w:p w14:paraId="14B68A84">
      <w:pPr>
        <w:pStyle w:val="42"/>
        <w:rPr>
          <w:rFonts w:ascii="Cambria Math" w:hAnsi="Cambria Math" w:eastAsia="Cambria Math"/>
          <w:szCs w:val="22"/>
          <w:highlight w:val="none"/>
        </w:rPr>
      </w:pPr>
    </w:p>
    <w:p w14:paraId="69A48963">
      <w:pPr>
        <w:pStyle w:val="17"/>
        <w:rPr>
          <w:rFonts w:hint="eastAsia"/>
          <w:highlight w:val="none"/>
        </w:rPr>
      </w:pPr>
    </w:p>
    <w:p w14:paraId="05D15180">
      <w:pPr>
        <w:tabs>
          <w:tab w:val="left" w:pos="1410"/>
        </w:tabs>
        <w:spacing w:line="360" w:lineRule="auto"/>
        <w:ind w:firstLine="560" w:firstLineChars="200"/>
        <w:rPr>
          <w:rFonts w:ascii="Cambria Math" w:hAnsi="Cambria Math" w:eastAsia="Cambria Math"/>
          <w:color w:val="auto"/>
          <w:sz w:val="28"/>
          <w:szCs w:val="28"/>
          <w:highlight w:val="none"/>
          <w:u w:val="single"/>
        </w:rPr>
      </w:pPr>
      <w:r>
        <w:rPr>
          <w:rFonts w:hint="eastAsia" w:ascii="Cambria Math" w:hAnsi="Cambria Math" w:eastAsia="Cambria Math"/>
          <w:color w:val="auto"/>
          <w:sz w:val="28"/>
          <w:szCs w:val="28"/>
          <w:highlight w:val="none"/>
        </w:rPr>
        <w:t>投标单位（盖章）：</w:t>
      </w:r>
    </w:p>
    <w:p w14:paraId="35AA26AA">
      <w:pPr>
        <w:spacing w:line="360" w:lineRule="auto"/>
        <w:ind w:firstLine="560" w:firstLineChars="200"/>
        <w:rPr>
          <w:rFonts w:ascii="Cambria Math" w:hAnsi="Cambria Math" w:eastAsia="Cambria Math"/>
          <w:color w:val="auto"/>
          <w:sz w:val="28"/>
          <w:szCs w:val="28"/>
          <w:highlight w:val="none"/>
        </w:rPr>
      </w:pPr>
      <w:r>
        <w:rPr>
          <w:rFonts w:hint="eastAsia" w:ascii="Cambria Math" w:hAnsi="Cambria Math" w:eastAsia="Cambria Math"/>
          <w:color w:val="auto"/>
          <w:sz w:val="28"/>
          <w:szCs w:val="28"/>
          <w:highlight w:val="none"/>
        </w:rPr>
        <w:t xml:space="preserve">日     期：  </w:t>
      </w:r>
    </w:p>
    <w:p w14:paraId="2F70EA69">
      <w:pPr>
        <w:pStyle w:val="42"/>
        <w:rPr>
          <w:rFonts w:ascii="Cambria Math" w:hAnsi="Cambria Math" w:eastAsia="Cambria Math"/>
          <w:szCs w:val="22"/>
          <w:highlight w:val="none"/>
        </w:rPr>
      </w:pPr>
    </w:p>
    <w:p w14:paraId="57FC07AC">
      <w:pPr>
        <w:pStyle w:val="42"/>
        <w:rPr>
          <w:rFonts w:ascii="Cambria Math" w:hAnsi="Cambria Math" w:eastAsia="Cambria Math"/>
          <w:szCs w:val="22"/>
          <w:highlight w:val="none"/>
        </w:rPr>
      </w:pPr>
    </w:p>
    <w:p w14:paraId="05319BF8">
      <w:pPr>
        <w:pStyle w:val="42"/>
        <w:rPr>
          <w:rFonts w:ascii="Cambria Math" w:hAnsi="Cambria Math" w:eastAsia="Cambria Math"/>
          <w:szCs w:val="22"/>
          <w:highlight w:val="none"/>
        </w:rPr>
      </w:pPr>
    </w:p>
    <w:p w14:paraId="3B6140EC">
      <w:pPr>
        <w:pStyle w:val="42"/>
        <w:rPr>
          <w:rFonts w:ascii="Cambria Math" w:hAnsi="Cambria Math" w:eastAsia="Cambria Math"/>
          <w:szCs w:val="22"/>
          <w:highlight w:val="none"/>
        </w:rPr>
      </w:pPr>
    </w:p>
    <w:p w14:paraId="5CF551FC">
      <w:pPr>
        <w:pStyle w:val="42"/>
        <w:rPr>
          <w:rFonts w:ascii="Cambria Math" w:hAnsi="Cambria Math" w:eastAsiaTheme="minorEastAsia"/>
          <w:szCs w:val="22"/>
          <w:highlight w:val="none"/>
        </w:rPr>
      </w:pPr>
    </w:p>
    <w:p w14:paraId="29189E6E">
      <w:pPr>
        <w:pStyle w:val="17"/>
        <w:rPr>
          <w:rFonts w:hint="eastAsia" w:eastAsiaTheme="minorEastAsia"/>
          <w:highlight w:val="none"/>
        </w:rPr>
      </w:pPr>
    </w:p>
    <w:p w14:paraId="0FFF7FA6">
      <w:pPr>
        <w:pStyle w:val="34"/>
        <w:ind w:firstLine="211"/>
        <w:rPr>
          <w:rFonts w:hint="eastAsia"/>
          <w:highlight w:val="none"/>
        </w:rPr>
      </w:pPr>
    </w:p>
    <w:p w14:paraId="142A3E27">
      <w:pPr>
        <w:pStyle w:val="28"/>
        <w:rPr>
          <w:highlight w:val="none"/>
        </w:rPr>
      </w:pPr>
    </w:p>
    <w:p w14:paraId="4CE126B7">
      <w:pPr>
        <w:rPr>
          <w:highlight w:val="none"/>
        </w:rPr>
      </w:pPr>
    </w:p>
    <w:p w14:paraId="11076080">
      <w:pPr>
        <w:pStyle w:val="42"/>
        <w:rPr>
          <w:rFonts w:ascii="Cambria Math" w:hAnsi="Cambria Math" w:eastAsia="Cambria Math"/>
          <w:szCs w:val="22"/>
          <w:highlight w:val="none"/>
        </w:rPr>
      </w:pPr>
    </w:p>
    <w:p w14:paraId="5235DE3E">
      <w:pPr>
        <w:pStyle w:val="4"/>
        <w:spacing w:before="0" w:after="120" w:line="700" w:lineRule="exact"/>
        <w:ind w:left="0" w:firstLine="0"/>
        <w:rPr>
          <w:rFonts w:ascii="Cambria Math" w:hAnsi="Cambria Math" w:eastAsia="等线"/>
          <w:b/>
          <w:color w:val="auto"/>
          <w:sz w:val="32"/>
          <w:highlight w:val="none"/>
        </w:rPr>
      </w:pPr>
      <w:r>
        <w:rPr>
          <w:rFonts w:hint="eastAsia" w:ascii="Cambria Math" w:hAnsi="Cambria Math" w:eastAsia="Cambria Math"/>
          <w:b/>
          <w:color w:val="auto"/>
          <w:sz w:val="32"/>
          <w:highlight w:val="none"/>
        </w:rPr>
        <w:t>附件</w:t>
      </w:r>
      <w:r>
        <w:rPr>
          <w:rFonts w:hint="eastAsia" w:ascii="Cambria Math" w:hAnsi="Cambria Math" w:eastAsia="等线"/>
          <w:b/>
          <w:color w:val="auto"/>
          <w:sz w:val="32"/>
          <w:highlight w:val="none"/>
        </w:rPr>
        <w:t>2-</w:t>
      </w:r>
      <w:r>
        <w:rPr>
          <w:rFonts w:ascii="Cambria Math" w:hAnsi="Cambria Math" w:eastAsia="等线"/>
          <w:b/>
          <w:color w:val="auto"/>
          <w:sz w:val="32"/>
          <w:highlight w:val="none"/>
        </w:rPr>
        <w:t>5</w:t>
      </w:r>
    </w:p>
    <w:p w14:paraId="50906F81">
      <w:pPr>
        <w:snapToGrid w:val="0"/>
        <w:spacing w:line="360" w:lineRule="atLeast"/>
        <w:outlineLvl w:val="0"/>
        <w:rPr>
          <w:rFonts w:ascii="Cambria Math" w:hAnsi="Cambria Math" w:eastAsia="Cambria Math"/>
          <w:b w:val="0"/>
          <w:color w:val="auto"/>
          <w:sz w:val="36"/>
          <w:szCs w:val="36"/>
          <w:highlight w:val="none"/>
          <w:lang w:val="zh-CN"/>
        </w:rPr>
      </w:pPr>
    </w:p>
    <w:p w14:paraId="2BCE8C0F">
      <w:pPr>
        <w:jc w:val="center"/>
        <w:rPr>
          <w:rFonts w:ascii="Cambria Math" w:hAnsi="Cambria Math" w:eastAsia="Cambria Math"/>
          <w:color w:val="auto"/>
          <w:sz w:val="44"/>
          <w:szCs w:val="44"/>
          <w:highlight w:val="none"/>
        </w:rPr>
      </w:pPr>
      <w:r>
        <w:rPr>
          <w:rFonts w:hint="eastAsia" w:ascii="Cambria Math" w:hAnsi="Cambria Math" w:eastAsia="Cambria Math"/>
          <w:b w:val="0"/>
          <w:bCs w:val="0"/>
          <w:color w:val="auto"/>
          <w:spacing w:val="5"/>
          <w:w w:val="85"/>
          <w:sz w:val="44"/>
          <w:szCs w:val="44"/>
          <w:highlight w:val="none"/>
        </w:rPr>
        <w:t>供应商依法缴纳税收和社会保障金的书面声明</w:t>
      </w:r>
    </w:p>
    <w:p w14:paraId="020C987D">
      <w:pPr>
        <w:spacing w:before="9" w:line="430" w:lineRule="atLeast"/>
        <w:rPr>
          <w:rFonts w:ascii="Cambria Math" w:hAnsi="Cambria Math" w:eastAsia="Cambria Math"/>
          <w:color w:val="auto"/>
          <w:sz w:val="24"/>
          <w:szCs w:val="24"/>
          <w:highlight w:val="none"/>
        </w:rPr>
      </w:pPr>
    </w:p>
    <w:p w14:paraId="5A616EBB">
      <w:pPr>
        <w:spacing w:line="440" w:lineRule="atLeast"/>
        <w:rPr>
          <w:rFonts w:ascii="Cambria Math" w:hAnsi="Cambria Math" w:eastAsia="Cambria Math"/>
          <w:color w:val="auto"/>
          <w:sz w:val="25"/>
          <w:szCs w:val="25"/>
          <w:highlight w:val="none"/>
        </w:rPr>
      </w:pPr>
    </w:p>
    <w:p w14:paraId="1F47CAE6">
      <w:pPr>
        <w:ind w:left="140"/>
        <w:rPr>
          <w:rFonts w:ascii="Cambria Math" w:hAnsi="Cambria Math" w:eastAsia="Cambria Math"/>
          <w:color w:val="auto"/>
          <w:sz w:val="28"/>
          <w:szCs w:val="28"/>
          <w:highlight w:val="none"/>
        </w:rPr>
      </w:pPr>
      <w:r>
        <w:rPr>
          <w:rFonts w:hint="eastAsia" w:ascii="宋体" w:hAnsi="宋体" w:cs="宋体"/>
          <w:b w:val="0"/>
          <w:color w:val="auto"/>
          <w:sz w:val="28"/>
          <w:szCs w:val="28"/>
          <w:highlight w:val="none"/>
          <w:u w:val="single"/>
        </w:rPr>
        <w:t>温州公用事业发展集团龙港水务有限公司</w:t>
      </w:r>
      <w:r>
        <w:rPr>
          <w:rFonts w:hint="eastAsia" w:ascii="Cambria Math" w:hAnsi="Cambria Math" w:eastAsia="Cambria Math"/>
          <w:b w:val="0"/>
          <w:bCs w:val="0"/>
          <w:color w:val="auto"/>
          <w:sz w:val="28"/>
          <w:szCs w:val="28"/>
          <w:highlight w:val="none"/>
        </w:rPr>
        <w:t>：</w:t>
      </w:r>
    </w:p>
    <w:p w14:paraId="69265520">
      <w:pPr>
        <w:spacing w:before="4" w:line="190" w:lineRule="atLeast"/>
        <w:rPr>
          <w:rFonts w:ascii="Cambria Math" w:hAnsi="Cambria Math" w:eastAsia="Cambria Math"/>
          <w:color w:val="auto"/>
          <w:sz w:val="28"/>
          <w:szCs w:val="28"/>
          <w:highlight w:val="none"/>
        </w:rPr>
      </w:pPr>
    </w:p>
    <w:p w14:paraId="71A258D2">
      <w:pPr>
        <w:spacing w:line="200" w:lineRule="atLeast"/>
        <w:rPr>
          <w:rFonts w:ascii="Cambria Math" w:hAnsi="Cambria Math" w:eastAsia="Cambria Math"/>
          <w:color w:val="auto"/>
          <w:sz w:val="28"/>
          <w:szCs w:val="28"/>
          <w:highlight w:val="none"/>
        </w:rPr>
      </w:pPr>
    </w:p>
    <w:p w14:paraId="04B9A2E6">
      <w:pPr>
        <w:spacing w:before="26" w:line="357" w:lineRule="auto"/>
        <w:ind w:left="140" w:right="106" w:firstLine="479"/>
        <w:rPr>
          <w:rFonts w:ascii="Cambria Math" w:hAnsi="Cambria Math" w:eastAsia="Cambria Math"/>
          <w:color w:val="auto"/>
          <w:sz w:val="28"/>
          <w:szCs w:val="28"/>
          <w:highlight w:val="none"/>
        </w:rPr>
      </w:pPr>
      <w:r>
        <w:rPr>
          <w:rFonts w:hint="eastAsia" w:ascii="Cambria Math" w:hAnsi="Cambria Math" w:eastAsia="Cambria Math"/>
          <w:color w:val="auto"/>
          <w:spacing w:val="1"/>
          <w:sz w:val="28"/>
          <w:szCs w:val="28"/>
          <w:highlight w:val="none"/>
        </w:rPr>
        <w:t>我公司郑重声明，我公司严格依法缴纳税收和社会保障金，本文件中所提供的相</w:t>
      </w:r>
      <w:r>
        <w:rPr>
          <w:rFonts w:hint="eastAsia" w:ascii="Cambria Math" w:hAnsi="Cambria Math" w:eastAsia="Cambria Math"/>
          <w:color w:val="auto"/>
          <w:sz w:val="28"/>
          <w:szCs w:val="28"/>
          <w:highlight w:val="none"/>
        </w:rPr>
        <w:t>关材料均真实有效，不存在虚假、造假行为。如有违反，愿承担一切责任。</w:t>
      </w:r>
    </w:p>
    <w:p w14:paraId="2DC295BD">
      <w:pPr>
        <w:pStyle w:val="21"/>
        <w:spacing w:line="440" w:lineRule="atLeast"/>
        <w:rPr>
          <w:rFonts w:ascii="Cambria Math" w:hAnsi="Cambria Math" w:eastAsia="Cambria Math"/>
          <w:b w:val="0"/>
          <w:color w:val="auto"/>
          <w:sz w:val="22"/>
          <w:szCs w:val="22"/>
          <w:highlight w:val="none"/>
        </w:rPr>
      </w:pPr>
    </w:p>
    <w:p w14:paraId="34812D22">
      <w:pPr>
        <w:pStyle w:val="21"/>
        <w:spacing w:line="440" w:lineRule="atLeast"/>
        <w:rPr>
          <w:rFonts w:ascii="Cambria Math" w:hAnsi="Cambria Math" w:eastAsia="Cambria Math"/>
          <w:b w:val="0"/>
          <w:color w:val="auto"/>
          <w:sz w:val="22"/>
          <w:szCs w:val="22"/>
          <w:highlight w:val="none"/>
        </w:rPr>
      </w:pPr>
    </w:p>
    <w:p w14:paraId="1BBEF47F">
      <w:pPr>
        <w:pStyle w:val="21"/>
        <w:spacing w:line="440" w:lineRule="atLeast"/>
        <w:rPr>
          <w:rFonts w:ascii="Cambria Math" w:hAnsi="Cambria Math" w:eastAsia="Cambria Math"/>
          <w:b w:val="0"/>
          <w:color w:val="auto"/>
          <w:sz w:val="22"/>
          <w:szCs w:val="22"/>
          <w:highlight w:val="none"/>
        </w:rPr>
      </w:pPr>
    </w:p>
    <w:p w14:paraId="2F34194B">
      <w:pPr>
        <w:pStyle w:val="21"/>
        <w:spacing w:line="440" w:lineRule="atLeast"/>
        <w:rPr>
          <w:rFonts w:ascii="Cambria Math" w:hAnsi="Cambria Math" w:eastAsia="Cambria Math"/>
          <w:b w:val="0"/>
          <w:color w:val="auto"/>
          <w:sz w:val="22"/>
          <w:szCs w:val="22"/>
          <w:highlight w:val="none"/>
        </w:rPr>
      </w:pPr>
    </w:p>
    <w:p w14:paraId="1645BD56">
      <w:pPr>
        <w:spacing w:line="360" w:lineRule="auto"/>
        <w:rPr>
          <w:rFonts w:ascii="Cambria Math" w:hAnsi="Cambria Math" w:eastAsia="Cambria Math"/>
          <w:color w:val="auto"/>
          <w:sz w:val="28"/>
          <w:szCs w:val="28"/>
          <w:highlight w:val="none"/>
          <w:u w:val="single"/>
        </w:rPr>
      </w:pPr>
      <w:r>
        <w:rPr>
          <w:rFonts w:hint="eastAsia" w:ascii="Cambria Math" w:hAnsi="Cambria Math" w:eastAsia="Cambria Math"/>
          <w:color w:val="auto"/>
          <w:sz w:val="28"/>
          <w:szCs w:val="28"/>
          <w:highlight w:val="none"/>
        </w:rPr>
        <w:t>投标单位（盖章）：</w:t>
      </w:r>
    </w:p>
    <w:p w14:paraId="00720166">
      <w:pPr>
        <w:spacing w:line="360" w:lineRule="auto"/>
        <w:ind w:firstLine="560" w:firstLineChars="200"/>
        <w:rPr>
          <w:rFonts w:ascii="Cambria Math" w:hAnsi="Cambria Math" w:eastAsia="Cambria Math"/>
          <w:color w:val="auto"/>
          <w:sz w:val="28"/>
          <w:szCs w:val="28"/>
          <w:highlight w:val="none"/>
        </w:rPr>
      </w:pPr>
    </w:p>
    <w:p w14:paraId="765D79B8">
      <w:pPr>
        <w:spacing w:line="360" w:lineRule="auto"/>
        <w:rPr>
          <w:rFonts w:ascii="Cambria Math" w:hAnsi="Cambria Math" w:eastAsia="Cambria Math"/>
          <w:color w:val="auto"/>
          <w:sz w:val="28"/>
          <w:szCs w:val="28"/>
          <w:highlight w:val="none"/>
        </w:rPr>
      </w:pPr>
      <w:r>
        <w:rPr>
          <w:rFonts w:hint="eastAsia" w:ascii="Cambria Math" w:hAnsi="Cambria Math" w:eastAsia="Cambria Math"/>
          <w:color w:val="auto"/>
          <w:sz w:val="28"/>
          <w:szCs w:val="28"/>
          <w:highlight w:val="none"/>
        </w:rPr>
        <w:t>日   期： </w:t>
      </w:r>
    </w:p>
    <w:p w14:paraId="3E3B5D34">
      <w:pPr>
        <w:pStyle w:val="21"/>
        <w:spacing w:line="440" w:lineRule="atLeast"/>
        <w:rPr>
          <w:rFonts w:ascii="Cambria Math" w:hAnsi="Cambria Math" w:eastAsia="Cambria Math"/>
          <w:b w:val="0"/>
          <w:color w:val="auto"/>
          <w:sz w:val="22"/>
          <w:szCs w:val="22"/>
          <w:highlight w:val="none"/>
        </w:rPr>
      </w:pPr>
    </w:p>
    <w:p w14:paraId="560BEFB1">
      <w:pPr>
        <w:pStyle w:val="21"/>
        <w:spacing w:line="440" w:lineRule="atLeast"/>
        <w:rPr>
          <w:rFonts w:ascii="Cambria Math" w:hAnsi="Cambria Math" w:eastAsia="Cambria Math"/>
          <w:b w:val="0"/>
          <w:color w:val="auto"/>
          <w:sz w:val="22"/>
          <w:szCs w:val="22"/>
          <w:highlight w:val="none"/>
        </w:rPr>
      </w:pPr>
    </w:p>
    <w:p w14:paraId="599BCF07">
      <w:pPr>
        <w:snapToGrid w:val="0"/>
        <w:spacing w:line="360" w:lineRule="atLeast"/>
        <w:outlineLvl w:val="0"/>
        <w:rPr>
          <w:rFonts w:ascii="Cambria Math" w:hAnsi="Cambria Math" w:eastAsia="Cambria Math"/>
          <w:b w:val="0"/>
          <w:color w:val="auto"/>
          <w:sz w:val="28"/>
          <w:szCs w:val="28"/>
          <w:highlight w:val="none"/>
        </w:rPr>
      </w:pPr>
      <w:r>
        <w:rPr>
          <w:rFonts w:ascii="Cambria Math" w:hAnsi="Cambria Math" w:eastAsia="Cambria Math"/>
          <w:b w:val="0"/>
          <w:color w:val="auto"/>
          <w:sz w:val="28"/>
          <w:szCs w:val="28"/>
          <w:highlight w:val="none"/>
        </w:rPr>
        <w:t>附：依法缴纳税收（如依法免税的需提供依法免税证明）和社会保障金的证明材料（复印件加盖供应商公章）</w:t>
      </w:r>
    </w:p>
    <w:p w14:paraId="4F2E26D7">
      <w:pPr>
        <w:snapToGrid w:val="0"/>
        <w:spacing w:line="360" w:lineRule="atLeast"/>
        <w:outlineLvl w:val="0"/>
        <w:rPr>
          <w:rFonts w:ascii="Cambria Math" w:hAnsi="Cambria Math" w:eastAsia="Cambria Math"/>
          <w:b w:val="0"/>
          <w:color w:val="auto"/>
          <w:sz w:val="28"/>
          <w:szCs w:val="28"/>
          <w:highlight w:val="none"/>
        </w:rPr>
      </w:pPr>
    </w:p>
    <w:p w14:paraId="1A73F96D">
      <w:pPr>
        <w:snapToGrid w:val="0"/>
        <w:spacing w:line="360" w:lineRule="atLeast"/>
        <w:outlineLvl w:val="0"/>
        <w:rPr>
          <w:rFonts w:ascii="Cambria Math" w:hAnsi="Cambria Math" w:eastAsia="Cambria Math"/>
          <w:b w:val="0"/>
          <w:color w:val="auto"/>
          <w:sz w:val="28"/>
          <w:szCs w:val="28"/>
          <w:highlight w:val="none"/>
        </w:rPr>
      </w:pPr>
    </w:p>
    <w:p w14:paraId="10C9EB2B">
      <w:pPr>
        <w:snapToGrid w:val="0"/>
        <w:spacing w:line="360" w:lineRule="atLeast"/>
        <w:outlineLvl w:val="0"/>
        <w:rPr>
          <w:rFonts w:ascii="Cambria Math" w:hAnsi="Cambria Math" w:eastAsia="Cambria Math"/>
          <w:b w:val="0"/>
          <w:color w:val="auto"/>
          <w:sz w:val="28"/>
          <w:szCs w:val="28"/>
          <w:highlight w:val="none"/>
        </w:rPr>
      </w:pPr>
    </w:p>
    <w:p w14:paraId="44B9446A">
      <w:pPr>
        <w:snapToGrid w:val="0"/>
        <w:spacing w:line="360" w:lineRule="atLeast"/>
        <w:outlineLvl w:val="0"/>
        <w:rPr>
          <w:rFonts w:ascii="Cambria Math" w:hAnsi="Cambria Math" w:eastAsia="Cambria Math"/>
          <w:b w:val="0"/>
          <w:color w:val="auto"/>
          <w:sz w:val="28"/>
          <w:szCs w:val="28"/>
          <w:highlight w:val="none"/>
        </w:rPr>
      </w:pPr>
    </w:p>
    <w:p w14:paraId="32922403">
      <w:pPr>
        <w:pStyle w:val="42"/>
        <w:rPr>
          <w:rFonts w:ascii="Cambria Math" w:hAnsi="Cambria Math" w:eastAsia="Cambria Math"/>
          <w:sz w:val="28"/>
          <w:szCs w:val="28"/>
          <w:highlight w:val="none"/>
        </w:rPr>
      </w:pPr>
    </w:p>
    <w:p w14:paraId="0719193D">
      <w:pPr>
        <w:pStyle w:val="17"/>
        <w:rPr>
          <w:rFonts w:hint="eastAsia"/>
          <w:highlight w:val="none"/>
        </w:rPr>
      </w:pPr>
    </w:p>
    <w:p w14:paraId="2EA32EA6">
      <w:pPr>
        <w:snapToGrid w:val="0"/>
        <w:spacing w:line="360" w:lineRule="atLeast"/>
        <w:outlineLvl w:val="0"/>
        <w:rPr>
          <w:rFonts w:ascii="Cambria Math" w:hAnsi="Cambria Math" w:eastAsia="等线"/>
          <w:b w:val="0"/>
          <w:color w:val="auto"/>
          <w:sz w:val="28"/>
          <w:szCs w:val="28"/>
          <w:highlight w:val="none"/>
        </w:rPr>
      </w:pPr>
    </w:p>
    <w:p w14:paraId="1A79DAE9">
      <w:pPr>
        <w:snapToGrid w:val="0"/>
        <w:spacing w:line="360" w:lineRule="atLeast"/>
        <w:outlineLvl w:val="0"/>
        <w:rPr>
          <w:rFonts w:ascii="Cambria Math" w:hAnsi="Cambria Math" w:eastAsia="等线"/>
          <w:b w:val="0"/>
          <w:color w:val="auto"/>
          <w:sz w:val="28"/>
          <w:szCs w:val="28"/>
          <w:highlight w:val="none"/>
        </w:rPr>
      </w:pPr>
    </w:p>
    <w:p w14:paraId="6C80A07A">
      <w:pPr>
        <w:pStyle w:val="4"/>
        <w:spacing w:before="0" w:after="120" w:line="700" w:lineRule="exact"/>
        <w:ind w:left="0" w:firstLine="0"/>
        <w:rPr>
          <w:rFonts w:ascii="Cambria Math" w:hAnsi="Cambria Math" w:eastAsia="等线"/>
          <w:b/>
          <w:color w:val="auto"/>
          <w:sz w:val="32"/>
          <w:highlight w:val="none"/>
        </w:rPr>
      </w:pPr>
      <w:r>
        <w:rPr>
          <w:rFonts w:hint="eastAsia" w:ascii="Cambria Math" w:hAnsi="Cambria Math" w:eastAsia="Cambria Math"/>
          <w:b/>
          <w:color w:val="auto"/>
          <w:sz w:val="32"/>
          <w:highlight w:val="none"/>
        </w:rPr>
        <w:t>附件</w:t>
      </w:r>
      <w:r>
        <w:rPr>
          <w:rFonts w:hint="eastAsia" w:ascii="Cambria Math" w:hAnsi="Cambria Math" w:eastAsia="等线"/>
          <w:b/>
          <w:color w:val="auto"/>
          <w:sz w:val="32"/>
          <w:highlight w:val="none"/>
        </w:rPr>
        <w:t>2-</w:t>
      </w:r>
      <w:r>
        <w:rPr>
          <w:rFonts w:ascii="Cambria Math" w:hAnsi="Cambria Math" w:eastAsia="等线"/>
          <w:b/>
          <w:color w:val="auto"/>
          <w:sz w:val="32"/>
          <w:highlight w:val="none"/>
        </w:rPr>
        <w:t>6</w:t>
      </w:r>
    </w:p>
    <w:p w14:paraId="71D6AFDE">
      <w:pPr>
        <w:autoSpaceDE w:val="0"/>
        <w:autoSpaceDN w:val="0"/>
        <w:adjustRightInd w:val="0"/>
        <w:spacing w:line="440" w:lineRule="atLeast"/>
        <w:ind w:firstLine="3413"/>
        <w:rPr>
          <w:rFonts w:ascii="Cambria Math" w:hAnsi="Cambria Math" w:eastAsia="Cambria Math"/>
          <w:b w:val="0"/>
          <w:color w:val="auto"/>
          <w:sz w:val="36"/>
          <w:szCs w:val="36"/>
          <w:highlight w:val="none"/>
          <w:lang w:val="zh-CN"/>
        </w:rPr>
      </w:pPr>
      <w:r>
        <w:rPr>
          <w:rFonts w:hint="eastAsia" w:ascii="Cambria Math" w:hAnsi="Cambria Math" w:eastAsia="Cambria Math"/>
          <w:b w:val="0"/>
          <w:color w:val="auto"/>
          <w:sz w:val="36"/>
          <w:szCs w:val="36"/>
          <w:highlight w:val="none"/>
          <w:lang w:val="zh-CN"/>
        </w:rPr>
        <w:t>商务偏离表</w:t>
      </w:r>
    </w:p>
    <w:tbl>
      <w:tblPr>
        <w:tblStyle w:val="35"/>
        <w:tblW w:w="9039" w:type="dxa"/>
        <w:tblInd w:w="0" w:type="dxa"/>
        <w:tblLayout w:type="fixed"/>
        <w:tblCellMar>
          <w:top w:w="0" w:type="dxa"/>
          <w:left w:w="108" w:type="dxa"/>
          <w:bottom w:w="0" w:type="dxa"/>
          <w:right w:w="108" w:type="dxa"/>
        </w:tblCellMar>
      </w:tblPr>
      <w:tblGrid>
        <w:gridCol w:w="900"/>
        <w:gridCol w:w="1800"/>
        <w:gridCol w:w="2664"/>
        <w:gridCol w:w="2110"/>
        <w:gridCol w:w="1565"/>
      </w:tblGrid>
      <w:tr w14:paraId="4C580A8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3760A140">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序号</w:t>
            </w:r>
          </w:p>
        </w:tc>
        <w:tc>
          <w:tcPr>
            <w:tcW w:w="1800" w:type="dxa"/>
            <w:tcBorders>
              <w:top w:val="single" w:color="auto" w:sz="6" w:space="0"/>
              <w:left w:val="single" w:color="auto" w:sz="6" w:space="0"/>
              <w:bottom w:val="single" w:color="auto" w:sz="6" w:space="0"/>
              <w:right w:val="single" w:color="auto" w:sz="6" w:space="0"/>
            </w:tcBorders>
            <w:vAlign w:val="center"/>
          </w:tcPr>
          <w:p w14:paraId="5ECBF35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234F5D1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招标要求</w:t>
            </w:r>
          </w:p>
        </w:tc>
        <w:tc>
          <w:tcPr>
            <w:tcW w:w="2110" w:type="dxa"/>
            <w:tcBorders>
              <w:top w:val="single" w:color="auto" w:sz="6" w:space="0"/>
              <w:left w:val="single" w:color="auto" w:sz="6" w:space="0"/>
              <w:bottom w:val="single" w:color="auto" w:sz="6" w:space="0"/>
              <w:right w:val="single" w:color="auto" w:sz="6" w:space="0"/>
            </w:tcBorders>
            <w:vAlign w:val="center"/>
          </w:tcPr>
          <w:p w14:paraId="1A939EF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投标响应</w:t>
            </w:r>
          </w:p>
        </w:tc>
        <w:tc>
          <w:tcPr>
            <w:tcW w:w="1565" w:type="dxa"/>
            <w:tcBorders>
              <w:top w:val="single" w:color="auto" w:sz="6" w:space="0"/>
              <w:left w:val="single" w:color="auto" w:sz="6" w:space="0"/>
              <w:bottom w:val="single" w:color="auto" w:sz="6" w:space="0"/>
              <w:right w:val="single" w:color="auto" w:sz="6" w:space="0"/>
            </w:tcBorders>
            <w:vAlign w:val="center"/>
          </w:tcPr>
          <w:p w14:paraId="20F8AC7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备注</w:t>
            </w:r>
          </w:p>
        </w:tc>
      </w:tr>
      <w:tr w14:paraId="4632BB8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C5ADF3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1A39834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28FB6B72">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F01EC9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54ABAF00">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005AC95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F006D8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78BE5B5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EE7F19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66B5B3C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2C67258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0DB43AD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217CE2">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2501F2B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3C8CD8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1488A3A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6642952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3C9DF719">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18F8AD6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07E3B6C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62E1C99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B105A8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2C78A38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6D9126D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42D8E1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0B8DDE9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5D4ED1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2A9494D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6C6EB54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4CAE4CB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DFE00A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0385E29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3F5A6D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3AD675C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4A67208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23A5B27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23163C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273F935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6B51731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AE78A6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4320E17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07D0290A">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52BE882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34CFB5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6B07E1B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1D296CA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6C2C599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7CFEA25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5FCE2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CE2B5E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66FFB8C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4741DF3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7511A504">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38E2796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CC9A25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4D22D03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9FF8852">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7761F1B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66A62B8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67A567D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1E435A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46AB3C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0B6103B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0EA1D48B">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5033138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43AFC40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E5941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04588B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FC2DAB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705E608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7D2E5EB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1C80311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AE4A1B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7E77C292">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3686F3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615902E4">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7685379B">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43827DD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E31D47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0B8633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304DAE4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07F0789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4D8302CB">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738E6B1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361D152">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197D90EB">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272EADD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BE8455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7FDFF37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5D12703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796F10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F73083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51BB59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56560F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43CE3A9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0DAFBC3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567DF2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E3A56A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FC42B8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440FC54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565" w:type="dxa"/>
            <w:tcBorders>
              <w:top w:val="single" w:color="auto" w:sz="6" w:space="0"/>
              <w:left w:val="single" w:color="auto" w:sz="6" w:space="0"/>
              <w:bottom w:val="single" w:color="auto" w:sz="6" w:space="0"/>
              <w:right w:val="single" w:color="auto" w:sz="6" w:space="0"/>
            </w:tcBorders>
          </w:tcPr>
          <w:p w14:paraId="4D5B3E7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bl>
    <w:p w14:paraId="4BACDA2C">
      <w:pPr>
        <w:autoSpaceDE w:val="0"/>
        <w:autoSpaceDN w:val="0"/>
        <w:adjustRightInd w:val="0"/>
        <w:spacing w:line="440" w:lineRule="atLeast"/>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lang w:val="zh-CN"/>
        </w:rPr>
        <w:t>注：1、</w:t>
      </w:r>
      <w:r>
        <w:rPr>
          <w:rFonts w:hint="eastAsia" w:ascii="Cambria Math" w:hAnsi="Cambria Math" w:eastAsia="Cambria Math"/>
          <w:b w:val="0"/>
          <w:color w:val="auto"/>
          <w:sz w:val="22"/>
          <w:szCs w:val="22"/>
          <w:highlight w:val="none"/>
        </w:rPr>
        <w:t>如不填写，则视为完全响应采购文件的要求。</w:t>
      </w:r>
    </w:p>
    <w:p w14:paraId="401E6803">
      <w:pPr>
        <w:autoSpaceDE w:val="0"/>
        <w:autoSpaceDN w:val="0"/>
        <w:adjustRightInd w:val="0"/>
        <w:spacing w:line="440" w:lineRule="atLeast"/>
        <w:rPr>
          <w:rFonts w:ascii="Cambria Math" w:hAnsi="Cambria Math" w:eastAsia="Cambria Math"/>
          <w:b w:val="0"/>
          <w:color w:val="auto"/>
          <w:sz w:val="22"/>
          <w:szCs w:val="22"/>
          <w:highlight w:val="none"/>
          <w:lang w:val="zh-CN"/>
        </w:rPr>
      </w:pPr>
    </w:p>
    <w:p w14:paraId="0CF41325">
      <w:pPr>
        <w:autoSpaceDE w:val="0"/>
        <w:autoSpaceDN w:val="0"/>
        <w:adjustRightInd w:val="0"/>
        <w:spacing w:line="440" w:lineRule="atLeast"/>
        <w:rPr>
          <w:rFonts w:ascii="Cambria Math" w:hAnsi="Cambria Math" w:eastAsia="Cambria Math"/>
          <w:b w:val="0"/>
          <w:color w:val="auto"/>
          <w:sz w:val="22"/>
          <w:szCs w:val="22"/>
          <w:highlight w:val="none"/>
          <w:lang w:val="zh-CN"/>
        </w:rPr>
      </w:pPr>
    </w:p>
    <w:p w14:paraId="51858994">
      <w:pPr>
        <w:autoSpaceDE w:val="0"/>
        <w:autoSpaceDN w:val="0"/>
        <w:adjustRightInd w:val="0"/>
        <w:spacing w:line="440" w:lineRule="atLeast"/>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投标单位（盖章）：</w:t>
      </w:r>
    </w:p>
    <w:p w14:paraId="7BB4DC85">
      <w:pPr>
        <w:autoSpaceDE w:val="0"/>
        <w:autoSpaceDN w:val="0"/>
        <w:adjustRightInd w:val="0"/>
        <w:spacing w:line="440" w:lineRule="atLeast"/>
        <w:rPr>
          <w:rFonts w:ascii="Cambria Math" w:hAnsi="Cambria Math" w:eastAsia="Cambria Math"/>
          <w:b w:val="0"/>
          <w:bCs w:val="0"/>
          <w:color w:val="auto"/>
          <w:sz w:val="32"/>
          <w:szCs w:val="32"/>
          <w:highlight w:val="none"/>
          <w:lang w:val="zh-CN"/>
        </w:rPr>
      </w:pPr>
    </w:p>
    <w:p w14:paraId="158CFD4A">
      <w:pPr>
        <w:snapToGrid w:val="0"/>
        <w:spacing w:line="360" w:lineRule="atLeast"/>
        <w:outlineLvl w:val="0"/>
        <w:rPr>
          <w:rFonts w:ascii="Cambria Math" w:hAnsi="Cambria Math" w:eastAsia="Cambria Math"/>
          <w:b w:val="0"/>
          <w:color w:val="auto"/>
          <w:sz w:val="36"/>
          <w:szCs w:val="36"/>
          <w:highlight w:val="none"/>
          <w:lang w:val="zh-CN"/>
        </w:rPr>
      </w:pPr>
    </w:p>
    <w:p w14:paraId="1AB73D98">
      <w:pPr>
        <w:snapToGrid w:val="0"/>
        <w:spacing w:line="360" w:lineRule="atLeast"/>
        <w:outlineLvl w:val="0"/>
        <w:rPr>
          <w:rFonts w:ascii="Cambria Math" w:hAnsi="Cambria Math" w:eastAsia="Cambria Math"/>
          <w:b w:val="0"/>
          <w:color w:val="auto"/>
          <w:sz w:val="36"/>
          <w:szCs w:val="36"/>
          <w:highlight w:val="none"/>
          <w:lang w:val="zh-CN"/>
        </w:rPr>
      </w:pPr>
    </w:p>
    <w:p w14:paraId="173B0CBA">
      <w:pPr>
        <w:snapToGrid w:val="0"/>
        <w:spacing w:line="360" w:lineRule="atLeast"/>
        <w:outlineLvl w:val="0"/>
        <w:rPr>
          <w:rFonts w:ascii="Cambria Math" w:hAnsi="Cambria Math" w:eastAsia="Cambria Math"/>
          <w:b w:val="0"/>
          <w:color w:val="auto"/>
          <w:sz w:val="36"/>
          <w:szCs w:val="36"/>
          <w:highlight w:val="none"/>
          <w:lang w:val="zh-CN"/>
        </w:rPr>
      </w:pPr>
    </w:p>
    <w:p w14:paraId="2DA90F9F">
      <w:pPr>
        <w:pStyle w:val="4"/>
        <w:spacing w:before="0" w:after="120" w:line="700" w:lineRule="exact"/>
        <w:ind w:left="0" w:firstLine="0"/>
        <w:rPr>
          <w:rFonts w:ascii="Cambria Math" w:hAnsi="Cambria Math" w:eastAsia="等线"/>
          <w:b/>
          <w:color w:val="auto"/>
          <w:sz w:val="32"/>
          <w:highlight w:val="none"/>
        </w:rPr>
      </w:pPr>
      <w:r>
        <w:rPr>
          <w:rFonts w:hint="eastAsia" w:ascii="Cambria Math" w:hAnsi="Cambria Math" w:eastAsia="Cambria Math"/>
          <w:b/>
          <w:color w:val="auto"/>
          <w:sz w:val="32"/>
          <w:highlight w:val="none"/>
        </w:rPr>
        <w:t>附件</w:t>
      </w:r>
      <w:r>
        <w:rPr>
          <w:rFonts w:hint="eastAsia" w:ascii="Cambria Math" w:hAnsi="Cambria Math" w:eastAsia="等线"/>
          <w:b/>
          <w:color w:val="auto"/>
          <w:sz w:val="32"/>
          <w:highlight w:val="none"/>
        </w:rPr>
        <w:t>2-</w:t>
      </w:r>
      <w:r>
        <w:rPr>
          <w:rFonts w:ascii="Cambria Math" w:hAnsi="Cambria Math" w:eastAsia="等线"/>
          <w:b/>
          <w:color w:val="auto"/>
          <w:sz w:val="32"/>
          <w:highlight w:val="none"/>
        </w:rPr>
        <w:t>7</w:t>
      </w:r>
    </w:p>
    <w:p w14:paraId="3346D66D">
      <w:pPr>
        <w:autoSpaceDE w:val="0"/>
        <w:autoSpaceDN w:val="0"/>
        <w:adjustRightInd w:val="0"/>
        <w:spacing w:line="440" w:lineRule="atLeast"/>
        <w:ind w:firstLine="3600" w:firstLineChars="1000"/>
        <w:rPr>
          <w:rFonts w:ascii="Cambria Math" w:hAnsi="Cambria Math" w:eastAsia="Cambria Math"/>
          <w:b w:val="0"/>
          <w:color w:val="auto"/>
          <w:sz w:val="36"/>
          <w:szCs w:val="36"/>
          <w:highlight w:val="none"/>
          <w:lang w:val="zh-CN"/>
        </w:rPr>
      </w:pPr>
      <w:r>
        <w:rPr>
          <w:rFonts w:hint="eastAsia" w:ascii="Cambria Math" w:hAnsi="Cambria Math" w:eastAsia="Cambria Math"/>
          <w:b w:val="0"/>
          <w:color w:val="auto"/>
          <w:sz w:val="36"/>
          <w:szCs w:val="36"/>
          <w:highlight w:val="none"/>
          <w:lang w:val="zh-CN"/>
        </w:rPr>
        <w:t>技术偏离表</w:t>
      </w:r>
    </w:p>
    <w:tbl>
      <w:tblPr>
        <w:tblStyle w:val="35"/>
        <w:tblW w:w="8805" w:type="dxa"/>
        <w:tblInd w:w="-1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800"/>
        <w:gridCol w:w="2300"/>
        <w:gridCol w:w="2000"/>
        <w:gridCol w:w="1805"/>
      </w:tblGrid>
      <w:tr w14:paraId="6E49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900" w:type="dxa"/>
            <w:vAlign w:val="center"/>
          </w:tcPr>
          <w:p w14:paraId="0870907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序号</w:t>
            </w:r>
          </w:p>
        </w:tc>
        <w:tc>
          <w:tcPr>
            <w:tcW w:w="1800" w:type="dxa"/>
            <w:vAlign w:val="center"/>
          </w:tcPr>
          <w:p w14:paraId="47BF90F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内容</w:t>
            </w:r>
          </w:p>
        </w:tc>
        <w:tc>
          <w:tcPr>
            <w:tcW w:w="2300" w:type="dxa"/>
            <w:vAlign w:val="center"/>
          </w:tcPr>
          <w:p w14:paraId="75F73DB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招标要求</w:t>
            </w:r>
          </w:p>
        </w:tc>
        <w:tc>
          <w:tcPr>
            <w:tcW w:w="2000" w:type="dxa"/>
            <w:vAlign w:val="center"/>
          </w:tcPr>
          <w:p w14:paraId="6C8389E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投标响应</w:t>
            </w:r>
          </w:p>
        </w:tc>
        <w:tc>
          <w:tcPr>
            <w:tcW w:w="1805" w:type="dxa"/>
            <w:vAlign w:val="center"/>
          </w:tcPr>
          <w:p w14:paraId="4CEE732B">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备注</w:t>
            </w:r>
          </w:p>
        </w:tc>
      </w:tr>
      <w:tr w14:paraId="1DD4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239B166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17D7636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4CA2713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33F8FAEB">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76BD264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0092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B8A223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48B2D26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2BA0C26B">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31D87CA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4C96839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4535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7EF9770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352B1E6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6F6D659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7F06F3F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2478221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19ED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EC1EEC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2CEE51D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4151939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31A9FB1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3F4081B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2B10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F46EE0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53DED2C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27DC23F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3BF3106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2DDD7E7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143FA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C78057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365C64C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2E71295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14DCD3C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5EB3113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32E7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7B5BDD4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646AAD8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7AE14040">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62DF857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0165A63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5EB1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F4841A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5A8D463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5434A64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68459EA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6E1538F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0D24C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068D31D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2A1E8FE4">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26FB62C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0B72907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2539D7B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2C9D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EE789D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2F6A5DB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154FD9B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6E624C3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0AA79AA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05777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1410BAC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3BD131A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6C22F02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0B7A050B">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45AA3BC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3813A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8FACA1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4E038289">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2133BD3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49B79F7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58889C70">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5B45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AE739D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2EE0BEE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48BED2B4">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3A03AD54">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2869BE5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1E609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2CEABFDB">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5C14524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3F9D30E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76F6F7D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3C52BA6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47FF9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788C3B26">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4390A4C0">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221285D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23AFB2C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0D730B7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7C397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2C8B34B3">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3FBC9880">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236CD492">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7645C751">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5FDEB23C">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1C11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1DA87C0E">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4C98A44A">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0273FB9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5D989AB7">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61E3BF8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5FFE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E1EDB4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681B969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0D5A7778">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2ECAAC72">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25EDFFCF">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r w14:paraId="70F8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55E92150">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0" w:type="dxa"/>
          </w:tcPr>
          <w:p w14:paraId="057C8D1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300" w:type="dxa"/>
          </w:tcPr>
          <w:p w14:paraId="464F8275">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2000" w:type="dxa"/>
          </w:tcPr>
          <w:p w14:paraId="409EF874">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c>
          <w:tcPr>
            <w:tcW w:w="1805" w:type="dxa"/>
          </w:tcPr>
          <w:p w14:paraId="1F0DD26D">
            <w:pPr>
              <w:autoSpaceDE w:val="0"/>
              <w:autoSpaceDN w:val="0"/>
              <w:adjustRightInd w:val="0"/>
              <w:spacing w:line="440" w:lineRule="atLeast"/>
              <w:jc w:val="center"/>
              <w:rPr>
                <w:rFonts w:ascii="Cambria Math" w:hAnsi="Cambria Math" w:eastAsia="Cambria Math"/>
                <w:b w:val="0"/>
                <w:color w:val="auto"/>
                <w:sz w:val="22"/>
                <w:szCs w:val="22"/>
                <w:highlight w:val="none"/>
                <w:lang w:val="zh-CN"/>
              </w:rPr>
            </w:pPr>
          </w:p>
        </w:tc>
      </w:tr>
    </w:tbl>
    <w:p w14:paraId="71DFA0DE">
      <w:pPr>
        <w:autoSpaceDE w:val="0"/>
        <w:autoSpaceDN w:val="0"/>
        <w:adjustRightInd w:val="0"/>
        <w:spacing w:line="440" w:lineRule="atLeast"/>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lang w:val="zh-CN"/>
        </w:rPr>
        <w:t>注：</w:t>
      </w:r>
      <w:r>
        <w:rPr>
          <w:rFonts w:hint="eastAsia" w:ascii="Cambria Math" w:hAnsi="Cambria Math" w:eastAsia="Cambria Math"/>
          <w:b w:val="0"/>
          <w:color w:val="auto"/>
          <w:sz w:val="22"/>
          <w:szCs w:val="22"/>
          <w:highlight w:val="none"/>
        </w:rPr>
        <w:t>如不填写，则视为完全响应采购文件的要求。</w:t>
      </w:r>
    </w:p>
    <w:p w14:paraId="62316949">
      <w:pPr>
        <w:autoSpaceDE w:val="0"/>
        <w:autoSpaceDN w:val="0"/>
        <w:adjustRightInd w:val="0"/>
        <w:spacing w:line="440" w:lineRule="atLeast"/>
        <w:rPr>
          <w:rFonts w:ascii="Cambria Math" w:hAnsi="Cambria Math" w:eastAsia="Cambria Math"/>
          <w:b w:val="0"/>
          <w:color w:val="auto"/>
          <w:sz w:val="22"/>
          <w:szCs w:val="22"/>
          <w:highlight w:val="none"/>
          <w:lang w:val="zh-CN"/>
        </w:rPr>
      </w:pPr>
    </w:p>
    <w:p w14:paraId="4A60AE02">
      <w:pPr>
        <w:autoSpaceDE w:val="0"/>
        <w:autoSpaceDN w:val="0"/>
        <w:adjustRightInd w:val="0"/>
        <w:spacing w:line="440" w:lineRule="atLeast"/>
        <w:rPr>
          <w:rFonts w:ascii="Cambria Math" w:hAnsi="Cambria Math" w:eastAsia="Cambria Math"/>
          <w:b w:val="0"/>
          <w:color w:val="auto"/>
          <w:sz w:val="22"/>
          <w:szCs w:val="22"/>
          <w:highlight w:val="none"/>
          <w:lang w:val="zh-CN"/>
        </w:rPr>
      </w:pPr>
      <w:r>
        <w:rPr>
          <w:rFonts w:hint="eastAsia" w:ascii="Cambria Math" w:hAnsi="Cambria Math" w:eastAsia="Cambria Math"/>
          <w:b w:val="0"/>
          <w:color w:val="auto"/>
          <w:sz w:val="22"/>
          <w:szCs w:val="22"/>
          <w:highlight w:val="none"/>
          <w:lang w:val="zh-CN"/>
        </w:rPr>
        <w:t>投标单位（盖章）：</w:t>
      </w:r>
    </w:p>
    <w:p w14:paraId="5F5CD0A4">
      <w:pPr>
        <w:autoSpaceDE w:val="0"/>
        <w:autoSpaceDN w:val="0"/>
        <w:adjustRightInd w:val="0"/>
        <w:spacing w:line="440" w:lineRule="atLeast"/>
        <w:rPr>
          <w:rFonts w:ascii="Cambria Math" w:hAnsi="Cambria Math" w:eastAsia="Cambria Math"/>
          <w:b w:val="0"/>
          <w:color w:val="auto"/>
          <w:sz w:val="22"/>
          <w:szCs w:val="22"/>
          <w:highlight w:val="none"/>
          <w:lang w:val="zh-CN"/>
        </w:rPr>
      </w:pPr>
    </w:p>
    <w:p w14:paraId="441916DB">
      <w:pPr>
        <w:autoSpaceDE w:val="0"/>
        <w:autoSpaceDN w:val="0"/>
        <w:adjustRightInd w:val="0"/>
        <w:spacing w:line="440" w:lineRule="atLeast"/>
        <w:rPr>
          <w:rFonts w:ascii="Cambria Math" w:hAnsi="Cambria Math" w:eastAsia="Cambria Math"/>
          <w:b w:val="0"/>
          <w:color w:val="auto"/>
          <w:sz w:val="22"/>
          <w:szCs w:val="22"/>
          <w:highlight w:val="none"/>
          <w:lang w:val="zh-CN"/>
        </w:rPr>
      </w:pPr>
    </w:p>
    <w:p w14:paraId="6B929CF2">
      <w:pPr>
        <w:autoSpaceDE w:val="0"/>
        <w:autoSpaceDN w:val="0"/>
        <w:adjustRightInd w:val="0"/>
        <w:spacing w:line="440" w:lineRule="atLeast"/>
        <w:rPr>
          <w:rFonts w:ascii="Cambria Math" w:hAnsi="Cambria Math" w:eastAsia="Cambria Math"/>
          <w:b w:val="0"/>
          <w:color w:val="auto"/>
          <w:sz w:val="22"/>
          <w:szCs w:val="22"/>
          <w:highlight w:val="none"/>
          <w:lang w:val="zh-CN"/>
        </w:rPr>
      </w:pPr>
    </w:p>
    <w:p w14:paraId="2E45114D">
      <w:pPr>
        <w:pStyle w:val="4"/>
        <w:spacing w:before="0" w:after="120" w:line="700" w:lineRule="exact"/>
        <w:ind w:left="0" w:firstLine="0"/>
        <w:rPr>
          <w:rFonts w:ascii="Cambria Math" w:hAnsi="Cambria Math" w:eastAsia="等线"/>
          <w:b/>
          <w:color w:val="auto"/>
          <w:sz w:val="32"/>
          <w:highlight w:val="none"/>
        </w:rPr>
      </w:pPr>
      <w:r>
        <w:rPr>
          <w:rFonts w:ascii="Cambria Math" w:hAnsi="Cambria Math" w:eastAsia="Cambria Math"/>
          <w:b/>
          <w:color w:val="auto"/>
          <w:sz w:val="32"/>
          <w:highlight w:val="none"/>
        </w:rPr>
        <w:t>附件</w:t>
      </w:r>
      <w:r>
        <w:rPr>
          <w:rFonts w:hint="eastAsia" w:ascii="Cambria Math" w:hAnsi="Cambria Math" w:eastAsia="等线"/>
          <w:b/>
          <w:color w:val="auto"/>
          <w:sz w:val="32"/>
          <w:highlight w:val="none"/>
        </w:rPr>
        <w:t>2-</w:t>
      </w:r>
      <w:r>
        <w:rPr>
          <w:rFonts w:ascii="Cambria Math" w:hAnsi="Cambria Math" w:eastAsia="等线"/>
          <w:b/>
          <w:color w:val="auto"/>
          <w:sz w:val="32"/>
          <w:highlight w:val="none"/>
        </w:rPr>
        <w:t>8</w:t>
      </w:r>
    </w:p>
    <w:p w14:paraId="1D7261AC">
      <w:pPr>
        <w:autoSpaceDE w:val="0"/>
        <w:autoSpaceDN w:val="0"/>
        <w:adjustRightInd w:val="0"/>
        <w:jc w:val="left"/>
        <w:rPr>
          <w:rFonts w:ascii="Cambria Math" w:hAnsi="Cambria Math" w:eastAsia="Cambria Math"/>
          <w:bCs w:val="0"/>
          <w:color w:val="auto"/>
          <w:sz w:val="30"/>
          <w:szCs w:val="30"/>
          <w:highlight w:val="none"/>
        </w:rPr>
      </w:pPr>
    </w:p>
    <w:p w14:paraId="2C9F3AAB">
      <w:pPr>
        <w:jc w:val="center"/>
        <w:rPr>
          <w:b w:val="0"/>
          <w:sz w:val="30"/>
          <w:szCs w:val="30"/>
          <w:highlight w:val="none"/>
        </w:rPr>
      </w:pPr>
      <w:r>
        <w:rPr>
          <w:rFonts w:hint="eastAsia"/>
          <w:b w:val="0"/>
          <w:sz w:val="30"/>
          <w:szCs w:val="30"/>
          <w:highlight w:val="none"/>
        </w:rPr>
        <w:t>拟派项目负责人情况表</w:t>
      </w:r>
    </w:p>
    <w:tbl>
      <w:tblPr>
        <w:tblStyle w:val="35"/>
        <w:tblpPr w:leftFromText="180" w:rightFromText="180" w:vertAnchor="text" w:horzAnchor="margin" w:tblpXSpec="center" w:tblpY="108"/>
        <w:tblW w:w="83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39"/>
        <w:gridCol w:w="2034"/>
        <w:gridCol w:w="4234"/>
      </w:tblGrid>
      <w:tr w14:paraId="7A93B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98" w:hRule="atLeast"/>
          <w:jc w:val="center"/>
        </w:trPr>
        <w:tc>
          <w:tcPr>
            <w:tcW w:w="2039" w:type="dxa"/>
            <w:vAlign w:val="center"/>
          </w:tcPr>
          <w:p w14:paraId="692EA1B1">
            <w:pPr>
              <w:autoSpaceDE w:val="0"/>
              <w:autoSpaceDN w:val="0"/>
              <w:adjustRightInd w:val="0"/>
              <w:jc w:val="center"/>
              <w:rPr>
                <w:rFonts w:hint="eastAsia" w:ascii="宋体" w:hAnsi="宋体"/>
                <w:sz w:val="22"/>
                <w:highlight w:val="none"/>
              </w:rPr>
            </w:pPr>
            <w:r>
              <w:rPr>
                <w:rFonts w:ascii="宋体" w:hAnsi="宋体"/>
                <w:sz w:val="22"/>
                <w:highlight w:val="none"/>
              </w:rPr>
              <w:t>姓名</w:t>
            </w:r>
          </w:p>
        </w:tc>
        <w:tc>
          <w:tcPr>
            <w:tcW w:w="2034" w:type="dxa"/>
            <w:vAlign w:val="center"/>
          </w:tcPr>
          <w:p w14:paraId="28E59F62">
            <w:pPr>
              <w:autoSpaceDE w:val="0"/>
              <w:autoSpaceDN w:val="0"/>
              <w:adjustRightInd w:val="0"/>
              <w:jc w:val="center"/>
              <w:rPr>
                <w:rFonts w:hint="eastAsia" w:ascii="宋体" w:hAnsi="宋体"/>
                <w:sz w:val="22"/>
                <w:highlight w:val="none"/>
              </w:rPr>
            </w:pPr>
          </w:p>
        </w:tc>
        <w:tc>
          <w:tcPr>
            <w:tcW w:w="4234" w:type="dxa"/>
            <w:vAlign w:val="center"/>
          </w:tcPr>
          <w:p w14:paraId="7CC94876">
            <w:pPr>
              <w:autoSpaceDE w:val="0"/>
              <w:autoSpaceDN w:val="0"/>
              <w:adjustRightInd w:val="0"/>
              <w:jc w:val="center"/>
              <w:rPr>
                <w:rFonts w:hint="eastAsia" w:ascii="宋体" w:hAnsi="宋体"/>
                <w:sz w:val="22"/>
                <w:highlight w:val="none"/>
              </w:rPr>
            </w:pPr>
            <w:r>
              <w:rPr>
                <w:rFonts w:ascii="宋体" w:hAnsi="宋体"/>
                <w:sz w:val="22"/>
                <w:highlight w:val="none"/>
              </w:rPr>
              <w:t>近3年业绩及承担的主要工作情况</w:t>
            </w:r>
          </w:p>
          <w:p w14:paraId="09949E45">
            <w:pPr>
              <w:autoSpaceDE w:val="0"/>
              <w:autoSpaceDN w:val="0"/>
              <w:adjustRightInd w:val="0"/>
              <w:jc w:val="center"/>
              <w:rPr>
                <w:rFonts w:hint="eastAsia" w:ascii="宋体" w:hAnsi="宋体" w:cs="Arial"/>
                <w:b w:val="0"/>
                <w:sz w:val="22"/>
                <w:highlight w:val="none"/>
              </w:rPr>
            </w:pPr>
            <w:r>
              <w:rPr>
                <w:rFonts w:hint="eastAsia" w:ascii="宋体" w:hAnsi="宋体"/>
                <w:sz w:val="22"/>
                <w:highlight w:val="none"/>
              </w:rPr>
              <w:t>（</w:t>
            </w:r>
            <w:r>
              <w:rPr>
                <w:rFonts w:ascii="宋体" w:hAnsi="宋体"/>
                <w:sz w:val="22"/>
                <w:highlight w:val="none"/>
              </w:rPr>
              <w:t>曾担任项目负责人的项目应列明细</w:t>
            </w:r>
            <w:r>
              <w:rPr>
                <w:rFonts w:hint="eastAsia" w:ascii="宋体" w:hAnsi="宋体"/>
                <w:sz w:val="22"/>
                <w:highlight w:val="none"/>
              </w:rPr>
              <w:t>）</w:t>
            </w:r>
          </w:p>
        </w:tc>
      </w:tr>
      <w:tr w14:paraId="711A6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258BEA46">
            <w:pPr>
              <w:autoSpaceDE w:val="0"/>
              <w:autoSpaceDN w:val="0"/>
              <w:adjustRightInd w:val="0"/>
              <w:jc w:val="center"/>
              <w:rPr>
                <w:rFonts w:hint="eastAsia" w:ascii="宋体" w:hAnsi="宋体"/>
                <w:sz w:val="22"/>
                <w:highlight w:val="none"/>
              </w:rPr>
            </w:pPr>
            <w:r>
              <w:rPr>
                <w:rFonts w:ascii="宋体" w:hAnsi="宋体"/>
                <w:sz w:val="22"/>
                <w:highlight w:val="none"/>
              </w:rPr>
              <w:t>性别</w:t>
            </w:r>
          </w:p>
        </w:tc>
        <w:tc>
          <w:tcPr>
            <w:tcW w:w="2034" w:type="dxa"/>
            <w:vAlign w:val="center"/>
          </w:tcPr>
          <w:p w14:paraId="6E4915C3">
            <w:pPr>
              <w:autoSpaceDE w:val="0"/>
              <w:autoSpaceDN w:val="0"/>
              <w:adjustRightInd w:val="0"/>
              <w:jc w:val="center"/>
              <w:rPr>
                <w:rFonts w:hint="eastAsia" w:ascii="宋体" w:hAnsi="宋体"/>
                <w:sz w:val="22"/>
                <w:highlight w:val="none"/>
              </w:rPr>
            </w:pPr>
          </w:p>
        </w:tc>
        <w:tc>
          <w:tcPr>
            <w:tcW w:w="4234" w:type="dxa"/>
            <w:vMerge w:val="restart"/>
            <w:vAlign w:val="center"/>
          </w:tcPr>
          <w:p w14:paraId="6EFAE1FC">
            <w:pPr>
              <w:adjustRightInd w:val="0"/>
              <w:jc w:val="center"/>
              <w:rPr>
                <w:rFonts w:hint="eastAsia" w:ascii="宋体" w:hAnsi="宋体" w:cs="Arial"/>
                <w:b w:val="0"/>
                <w:sz w:val="22"/>
                <w:highlight w:val="none"/>
              </w:rPr>
            </w:pPr>
          </w:p>
        </w:tc>
      </w:tr>
      <w:tr w14:paraId="51CAF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36D628C8">
            <w:pPr>
              <w:autoSpaceDE w:val="0"/>
              <w:autoSpaceDN w:val="0"/>
              <w:adjustRightInd w:val="0"/>
              <w:jc w:val="center"/>
              <w:rPr>
                <w:rFonts w:hint="eastAsia" w:ascii="宋体" w:hAnsi="宋体"/>
                <w:sz w:val="22"/>
                <w:highlight w:val="none"/>
              </w:rPr>
            </w:pPr>
            <w:r>
              <w:rPr>
                <w:rFonts w:ascii="宋体" w:hAnsi="宋体"/>
                <w:sz w:val="22"/>
                <w:highlight w:val="none"/>
              </w:rPr>
              <w:t>年龄</w:t>
            </w:r>
          </w:p>
        </w:tc>
        <w:tc>
          <w:tcPr>
            <w:tcW w:w="2034" w:type="dxa"/>
            <w:vAlign w:val="center"/>
          </w:tcPr>
          <w:p w14:paraId="5E718752">
            <w:pPr>
              <w:autoSpaceDE w:val="0"/>
              <w:autoSpaceDN w:val="0"/>
              <w:adjustRightInd w:val="0"/>
              <w:jc w:val="center"/>
              <w:rPr>
                <w:rFonts w:hint="eastAsia" w:ascii="宋体" w:hAnsi="宋体"/>
                <w:sz w:val="22"/>
                <w:highlight w:val="none"/>
              </w:rPr>
            </w:pPr>
          </w:p>
        </w:tc>
        <w:tc>
          <w:tcPr>
            <w:tcW w:w="4234" w:type="dxa"/>
            <w:vMerge w:val="continue"/>
            <w:vAlign w:val="center"/>
          </w:tcPr>
          <w:p w14:paraId="70DEDF86">
            <w:pPr>
              <w:adjustRightInd w:val="0"/>
              <w:jc w:val="center"/>
              <w:rPr>
                <w:rFonts w:hint="eastAsia" w:ascii="宋体" w:hAnsi="宋体" w:cs="Arial"/>
                <w:b w:val="0"/>
                <w:sz w:val="22"/>
                <w:highlight w:val="none"/>
              </w:rPr>
            </w:pPr>
          </w:p>
        </w:tc>
      </w:tr>
      <w:tr w14:paraId="5B4A7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3B23F088">
            <w:pPr>
              <w:autoSpaceDE w:val="0"/>
              <w:autoSpaceDN w:val="0"/>
              <w:adjustRightInd w:val="0"/>
              <w:jc w:val="center"/>
              <w:rPr>
                <w:rFonts w:hint="eastAsia" w:ascii="宋体" w:hAnsi="宋体"/>
                <w:sz w:val="22"/>
                <w:highlight w:val="none"/>
              </w:rPr>
            </w:pPr>
            <w:r>
              <w:rPr>
                <w:rFonts w:ascii="宋体" w:hAnsi="宋体"/>
                <w:sz w:val="22"/>
                <w:highlight w:val="none"/>
              </w:rPr>
              <w:t>职称</w:t>
            </w:r>
          </w:p>
        </w:tc>
        <w:tc>
          <w:tcPr>
            <w:tcW w:w="2034" w:type="dxa"/>
            <w:vAlign w:val="center"/>
          </w:tcPr>
          <w:p w14:paraId="6F304EDE">
            <w:pPr>
              <w:autoSpaceDE w:val="0"/>
              <w:autoSpaceDN w:val="0"/>
              <w:adjustRightInd w:val="0"/>
              <w:jc w:val="center"/>
              <w:rPr>
                <w:rFonts w:hint="eastAsia" w:ascii="宋体" w:hAnsi="宋体"/>
                <w:sz w:val="22"/>
                <w:highlight w:val="none"/>
              </w:rPr>
            </w:pPr>
          </w:p>
        </w:tc>
        <w:tc>
          <w:tcPr>
            <w:tcW w:w="4234" w:type="dxa"/>
            <w:vMerge w:val="continue"/>
            <w:vAlign w:val="center"/>
          </w:tcPr>
          <w:p w14:paraId="334EC601">
            <w:pPr>
              <w:adjustRightInd w:val="0"/>
              <w:jc w:val="center"/>
              <w:rPr>
                <w:rFonts w:hint="eastAsia" w:ascii="宋体" w:hAnsi="宋体" w:cs="Arial"/>
                <w:b w:val="0"/>
                <w:sz w:val="22"/>
                <w:highlight w:val="none"/>
              </w:rPr>
            </w:pPr>
          </w:p>
        </w:tc>
      </w:tr>
      <w:tr w14:paraId="6B65F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540C52A5">
            <w:pPr>
              <w:autoSpaceDE w:val="0"/>
              <w:autoSpaceDN w:val="0"/>
              <w:adjustRightInd w:val="0"/>
              <w:jc w:val="center"/>
              <w:rPr>
                <w:rFonts w:hint="eastAsia" w:ascii="宋体" w:hAnsi="宋体"/>
                <w:sz w:val="22"/>
                <w:highlight w:val="none"/>
              </w:rPr>
            </w:pPr>
            <w:r>
              <w:rPr>
                <w:rFonts w:ascii="宋体" w:hAnsi="宋体"/>
                <w:sz w:val="22"/>
                <w:highlight w:val="none"/>
              </w:rPr>
              <w:t>毕业时间</w:t>
            </w:r>
          </w:p>
        </w:tc>
        <w:tc>
          <w:tcPr>
            <w:tcW w:w="2034" w:type="dxa"/>
            <w:vAlign w:val="center"/>
          </w:tcPr>
          <w:p w14:paraId="5BC488D7">
            <w:pPr>
              <w:autoSpaceDE w:val="0"/>
              <w:autoSpaceDN w:val="0"/>
              <w:adjustRightInd w:val="0"/>
              <w:jc w:val="center"/>
              <w:rPr>
                <w:rFonts w:hint="eastAsia" w:ascii="宋体" w:hAnsi="宋体"/>
                <w:sz w:val="22"/>
                <w:highlight w:val="none"/>
              </w:rPr>
            </w:pPr>
          </w:p>
        </w:tc>
        <w:tc>
          <w:tcPr>
            <w:tcW w:w="4234" w:type="dxa"/>
            <w:vMerge w:val="continue"/>
            <w:vAlign w:val="center"/>
          </w:tcPr>
          <w:p w14:paraId="3C6DF46D">
            <w:pPr>
              <w:adjustRightInd w:val="0"/>
              <w:jc w:val="center"/>
              <w:rPr>
                <w:rFonts w:hint="eastAsia" w:ascii="宋体" w:hAnsi="宋体" w:cs="Arial"/>
                <w:b w:val="0"/>
                <w:sz w:val="22"/>
                <w:highlight w:val="none"/>
              </w:rPr>
            </w:pPr>
          </w:p>
        </w:tc>
      </w:tr>
      <w:tr w14:paraId="46336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235F554D">
            <w:pPr>
              <w:autoSpaceDE w:val="0"/>
              <w:autoSpaceDN w:val="0"/>
              <w:adjustRightInd w:val="0"/>
              <w:jc w:val="center"/>
              <w:rPr>
                <w:rFonts w:hint="eastAsia" w:ascii="宋体" w:hAnsi="宋体"/>
                <w:sz w:val="22"/>
                <w:highlight w:val="none"/>
              </w:rPr>
            </w:pPr>
            <w:r>
              <w:rPr>
                <w:rFonts w:ascii="宋体" w:hAnsi="宋体"/>
                <w:sz w:val="22"/>
                <w:highlight w:val="none"/>
              </w:rPr>
              <w:t>所学专业</w:t>
            </w:r>
          </w:p>
        </w:tc>
        <w:tc>
          <w:tcPr>
            <w:tcW w:w="2034" w:type="dxa"/>
            <w:vAlign w:val="center"/>
          </w:tcPr>
          <w:p w14:paraId="1C686AC7">
            <w:pPr>
              <w:autoSpaceDE w:val="0"/>
              <w:autoSpaceDN w:val="0"/>
              <w:adjustRightInd w:val="0"/>
              <w:jc w:val="center"/>
              <w:rPr>
                <w:rFonts w:hint="eastAsia" w:ascii="宋体" w:hAnsi="宋体"/>
                <w:sz w:val="22"/>
                <w:highlight w:val="none"/>
              </w:rPr>
            </w:pPr>
          </w:p>
        </w:tc>
        <w:tc>
          <w:tcPr>
            <w:tcW w:w="4234" w:type="dxa"/>
            <w:vMerge w:val="continue"/>
            <w:vAlign w:val="center"/>
          </w:tcPr>
          <w:p w14:paraId="46D8F3F7">
            <w:pPr>
              <w:adjustRightInd w:val="0"/>
              <w:jc w:val="center"/>
              <w:rPr>
                <w:rFonts w:hint="eastAsia" w:ascii="宋体" w:hAnsi="宋体" w:cs="Arial"/>
                <w:b w:val="0"/>
                <w:sz w:val="22"/>
                <w:highlight w:val="none"/>
              </w:rPr>
            </w:pPr>
          </w:p>
        </w:tc>
      </w:tr>
      <w:tr w14:paraId="194B9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78FDB1F5">
            <w:pPr>
              <w:autoSpaceDE w:val="0"/>
              <w:autoSpaceDN w:val="0"/>
              <w:adjustRightInd w:val="0"/>
              <w:jc w:val="center"/>
              <w:rPr>
                <w:rFonts w:hint="eastAsia" w:ascii="宋体" w:hAnsi="宋体"/>
                <w:sz w:val="22"/>
                <w:highlight w:val="none"/>
              </w:rPr>
            </w:pPr>
            <w:r>
              <w:rPr>
                <w:rFonts w:ascii="宋体" w:hAnsi="宋体"/>
                <w:sz w:val="22"/>
                <w:highlight w:val="none"/>
              </w:rPr>
              <w:t>学历</w:t>
            </w:r>
          </w:p>
        </w:tc>
        <w:tc>
          <w:tcPr>
            <w:tcW w:w="2034" w:type="dxa"/>
            <w:vAlign w:val="center"/>
          </w:tcPr>
          <w:p w14:paraId="4DA7146C">
            <w:pPr>
              <w:autoSpaceDE w:val="0"/>
              <w:autoSpaceDN w:val="0"/>
              <w:adjustRightInd w:val="0"/>
              <w:jc w:val="center"/>
              <w:rPr>
                <w:rFonts w:hint="eastAsia" w:ascii="宋体" w:hAnsi="宋体"/>
                <w:sz w:val="22"/>
                <w:highlight w:val="none"/>
              </w:rPr>
            </w:pPr>
          </w:p>
        </w:tc>
        <w:tc>
          <w:tcPr>
            <w:tcW w:w="4234" w:type="dxa"/>
            <w:vMerge w:val="continue"/>
            <w:vAlign w:val="center"/>
          </w:tcPr>
          <w:p w14:paraId="39566BBE">
            <w:pPr>
              <w:adjustRightInd w:val="0"/>
              <w:jc w:val="center"/>
              <w:rPr>
                <w:rFonts w:hint="eastAsia" w:ascii="宋体" w:hAnsi="宋体" w:cs="Arial"/>
                <w:b w:val="0"/>
                <w:sz w:val="22"/>
                <w:highlight w:val="none"/>
              </w:rPr>
            </w:pPr>
          </w:p>
        </w:tc>
      </w:tr>
      <w:tr w14:paraId="687FE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6278FF52">
            <w:pPr>
              <w:autoSpaceDE w:val="0"/>
              <w:autoSpaceDN w:val="0"/>
              <w:adjustRightInd w:val="0"/>
              <w:jc w:val="center"/>
              <w:rPr>
                <w:rFonts w:hint="eastAsia" w:ascii="宋体" w:hAnsi="宋体"/>
                <w:sz w:val="22"/>
                <w:highlight w:val="none"/>
              </w:rPr>
            </w:pPr>
            <w:r>
              <w:rPr>
                <w:rFonts w:hint="eastAsia" w:ascii="宋体" w:hAnsi="宋体"/>
                <w:sz w:val="22"/>
                <w:highlight w:val="none"/>
              </w:rPr>
              <w:t>从业年限</w:t>
            </w:r>
          </w:p>
        </w:tc>
        <w:tc>
          <w:tcPr>
            <w:tcW w:w="2034" w:type="dxa"/>
            <w:vAlign w:val="center"/>
          </w:tcPr>
          <w:p w14:paraId="16F8010F">
            <w:pPr>
              <w:autoSpaceDE w:val="0"/>
              <w:autoSpaceDN w:val="0"/>
              <w:adjustRightInd w:val="0"/>
              <w:jc w:val="center"/>
              <w:rPr>
                <w:rFonts w:hint="eastAsia" w:ascii="宋体" w:hAnsi="宋体"/>
                <w:sz w:val="22"/>
                <w:highlight w:val="none"/>
              </w:rPr>
            </w:pPr>
          </w:p>
        </w:tc>
        <w:tc>
          <w:tcPr>
            <w:tcW w:w="4234" w:type="dxa"/>
            <w:vMerge w:val="continue"/>
            <w:vAlign w:val="center"/>
          </w:tcPr>
          <w:p w14:paraId="193562D9">
            <w:pPr>
              <w:adjustRightInd w:val="0"/>
              <w:jc w:val="center"/>
              <w:rPr>
                <w:rFonts w:hint="eastAsia" w:ascii="宋体" w:hAnsi="宋体" w:cs="Arial"/>
                <w:b w:val="0"/>
                <w:sz w:val="22"/>
                <w:highlight w:val="none"/>
              </w:rPr>
            </w:pPr>
          </w:p>
        </w:tc>
      </w:tr>
      <w:tr w14:paraId="3F398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1A16B694">
            <w:pPr>
              <w:autoSpaceDE w:val="0"/>
              <w:autoSpaceDN w:val="0"/>
              <w:adjustRightInd w:val="0"/>
              <w:jc w:val="center"/>
              <w:rPr>
                <w:rFonts w:hint="eastAsia" w:ascii="宋体" w:hAnsi="宋体"/>
                <w:sz w:val="22"/>
                <w:highlight w:val="none"/>
              </w:rPr>
            </w:pPr>
            <w:r>
              <w:rPr>
                <w:rFonts w:ascii="宋体" w:hAnsi="宋体"/>
                <w:sz w:val="22"/>
                <w:highlight w:val="none"/>
              </w:rPr>
              <w:t>证书编号</w:t>
            </w:r>
          </w:p>
        </w:tc>
        <w:tc>
          <w:tcPr>
            <w:tcW w:w="2034" w:type="dxa"/>
            <w:vAlign w:val="center"/>
          </w:tcPr>
          <w:p w14:paraId="6077AB4C">
            <w:pPr>
              <w:autoSpaceDE w:val="0"/>
              <w:autoSpaceDN w:val="0"/>
              <w:adjustRightInd w:val="0"/>
              <w:jc w:val="center"/>
              <w:rPr>
                <w:rFonts w:hint="eastAsia" w:ascii="宋体" w:hAnsi="宋体"/>
                <w:sz w:val="22"/>
                <w:highlight w:val="none"/>
              </w:rPr>
            </w:pPr>
          </w:p>
        </w:tc>
        <w:tc>
          <w:tcPr>
            <w:tcW w:w="4234" w:type="dxa"/>
            <w:vMerge w:val="continue"/>
            <w:vAlign w:val="center"/>
          </w:tcPr>
          <w:p w14:paraId="1F5C44DC">
            <w:pPr>
              <w:adjustRightInd w:val="0"/>
              <w:jc w:val="center"/>
              <w:rPr>
                <w:rFonts w:hint="eastAsia" w:ascii="宋体" w:hAnsi="宋体" w:cs="Arial"/>
                <w:b w:val="0"/>
                <w:sz w:val="22"/>
                <w:highlight w:val="none"/>
              </w:rPr>
            </w:pPr>
          </w:p>
        </w:tc>
      </w:tr>
      <w:tr w14:paraId="40AE6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6555056E">
            <w:pPr>
              <w:autoSpaceDE w:val="0"/>
              <w:autoSpaceDN w:val="0"/>
              <w:adjustRightInd w:val="0"/>
              <w:jc w:val="center"/>
              <w:rPr>
                <w:rFonts w:hint="eastAsia" w:ascii="宋体" w:hAnsi="宋体"/>
                <w:sz w:val="22"/>
                <w:highlight w:val="none"/>
              </w:rPr>
            </w:pPr>
            <w:r>
              <w:rPr>
                <w:rFonts w:ascii="宋体" w:hAnsi="宋体"/>
                <w:sz w:val="22"/>
                <w:highlight w:val="none"/>
              </w:rPr>
              <w:t>其他资质情况</w:t>
            </w:r>
          </w:p>
        </w:tc>
        <w:tc>
          <w:tcPr>
            <w:tcW w:w="2034" w:type="dxa"/>
            <w:vAlign w:val="center"/>
          </w:tcPr>
          <w:p w14:paraId="317D96BA">
            <w:pPr>
              <w:autoSpaceDE w:val="0"/>
              <w:autoSpaceDN w:val="0"/>
              <w:adjustRightInd w:val="0"/>
              <w:jc w:val="center"/>
              <w:rPr>
                <w:rFonts w:hint="eastAsia" w:ascii="宋体" w:hAnsi="宋体"/>
                <w:sz w:val="22"/>
                <w:highlight w:val="none"/>
              </w:rPr>
            </w:pPr>
          </w:p>
        </w:tc>
        <w:tc>
          <w:tcPr>
            <w:tcW w:w="4234" w:type="dxa"/>
            <w:vMerge w:val="continue"/>
            <w:vAlign w:val="center"/>
          </w:tcPr>
          <w:p w14:paraId="7FD5A2B5">
            <w:pPr>
              <w:adjustRightInd w:val="0"/>
              <w:jc w:val="center"/>
              <w:rPr>
                <w:rFonts w:hint="eastAsia" w:ascii="宋体" w:hAnsi="宋体" w:cs="Arial"/>
                <w:b w:val="0"/>
                <w:sz w:val="22"/>
                <w:highlight w:val="none"/>
              </w:rPr>
            </w:pPr>
          </w:p>
        </w:tc>
      </w:tr>
      <w:tr w14:paraId="70430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091E9071">
            <w:pPr>
              <w:autoSpaceDE w:val="0"/>
              <w:autoSpaceDN w:val="0"/>
              <w:adjustRightInd w:val="0"/>
              <w:jc w:val="center"/>
              <w:rPr>
                <w:rFonts w:hint="eastAsia" w:ascii="宋体" w:hAnsi="宋体"/>
                <w:sz w:val="22"/>
                <w:highlight w:val="none"/>
              </w:rPr>
            </w:pPr>
            <w:r>
              <w:rPr>
                <w:rFonts w:ascii="宋体" w:hAnsi="宋体"/>
                <w:sz w:val="22"/>
                <w:highlight w:val="none"/>
              </w:rPr>
              <w:t>联系电话</w:t>
            </w:r>
          </w:p>
        </w:tc>
        <w:tc>
          <w:tcPr>
            <w:tcW w:w="2034" w:type="dxa"/>
            <w:vAlign w:val="center"/>
          </w:tcPr>
          <w:p w14:paraId="6A183C27">
            <w:pPr>
              <w:autoSpaceDE w:val="0"/>
              <w:autoSpaceDN w:val="0"/>
              <w:adjustRightInd w:val="0"/>
              <w:jc w:val="center"/>
              <w:rPr>
                <w:rFonts w:hint="eastAsia" w:ascii="宋体" w:hAnsi="宋体"/>
                <w:sz w:val="22"/>
                <w:highlight w:val="none"/>
              </w:rPr>
            </w:pPr>
          </w:p>
        </w:tc>
        <w:tc>
          <w:tcPr>
            <w:tcW w:w="4234" w:type="dxa"/>
            <w:vMerge w:val="continue"/>
            <w:vAlign w:val="center"/>
          </w:tcPr>
          <w:p w14:paraId="0712EE31">
            <w:pPr>
              <w:adjustRightInd w:val="0"/>
              <w:jc w:val="center"/>
              <w:rPr>
                <w:rFonts w:hint="eastAsia" w:ascii="宋体" w:hAnsi="宋体" w:cs="Arial"/>
                <w:b w:val="0"/>
                <w:sz w:val="22"/>
                <w:highlight w:val="none"/>
              </w:rPr>
            </w:pPr>
          </w:p>
        </w:tc>
      </w:tr>
    </w:tbl>
    <w:p w14:paraId="0993E612">
      <w:pPr>
        <w:spacing w:line="380" w:lineRule="exact"/>
        <w:rPr>
          <w:rFonts w:hint="eastAsia" w:ascii="宋体" w:hAnsi="宋体"/>
          <w:b w:val="0"/>
          <w:sz w:val="22"/>
          <w:highlight w:val="none"/>
          <w:u w:val="single"/>
        </w:rPr>
      </w:pPr>
      <w:r>
        <w:rPr>
          <w:rFonts w:hint="eastAsia" w:ascii="宋体" w:hAnsi="宋体"/>
          <w:b w:val="0"/>
          <w:sz w:val="22"/>
          <w:highlight w:val="none"/>
          <w:u w:val="single"/>
        </w:rPr>
        <w:t>注：须随表提交相应的证书复印件。</w:t>
      </w:r>
    </w:p>
    <w:p w14:paraId="5E936E5A">
      <w:pPr>
        <w:rPr>
          <w:rFonts w:hint="eastAsia" w:ascii="宋体" w:hAnsi="宋体"/>
          <w:sz w:val="22"/>
          <w:highlight w:val="none"/>
        </w:rPr>
      </w:pPr>
    </w:p>
    <w:p w14:paraId="28A92F0B">
      <w:pPr>
        <w:autoSpaceDE w:val="0"/>
        <w:autoSpaceDN w:val="0"/>
        <w:adjustRightInd w:val="0"/>
        <w:spacing w:line="360" w:lineRule="auto"/>
        <w:ind w:firstLine="325" w:firstLineChars="147"/>
        <w:rPr>
          <w:rFonts w:hint="eastAsia" w:ascii="宋体" w:hAnsi="宋体"/>
          <w:sz w:val="22"/>
          <w:szCs w:val="22"/>
          <w:highlight w:val="none"/>
        </w:rPr>
      </w:pPr>
      <w:r>
        <w:rPr>
          <w:rFonts w:hint="eastAsia" w:ascii="宋体" w:hAnsi="宋体"/>
          <w:sz w:val="22"/>
          <w:szCs w:val="22"/>
          <w:highlight w:val="none"/>
        </w:rPr>
        <w:t>投标人（盖章）：</w:t>
      </w:r>
    </w:p>
    <w:p w14:paraId="29B45AD8">
      <w:pPr>
        <w:autoSpaceDE w:val="0"/>
        <w:autoSpaceDN w:val="0"/>
        <w:adjustRightInd w:val="0"/>
        <w:spacing w:line="360" w:lineRule="auto"/>
        <w:ind w:firstLine="325" w:firstLineChars="147"/>
        <w:rPr>
          <w:rFonts w:hint="eastAsia" w:ascii="宋体" w:hAnsi="宋体"/>
          <w:sz w:val="22"/>
          <w:szCs w:val="22"/>
          <w:highlight w:val="none"/>
        </w:rPr>
      </w:pPr>
      <w:r>
        <w:rPr>
          <w:rFonts w:hint="eastAsia" w:ascii="宋体" w:hAnsi="宋体"/>
          <w:sz w:val="22"/>
          <w:szCs w:val="22"/>
          <w:highlight w:val="none"/>
        </w:rPr>
        <w:t>法定代表人或授权代表（签字或盖章）：</w:t>
      </w:r>
    </w:p>
    <w:p w14:paraId="65F67588">
      <w:pPr>
        <w:autoSpaceDE w:val="0"/>
        <w:autoSpaceDN w:val="0"/>
        <w:adjustRightInd w:val="0"/>
        <w:spacing w:line="360" w:lineRule="auto"/>
        <w:ind w:firstLine="325" w:firstLineChars="147"/>
        <w:rPr>
          <w:rFonts w:hint="eastAsia" w:ascii="宋体" w:hAnsi="宋体"/>
          <w:sz w:val="22"/>
          <w:szCs w:val="22"/>
          <w:highlight w:val="none"/>
        </w:rPr>
      </w:pPr>
      <w:r>
        <w:rPr>
          <w:rFonts w:hint="eastAsia" w:ascii="宋体" w:hAnsi="宋体"/>
          <w:sz w:val="22"/>
          <w:szCs w:val="22"/>
          <w:highlight w:val="none"/>
        </w:rPr>
        <w:t>日期：</w:t>
      </w:r>
    </w:p>
    <w:p w14:paraId="5E3CC589">
      <w:pPr>
        <w:pStyle w:val="23"/>
        <w:ind w:firstLine="0"/>
        <w:rPr>
          <w:highlight w:val="none"/>
        </w:rPr>
      </w:pPr>
    </w:p>
    <w:p w14:paraId="41AEE1F8">
      <w:pPr>
        <w:pStyle w:val="23"/>
        <w:ind w:firstLine="0"/>
        <w:rPr>
          <w:highlight w:val="none"/>
        </w:rPr>
      </w:pPr>
    </w:p>
    <w:p w14:paraId="19E0C56D">
      <w:pPr>
        <w:jc w:val="center"/>
        <w:rPr>
          <w:rFonts w:hint="eastAsia" w:hAnsi="宋体"/>
          <w:b w:val="0"/>
          <w:sz w:val="36"/>
          <w:szCs w:val="36"/>
          <w:highlight w:val="none"/>
        </w:rPr>
      </w:pPr>
      <w:r>
        <w:rPr>
          <w:rFonts w:hint="eastAsia"/>
          <w:b w:val="0"/>
          <w:sz w:val="30"/>
          <w:szCs w:val="30"/>
          <w:highlight w:val="none"/>
        </w:rPr>
        <w:t>拟派项目部组成成员</w:t>
      </w:r>
    </w:p>
    <w:p w14:paraId="3282F6D8">
      <w:pPr>
        <w:spacing w:line="360" w:lineRule="auto"/>
        <w:rPr>
          <w:rFonts w:hint="eastAsia" w:ascii="宋体" w:hAnsi="宋体"/>
          <w:b w:val="0"/>
          <w:sz w:val="22"/>
          <w:szCs w:val="22"/>
          <w:highlight w:val="none"/>
        </w:rPr>
      </w:pPr>
    </w:p>
    <w:p w14:paraId="4577560B">
      <w:pPr>
        <w:spacing w:line="360" w:lineRule="auto"/>
        <w:rPr>
          <w:rFonts w:hint="eastAsia" w:ascii="宋体" w:hAnsi="宋体"/>
          <w:b w:val="0"/>
          <w:bCs w:val="0"/>
          <w:sz w:val="22"/>
          <w:szCs w:val="22"/>
          <w:highlight w:val="none"/>
        </w:rPr>
      </w:pPr>
      <w:r>
        <w:rPr>
          <w:rFonts w:hint="eastAsia" w:ascii="宋体" w:hAnsi="宋体"/>
          <w:b w:val="0"/>
          <w:sz w:val="22"/>
          <w:szCs w:val="22"/>
          <w:highlight w:val="none"/>
        </w:rPr>
        <w:t>项目名称：                                         项目编号：</w:t>
      </w:r>
    </w:p>
    <w:tbl>
      <w:tblPr>
        <w:tblStyle w:val="35"/>
        <w:tblW w:w="82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5"/>
        <w:gridCol w:w="1260"/>
        <w:gridCol w:w="1061"/>
        <w:gridCol w:w="863"/>
        <w:gridCol w:w="937"/>
        <w:gridCol w:w="1050"/>
        <w:gridCol w:w="1175"/>
        <w:gridCol w:w="954"/>
      </w:tblGrid>
      <w:tr w14:paraId="64431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5" w:type="dxa"/>
            <w:vAlign w:val="center"/>
          </w:tcPr>
          <w:p w14:paraId="1D457F15">
            <w:pPr>
              <w:adjustRightInd w:val="0"/>
              <w:snapToGrid w:val="0"/>
              <w:jc w:val="center"/>
              <w:rPr>
                <w:rFonts w:hint="eastAsia" w:ascii="宋体" w:hAnsi="宋体"/>
                <w:sz w:val="22"/>
                <w:highlight w:val="none"/>
              </w:rPr>
            </w:pPr>
            <w:r>
              <w:rPr>
                <w:rFonts w:hint="eastAsia" w:ascii="宋体" w:hAnsi="宋体"/>
                <w:sz w:val="22"/>
                <w:highlight w:val="none"/>
              </w:rPr>
              <w:t>序号</w:t>
            </w:r>
          </w:p>
        </w:tc>
        <w:tc>
          <w:tcPr>
            <w:tcW w:w="1260" w:type="dxa"/>
            <w:vAlign w:val="center"/>
          </w:tcPr>
          <w:p w14:paraId="0CACB585">
            <w:pPr>
              <w:adjustRightInd w:val="0"/>
              <w:snapToGrid w:val="0"/>
              <w:jc w:val="center"/>
              <w:rPr>
                <w:rFonts w:hint="eastAsia" w:ascii="宋体" w:hAnsi="宋体"/>
                <w:sz w:val="22"/>
                <w:highlight w:val="none"/>
              </w:rPr>
            </w:pPr>
            <w:r>
              <w:rPr>
                <w:rFonts w:hint="eastAsia" w:ascii="宋体" w:hAnsi="宋体"/>
                <w:sz w:val="22"/>
                <w:highlight w:val="none"/>
              </w:rPr>
              <w:t>姓名</w:t>
            </w:r>
          </w:p>
        </w:tc>
        <w:tc>
          <w:tcPr>
            <w:tcW w:w="1061" w:type="dxa"/>
            <w:vAlign w:val="center"/>
          </w:tcPr>
          <w:p w14:paraId="008646C6">
            <w:pPr>
              <w:adjustRightInd w:val="0"/>
              <w:snapToGrid w:val="0"/>
              <w:jc w:val="center"/>
              <w:rPr>
                <w:rFonts w:hint="eastAsia" w:ascii="宋体" w:hAnsi="宋体"/>
                <w:sz w:val="22"/>
                <w:highlight w:val="none"/>
              </w:rPr>
            </w:pPr>
            <w:r>
              <w:rPr>
                <w:rFonts w:hint="eastAsia" w:ascii="宋体" w:hAnsi="宋体"/>
                <w:sz w:val="22"/>
                <w:highlight w:val="none"/>
              </w:rPr>
              <w:t>性别</w:t>
            </w:r>
          </w:p>
        </w:tc>
        <w:tc>
          <w:tcPr>
            <w:tcW w:w="863" w:type="dxa"/>
            <w:vAlign w:val="center"/>
          </w:tcPr>
          <w:p w14:paraId="00F2A62A">
            <w:pPr>
              <w:adjustRightInd w:val="0"/>
              <w:snapToGrid w:val="0"/>
              <w:jc w:val="center"/>
              <w:rPr>
                <w:rFonts w:hint="eastAsia" w:ascii="宋体" w:hAnsi="宋体"/>
                <w:sz w:val="22"/>
                <w:highlight w:val="none"/>
              </w:rPr>
            </w:pPr>
            <w:r>
              <w:rPr>
                <w:rFonts w:hint="eastAsia" w:ascii="宋体" w:hAnsi="宋体"/>
                <w:sz w:val="22"/>
                <w:highlight w:val="none"/>
              </w:rPr>
              <w:t>年龄</w:t>
            </w:r>
          </w:p>
        </w:tc>
        <w:tc>
          <w:tcPr>
            <w:tcW w:w="937" w:type="dxa"/>
            <w:vAlign w:val="center"/>
          </w:tcPr>
          <w:p w14:paraId="273F847A">
            <w:pPr>
              <w:adjustRightInd w:val="0"/>
              <w:snapToGrid w:val="0"/>
              <w:jc w:val="center"/>
              <w:rPr>
                <w:rFonts w:hint="eastAsia" w:ascii="宋体" w:hAnsi="宋体"/>
                <w:sz w:val="22"/>
                <w:highlight w:val="none"/>
              </w:rPr>
            </w:pPr>
            <w:r>
              <w:rPr>
                <w:rFonts w:hint="eastAsia" w:ascii="宋体" w:hAnsi="宋体"/>
                <w:sz w:val="22"/>
                <w:highlight w:val="none"/>
              </w:rPr>
              <w:t>学历</w:t>
            </w:r>
          </w:p>
        </w:tc>
        <w:tc>
          <w:tcPr>
            <w:tcW w:w="1050" w:type="dxa"/>
            <w:vAlign w:val="center"/>
          </w:tcPr>
          <w:p w14:paraId="20DE06D5">
            <w:pPr>
              <w:adjustRightInd w:val="0"/>
              <w:snapToGrid w:val="0"/>
              <w:jc w:val="center"/>
              <w:rPr>
                <w:rFonts w:hint="eastAsia" w:ascii="宋体" w:hAnsi="宋体"/>
                <w:sz w:val="22"/>
                <w:highlight w:val="none"/>
              </w:rPr>
            </w:pPr>
            <w:r>
              <w:rPr>
                <w:rFonts w:hint="eastAsia" w:ascii="宋体" w:hAnsi="宋体"/>
                <w:sz w:val="22"/>
                <w:highlight w:val="none"/>
              </w:rPr>
              <w:t>专业</w:t>
            </w:r>
          </w:p>
        </w:tc>
        <w:tc>
          <w:tcPr>
            <w:tcW w:w="1175" w:type="dxa"/>
            <w:vAlign w:val="center"/>
          </w:tcPr>
          <w:p w14:paraId="6C88D104">
            <w:pPr>
              <w:adjustRightInd w:val="0"/>
              <w:snapToGrid w:val="0"/>
              <w:jc w:val="center"/>
              <w:rPr>
                <w:rFonts w:hint="eastAsia" w:ascii="宋体" w:hAnsi="宋体"/>
                <w:sz w:val="22"/>
                <w:highlight w:val="none"/>
              </w:rPr>
            </w:pPr>
            <w:r>
              <w:rPr>
                <w:rFonts w:hint="eastAsia" w:ascii="宋体" w:hAnsi="宋体"/>
                <w:sz w:val="22"/>
                <w:highlight w:val="none"/>
              </w:rPr>
              <w:t>本项目中的职责</w:t>
            </w:r>
          </w:p>
        </w:tc>
        <w:tc>
          <w:tcPr>
            <w:tcW w:w="954" w:type="dxa"/>
            <w:vAlign w:val="center"/>
          </w:tcPr>
          <w:p w14:paraId="048F74B1">
            <w:pPr>
              <w:adjustRightInd w:val="0"/>
              <w:snapToGrid w:val="0"/>
              <w:jc w:val="center"/>
              <w:rPr>
                <w:rFonts w:hint="eastAsia" w:ascii="宋体" w:hAnsi="宋体"/>
                <w:sz w:val="22"/>
                <w:highlight w:val="none"/>
              </w:rPr>
            </w:pPr>
            <w:r>
              <w:rPr>
                <w:rFonts w:hint="eastAsia" w:ascii="宋体" w:hAnsi="宋体"/>
                <w:sz w:val="22"/>
                <w:highlight w:val="none"/>
              </w:rPr>
              <w:t>从事专业年限</w:t>
            </w:r>
          </w:p>
        </w:tc>
      </w:tr>
      <w:tr w14:paraId="1271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CF2ABC9">
            <w:pPr>
              <w:adjustRightInd w:val="0"/>
              <w:snapToGrid w:val="0"/>
              <w:spacing w:line="360" w:lineRule="auto"/>
              <w:jc w:val="center"/>
              <w:rPr>
                <w:rFonts w:hint="eastAsia" w:ascii="宋体" w:hAnsi="宋体"/>
                <w:sz w:val="22"/>
                <w:highlight w:val="none"/>
              </w:rPr>
            </w:pPr>
          </w:p>
        </w:tc>
        <w:tc>
          <w:tcPr>
            <w:tcW w:w="1260" w:type="dxa"/>
            <w:vAlign w:val="center"/>
          </w:tcPr>
          <w:p w14:paraId="375F038F">
            <w:pPr>
              <w:adjustRightInd w:val="0"/>
              <w:snapToGrid w:val="0"/>
              <w:spacing w:line="360" w:lineRule="auto"/>
              <w:jc w:val="center"/>
              <w:rPr>
                <w:rFonts w:hint="eastAsia" w:ascii="宋体" w:hAnsi="宋体"/>
                <w:sz w:val="22"/>
                <w:highlight w:val="none"/>
              </w:rPr>
            </w:pPr>
          </w:p>
        </w:tc>
        <w:tc>
          <w:tcPr>
            <w:tcW w:w="1061" w:type="dxa"/>
            <w:vAlign w:val="center"/>
          </w:tcPr>
          <w:p w14:paraId="2DB97E0F">
            <w:pPr>
              <w:adjustRightInd w:val="0"/>
              <w:snapToGrid w:val="0"/>
              <w:spacing w:line="360" w:lineRule="auto"/>
              <w:jc w:val="center"/>
              <w:rPr>
                <w:rFonts w:hint="eastAsia" w:ascii="宋体" w:hAnsi="宋体"/>
                <w:sz w:val="22"/>
                <w:highlight w:val="none"/>
              </w:rPr>
            </w:pPr>
          </w:p>
        </w:tc>
        <w:tc>
          <w:tcPr>
            <w:tcW w:w="863" w:type="dxa"/>
            <w:vAlign w:val="center"/>
          </w:tcPr>
          <w:p w14:paraId="7667FD0C">
            <w:pPr>
              <w:adjustRightInd w:val="0"/>
              <w:snapToGrid w:val="0"/>
              <w:spacing w:line="360" w:lineRule="auto"/>
              <w:jc w:val="center"/>
              <w:rPr>
                <w:rFonts w:hint="eastAsia" w:ascii="宋体" w:hAnsi="宋体"/>
                <w:sz w:val="22"/>
                <w:highlight w:val="none"/>
              </w:rPr>
            </w:pPr>
          </w:p>
        </w:tc>
        <w:tc>
          <w:tcPr>
            <w:tcW w:w="937" w:type="dxa"/>
            <w:vAlign w:val="center"/>
          </w:tcPr>
          <w:p w14:paraId="4D55ADF9">
            <w:pPr>
              <w:adjustRightInd w:val="0"/>
              <w:snapToGrid w:val="0"/>
              <w:spacing w:line="360" w:lineRule="auto"/>
              <w:jc w:val="center"/>
              <w:rPr>
                <w:rFonts w:hint="eastAsia" w:ascii="宋体" w:hAnsi="宋体"/>
                <w:sz w:val="22"/>
                <w:highlight w:val="none"/>
              </w:rPr>
            </w:pPr>
          </w:p>
        </w:tc>
        <w:tc>
          <w:tcPr>
            <w:tcW w:w="1050" w:type="dxa"/>
            <w:vAlign w:val="center"/>
          </w:tcPr>
          <w:p w14:paraId="06CAC056">
            <w:pPr>
              <w:adjustRightInd w:val="0"/>
              <w:snapToGrid w:val="0"/>
              <w:spacing w:line="360" w:lineRule="auto"/>
              <w:jc w:val="center"/>
              <w:rPr>
                <w:rFonts w:hint="eastAsia" w:ascii="宋体" w:hAnsi="宋体"/>
                <w:sz w:val="22"/>
                <w:highlight w:val="none"/>
              </w:rPr>
            </w:pPr>
          </w:p>
        </w:tc>
        <w:tc>
          <w:tcPr>
            <w:tcW w:w="1175" w:type="dxa"/>
            <w:vAlign w:val="center"/>
          </w:tcPr>
          <w:p w14:paraId="38CD70C9">
            <w:pPr>
              <w:adjustRightInd w:val="0"/>
              <w:snapToGrid w:val="0"/>
              <w:spacing w:line="360" w:lineRule="auto"/>
              <w:jc w:val="center"/>
              <w:rPr>
                <w:rFonts w:hint="eastAsia" w:ascii="宋体" w:hAnsi="宋体"/>
                <w:sz w:val="22"/>
                <w:highlight w:val="none"/>
              </w:rPr>
            </w:pPr>
          </w:p>
        </w:tc>
        <w:tc>
          <w:tcPr>
            <w:tcW w:w="954" w:type="dxa"/>
            <w:vAlign w:val="center"/>
          </w:tcPr>
          <w:p w14:paraId="708C64AE">
            <w:pPr>
              <w:adjustRightInd w:val="0"/>
              <w:snapToGrid w:val="0"/>
              <w:spacing w:line="360" w:lineRule="auto"/>
              <w:jc w:val="center"/>
              <w:rPr>
                <w:rFonts w:hint="eastAsia" w:ascii="宋体" w:hAnsi="宋体"/>
                <w:sz w:val="22"/>
                <w:highlight w:val="none"/>
              </w:rPr>
            </w:pPr>
          </w:p>
        </w:tc>
      </w:tr>
      <w:tr w14:paraId="56C86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67218856">
            <w:pPr>
              <w:adjustRightInd w:val="0"/>
              <w:snapToGrid w:val="0"/>
              <w:spacing w:line="360" w:lineRule="auto"/>
              <w:jc w:val="center"/>
              <w:rPr>
                <w:rFonts w:hint="eastAsia" w:ascii="宋体" w:hAnsi="宋体"/>
                <w:sz w:val="22"/>
                <w:highlight w:val="none"/>
              </w:rPr>
            </w:pPr>
          </w:p>
        </w:tc>
        <w:tc>
          <w:tcPr>
            <w:tcW w:w="1260" w:type="dxa"/>
            <w:vAlign w:val="center"/>
          </w:tcPr>
          <w:p w14:paraId="4582AE64">
            <w:pPr>
              <w:adjustRightInd w:val="0"/>
              <w:snapToGrid w:val="0"/>
              <w:spacing w:line="360" w:lineRule="auto"/>
              <w:jc w:val="center"/>
              <w:rPr>
                <w:rFonts w:hint="eastAsia" w:ascii="宋体" w:hAnsi="宋体"/>
                <w:sz w:val="22"/>
                <w:highlight w:val="none"/>
              </w:rPr>
            </w:pPr>
          </w:p>
        </w:tc>
        <w:tc>
          <w:tcPr>
            <w:tcW w:w="1061" w:type="dxa"/>
            <w:vAlign w:val="center"/>
          </w:tcPr>
          <w:p w14:paraId="3271F150">
            <w:pPr>
              <w:adjustRightInd w:val="0"/>
              <w:snapToGrid w:val="0"/>
              <w:spacing w:line="360" w:lineRule="auto"/>
              <w:jc w:val="center"/>
              <w:rPr>
                <w:rFonts w:hint="eastAsia" w:ascii="宋体" w:hAnsi="宋体"/>
                <w:sz w:val="22"/>
                <w:highlight w:val="none"/>
              </w:rPr>
            </w:pPr>
          </w:p>
        </w:tc>
        <w:tc>
          <w:tcPr>
            <w:tcW w:w="863" w:type="dxa"/>
            <w:vAlign w:val="center"/>
          </w:tcPr>
          <w:p w14:paraId="3C3BC054">
            <w:pPr>
              <w:adjustRightInd w:val="0"/>
              <w:snapToGrid w:val="0"/>
              <w:spacing w:line="360" w:lineRule="auto"/>
              <w:jc w:val="center"/>
              <w:rPr>
                <w:rFonts w:hint="eastAsia" w:ascii="宋体" w:hAnsi="宋体"/>
                <w:sz w:val="22"/>
                <w:highlight w:val="none"/>
              </w:rPr>
            </w:pPr>
          </w:p>
        </w:tc>
        <w:tc>
          <w:tcPr>
            <w:tcW w:w="937" w:type="dxa"/>
            <w:vAlign w:val="center"/>
          </w:tcPr>
          <w:p w14:paraId="4AE39794">
            <w:pPr>
              <w:adjustRightInd w:val="0"/>
              <w:snapToGrid w:val="0"/>
              <w:spacing w:line="360" w:lineRule="auto"/>
              <w:jc w:val="center"/>
              <w:rPr>
                <w:rFonts w:hint="eastAsia" w:ascii="宋体" w:hAnsi="宋体"/>
                <w:sz w:val="22"/>
                <w:highlight w:val="none"/>
              </w:rPr>
            </w:pPr>
          </w:p>
        </w:tc>
        <w:tc>
          <w:tcPr>
            <w:tcW w:w="1050" w:type="dxa"/>
            <w:vAlign w:val="center"/>
          </w:tcPr>
          <w:p w14:paraId="331D4E67">
            <w:pPr>
              <w:adjustRightInd w:val="0"/>
              <w:snapToGrid w:val="0"/>
              <w:spacing w:line="360" w:lineRule="auto"/>
              <w:jc w:val="center"/>
              <w:rPr>
                <w:rFonts w:hint="eastAsia" w:ascii="宋体" w:hAnsi="宋体"/>
                <w:sz w:val="22"/>
                <w:highlight w:val="none"/>
              </w:rPr>
            </w:pPr>
          </w:p>
        </w:tc>
        <w:tc>
          <w:tcPr>
            <w:tcW w:w="1175" w:type="dxa"/>
            <w:vAlign w:val="center"/>
          </w:tcPr>
          <w:p w14:paraId="20CA8811">
            <w:pPr>
              <w:adjustRightInd w:val="0"/>
              <w:snapToGrid w:val="0"/>
              <w:spacing w:line="360" w:lineRule="auto"/>
              <w:jc w:val="center"/>
              <w:rPr>
                <w:rFonts w:hint="eastAsia" w:ascii="宋体" w:hAnsi="宋体"/>
                <w:sz w:val="22"/>
                <w:highlight w:val="none"/>
              </w:rPr>
            </w:pPr>
          </w:p>
        </w:tc>
        <w:tc>
          <w:tcPr>
            <w:tcW w:w="954" w:type="dxa"/>
            <w:vAlign w:val="center"/>
          </w:tcPr>
          <w:p w14:paraId="18871FED">
            <w:pPr>
              <w:adjustRightInd w:val="0"/>
              <w:snapToGrid w:val="0"/>
              <w:spacing w:line="360" w:lineRule="auto"/>
              <w:jc w:val="center"/>
              <w:rPr>
                <w:rFonts w:hint="eastAsia" w:ascii="宋体" w:hAnsi="宋体"/>
                <w:sz w:val="22"/>
                <w:highlight w:val="none"/>
              </w:rPr>
            </w:pPr>
          </w:p>
        </w:tc>
      </w:tr>
      <w:tr w14:paraId="1FE05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11ECF4D1">
            <w:pPr>
              <w:adjustRightInd w:val="0"/>
              <w:snapToGrid w:val="0"/>
              <w:spacing w:line="360" w:lineRule="auto"/>
              <w:jc w:val="center"/>
              <w:rPr>
                <w:rFonts w:hint="eastAsia" w:ascii="宋体" w:hAnsi="宋体"/>
                <w:sz w:val="22"/>
                <w:highlight w:val="none"/>
              </w:rPr>
            </w:pPr>
          </w:p>
        </w:tc>
        <w:tc>
          <w:tcPr>
            <w:tcW w:w="1260" w:type="dxa"/>
            <w:vAlign w:val="center"/>
          </w:tcPr>
          <w:p w14:paraId="771E83BA">
            <w:pPr>
              <w:adjustRightInd w:val="0"/>
              <w:snapToGrid w:val="0"/>
              <w:spacing w:line="360" w:lineRule="auto"/>
              <w:jc w:val="center"/>
              <w:rPr>
                <w:rFonts w:hint="eastAsia" w:ascii="宋体" w:hAnsi="宋体"/>
                <w:sz w:val="22"/>
                <w:highlight w:val="none"/>
              </w:rPr>
            </w:pPr>
          </w:p>
        </w:tc>
        <w:tc>
          <w:tcPr>
            <w:tcW w:w="1061" w:type="dxa"/>
            <w:vAlign w:val="center"/>
          </w:tcPr>
          <w:p w14:paraId="4DF943DC">
            <w:pPr>
              <w:adjustRightInd w:val="0"/>
              <w:snapToGrid w:val="0"/>
              <w:spacing w:line="360" w:lineRule="auto"/>
              <w:jc w:val="center"/>
              <w:rPr>
                <w:rFonts w:hint="eastAsia" w:ascii="宋体" w:hAnsi="宋体"/>
                <w:sz w:val="22"/>
                <w:highlight w:val="none"/>
              </w:rPr>
            </w:pPr>
          </w:p>
        </w:tc>
        <w:tc>
          <w:tcPr>
            <w:tcW w:w="863" w:type="dxa"/>
            <w:vAlign w:val="center"/>
          </w:tcPr>
          <w:p w14:paraId="79197FDE">
            <w:pPr>
              <w:adjustRightInd w:val="0"/>
              <w:snapToGrid w:val="0"/>
              <w:spacing w:line="360" w:lineRule="auto"/>
              <w:jc w:val="center"/>
              <w:rPr>
                <w:rFonts w:hint="eastAsia" w:ascii="宋体" w:hAnsi="宋体"/>
                <w:sz w:val="22"/>
                <w:highlight w:val="none"/>
              </w:rPr>
            </w:pPr>
          </w:p>
        </w:tc>
        <w:tc>
          <w:tcPr>
            <w:tcW w:w="937" w:type="dxa"/>
            <w:vAlign w:val="center"/>
          </w:tcPr>
          <w:p w14:paraId="77BB8789">
            <w:pPr>
              <w:adjustRightInd w:val="0"/>
              <w:snapToGrid w:val="0"/>
              <w:spacing w:line="360" w:lineRule="auto"/>
              <w:jc w:val="center"/>
              <w:rPr>
                <w:rFonts w:hint="eastAsia" w:ascii="宋体" w:hAnsi="宋体"/>
                <w:sz w:val="22"/>
                <w:highlight w:val="none"/>
              </w:rPr>
            </w:pPr>
          </w:p>
        </w:tc>
        <w:tc>
          <w:tcPr>
            <w:tcW w:w="1050" w:type="dxa"/>
            <w:vAlign w:val="center"/>
          </w:tcPr>
          <w:p w14:paraId="5F6A274F">
            <w:pPr>
              <w:adjustRightInd w:val="0"/>
              <w:snapToGrid w:val="0"/>
              <w:spacing w:line="360" w:lineRule="auto"/>
              <w:jc w:val="center"/>
              <w:rPr>
                <w:rFonts w:hint="eastAsia" w:ascii="宋体" w:hAnsi="宋体"/>
                <w:sz w:val="22"/>
                <w:highlight w:val="none"/>
              </w:rPr>
            </w:pPr>
          </w:p>
        </w:tc>
        <w:tc>
          <w:tcPr>
            <w:tcW w:w="1175" w:type="dxa"/>
            <w:vAlign w:val="center"/>
          </w:tcPr>
          <w:p w14:paraId="2A310336">
            <w:pPr>
              <w:adjustRightInd w:val="0"/>
              <w:snapToGrid w:val="0"/>
              <w:spacing w:line="360" w:lineRule="auto"/>
              <w:jc w:val="center"/>
              <w:rPr>
                <w:rFonts w:hint="eastAsia" w:ascii="宋体" w:hAnsi="宋体"/>
                <w:sz w:val="22"/>
                <w:highlight w:val="none"/>
              </w:rPr>
            </w:pPr>
          </w:p>
        </w:tc>
        <w:tc>
          <w:tcPr>
            <w:tcW w:w="954" w:type="dxa"/>
            <w:vAlign w:val="center"/>
          </w:tcPr>
          <w:p w14:paraId="2D653CAB">
            <w:pPr>
              <w:adjustRightInd w:val="0"/>
              <w:snapToGrid w:val="0"/>
              <w:spacing w:line="360" w:lineRule="auto"/>
              <w:jc w:val="center"/>
              <w:rPr>
                <w:rFonts w:hint="eastAsia" w:ascii="宋体" w:hAnsi="宋体"/>
                <w:sz w:val="22"/>
                <w:highlight w:val="none"/>
              </w:rPr>
            </w:pPr>
          </w:p>
        </w:tc>
      </w:tr>
      <w:tr w14:paraId="70047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08628C52">
            <w:pPr>
              <w:adjustRightInd w:val="0"/>
              <w:snapToGrid w:val="0"/>
              <w:spacing w:line="360" w:lineRule="auto"/>
              <w:jc w:val="center"/>
              <w:rPr>
                <w:rFonts w:hint="eastAsia" w:ascii="宋体" w:hAnsi="宋体"/>
                <w:sz w:val="22"/>
                <w:highlight w:val="none"/>
              </w:rPr>
            </w:pPr>
          </w:p>
        </w:tc>
        <w:tc>
          <w:tcPr>
            <w:tcW w:w="1260" w:type="dxa"/>
            <w:vAlign w:val="center"/>
          </w:tcPr>
          <w:p w14:paraId="21F4A0EE">
            <w:pPr>
              <w:adjustRightInd w:val="0"/>
              <w:snapToGrid w:val="0"/>
              <w:spacing w:line="360" w:lineRule="auto"/>
              <w:jc w:val="center"/>
              <w:rPr>
                <w:rFonts w:hint="eastAsia" w:ascii="宋体" w:hAnsi="宋体"/>
                <w:sz w:val="22"/>
                <w:highlight w:val="none"/>
              </w:rPr>
            </w:pPr>
          </w:p>
        </w:tc>
        <w:tc>
          <w:tcPr>
            <w:tcW w:w="1061" w:type="dxa"/>
            <w:vAlign w:val="center"/>
          </w:tcPr>
          <w:p w14:paraId="78F5C8B6">
            <w:pPr>
              <w:adjustRightInd w:val="0"/>
              <w:snapToGrid w:val="0"/>
              <w:spacing w:line="360" w:lineRule="auto"/>
              <w:jc w:val="center"/>
              <w:rPr>
                <w:rFonts w:hint="eastAsia" w:ascii="宋体" w:hAnsi="宋体"/>
                <w:sz w:val="22"/>
                <w:highlight w:val="none"/>
              </w:rPr>
            </w:pPr>
          </w:p>
        </w:tc>
        <w:tc>
          <w:tcPr>
            <w:tcW w:w="863" w:type="dxa"/>
            <w:vAlign w:val="center"/>
          </w:tcPr>
          <w:p w14:paraId="7CF6042B">
            <w:pPr>
              <w:adjustRightInd w:val="0"/>
              <w:snapToGrid w:val="0"/>
              <w:spacing w:line="360" w:lineRule="auto"/>
              <w:jc w:val="center"/>
              <w:rPr>
                <w:rFonts w:hint="eastAsia" w:ascii="宋体" w:hAnsi="宋体"/>
                <w:sz w:val="22"/>
                <w:highlight w:val="none"/>
              </w:rPr>
            </w:pPr>
          </w:p>
        </w:tc>
        <w:tc>
          <w:tcPr>
            <w:tcW w:w="937" w:type="dxa"/>
            <w:vAlign w:val="center"/>
          </w:tcPr>
          <w:p w14:paraId="5F2AFCC6">
            <w:pPr>
              <w:adjustRightInd w:val="0"/>
              <w:snapToGrid w:val="0"/>
              <w:spacing w:line="360" w:lineRule="auto"/>
              <w:jc w:val="center"/>
              <w:rPr>
                <w:rFonts w:hint="eastAsia" w:ascii="宋体" w:hAnsi="宋体"/>
                <w:sz w:val="22"/>
                <w:highlight w:val="none"/>
              </w:rPr>
            </w:pPr>
          </w:p>
        </w:tc>
        <w:tc>
          <w:tcPr>
            <w:tcW w:w="1050" w:type="dxa"/>
            <w:vAlign w:val="center"/>
          </w:tcPr>
          <w:p w14:paraId="47C0CBA8">
            <w:pPr>
              <w:adjustRightInd w:val="0"/>
              <w:snapToGrid w:val="0"/>
              <w:spacing w:line="360" w:lineRule="auto"/>
              <w:jc w:val="center"/>
              <w:rPr>
                <w:rFonts w:hint="eastAsia" w:ascii="宋体" w:hAnsi="宋体"/>
                <w:sz w:val="22"/>
                <w:highlight w:val="none"/>
              </w:rPr>
            </w:pPr>
          </w:p>
        </w:tc>
        <w:tc>
          <w:tcPr>
            <w:tcW w:w="1175" w:type="dxa"/>
            <w:vAlign w:val="center"/>
          </w:tcPr>
          <w:p w14:paraId="42ADB1EA">
            <w:pPr>
              <w:adjustRightInd w:val="0"/>
              <w:snapToGrid w:val="0"/>
              <w:spacing w:line="360" w:lineRule="auto"/>
              <w:jc w:val="center"/>
              <w:rPr>
                <w:rFonts w:hint="eastAsia" w:ascii="宋体" w:hAnsi="宋体"/>
                <w:sz w:val="22"/>
                <w:highlight w:val="none"/>
              </w:rPr>
            </w:pPr>
          </w:p>
        </w:tc>
        <w:tc>
          <w:tcPr>
            <w:tcW w:w="954" w:type="dxa"/>
            <w:vAlign w:val="center"/>
          </w:tcPr>
          <w:p w14:paraId="1948CEBE">
            <w:pPr>
              <w:adjustRightInd w:val="0"/>
              <w:snapToGrid w:val="0"/>
              <w:spacing w:line="360" w:lineRule="auto"/>
              <w:jc w:val="center"/>
              <w:rPr>
                <w:rFonts w:hint="eastAsia" w:ascii="宋体" w:hAnsi="宋体"/>
                <w:sz w:val="22"/>
                <w:highlight w:val="none"/>
              </w:rPr>
            </w:pPr>
          </w:p>
        </w:tc>
      </w:tr>
      <w:tr w14:paraId="1AA6C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15AC5A4D">
            <w:pPr>
              <w:adjustRightInd w:val="0"/>
              <w:snapToGrid w:val="0"/>
              <w:spacing w:line="360" w:lineRule="auto"/>
              <w:jc w:val="center"/>
              <w:rPr>
                <w:rFonts w:hint="eastAsia" w:ascii="宋体" w:hAnsi="宋体"/>
                <w:sz w:val="22"/>
                <w:highlight w:val="none"/>
              </w:rPr>
            </w:pPr>
          </w:p>
        </w:tc>
        <w:tc>
          <w:tcPr>
            <w:tcW w:w="1260" w:type="dxa"/>
            <w:vAlign w:val="center"/>
          </w:tcPr>
          <w:p w14:paraId="15D41BA0">
            <w:pPr>
              <w:adjustRightInd w:val="0"/>
              <w:snapToGrid w:val="0"/>
              <w:spacing w:line="360" w:lineRule="auto"/>
              <w:jc w:val="center"/>
              <w:rPr>
                <w:rFonts w:hint="eastAsia" w:ascii="宋体" w:hAnsi="宋体"/>
                <w:sz w:val="22"/>
                <w:highlight w:val="none"/>
              </w:rPr>
            </w:pPr>
          </w:p>
        </w:tc>
        <w:tc>
          <w:tcPr>
            <w:tcW w:w="1061" w:type="dxa"/>
            <w:vAlign w:val="center"/>
          </w:tcPr>
          <w:p w14:paraId="125768A5">
            <w:pPr>
              <w:adjustRightInd w:val="0"/>
              <w:snapToGrid w:val="0"/>
              <w:spacing w:line="360" w:lineRule="auto"/>
              <w:jc w:val="center"/>
              <w:rPr>
                <w:rFonts w:hint="eastAsia" w:ascii="宋体" w:hAnsi="宋体"/>
                <w:sz w:val="22"/>
                <w:highlight w:val="none"/>
              </w:rPr>
            </w:pPr>
          </w:p>
        </w:tc>
        <w:tc>
          <w:tcPr>
            <w:tcW w:w="863" w:type="dxa"/>
            <w:vAlign w:val="center"/>
          </w:tcPr>
          <w:p w14:paraId="270B5425">
            <w:pPr>
              <w:adjustRightInd w:val="0"/>
              <w:snapToGrid w:val="0"/>
              <w:spacing w:line="360" w:lineRule="auto"/>
              <w:jc w:val="center"/>
              <w:rPr>
                <w:rFonts w:hint="eastAsia" w:ascii="宋体" w:hAnsi="宋体"/>
                <w:sz w:val="22"/>
                <w:highlight w:val="none"/>
              </w:rPr>
            </w:pPr>
          </w:p>
        </w:tc>
        <w:tc>
          <w:tcPr>
            <w:tcW w:w="937" w:type="dxa"/>
            <w:vAlign w:val="center"/>
          </w:tcPr>
          <w:p w14:paraId="72322A61">
            <w:pPr>
              <w:adjustRightInd w:val="0"/>
              <w:snapToGrid w:val="0"/>
              <w:spacing w:line="360" w:lineRule="auto"/>
              <w:jc w:val="center"/>
              <w:rPr>
                <w:rFonts w:hint="eastAsia" w:ascii="宋体" w:hAnsi="宋体"/>
                <w:sz w:val="22"/>
                <w:highlight w:val="none"/>
              </w:rPr>
            </w:pPr>
          </w:p>
        </w:tc>
        <w:tc>
          <w:tcPr>
            <w:tcW w:w="1050" w:type="dxa"/>
            <w:vAlign w:val="center"/>
          </w:tcPr>
          <w:p w14:paraId="12BD4878">
            <w:pPr>
              <w:adjustRightInd w:val="0"/>
              <w:snapToGrid w:val="0"/>
              <w:spacing w:line="360" w:lineRule="auto"/>
              <w:jc w:val="center"/>
              <w:rPr>
                <w:rFonts w:hint="eastAsia" w:ascii="宋体" w:hAnsi="宋体"/>
                <w:sz w:val="22"/>
                <w:highlight w:val="none"/>
              </w:rPr>
            </w:pPr>
          </w:p>
        </w:tc>
        <w:tc>
          <w:tcPr>
            <w:tcW w:w="1175" w:type="dxa"/>
            <w:vAlign w:val="center"/>
          </w:tcPr>
          <w:p w14:paraId="0FE107B2">
            <w:pPr>
              <w:adjustRightInd w:val="0"/>
              <w:snapToGrid w:val="0"/>
              <w:spacing w:line="360" w:lineRule="auto"/>
              <w:jc w:val="center"/>
              <w:rPr>
                <w:rFonts w:hint="eastAsia" w:ascii="宋体" w:hAnsi="宋体"/>
                <w:sz w:val="22"/>
                <w:highlight w:val="none"/>
              </w:rPr>
            </w:pPr>
          </w:p>
        </w:tc>
        <w:tc>
          <w:tcPr>
            <w:tcW w:w="954" w:type="dxa"/>
            <w:vAlign w:val="center"/>
          </w:tcPr>
          <w:p w14:paraId="0FAA966C">
            <w:pPr>
              <w:adjustRightInd w:val="0"/>
              <w:snapToGrid w:val="0"/>
              <w:spacing w:line="360" w:lineRule="auto"/>
              <w:jc w:val="center"/>
              <w:rPr>
                <w:rFonts w:hint="eastAsia" w:ascii="宋体" w:hAnsi="宋体"/>
                <w:sz w:val="22"/>
                <w:highlight w:val="none"/>
              </w:rPr>
            </w:pPr>
          </w:p>
        </w:tc>
      </w:tr>
      <w:tr w14:paraId="6108E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FCF8F6F">
            <w:pPr>
              <w:adjustRightInd w:val="0"/>
              <w:snapToGrid w:val="0"/>
              <w:spacing w:line="360" w:lineRule="auto"/>
              <w:jc w:val="center"/>
              <w:rPr>
                <w:rFonts w:hint="eastAsia" w:ascii="宋体" w:hAnsi="宋体"/>
                <w:sz w:val="22"/>
                <w:highlight w:val="none"/>
              </w:rPr>
            </w:pPr>
          </w:p>
        </w:tc>
        <w:tc>
          <w:tcPr>
            <w:tcW w:w="1260" w:type="dxa"/>
            <w:vAlign w:val="center"/>
          </w:tcPr>
          <w:p w14:paraId="14859E3C">
            <w:pPr>
              <w:adjustRightInd w:val="0"/>
              <w:snapToGrid w:val="0"/>
              <w:spacing w:line="360" w:lineRule="auto"/>
              <w:jc w:val="center"/>
              <w:rPr>
                <w:rFonts w:hint="eastAsia" w:ascii="宋体" w:hAnsi="宋体"/>
                <w:sz w:val="22"/>
                <w:highlight w:val="none"/>
              </w:rPr>
            </w:pPr>
          </w:p>
        </w:tc>
        <w:tc>
          <w:tcPr>
            <w:tcW w:w="1061" w:type="dxa"/>
            <w:vAlign w:val="center"/>
          </w:tcPr>
          <w:p w14:paraId="369D5B80">
            <w:pPr>
              <w:adjustRightInd w:val="0"/>
              <w:snapToGrid w:val="0"/>
              <w:spacing w:line="360" w:lineRule="auto"/>
              <w:jc w:val="center"/>
              <w:rPr>
                <w:rFonts w:hint="eastAsia" w:ascii="宋体" w:hAnsi="宋体"/>
                <w:sz w:val="22"/>
                <w:highlight w:val="none"/>
              </w:rPr>
            </w:pPr>
          </w:p>
        </w:tc>
        <w:tc>
          <w:tcPr>
            <w:tcW w:w="863" w:type="dxa"/>
            <w:vAlign w:val="center"/>
          </w:tcPr>
          <w:p w14:paraId="445B2159">
            <w:pPr>
              <w:adjustRightInd w:val="0"/>
              <w:snapToGrid w:val="0"/>
              <w:spacing w:line="360" w:lineRule="auto"/>
              <w:jc w:val="center"/>
              <w:rPr>
                <w:rFonts w:hint="eastAsia" w:ascii="宋体" w:hAnsi="宋体"/>
                <w:sz w:val="22"/>
                <w:highlight w:val="none"/>
              </w:rPr>
            </w:pPr>
          </w:p>
        </w:tc>
        <w:tc>
          <w:tcPr>
            <w:tcW w:w="937" w:type="dxa"/>
            <w:vAlign w:val="center"/>
          </w:tcPr>
          <w:p w14:paraId="7B76DCBB">
            <w:pPr>
              <w:adjustRightInd w:val="0"/>
              <w:snapToGrid w:val="0"/>
              <w:spacing w:line="360" w:lineRule="auto"/>
              <w:jc w:val="center"/>
              <w:rPr>
                <w:rFonts w:hint="eastAsia" w:ascii="宋体" w:hAnsi="宋体"/>
                <w:sz w:val="22"/>
                <w:highlight w:val="none"/>
              </w:rPr>
            </w:pPr>
          </w:p>
        </w:tc>
        <w:tc>
          <w:tcPr>
            <w:tcW w:w="1050" w:type="dxa"/>
            <w:vAlign w:val="center"/>
          </w:tcPr>
          <w:p w14:paraId="2AAB0983">
            <w:pPr>
              <w:adjustRightInd w:val="0"/>
              <w:snapToGrid w:val="0"/>
              <w:spacing w:line="360" w:lineRule="auto"/>
              <w:jc w:val="center"/>
              <w:rPr>
                <w:rFonts w:hint="eastAsia" w:ascii="宋体" w:hAnsi="宋体"/>
                <w:sz w:val="22"/>
                <w:highlight w:val="none"/>
              </w:rPr>
            </w:pPr>
          </w:p>
        </w:tc>
        <w:tc>
          <w:tcPr>
            <w:tcW w:w="1175" w:type="dxa"/>
            <w:vAlign w:val="center"/>
          </w:tcPr>
          <w:p w14:paraId="16BDA410">
            <w:pPr>
              <w:adjustRightInd w:val="0"/>
              <w:snapToGrid w:val="0"/>
              <w:spacing w:line="360" w:lineRule="auto"/>
              <w:jc w:val="center"/>
              <w:rPr>
                <w:rFonts w:hint="eastAsia" w:ascii="宋体" w:hAnsi="宋体"/>
                <w:sz w:val="22"/>
                <w:highlight w:val="none"/>
              </w:rPr>
            </w:pPr>
          </w:p>
        </w:tc>
        <w:tc>
          <w:tcPr>
            <w:tcW w:w="954" w:type="dxa"/>
            <w:vAlign w:val="center"/>
          </w:tcPr>
          <w:p w14:paraId="05D61B05">
            <w:pPr>
              <w:adjustRightInd w:val="0"/>
              <w:snapToGrid w:val="0"/>
              <w:spacing w:line="360" w:lineRule="auto"/>
              <w:jc w:val="center"/>
              <w:rPr>
                <w:rFonts w:hint="eastAsia" w:ascii="宋体" w:hAnsi="宋体"/>
                <w:sz w:val="22"/>
                <w:highlight w:val="none"/>
              </w:rPr>
            </w:pPr>
          </w:p>
        </w:tc>
      </w:tr>
      <w:tr w14:paraId="48EF6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5D020E80">
            <w:pPr>
              <w:adjustRightInd w:val="0"/>
              <w:snapToGrid w:val="0"/>
              <w:spacing w:line="360" w:lineRule="auto"/>
              <w:jc w:val="center"/>
              <w:rPr>
                <w:rFonts w:hint="eastAsia" w:ascii="宋体" w:hAnsi="宋体"/>
                <w:sz w:val="22"/>
                <w:highlight w:val="none"/>
              </w:rPr>
            </w:pPr>
          </w:p>
        </w:tc>
        <w:tc>
          <w:tcPr>
            <w:tcW w:w="1260" w:type="dxa"/>
            <w:vAlign w:val="center"/>
          </w:tcPr>
          <w:p w14:paraId="0F372121">
            <w:pPr>
              <w:adjustRightInd w:val="0"/>
              <w:snapToGrid w:val="0"/>
              <w:spacing w:line="360" w:lineRule="auto"/>
              <w:jc w:val="center"/>
              <w:rPr>
                <w:rFonts w:hint="eastAsia" w:ascii="宋体" w:hAnsi="宋体"/>
                <w:sz w:val="22"/>
                <w:highlight w:val="none"/>
              </w:rPr>
            </w:pPr>
          </w:p>
        </w:tc>
        <w:tc>
          <w:tcPr>
            <w:tcW w:w="1061" w:type="dxa"/>
            <w:vAlign w:val="center"/>
          </w:tcPr>
          <w:p w14:paraId="7AEC2D24">
            <w:pPr>
              <w:adjustRightInd w:val="0"/>
              <w:snapToGrid w:val="0"/>
              <w:spacing w:line="360" w:lineRule="auto"/>
              <w:jc w:val="center"/>
              <w:rPr>
                <w:rFonts w:hint="eastAsia" w:ascii="宋体" w:hAnsi="宋体"/>
                <w:sz w:val="22"/>
                <w:highlight w:val="none"/>
              </w:rPr>
            </w:pPr>
          </w:p>
        </w:tc>
        <w:tc>
          <w:tcPr>
            <w:tcW w:w="863" w:type="dxa"/>
            <w:vAlign w:val="center"/>
          </w:tcPr>
          <w:p w14:paraId="40DBB287">
            <w:pPr>
              <w:adjustRightInd w:val="0"/>
              <w:snapToGrid w:val="0"/>
              <w:spacing w:line="360" w:lineRule="auto"/>
              <w:jc w:val="center"/>
              <w:rPr>
                <w:rFonts w:hint="eastAsia" w:ascii="宋体" w:hAnsi="宋体"/>
                <w:sz w:val="22"/>
                <w:highlight w:val="none"/>
              </w:rPr>
            </w:pPr>
          </w:p>
        </w:tc>
        <w:tc>
          <w:tcPr>
            <w:tcW w:w="937" w:type="dxa"/>
            <w:vAlign w:val="center"/>
          </w:tcPr>
          <w:p w14:paraId="1C0E657E">
            <w:pPr>
              <w:adjustRightInd w:val="0"/>
              <w:snapToGrid w:val="0"/>
              <w:spacing w:line="360" w:lineRule="auto"/>
              <w:jc w:val="center"/>
              <w:rPr>
                <w:rFonts w:hint="eastAsia" w:ascii="宋体" w:hAnsi="宋体"/>
                <w:sz w:val="22"/>
                <w:highlight w:val="none"/>
              </w:rPr>
            </w:pPr>
          </w:p>
        </w:tc>
        <w:tc>
          <w:tcPr>
            <w:tcW w:w="1050" w:type="dxa"/>
            <w:vAlign w:val="center"/>
          </w:tcPr>
          <w:p w14:paraId="25E85461">
            <w:pPr>
              <w:adjustRightInd w:val="0"/>
              <w:snapToGrid w:val="0"/>
              <w:spacing w:line="360" w:lineRule="auto"/>
              <w:jc w:val="center"/>
              <w:rPr>
                <w:rFonts w:hint="eastAsia" w:ascii="宋体" w:hAnsi="宋体"/>
                <w:sz w:val="22"/>
                <w:highlight w:val="none"/>
              </w:rPr>
            </w:pPr>
          </w:p>
        </w:tc>
        <w:tc>
          <w:tcPr>
            <w:tcW w:w="1175" w:type="dxa"/>
            <w:vAlign w:val="center"/>
          </w:tcPr>
          <w:p w14:paraId="3A55BCF2">
            <w:pPr>
              <w:adjustRightInd w:val="0"/>
              <w:snapToGrid w:val="0"/>
              <w:spacing w:line="360" w:lineRule="auto"/>
              <w:jc w:val="center"/>
              <w:rPr>
                <w:rFonts w:hint="eastAsia" w:ascii="宋体" w:hAnsi="宋体"/>
                <w:sz w:val="22"/>
                <w:highlight w:val="none"/>
              </w:rPr>
            </w:pPr>
          </w:p>
        </w:tc>
        <w:tc>
          <w:tcPr>
            <w:tcW w:w="954" w:type="dxa"/>
            <w:vAlign w:val="center"/>
          </w:tcPr>
          <w:p w14:paraId="7F5A0E18">
            <w:pPr>
              <w:adjustRightInd w:val="0"/>
              <w:snapToGrid w:val="0"/>
              <w:spacing w:line="360" w:lineRule="auto"/>
              <w:jc w:val="center"/>
              <w:rPr>
                <w:rFonts w:hint="eastAsia" w:ascii="宋体" w:hAnsi="宋体"/>
                <w:sz w:val="22"/>
                <w:highlight w:val="none"/>
              </w:rPr>
            </w:pPr>
          </w:p>
        </w:tc>
      </w:tr>
      <w:tr w14:paraId="247AB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0E6FADF3">
            <w:pPr>
              <w:adjustRightInd w:val="0"/>
              <w:snapToGrid w:val="0"/>
              <w:spacing w:line="360" w:lineRule="auto"/>
              <w:jc w:val="center"/>
              <w:rPr>
                <w:rFonts w:hint="eastAsia" w:ascii="宋体" w:hAnsi="宋体"/>
                <w:sz w:val="22"/>
                <w:highlight w:val="none"/>
              </w:rPr>
            </w:pPr>
          </w:p>
        </w:tc>
        <w:tc>
          <w:tcPr>
            <w:tcW w:w="1260" w:type="dxa"/>
            <w:vAlign w:val="center"/>
          </w:tcPr>
          <w:p w14:paraId="30E3CFD3">
            <w:pPr>
              <w:adjustRightInd w:val="0"/>
              <w:snapToGrid w:val="0"/>
              <w:spacing w:line="360" w:lineRule="auto"/>
              <w:jc w:val="center"/>
              <w:rPr>
                <w:rFonts w:hint="eastAsia" w:ascii="宋体" w:hAnsi="宋体"/>
                <w:sz w:val="22"/>
                <w:highlight w:val="none"/>
              </w:rPr>
            </w:pPr>
          </w:p>
        </w:tc>
        <w:tc>
          <w:tcPr>
            <w:tcW w:w="1061" w:type="dxa"/>
            <w:vAlign w:val="center"/>
          </w:tcPr>
          <w:p w14:paraId="201F66EF">
            <w:pPr>
              <w:adjustRightInd w:val="0"/>
              <w:snapToGrid w:val="0"/>
              <w:spacing w:line="360" w:lineRule="auto"/>
              <w:jc w:val="center"/>
              <w:rPr>
                <w:rFonts w:hint="eastAsia" w:ascii="宋体" w:hAnsi="宋体"/>
                <w:sz w:val="22"/>
                <w:highlight w:val="none"/>
              </w:rPr>
            </w:pPr>
          </w:p>
        </w:tc>
        <w:tc>
          <w:tcPr>
            <w:tcW w:w="863" w:type="dxa"/>
            <w:vAlign w:val="center"/>
          </w:tcPr>
          <w:p w14:paraId="3544599F">
            <w:pPr>
              <w:adjustRightInd w:val="0"/>
              <w:snapToGrid w:val="0"/>
              <w:spacing w:line="360" w:lineRule="auto"/>
              <w:jc w:val="center"/>
              <w:rPr>
                <w:rFonts w:hint="eastAsia" w:ascii="宋体" w:hAnsi="宋体"/>
                <w:sz w:val="22"/>
                <w:highlight w:val="none"/>
              </w:rPr>
            </w:pPr>
          </w:p>
        </w:tc>
        <w:tc>
          <w:tcPr>
            <w:tcW w:w="937" w:type="dxa"/>
            <w:vAlign w:val="center"/>
          </w:tcPr>
          <w:p w14:paraId="04D50BB1">
            <w:pPr>
              <w:adjustRightInd w:val="0"/>
              <w:snapToGrid w:val="0"/>
              <w:spacing w:line="360" w:lineRule="auto"/>
              <w:jc w:val="center"/>
              <w:rPr>
                <w:rFonts w:hint="eastAsia" w:ascii="宋体" w:hAnsi="宋体"/>
                <w:sz w:val="22"/>
                <w:highlight w:val="none"/>
              </w:rPr>
            </w:pPr>
          </w:p>
        </w:tc>
        <w:tc>
          <w:tcPr>
            <w:tcW w:w="1050" w:type="dxa"/>
            <w:vAlign w:val="center"/>
          </w:tcPr>
          <w:p w14:paraId="1DF2B1DB">
            <w:pPr>
              <w:adjustRightInd w:val="0"/>
              <w:snapToGrid w:val="0"/>
              <w:spacing w:line="360" w:lineRule="auto"/>
              <w:jc w:val="center"/>
              <w:rPr>
                <w:rFonts w:hint="eastAsia" w:ascii="宋体" w:hAnsi="宋体"/>
                <w:sz w:val="22"/>
                <w:highlight w:val="none"/>
              </w:rPr>
            </w:pPr>
          </w:p>
        </w:tc>
        <w:tc>
          <w:tcPr>
            <w:tcW w:w="1175" w:type="dxa"/>
            <w:vAlign w:val="center"/>
          </w:tcPr>
          <w:p w14:paraId="31338DCB">
            <w:pPr>
              <w:adjustRightInd w:val="0"/>
              <w:snapToGrid w:val="0"/>
              <w:spacing w:line="360" w:lineRule="auto"/>
              <w:jc w:val="center"/>
              <w:rPr>
                <w:rFonts w:hint="eastAsia" w:ascii="宋体" w:hAnsi="宋体"/>
                <w:sz w:val="22"/>
                <w:highlight w:val="none"/>
              </w:rPr>
            </w:pPr>
          </w:p>
        </w:tc>
        <w:tc>
          <w:tcPr>
            <w:tcW w:w="954" w:type="dxa"/>
            <w:vAlign w:val="center"/>
          </w:tcPr>
          <w:p w14:paraId="4BF75933">
            <w:pPr>
              <w:adjustRightInd w:val="0"/>
              <w:snapToGrid w:val="0"/>
              <w:spacing w:line="360" w:lineRule="auto"/>
              <w:jc w:val="center"/>
              <w:rPr>
                <w:rFonts w:hint="eastAsia" w:ascii="宋体" w:hAnsi="宋体"/>
                <w:sz w:val="22"/>
                <w:highlight w:val="none"/>
              </w:rPr>
            </w:pPr>
          </w:p>
        </w:tc>
      </w:tr>
      <w:tr w14:paraId="5A1A6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607BA79B">
            <w:pPr>
              <w:adjustRightInd w:val="0"/>
              <w:snapToGrid w:val="0"/>
              <w:spacing w:line="360" w:lineRule="auto"/>
              <w:jc w:val="center"/>
              <w:rPr>
                <w:rFonts w:hint="eastAsia" w:ascii="宋体" w:hAnsi="宋体"/>
                <w:sz w:val="22"/>
                <w:highlight w:val="none"/>
              </w:rPr>
            </w:pPr>
          </w:p>
        </w:tc>
        <w:tc>
          <w:tcPr>
            <w:tcW w:w="1260" w:type="dxa"/>
            <w:vAlign w:val="center"/>
          </w:tcPr>
          <w:p w14:paraId="7E4F027F">
            <w:pPr>
              <w:adjustRightInd w:val="0"/>
              <w:snapToGrid w:val="0"/>
              <w:spacing w:line="360" w:lineRule="auto"/>
              <w:jc w:val="center"/>
              <w:rPr>
                <w:rFonts w:hint="eastAsia" w:ascii="宋体" w:hAnsi="宋体"/>
                <w:sz w:val="22"/>
                <w:highlight w:val="none"/>
              </w:rPr>
            </w:pPr>
          </w:p>
        </w:tc>
        <w:tc>
          <w:tcPr>
            <w:tcW w:w="1061" w:type="dxa"/>
            <w:vAlign w:val="center"/>
          </w:tcPr>
          <w:p w14:paraId="73D1478C">
            <w:pPr>
              <w:adjustRightInd w:val="0"/>
              <w:snapToGrid w:val="0"/>
              <w:spacing w:line="360" w:lineRule="auto"/>
              <w:jc w:val="center"/>
              <w:rPr>
                <w:rFonts w:hint="eastAsia" w:ascii="宋体" w:hAnsi="宋体"/>
                <w:sz w:val="22"/>
                <w:highlight w:val="none"/>
              </w:rPr>
            </w:pPr>
          </w:p>
        </w:tc>
        <w:tc>
          <w:tcPr>
            <w:tcW w:w="863" w:type="dxa"/>
            <w:vAlign w:val="center"/>
          </w:tcPr>
          <w:p w14:paraId="0B4DC472">
            <w:pPr>
              <w:adjustRightInd w:val="0"/>
              <w:snapToGrid w:val="0"/>
              <w:spacing w:line="360" w:lineRule="auto"/>
              <w:jc w:val="center"/>
              <w:rPr>
                <w:rFonts w:hint="eastAsia" w:ascii="宋体" w:hAnsi="宋体"/>
                <w:sz w:val="22"/>
                <w:highlight w:val="none"/>
              </w:rPr>
            </w:pPr>
          </w:p>
        </w:tc>
        <w:tc>
          <w:tcPr>
            <w:tcW w:w="937" w:type="dxa"/>
            <w:vAlign w:val="center"/>
          </w:tcPr>
          <w:p w14:paraId="6D28BCE5">
            <w:pPr>
              <w:adjustRightInd w:val="0"/>
              <w:snapToGrid w:val="0"/>
              <w:spacing w:line="360" w:lineRule="auto"/>
              <w:jc w:val="center"/>
              <w:rPr>
                <w:rFonts w:hint="eastAsia" w:ascii="宋体" w:hAnsi="宋体"/>
                <w:sz w:val="22"/>
                <w:highlight w:val="none"/>
              </w:rPr>
            </w:pPr>
          </w:p>
        </w:tc>
        <w:tc>
          <w:tcPr>
            <w:tcW w:w="1050" w:type="dxa"/>
            <w:vAlign w:val="center"/>
          </w:tcPr>
          <w:p w14:paraId="2EC6AB53">
            <w:pPr>
              <w:adjustRightInd w:val="0"/>
              <w:snapToGrid w:val="0"/>
              <w:spacing w:line="360" w:lineRule="auto"/>
              <w:jc w:val="center"/>
              <w:rPr>
                <w:rFonts w:hint="eastAsia" w:ascii="宋体" w:hAnsi="宋体"/>
                <w:sz w:val="22"/>
                <w:highlight w:val="none"/>
              </w:rPr>
            </w:pPr>
          </w:p>
        </w:tc>
        <w:tc>
          <w:tcPr>
            <w:tcW w:w="1175" w:type="dxa"/>
            <w:vAlign w:val="center"/>
          </w:tcPr>
          <w:p w14:paraId="01377841">
            <w:pPr>
              <w:adjustRightInd w:val="0"/>
              <w:snapToGrid w:val="0"/>
              <w:spacing w:line="360" w:lineRule="auto"/>
              <w:jc w:val="center"/>
              <w:rPr>
                <w:rFonts w:hint="eastAsia" w:ascii="宋体" w:hAnsi="宋体"/>
                <w:sz w:val="22"/>
                <w:highlight w:val="none"/>
              </w:rPr>
            </w:pPr>
          </w:p>
        </w:tc>
        <w:tc>
          <w:tcPr>
            <w:tcW w:w="954" w:type="dxa"/>
            <w:vAlign w:val="center"/>
          </w:tcPr>
          <w:p w14:paraId="3423B168">
            <w:pPr>
              <w:adjustRightInd w:val="0"/>
              <w:snapToGrid w:val="0"/>
              <w:spacing w:line="360" w:lineRule="auto"/>
              <w:jc w:val="center"/>
              <w:rPr>
                <w:rFonts w:hint="eastAsia" w:ascii="宋体" w:hAnsi="宋体"/>
                <w:sz w:val="22"/>
                <w:highlight w:val="none"/>
              </w:rPr>
            </w:pPr>
          </w:p>
        </w:tc>
      </w:tr>
      <w:tr w14:paraId="70611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756ECCF">
            <w:pPr>
              <w:adjustRightInd w:val="0"/>
              <w:snapToGrid w:val="0"/>
              <w:spacing w:line="360" w:lineRule="auto"/>
              <w:jc w:val="center"/>
              <w:rPr>
                <w:rFonts w:hint="eastAsia" w:ascii="宋体" w:hAnsi="宋体"/>
                <w:sz w:val="22"/>
                <w:highlight w:val="none"/>
              </w:rPr>
            </w:pPr>
          </w:p>
        </w:tc>
        <w:tc>
          <w:tcPr>
            <w:tcW w:w="1260" w:type="dxa"/>
            <w:vAlign w:val="center"/>
          </w:tcPr>
          <w:p w14:paraId="3952C16C">
            <w:pPr>
              <w:adjustRightInd w:val="0"/>
              <w:snapToGrid w:val="0"/>
              <w:spacing w:line="360" w:lineRule="auto"/>
              <w:jc w:val="center"/>
              <w:rPr>
                <w:rFonts w:hint="eastAsia" w:ascii="宋体" w:hAnsi="宋体"/>
                <w:sz w:val="22"/>
                <w:highlight w:val="none"/>
              </w:rPr>
            </w:pPr>
          </w:p>
        </w:tc>
        <w:tc>
          <w:tcPr>
            <w:tcW w:w="1061" w:type="dxa"/>
            <w:vAlign w:val="center"/>
          </w:tcPr>
          <w:p w14:paraId="15A53B34">
            <w:pPr>
              <w:adjustRightInd w:val="0"/>
              <w:snapToGrid w:val="0"/>
              <w:spacing w:line="360" w:lineRule="auto"/>
              <w:jc w:val="center"/>
              <w:rPr>
                <w:rFonts w:hint="eastAsia" w:ascii="宋体" w:hAnsi="宋体"/>
                <w:sz w:val="22"/>
                <w:highlight w:val="none"/>
              </w:rPr>
            </w:pPr>
          </w:p>
        </w:tc>
        <w:tc>
          <w:tcPr>
            <w:tcW w:w="863" w:type="dxa"/>
            <w:vAlign w:val="center"/>
          </w:tcPr>
          <w:p w14:paraId="64CAD0B3">
            <w:pPr>
              <w:adjustRightInd w:val="0"/>
              <w:snapToGrid w:val="0"/>
              <w:spacing w:line="360" w:lineRule="auto"/>
              <w:jc w:val="center"/>
              <w:rPr>
                <w:rFonts w:hint="eastAsia" w:ascii="宋体" w:hAnsi="宋体"/>
                <w:sz w:val="22"/>
                <w:highlight w:val="none"/>
              </w:rPr>
            </w:pPr>
          </w:p>
        </w:tc>
        <w:tc>
          <w:tcPr>
            <w:tcW w:w="937" w:type="dxa"/>
            <w:vAlign w:val="center"/>
          </w:tcPr>
          <w:p w14:paraId="0769617B">
            <w:pPr>
              <w:adjustRightInd w:val="0"/>
              <w:snapToGrid w:val="0"/>
              <w:spacing w:line="360" w:lineRule="auto"/>
              <w:jc w:val="center"/>
              <w:rPr>
                <w:rFonts w:hint="eastAsia" w:ascii="宋体" w:hAnsi="宋体"/>
                <w:sz w:val="22"/>
                <w:highlight w:val="none"/>
              </w:rPr>
            </w:pPr>
          </w:p>
        </w:tc>
        <w:tc>
          <w:tcPr>
            <w:tcW w:w="1050" w:type="dxa"/>
            <w:vAlign w:val="center"/>
          </w:tcPr>
          <w:p w14:paraId="486AF8BB">
            <w:pPr>
              <w:adjustRightInd w:val="0"/>
              <w:snapToGrid w:val="0"/>
              <w:spacing w:line="360" w:lineRule="auto"/>
              <w:jc w:val="center"/>
              <w:rPr>
                <w:rFonts w:hint="eastAsia" w:ascii="宋体" w:hAnsi="宋体"/>
                <w:sz w:val="22"/>
                <w:highlight w:val="none"/>
              </w:rPr>
            </w:pPr>
          </w:p>
        </w:tc>
        <w:tc>
          <w:tcPr>
            <w:tcW w:w="1175" w:type="dxa"/>
            <w:vAlign w:val="center"/>
          </w:tcPr>
          <w:p w14:paraId="2ABA1250">
            <w:pPr>
              <w:adjustRightInd w:val="0"/>
              <w:snapToGrid w:val="0"/>
              <w:spacing w:line="360" w:lineRule="auto"/>
              <w:jc w:val="center"/>
              <w:rPr>
                <w:rFonts w:hint="eastAsia" w:ascii="宋体" w:hAnsi="宋体"/>
                <w:sz w:val="22"/>
                <w:highlight w:val="none"/>
              </w:rPr>
            </w:pPr>
          </w:p>
        </w:tc>
        <w:tc>
          <w:tcPr>
            <w:tcW w:w="954" w:type="dxa"/>
            <w:vAlign w:val="center"/>
          </w:tcPr>
          <w:p w14:paraId="6118CD57">
            <w:pPr>
              <w:adjustRightInd w:val="0"/>
              <w:snapToGrid w:val="0"/>
              <w:spacing w:line="360" w:lineRule="auto"/>
              <w:jc w:val="center"/>
              <w:rPr>
                <w:rFonts w:hint="eastAsia" w:ascii="宋体" w:hAnsi="宋体"/>
                <w:sz w:val="22"/>
                <w:highlight w:val="none"/>
              </w:rPr>
            </w:pPr>
          </w:p>
        </w:tc>
      </w:tr>
      <w:tr w14:paraId="3B8BA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32541567">
            <w:pPr>
              <w:adjustRightInd w:val="0"/>
              <w:snapToGrid w:val="0"/>
              <w:spacing w:line="360" w:lineRule="auto"/>
              <w:jc w:val="center"/>
              <w:rPr>
                <w:rFonts w:hint="eastAsia" w:ascii="宋体" w:hAnsi="宋体"/>
                <w:sz w:val="22"/>
                <w:highlight w:val="none"/>
              </w:rPr>
            </w:pPr>
          </w:p>
        </w:tc>
        <w:tc>
          <w:tcPr>
            <w:tcW w:w="1260" w:type="dxa"/>
            <w:vAlign w:val="center"/>
          </w:tcPr>
          <w:p w14:paraId="7F4BBE1A">
            <w:pPr>
              <w:adjustRightInd w:val="0"/>
              <w:snapToGrid w:val="0"/>
              <w:spacing w:line="360" w:lineRule="auto"/>
              <w:jc w:val="center"/>
              <w:rPr>
                <w:rFonts w:hint="eastAsia" w:ascii="宋体" w:hAnsi="宋体"/>
                <w:sz w:val="22"/>
                <w:highlight w:val="none"/>
              </w:rPr>
            </w:pPr>
          </w:p>
        </w:tc>
        <w:tc>
          <w:tcPr>
            <w:tcW w:w="1061" w:type="dxa"/>
            <w:vAlign w:val="center"/>
          </w:tcPr>
          <w:p w14:paraId="4A796E25">
            <w:pPr>
              <w:adjustRightInd w:val="0"/>
              <w:snapToGrid w:val="0"/>
              <w:spacing w:line="360" w:lineRule="auto"/>
              <w:jc w:val="center"/>
              <w:rPr>
                <w:rFonts w:hint="eastAsia" w:ascii="宋体" w:hAnsi="宋体"/>
                <w:sz w:val="22"/>
                <w:highlight w:val="none"/>
              </w:rPr>
            </w:pPr>
          </w:p>
        </w:tc>
        <w:tc>
          <w:tcPr>
            <w:tcW w:w="863" w:type="dxa"/>
            <w:vAlign w:val="center"/>
          </w:tcPr>
          <w:p w14:paraId="00E397E0">
            <w:pPr>
              <w:adjustRightInd w:val="0"/>
              <w:snapToGrid w:val="0"/>
              <w:spacing w:line="360" w:lineRule="auto"/>
              <w:jc w:val="center"/>
              <w:rPr>
                <w:rFonts w:hint="eastAsia" w:ascii="宋体" w:hAnsi="宋体"/>
                <w:sz w:val="22"/>
                <w:highlight w:val="none"/>
              </w:rPr>
            </w:pPr>
          </w:p>
        </w:tc>
        <w:tc>
          <w:tcPr>
            <w:tcW w:w="937" w:type="dxa"/>
            <w:vAlign w:val="center"/>
          </w:tcPr>
          <w:p w14:paraId="7BA10E8D">
            <w:pPr>
              <w:adjustRightInd w:val="0"/>
              <w:snapToGrid w:val="0"/>
              <w:spacing w:line="360" w:lineRule="auto"/>
              <w:jc w:val="center"/>
              <w:rPr>
                <w:rFonts w:hint="eastAsia" w:ascii="宋体" w:hAnsi="宋体"/>
                <w:sz w:val="22"/>
                <w:highlight w:val="none"/>
              </w:rPr>
            </w:pPr>
          </w:p>
        </w:tc>
        <w:tc>
          <w:tcPr>
            <w:tcW w:w="1050" w:type="dxa"/>
            <w:vAlign w:val="center"/>
          </w:tcPr>
          <w:p w14:paraId="29AA37E4">
            <w:pPr>
              <w:adjustRightInd w:val="0"/>
              <w:snapToGrid w:val="0"/>
              <w:spacing w:line="360" w:lineRule="auto"/>
              <w:jc w:val="center"/>
              <w:rPr>
                <w:rFonts w:hint="eastAsia" w:ascii="宋体" w:hAnsi="宋体"/>
                <w:sz w:val="22"/>
                <w:highlight w:val="none"/>
              </w:rPr>
            </w:pPr>
          </w:p>
        </w:tc>
        <w:tc>
          <w:tcPr>
            <w:tcW w:w="1175" w:type="dxa"/>
            <w:vAlign w:val="center"/>
          </w:tcPr>
          <w:p w14:paraId="5064A7D0">
            <w:pPr>
              <w:adjustRightInd w:val="0"/>
              <w:snapToGrid w:val="0"/>
              <w:spacing w:line="360" w:lineRule="auto"/>
              <w:jc w:val="center"/>
              <w:rPr>
                <w:rFonts w:hint="eastAsia" w:ascii="宋体" w:hAnsi="宋体"/>
                <w:sz w:val="22"/>
                <w:highlight w:val="none"/>
              </w:rPr>
            </w:pPr>
          </w:p>
        </w:tc>
        <w:tc>
          <w:tcPr>
            <w:tcW w:w="954" w:type="dxa"/>
            <w:vAlign w:val="center"/>
          </w:tcPr>
          <w:p w14:paraId="0E41A809">
            <w:pPr>
              <w:adjustRightInd w:val="0"/>
              <w:snapToGrid w:val="0"/>
              <w:spacing w:line="360" w:lineRule="auto"/>
              <w:jc w:val="center"/>
              <w:rPr>
                <w:rFonts w:hint="eastAsia" w:ascii="宋体" w:hAnsi="宋体"/>
                <w:sz w:val="22"/>
                <w:highlight w:val="none"/>
              </w:rPr>
            </w:pPr>
          </w:p>
        </w:tc>
      </w:tr>
      <w:tr w14:paraId="334A9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033FA2E2">
            <w:pPr>
              <w:adjustRightInd w:val="0"/>
              <w:snapToGrid w:val="0"/>
              <w:spacing w:line="360" w:lineRule="auto"/>
              <w:rPr>
                <w:rFonts w:hint="eastAsia" w:ascii="宋体" w:hAnsi="宋体"/>
                <w:sz w:val="22"/>
                <w:highlight w:val="none"/>
              </w:rPr>
            </w:pPr>
          </w:p>
        </w:tc>
        <w:tc>
          <w:tcPr>
            <w:tcW w:w="1260" w:type="dxa"/>
            <w:vAlign w:val="center"/>
          </w:tcPr>
          <w:p w14:paraId="7BC18966">
            <w:pPr>
              <w:adjustRightInd w:val="0"/>
              <w:snapToGrid w:val="0"/>
              <w:spacing w:line="360" w:lineRule="auto"/>
              <w:jc w:val="center"/>
              <w:rPr>
                <w:rFonts w:hint="eastAsia" w:ascii="宋体" w:hAnsi="宋体"/>
                <w:sz w:val="22"/>
                <w:highlight w:val="none"/>
              </w:rPr>
            </w:pPr>
          </w:p>
        </w:tc>
        <w:tc>
          <w:tcPr>
            <w:tcW w:w="1061" w:type="dxa"/>
            <w:vAlign w:val="center"/>
          </w:tcPr>
          <w:p w14:paraId="55230103">
            <w:pPr>
              <w:adjustRightInd w:val="0"/>
              <w:snapToGrid w:val="0"/>
              <w:spacing w:line="360" w:lineRule="auto"/>
              <w:jc w:val="center"/>
              <w:rPr>
                <w:rFonts w:hint="eastAsia" w:ascii="宋体" w:hAnsi="宋体"/>
                <w:sz w:val="22"/>
                <w:highlight w:val="none"/>
              </w:rPr>
            </w:pPr>
          </w:p>
        </w:tc>
        <w:tc>
          <w:tcPr>
            <w:tcW w:w="863" w:type="dxa"/>
            <w:vAlign w:val="center"/>
          </w:tcPr>
          <w:p w14:paraId="3C5ACA09">
            <w:pPr>
              <w:adjustRightInd w:val="0"/>
              <w:snapToGrid w:val="0"/>
              <w:spacing w:line="360" w:lineRule="auto"/>
              <w:jc w:val="center"/>
              <w:rPr>
                <w:rFonts w:hint="eastAsia" w:ascii="宋体" w:hAnsi="宋体"/>
                <w:sz w:val="22"/>
                <w:highlight w:val="none"/>
              </w:rPr>
            </w:pPr>
          </w:p>
        </w:tc>
        <w:tc>
          <w:tcPr>
            <w:tcW w:w="937" w:type="dxa"/>
            <w:vAlign w:val="center"/>
          </w:tcPr>
          <w:p w14:paraId="06648268">
            <w:pPr>
              <w:adjustRightInd w:val="0"/>
              <w:snapToGrid w:val="0"/>
              <w:spacing w:line="360" w:lineRule="auto"/>
              <w:jc w:val="center"/>
              <w:rPr>
                <w:rFonts w:hint="eastAsia" w:ascii="宋体" w:hAnsi="宋体"/>
                <w:sz w:val="22"/>
                <w:highlight w:val="none"/>
              </w:rPr>
            </w:pPr>
          </w:p>
        </w:tc>
        <w:tc>
          <w:tcPr>
            <w:tcW w:w="1050" w:type="dxa"/>
            <w:vAlign w:val="center"/>
          </w:tcPr>
          <w:p w14:paraId="548DBD02">
            <w:pPr>
              <w:adjustRightInd w:val="0"/>
              <w:snapToGrid w:val="0"/>
              <w:spacing w:line="360" w:lineRule="auto"/>
              <w:jc w:val="center"/>
              <w:rPr>
                <w:rFonts w:hint="eastAsia" w:ascii="宋体" w:hAnsi="宋体"/>
                <w:sz w:val="22"/>
                <w:highlight w:val="none"/>
              </w:rPr>
            </w:pPr>
          </w:p>
        </w:tc>
        <w:tc>
          <w:tcPr>
            <w:tcW w:w="1175" w:type="dxa"/>
            <w:vAlign w:val="center"/>
          </w:tcPr>
          <w:p w14:paraId="320BB136">
            <w:pPr>
              <w:adjustRightInd w:val="0"/>
              <w:snapToGrid w:val="0"/>
              <w:spacing w:line="360" w:lineRule="auto"/>
              <w:jc w:val="center"/>
              <w:rPr>
                <w:rFonts w:hint="eastAsia" w:ascii="宋体" w:hAnsi="宋体"/>
                <w:sz w:val="22"/>
                <w:highlight w:val="none"/>
              </w:rPr>
            </w:pPr>
          </w:p>
        </w:tc>
        <w:tc>
          <w:tcPr>
            <w:tcW w:w="954" w:type="dxa"/>
            <w:vAlign w:val="center"/>
          </w:tcPr>
          <w:p w14:paraId="1C87516E">
            <w:pPr>
              <w:adjustRightInd w:val="0"/>
              <w:snapToGrid w:val="0"/>
              <w:spacing w:line="360" w:lineRule="auto"/>
              <w:jc w:val="center"/>
              <w:rPr>
                <w:rFonts w:hint="eastAsia" w:ascii="宋体" w:hAnsi="宋体"/>
                <w:sz w:val="22"/>
                <w:highlight w:val="none"/>
              </w:rPr>
            </w:pPr>
          </w:p>
        </w:tc>
      </w:tr>
      <w:tr w14:paraId="58564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32C6F15">
            <w:pPr>
              <w:adjustRightInd w:val="0"/>
              <w:snapToGrid w:val="0"/>
              <w:spacing w:line="360" w:lineRule="auto"/>
              <w:rPr>
                <w:rFonts w:hint="eastAsia" w:ascii="宋体" w:hAnsi="宋体"/>
                <w:sz w:val="22"/>
                <w:highlight w:val="none"/>
              </w:rPr>
            </w:pPr>
          </w:p>
        </w:tc>
        <w:tc>
          <w:tcPr>
            <w:tcW w:w="1260" w:type="dxa"/>
            <w:vAlign w:val="center"/>
          </w:tcPr>
          <w:p w14:paraId="7712486C">
            <w:pPr>
              <w:adjustRightInd w:val="0"/>
              <w:snapToGrid w:val="0"/>
              <w:spacing w:line="360" w:lineRule="auto"/>
              <w:jc w:val="center"/>
              <w:rPr>
                <w:rFonts w:hint="eastAsia" w:ascii="宋体" w:hAnsi="宋体"/>
                <w:sz w:val="22"/>
                <w:highlight w:val="none"/>
              </w:rPr>
            </w:pPr>
          </w:p>
        </w:tc>
        <w:tc>
          <w:tcPr>
            <w:tcW w:w="1061" w:type="dxa"/>
            <w:vAlign w:val="center"/>
          </w:tcPr>
          <w:p w14:paraId="507F9F95">
            <w:pPr>
              <w:adjustRightInd w:val="0"/>
              <w:snapToGrid w:val="0"/>
              <w:spacing w:line="360" w:lineRule="auto"/>
              <w:jc w:val="center"/>
              <w:rPr>
                <w:rFonts w:hint="eastAsia" w:ascii="宋体" w:hAnsi="宋体"/>
                <w:sz w:val="22"/>
                <w:highlight w:val="none"/>
              </w:rPr>
            </w:pPr>
          </w:p>
        </w:tc>
        <w:tc>
          <w:tcPr>
            <w:tcW w:w="863" w:type="dxa"/>
            <w:vAlign w:val="center"/>
          </w:tcPr>
          <w:p w14:paraId="6E04D082">
            <w:pPr>
              <w:adjustRightInd w:val="0"/>
              <w:snapToGrid w:val="0"/>
              <w:spacing w:line="360" w:lineRule="auto"/>
              <w:jc w:val="center"/>
              <w:rPr>
                <w:rFonts w:hint="eastAsia" w:ascii="宋体" w:hAnsi="宋体"/>
                <w:sz w:val="22"/>
                <w:highlight w:val="none"/>
              </w:rPr>
            </w:pPr>
          </w:p>
        </w:tc>
        <w:tc>
          <w:tcPr>
            <w:tcW w:w="937" w:type="dxa"/>
            <w:vAlign w:val="center"/>
          </w:tcPr>
          <w:p w14:paraId="635B88DC">
            <w:pPr>
              <w:adjustRightInd w:val="0"/>
              <w:snapToGrid w:val="0"/>
              <w:spacing w:line="360" w:lineRule="auto"/>
              <w:jc w:val="center"/>
              <w:rPr>
                <w:rFonts w:hint="eastAsia" w:ascii="宋体" w:hAnsi="宋体"/>
                <w:sz w:val="22"/>
                <w:highlight w:val="none"/>
              </w:rPr>
            </w:pPr>
          </w:p>
        </w:tc>
        <w:tc>
          <w:tcPr>
            <w:tcW w:w="1050" w:type="dxa"/>
            <w:vAlign w:val="center"/>
          </w:tcPr>
          <w:p w14:paraId="06B453DE">
            <w:pPr>
              <w:adjustRightInd w:val="0"/>
              <w:snapToGrid w:val="0"/>
              <w:spacing w:line="360" w:lineRule="auto"/>
              <w:jc w:val="center"/>
              <w:rPr>
                <w:rFonts w:hint="eastAsia" w:ascii="宋体" w:hAnsi="宋体"/>
                <w:sz w:val="22"/>
                <w:highlight w:val="none"/>
              </w:rPr>
            </w:pPr>
          </w:p>
        </w:tc>
        <w:tc>
          <w:tcPr>
            <w:tcW w:w="1175" w:type="dxa"/>
            <w:vAlign w:val="center"/>
          </w:tcPr>
          <w:p w14:paraId="3715583D">
            <w:pPr>
              <w:adjustRightInd w:val="0"/>
              <w:snapToGrid w:val="0"/>
              <w:spacing w:line="360" w:lineRule="auto"/>
              <w:jc w:val="center"/>
              <w:rPr>
                <w:rFonts w:hint="eastAsia" w:ascii="宋体" w:hAnsi="宋体"/>
                <w:sz w:val="22"/>
                <w:highlight w:val="none"/>
              </w:rPr>
            </w:pPr>
          </w:p>
        </w:tc>
        <w:tc>
          <w:tcPr>
            <w:tcW w:w="954" w:type="dxa"/>
            <w:vAlign w:val="center"/>
          </w:tcPr>
          <w:p w14:paraId="30FD1750">
            <w:pPr>
              <w:adjustRightInd w:val="0"/>
              <w:snapToGrid w:val="0"/>
              <w:spacing w:line="360" w:lineRule="auto"/>
              <w:jc w:val="center"/>
              <w:rPr>
                <w:rFonts w:hint="eastAsia" w:ascii="宋体" w:hAnsi="宋体"/>
                <w:sz w:val="22"/>
                <w:highlight w:val="none"/>
              </w:rPr>
            </w:pPr>
          </w:p>
        </w:tc>
      </w:tr>
      <w:tr w14:paraId="135F5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15CF51B8">
            <w:pPr>
              <w:adjustRightInd w:val="0"/>
              <w:snapToGrid w:val="0"/>
              <w:spacing w:line="360" w:lineRule="auto"/>
              <w:rPr>
                <w:rFonts w:hint="eastAsia" w:ascii="宋体" w:hAnsi="宋体"/>
                <w:sz w:val="22"/>
                <w:highlight w:val="none"/>
              </w:rPr>
            </w:pPr>
          </w:p>
        </w:tc>
        <w:tc>
          <w:tcPr>
            <w:tcW w:w="1260" w:type="dxa"/>
            <w:vAlign w:val="center"/>
          </w:tcPr>
          <w:p w14:paraId="3B791727">
            <w:pPr>
              <w:adjustRightInd w:val="0"/>
              <w:snapToGrid w:val="0"/>
              <w:spacing w:line="360" w:lineRule="auto"/>
              <w:jc w:val="center"/>
              <w:rPr>
                <w:rFonts w:hint="eastAsia" w:ascii="宋体" w:hAnsi="宋体"/>
                <w:sz w:val="22"/>
                <w:highlight w:val="none"/>
              </w:rPr>
            </w:pPr>
          </w:p>
        </w:tc>
        <w:tc>
          <w:tcPr>
            <w:tcW w:w="1061" w:type="dxa"/>
            <w:vAlign w:val="center"/>
          </w:tcPr>
          <w:p w14:paraId="013E62EC">
            <w:pPr>
              <w:adjustRightInd w:val="0"/>
              <w:snapToGrid w:val="0"/>
              <w:spacing w:line="360" w:lineRule="auto"/>
              <w:jc w:val="center"/>
              <w:rPr>
                <w:rFonts w:hint="eastAsia" w:ascii="宋体" w:hAnsi="宋体"/>
                <w:sz w:val="22"/>
                <w:highlight w:val="none"/>
              </w:rPr>
            </w:pPr>
          </w:p>
        </w:tc>
        <w:tc>
          <w:tcPr>
            <w:tcW w:w="863" w:type="dxa"/>
            <w:vAlign w:val="center"/>
          </w:tcPr>
          <w:p w14:paraId="60B6B7E5">
            <w:pPr>
              <w:adjustRightInd w:val="0"/>
              <w:snapToGrid w:val="0"/>
              <w:spacing w:line="360" w:lineRule="auto"/>
              <w:jc w:val="center"/>
              <w:rPr>
                <w:rFonts w:hint="eastAsia" w:ascii="宋体" w:hAnsi="宋体"/>
                <w:sz w:val="22"/>
                <w:highlight w:val="none"/>
              </w:rPr>
            </w:pPr>
          </w:p>
        </w:tc>
        <w:tc>
          <w:tcPr>
            <w:tcW w:w="937" w:type="dxa"/>
            <w:vAlign w:val="center"/>
          </w:tcPr>
          <w:p w14:paraId="26AC9E2C">
            <w:pPr>
              <w:adjustRightInd w:val="0"/>
              <w:snapToGrid w:val="0"/>
              <w:spacing w:line="360" w:lineRule="auto"/>
              <w:jc w:val="center"/>
              <w:rPr>
                <w:rFonts w:hint="eastAsia" w:ascii="宋体" w:hAnsi="宋体"/>
                <w:sz w:val="22"/>
                <w:highlight w:val="none"/>
              </w:rPr>
            </w:pPr>
          </w:p>
        </w:tc>
        <w:tc>
          <w:tcPr>
            <w:tcW w:w="1050" w:type="dxa"/>
            <w:vAlign w:val="center"/>
          </w:tcPr>
          <w:p w14:paraId="6B45EB64">
            <w:pPr>
              <w:adjustRightInd w:val="0"/>
              <w:snapToGrid w:val="0"/>
              <w:spacing w:line="360" w:lineRule="auto"/>
              <w:jc w:val="center"/>
              <w:rPr>
                <w:rFonts w:hint="eastAsia" w:ascii="宋体" w:hAnsi="宋体"/>
                <w:sz w:val="22"/>
                <w:highlight w:val="none"/>
              </w:rPr>
            </w:pPr>
          </w:p>
        </w:tc>
        <w:tc>
          <w:tcPr>
            <w:tcW w:w="1175" w:type="dxa"/>
            <w:vAlign w:val="center"/>
          </w:tcPr>
          <w:p w14:paraId="39AF2FC0">
            <w:pPr>
              <w:adjustRightInd w:val="0"/>
              <w:snapToGrid w:val="0"/>
              <w:spacing w:line="360" w:lineRule="auto"/>
              <w:jc w:val="center"/>
              <w:rPr>
                <w:rFonts w:hint="eastAsia" w:ascii="宋体" w:hAnsi="宋体"/>
                <w:sz w:val="22"/>
                <w:highlight w:val="none"/>
              </w:rPr>
            </w:pPr>
          </w:p>
        </w:tc>
        <w:tc>
          <w:tcPr>
            <w:tcW w:w="954" w:type="dxa"/>
            <w:vAlign w:val="center"/>
          </w:tcPr>
          <w:p w14:paraId="226F2037">
            <w:pPr>
              <w:adjustRightInd w:val="0"/>
              <w:snapToGrid w:val="0"/>
              <w:spacing w:line="360" w:lineRule="auto"/>
              <w:jc w:val="center"/>
              <w:rPr>
                <w:rFonts w:hint="eastAsia" w:ascii="宋体" w:hAnsi="宋体"/>
                <w:sz w:val="22"/>
                <w:highlight w:val="none"/>
              </w:rPr>
            </w:pPr>
          </w:p>
        </w:tc>
      </w:tr>
    </w:tbl>
    <w:p w14:paraId="34BB6AAA">
      <w:pPr>
        <w:autoSpaceDE w:val="0"/>
        <w:autoSpaceDN w:val="0"/>
        <w:adjustRightInd w:val="0"/>
        <w:spacing w:line="360" w:lineRule="auto"/>
        <w:rPr>
          <w:rFonts w:hint="eastAsia" w:ascii="宋体" w:hAnsi="宋体"/>
          <w:sz w:val="22"/>
          <w:szCs w:val="22"/>
          <w:highlight w:val="none"/>
        </w:rPr>
      </w:pPr>
      <w:r>
        <w:rPr>
          <w:rFonts w:hint="eastAsia" w:ascii="宋体" w:hAnsi="宋体"/>
          <w:sz w:val="22"/>
          <w:szCs w:val="22"/>
          <w:highlight w:val="none"/>
        </w:rPr>
        <w:t>注：1、表格可以延续，本表人员有资格证书的应随表提交职称、资格证书等复印件（加盖公章）。</w:t>
      </w:r>
    </w:p>
    <w:p w14:paraId="5F582356">
      <w:pPr>
        <w:autoSpaceDE w:val="0"/>
        <w:autoSpaceDN w:val="0"/>
        <w:adjustRightInd w:val="0"/>
        <w:spacing w:line="360" w:lineRule="auto"/>
        <w:ind w:firstLine="325" w:firstLineChars="147"/>
        <w:rPr>
          <w:rFonts w:hint="eastAsia" w:ascii="宋体" w:hAnsi="宋体"/>
          <w:sz w:val="22"/>
          <w:szCs w:val="22"/>
          <w:highlight w:val="none"/>
        </w:rPr>
      </w:pPr>
      <w:r>
        <w:rPr>
          <w:rFonts w:hint="eastAsia" w:ascii="宋体" w:hAnsi="宋体"/>
          <w:sz w:val="22"/>
          <w:szCs w:val="22"/>
          <w:highlight w:val="none"/>
        </w:rPr>
        <w:t xml:space="preserve"> 2、列入本表人员如要更换，需经采购单位同意；擅自更换或不到位属违约行为。</w:t>
      </w:r>
    </w:p>
    <w:p w14:paraId="4635026E">
      <w:pPr>
        <w:autoSpaceDE w:val="0"/>
        <w:autoSpaceDN w:val="0"/>
        <w:adjustRightInd w:val="0"/>
        <w:spacing w:line="360" w:lineRule="auto"/>
        <w:ind w:firstLine="325" w:firstLineChars="147"/>
        <w:rPr>
          <w:rFonts w:hint="eastAsia" w:ascii="宋体" w:hAnsi="宋体"/>
          <w:sz w:val="22"/>
          <w:szCs w:val="22"/>
          <w:highlight w:val="none"/>
        </w:rPr>
      </w:pPr>
      <w:r>
        <w:rPr>
          <w:rFonts w:hint="eastAsia" w:ascii="宋体" w:hAnsi="宋体"/>
          <w:sz w:val="22"/>
          <w:szCs w:val="22"/>
          <w:highlight w:val="none"/>
        </w:rPr>
        <w:t>供应商全称（盖章）：</w:t>
      </w:r>
    </w:p>
    <w:p w14:paraId="6447FDFC">
      <w:pPr>
        <w:autoSpaceDE w:val="0"/>
        <w:autoSpaceDN w:val="0"/>
        <w:adjustRightInd w:val="0"/>
        <w:spacing w:line="360" w:lineRule="auto"/>
        <w:ind w:firstLine="325" w:firstLineChars="147"/>
        <w:rPr>
          <w:rFonts w:hint="eastAsia" w:ascii="宋体" w:hAnsi="宋体"/>
          <w:sz w:val="22"/>
          <w:szCs w:val="22"/>
          <w:highlight w:val="none"/>
        </w:rPr>
      </w:pPr>
      <w:r>
        <w:rPr>
          <w:rFonts w:hint="eastAsia" w:ascii="宋体" w:hAnsi="宋体"/>
          <w:sz w:val="22"/>
          <w:szCs w:val="22"/>
          <w:highlight w:val="none"/>
        </w:rPr>
        <w:t>法定代表人或授权代表（签字或盖章）：</w:t>
      </w:r>
    </w:p>
    <w:p w14:paraId="3BD0CA9E">
      <w:pPr>
        <w:autoSpaceDE w:val="0"/>
        <w:autoSpaceDN w:val="0"/>
        <w:adjustRightInd w:val="0"/>
        <w:spacing w:line="360" w:lineRule="auto"/>
        <w:ind w:firstLine="325" w:firstLineChars="147"/>
        <w:rPr>
          <w:rFonts w:hint="eastAsia" w:ascii="宋体" w:hAnsi="宋体"/>
          <w:sz w:val="22"/>
          <w:szCs w:val="22"/>
          <w:highlight w:val="none"/>
        </w:rPr>
      </w:pPr>
      <w:r>
        <w:rPr>
          <w:rFonts w:hint="eastAsia" w:ascii="宋体" w:hAnsi="宋体"/>
          <w:sz w:val="22"/>
          <w:szCs w:val="22"/>
          <w:highlight w:val="none"/>
        </w:rPr>
        <w:t xml:space="preserve">日      期：   </w:t>
      </w:r>
    </w:p>
    <w:p w14:paraId="49253F29">
      <w:pPr>
        <w:pStyle w:val="23"/>
        <w:rPr>
          <w:highlight w:val="none"/>
        </w:rPr>
      </w:pPr>
    </w:p>
    <w:p w14:paraId="5DDC7574">
      <w:pPr>
        <w:tabs>
          <w:tab w:val="left" w:pos="211"/>
        </w:tabs>
        <w:snapToGrid w:val="0"/>
        <w:spacing w:line="360" w:lineRule="atLeast"/>
        <w:jc w:val="center"/>
        <w:outlineLvl w:val="0"/>
        <w:rPr>
          <w:rFonts w:ascii="Cambria Math" w:hAnsi="Cambria Math" w:eastAsiaTheme="minorEastAsia"/>
          <w:b w:val="0"/>
          <w:color w:val="auto"/>
          <w:sz w:val="72"/>
          <w:szCs w:val="72"/>
          <w:highlight w:val="none"/>
        </w:rPr>
      </w:pPr>
      <w:r>
        <w:rPr>
          <w:rStyle w:val="72"/>
          <w:rFonts w:hint="eastAsia" w:ascii="宋体" w:hAnsi="宋体" w:cs="宋体"/>
          <w:b w:val="0"/>
          <w:color w:val="auto"/>
          <w:sz w:val="72"/>
          <w:szCs w:val="72"/>
          <w:highlight w:val="none"/>
        </w:rPr>
        <w:t>其它应提供的文件</w:t>
      </w:r>
    </w:p>
    <w:p w14:paraId="7D956D85">
      <w:pPr>
        <w:pStyle w:val="4"/>
        <w:tabs>
          <w:tab w:val="clear" w:pos="720"/>
        </w:tabs>
        <w:spacing w:before="0" w:after="120" w:line="700" w:lineRule="exact"/>
        <w:ind w:left="0" w:firstLine="0"/>
        <w:rPr>
          <w:rFonts w:hint="eastAsia" w:ascii="宋体" w:hAnsi="宋体" w:eastAsia="宋体"/>
          <w:b/>
          <w:color w:val="auto"/>
          <w:sz w:val="32"/>
          <w:highlight w:val="none"/>
        </w:rPr>
      </w:pPr>
      <w:r>
        <w:rPr>
          <w:rFonts w:hint="eastAsia" w:ascii="宋体" w:hAnsi="宋体" w:eastAsia="宋体"/>
          <w:b/>
          <w:color w:val="auto"/>
          <w:sz w:val="32"/>
          <w:highlight w:val="none"/>
        </w:rPr>
        <w:t>三、国企采购活动现场确认声明书格式</w:t>
      </w:r>
    </w:p>
    <w:p w14:paraId="4E231984">
      <w:pPr>
        <w:rPr>
          <w:rFonts w:ascii="宋体"/>
          <w:b w:val="0"/>
          <w:color w:val="auto"/>
          <w:spacing w:val="20"/>
          <w:sz w:val="36"/>
          <w:szCs w:val="36"/>
          <w:highlight w:val="none"/>
        </w:rPr>
      </w:pPr>
    </w:p>
    <w:p w14:paraId="60A00D21">
      <w:pPr>
        <w:spacing w:line="239" w:lineRule="auto"/>
        <w:jc w:val="center"/>
        <w:rPr>
          <w:rFonts w:ascii="宋体"/>
          <w:b w:val="0"/>
          <w:bCs w:val="0"/>
          <w:color w:val="auto"/>
          <w:sz w:val="20"/>
          <w:highlight w:val="none"/>
        </w:rPr>
      </w:pPr>
      <w:bookmarkStart w:id="173" w:name="page1"/>
      <w:bookmarkEnd w:id="173"/>
      <w:r>
        <w:rPr>
          <w:rFonts w:hint="eastAsia" w:ascii="宋体"/>
          <w:b w:val="0"/>
          <w:bCs w:val="0"/>
          <w:color w:val="auto"/>
          <w:sz w:val="29"/>
          <w:szCs w:val="29"/>
          <w:highlight w:val="none"/>
        </w:rPr>
        <w:t>国企</w:t>
      </w:r>
      <w:r>
        <w:rPr>
          <w:rFonts w:ascii="宋体"/>
          <w:b w:val="0"/>
          <w:bCs w:val="0"/>
          <w:color w:val="auto"/>
          <w:sz w:val="29"/>
          <w:szCs w:val="29"/>
          <w:highlight w:val="none"/>
        </w:rPr>
        <w:t>采购活动现场确认声明书</w:t>
      </w:r>
    </w:p>
    <w:p w14:paraId="3F00B035">
      <w:pPr>
        <w:spacing w:line="201" w:lineRule="exact"/>
        <w:rPr>
          <w:rFonts w:ascii="宋体"/>
          <w:b w:val="0"/>
          <w:bCs w:val="0"/>
          <w:color w:val="auto"/>
          <w:highlight w:val="none"/>
        </w:rPr>
      </w:pPr>
    </w:p>
    <w:p w14:paraId="04967EBB">
      <w:pPr>
        <w:spacing w:line="480" w:lineRule="auto"/>
        <w:ind w:left="60"/>
        <w:rPr>
          <w:rFonts w:ascii="宋体"/>
          <w:b w:val="0"/>
          <w:bCs w:val="0"/>
          <w:color w:val="auto"/>
          <w:highlight w:val="none"/>
        </w:rPr>
      </w:pPr>
      <w:r>
        <w:rPr>
          <w:rFonts w:ascii="宋体"/>
          <w:b w:val="0"/>
          <w:bCs w:val="0"/>
          <w:color w:val="auto"/>
          <w:highlight w:val="none"/>
        </w:rPr>
        <w:t>温州超然招标代理有限公司</w:t>
      </w:r>
      <w:r>
        <w:rPr>
          <w:rFonts w:ascii="宋体" w:cs="Verdana"/>
          <w:b w:val="0"/>
          <w:bCs w:val="0"/>
          <w:color w:val="auto"/>
          <w:highlight w:val="none"/>
        </w:rPr>
        <w:t>:</w:t>
      </w:r>
    </w:p>
    <w:p w14:paraId="6AF2C8A2">
      <w:pPr>
        <w:spacing w:line="480" w:lineRule="auto"/>
        <w:ind w:left="380"/>
        <w:rPr>
          <w:rFonts w:ascii="宋体"/>
          <w:b w:val="0"/>
          <w:bCs w:val="0"/>
          <w:color w:val="auto"/>
          <w:sz w:val="20"/>
          <w:highlight w:val="none"/>
        </w:rPr>
      </w:pPr>
      <w:r>
        <w:rPr>
          <w:rFonts w:ascii="宋体"/>
          <w:b w:val="0"/>
          <w:bCs w:val="0"/>
          <w:color w:val="auto"/>
          <w:sz w:val="18"/>
          <w:szCs w:val="18"/>
          <w:highlight w:val="none"/>
        </w:rPr>
        <w:t xml:space="preserve">本人 </w:t>
      </w:r>
      <w:r>
        <w:rPr>
          <w:rFonts w:ascii="宋体" w:cs="Verdana"/>
          <w:b w:val="0"/>
          <w:bCs w:val="0"/>
          <w:color w:val="auto"/>
          <w:sz w:val="18"/>
          <w:szCs w:val="18"/>
          <w:highlight w:val="none"/>
        </w:rPr>
        <w:t>____________</w:t>
      </w:r>
      <w:r>
        <w:rPr>
          <w:rFonts w:ascii="宋体"/>
          <w:b w:val="0"/>
          <w:bCs w:val="0"/>
          <w:color w:val="auto"/>
          <w:sz w:val="18"/>
          <w:szCs w:val="18"/>
          <w:highlight w:val="none"/>
        </w:rPr>
        <w:t>（授权代表姓名），经由</w:t>
      </w:r>
      <w:r>
        <w:rPr>
          <w:rFonts w:ascii="宋体" w:cs="Verdana"/>
          <w:b w:val="0"/>
          <w:bCs w:val="0"/>
          <w:color w:val="auto"/>
          <w:sz w:val="18"/>
          <w:szCs w:val="18"/>
          <w:highlight w:val="none"/>
        </w:rPr>
        <w:t>_____________</w:t>
      </w:r>
      <w:r>
        <w:rPr>
          <w:rFonts w:ascii="宋体"/>
          <w:b w:val="0"/>
          <w:bCs w:val="0"/>
          <w:color w:val="auto"/>
          <w:sz w:val="18"/>
          <w:szCs w:val="18"/>
          <w:highlight w:val="none"/>
        </w:rPr>
        <w:t xml:space="preserve">（单位） </w:t>
      </w:r>
      <w:r>
        <w:rPr>
          <w:rFonts w:ascii="宋体" w:cs="Verdana"/>
          <w:b w:val="0"/>
          <w:bCs w:val="0"/>
          <w:color w:val="auto"/>
          <w:sz w:val="18"/>
          <w:szCs w:val="18"/>
          <w:highlight w:val="none"/>
        </w:rPr>
        <w:t>________</w:t>
      </w:r>
      <w:r>
        <w:rPr>
          <w:rFonts w:ascii="宋体"/>
          <w:b w:val="0"/>
          <w:bCs w:val="0"/>
          <w:color w:val="auto"/>
          <w:sz w:val="19"/>
          <w:szCs w:val="19"/>
          <w:highlight w:val="none"/>
        </w:rPr>
        <w:t>（法定代表人姓名）合法授权参加</w:t>
      </w:r>
      <w:r>
        <w:rPr>
          <w:rFonts w:ascii="宋体"/>
          <w:b w:val="0"/>
          <w:bCs w:val="0"/>
          <w:color w:val="auto"/>
          <w:sz w:val="19"/>
          <w:szCs w:val="19"/>
          <w:highlight w:val="none"/>
          <w:u w:val="single"/>
        </w:rPr>
        <w:t xml:space="preserve"> </w:t>
      </w:r>
      <w:r>
        <w:rPr>
          <w:rFonts w:hint="eastAsia" w:ascii="宋体"/>
          <w:b w:val="0"/>
          <w:bCs w:val="0"/>
          <w:color w:val="auto"/>
          <w:sz w:val="19"/>
          <w:szCs w:val="19"/>
          <w:highlight w:val="none"/>
          <w:u w:val="single"/>
        </w:rPr>
        <w:t xml:space="preserve"> </w:t>
      </w:r>
      <w:r>
        <w:rPr>
          <w:rFonts w:ascii="宋体"/>
          <w:b w:val="0"/>
          <w:bCs w:val="0"/>
          <w:color w:val="auto"/>
          <w:sz w:val="19"/>
          <w:szCs w:val="19"/>
          <w:highlight w:val="none"/>
          <w:u w:val="single"/>
        </w:rPr>
        <w:t xml:space="preserve">  </w:t>
      </w:r>
      <w:r>
        <w:rPr>
          <w:rFonts w:hint="eastAsia" w:ascii="宋体"/>
          <w:b w:val="0"/>
          <w:bCs w:val="0"/>
          <w:color w:val="auto"/>
          <w:sz w:val="19"/>
          <w:szCs w:val="19"/>
          <w:highlight w:val="none"/>
          <w:u w:val="single"/>
        </w:rPr>
        <w:t xml:space="preserve">（项目名称） </w:t>
      </w:r>
      <w:r>
        <w:rPr>
          <w:rFonts w:ascii="宋体"/>
          <w:b w:val="0"/>
          <w:bCs w:val="0"/>
          <w:color w:val="auto"/>
          <w:sz w:val="19"/>
          <w:szCs w:val="19"/>
          <w:highlight w:val="none"/>
          <w:u w:val="single"/>
        </w:rPr>
        <w:t xml:space="preserve"> （</w:t>
      </w:r>
      <w:r>
        <w:rPr>
          <w:rFonts w:hint="eastAsia" w:ascii="宋体"/>
          <w:b w:val="0"/>
          <w:bCs w:val="0"/>
          <w:color w:val="auto"/>
          <w:sz w:val="19"/>
          <w:szCs w:val="19"/>
          <w:highlight w:val="none"/>
          <w:u w:val="single"/>
        </w:rPr>
        <w:t>项目编号</w:t>
      </w:r>
      <w:r>
        <w:rPr>
          <w:rFonts w:ascii="宋体"/>
          <w:b w:val="0"/>
          <w:bCs w:val="0"/>
          <w:color w:val="auto"/>
          <w:sz w:val="19"/>
          <w:szCs w:val="19"/>
          <w:highlight w:val="none"/>
          <w:u w:val="single"/>
        </w:rPr>
        <w:t>）</w:t>
      </w:r>
      <w:r>
        <w:rPr>
          <w:rFonts w:ascii="宋体"/>
          <w:b w:val="0"/>
          <w:bCs w:val="0"/>
          <w:color w:val="auto"/>
          <w:sz w:val="19"/>
          <w:szCs w:val="19"/>
          <w:highlight w:val="none"/>
        </w:rPr>
        <w:t>政府采购活动．经与本单位法人代表（负责人）联系确认，现就有关公平竞争事项郑重声明如下</w:t>
      </w:r>
      <w:r>
        <w:rPr>
          <w:rFonts w:ascii="宋体" w:cs="Verdana"/>
          <w:b w:val="0"/>
          <w:bCs w:val="0"/>
          <w:color w:val="auto"/>
          <w:sz w:val="19"/>
          <w:szCs w:val="19"/>
          <w:highlight w:val="none"/>
        </w:rPr>
        <w:t>:</w:t>
      </w:r>
    </w:p>
    <w:p w14:paraId="6D3F681A">
      <w:pPr>
        <w:spacing w:line="480" w:lineRule="auto"/>
        <w:ind w:left="380"/>
        <w:rPr>
          <w:rFonts w:ascii="宋体"/>
          <w:b w:val="0"/>
          <w:bCs w:val="0"/>
          <w:color w:val="auto"/>
          <w:sz w:val="20"/>
          <w:highlight w:val="none"/>
        </w:rPr>
      </w:pPr>
      <w:r>
        <w:rPr>
          <w:rFonts w:ascii="宋体"/>
          <w:b w:val="0"/>
          <w:bCs w:val="0"/>
          <w:color w:val="auto"/>
          <w:sz w:val="19"/>
          <w:szCs w:val="19"/>
          <w:highlight w:val="none"/>
        </w:rPr>
        <w:t>一、本单位与采购人之间口不存在利害关系口存在下列利害关系</w:t>
      </w:r>
      <w:r>
        <w:rPr>
          <w:rFonts w:ascii="宋体" w:cs="Verdana"/>
          <w:b w:val="0"/>
          <w:bCs w:val="0"/>
          <w:color w:val="auto"/>
          <w:sz w:val="19"/>
          <w:szCs w:val="19"/>
          <w:highlight w:val="none"/>
        </w:rPr>
        <w:t>:</w:t>
      </w:r>
    </w:p>
    <w:p w14:paraId="5958B3FF">
      <w:pPr>
        <w:tabs>
          <w:tab w:val="left" w:pos="1880"/>
          <w:tab w:val="left" w:pos="3780"/>
        </w:tabs>
        <w:spacing w:line="480" w:lineRule="auto"/>
        <w:ind w:left="380"/>
        <w:rPr>
          <w:rFonts w:ascii="宋体"/>
          <w:b w:val="0"/>
          <w:bCs w:val="0"/>
          <w:color w:val="auto"/>
          <w:sz w:val="20"/>
          <w:highlight w:val="none"/>
        </w:rPr>
      </w:pPr>
      <w:r>
        <w:rPr>
          <w:rFonts w:ascii="宋体" w:cs="Verdana"/>
          <w:b w:val="0"/>
          <w:bCs w:val="0"/>
          <w:color w:val="auto"/>
          <w:sz w:val="19"/>
          <w:szCs w:val="19"/>
          <w:highlight w:val="none"/>
        </w:rPr>
        <w:t>A</w:t>
      </w:r>
      <w:r>
        <w:rPr>
          <w:rFonts w:ascii="宋体"/>
          <w:b w:val="0"/>
          <w:bCs w:val="0"/>
          <w:color w:val="auto"/>
          <w:sz w:val="19"/>
          <w:szCs w:val="19"/>
          <w:highlight w:val="none"/>
        </w:rPr>
        <w:t>．投资关系</w:t>
      </w:r>
      <w:r>
        <w:rPr>
          <w:rFonts w:ascii="宋体"/>
          <w:b w:val="0"/>
          <w:bCs w:val="0"/>
          <w:color w:val="auto"/>
          <w:sz w:val="20"/>
          <w:highlight w:val="none"/>
        </w:rPr>
        <w:tab/>
      </w:r>
      <w:r>
        <w:rPr>
          <w:rFonts w:ascii="宋体" w:cs="Verdana"/>
          <w:b w:val="0"/>
          <w:bCs w:val="0"/>
          <w:color w:val="auto"/>
          <w:sz w:val="19"/>
          <w:szCs w:val="19"/>
          <w:highlight w:val="none"/>
        </w:rPr>
        <w:t>B</w:t>
      </w:r>
      <w:r>
        <w:rPr>
          <w:rFonts w:ascii="宋体"/>
          <w:b w:val="0"/>
          <w:bCs w:val="0"/>
          <w:color w:val="auto"/>
          <w:sz w:val="19"/>
          <w:szCs w:val="19"/>
          <w:highlight w:val="none"/>
        </w:rPr>
        <w:t>．行政隶属关系</w:t>
      </w:r>
      <w:r>
        <w:rPr>
          <w:rFonts w:ascii="宋体"/>
          <w:b w:val="0"/>
          <w:bCs w:val="0"/>
          <w:color w:val="auto"/>
          <w:sz w:val="20"/>
          <w:highlight w:val="none"/>
        </w:rPr>
        <w:tab/>
      </w:r>
      <w:r>
        <w:rPr>
          <w:rFonts w:ascii="宋体" w:cs="Verdana"/>
          <w:b w:val="0"/>
          <w:bCs w:val="0"/>
          <w:color w:val="auto"/>
          <w:sz w:val="19"/>
          <w:szCs w:val="19"/>
          <w:highlight w:val="none"/>
        </w:rPr>
        <w:t>C</w:t>
      </w:r>
      <w:r>
        <w:rPr>
          <w:rFonts w:ascii="宋体"/>
          <w:b w:val="0"/>
          <w:bCs w:val="0"/>
          <w:color w:val="auto"/>
          <w:sz w:val="19"/>
          <w:szCs w:val="19"/>
          <w:highlight w:val="none"/>
        </w:rPr>
        <w:t>．业务指导关系</w:t>
      </w:r>
    </w:p>
    <w:p w14:paraId="3D364FFC">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D</w:t>
      </w:r>
      <w:r>
        <w:rPr>
          <w:rFonts w:ascii="宋体"/>
          <w:b w:val="0"/>
          <w:bCs w:val="0"/>
          <w:color w:val="auto"/>
          <w:sz w:val="19"/>
          <w:szCs w:val="19"/>
          <w:highlight w:val="none"/>
        </w:rPr>
        <w:t>．其他可能影响采购公正的利害关系（如有，请如实说明）。</w:t>
      </w:r>
    </w:p>
    <w:p w14:paraId="52F2A9CD">
      <w:pPr>
        <w:spacing w:line="480" w:lineRule="auto"/>
        <w:ind w:left="380"/>
        <w:rPr>
          <w:rFonts w:ascii="宋体"/>
          <w:b w:val="0"/>
          <w:bCs w:val="0"/>
          <w:color w:val="auto"/>
          <w:sz w:val="19"/>
          <w:szCs w:val="19"/>
          <w:highlight w:val="none"/>
        </w:rPr>
      </w:pPr>
      <w:r>
        <w:rPr>
          <w:rFonts w:ascii="宋体"/>
          <w:b w:val="0"/>
          <w:bCs w:val="0"/>
          <w:color w:val="auto"/>
          <w:sz w:val="19"/>
          <w:szCs w:val="19"/>
          <w:highlight w:val="none"/>
        </w:rPr>
        <w:t>二、现己清楚知道参加本项目采购活动的其他所有供应商名称，本单位 口与其他所有供应商之间均不存在利害关系 口与</w:t>
      </w:r>
      <w:r>
        <w:rPr>
          <w:rFonts w:ascii="宋体" w:cs="Verdana"/>
          <w:b w:val="0"/>
          <w:bCs w:val="0"/>
          <w:color w:val="auto"/>
          <w:sz w:val="19"/>
          <w:szCs w:val="19"/>
          <w:highlight w:val="none"/>
        </w:rPr>
        <w:t>______________</w:t>
      </w:r>
      <w:r>
        <w:rPr>
          <w:rFonts w:ascii="宋体"/>
          <w:b w:val="0"/>
          <w:bCs w:val="0"/>
          <w:color w:val="auto"/>
          <w:sz w:val="19"/>
          <w:szCs w:val="19"/>
          <w:highlight w:val="none"/>
        </w:rPr>
        <w:t>（供应商名称）之间存在下列利害关系</w:t>
      </w:r>
      <w:r>
        <w:rPr>
          <w:rFonts w:ascii="宋体" w:cs="Verdana"/>
          <w:b w:val="0"/>
          <w:bCs w:val="0"/>
          <w:color w:val="auto"/>
          <w:sz w:val="19"/>
          <w:szCs w:val="19"/>
          <w:highlight w:val="none"/>
        </w:rPr>
        <w:t>:</w:t>
      </w:r>
      <w:r>
        <w:rPr>
          <w:rFonts w:ascii="宋体"/>
          <w:b w:val="0"/>
          <w:bCs w:val="0"/>
          <w:color w:val="auto"/>
          <w:sz w:val="19"/>
          <w:szCs w:val="19"/>
          <w:highlight w:val="none"/>
        </w:rPr>
        <w:t xml:space="preserve"> </w:t>
      </w:r>
    </w:p>
    <w:p w14:paraId="5A4AA54A">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A</w:t>
      </w:r>
      <w:r>
        <w:rPr>
          <w:rFonts w:ascii="宋体"/>
          <w:b w:val="0"/>
          <w:bCs w:val="0"/>
          <w:color w:val="auto"/>
          <w:sz w:val="19"/>
          <w:szCs w:val="19"/>
          <w:highlight w:val="none"/>
        </w:rPr>
        <w:t>．法定代表人或负责人或实际控制人是同一人</w:t>
      </w:r>
    </w:p>
    <w:p w14:paraId="530A422D">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B</w:t>
      </w:r>
      <w:r>
        <w:rPr>
          <w:rFonts w:ascii="宋体"/>
          <w:b w:val="0"/>
          <w:bCs w:val="0"/>
          <w:color w:val="auto"/>
          <w:sz w:val="19"/>
          <w:szCs w:val="19"/>
          <w:highlight w:val="none"/>
        </w:rPr>
        <w:t>．法定代表人或负责人或实际控制人是夫妻关系</w:t>
      </w:r>
    </w:p>
    <w:p w14:paraId="503488BB">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C</w:t>
      </w:r>
      <w:r>
        <w:rPr>
          <w:rFonts w:ascii="宋体"/>
          <w:b w:val="0"/>
          <w:bCs w:val="0"/>
          <w:color w:val="auto"/>
          <w:sz w:val="19"/>
          <w:szCs w:val="19"/>
          <w:highlight w:val="none"/>
        </w:rPr>
        <w:t>．法定代表人或负责人或实际控制人是直系血亲关系</w:t>
      </w:r>
    </w:p>
    <w:p w14:paraId="429C7E0B">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D</w:t>
      </w:r>
      <w:r>
        <w:rPr>
          <w:rFonts w:ascii="宋体"/>
          <w:b w:val="0"/>
          <w:bCs w:val="0"/>
          <w:color w:val="auto"/>
          <w:sz w:val="19"/>
          <w:szCs w:val="19"/>
          <w:highlight w:val="none"/>
        </w:rPr>
        <w:t>．法定代表人或负责人或实际控制人存在三代以内旁系血亲关系</w:t>
      </w:r>
    </w:p>
    <w:p w14:paraId="097E2161">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E</w:t>
      </w:r>
      <w:r>
        <w:rPr>
          <w:rFonts w:ascii="宋体"/>
          <w:b w:val="0"/>
          <w:bCs w:val="0"/>
          <w:color w:val="auto"/>
          <w:sz w:val="19"/>
          <w:szCs w:val="19"/>
          <w:highlight w:val="none"/>
        </w:rPr>
        <w:t>．法定代表人或负责人或实际控制人存在近姻亲关系</w:t>
      </w:r>
    </w:p>
    <w:p w14:paraId="3B4AD0B7">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F</w:t>
      </w:r>
      <w:r>
        <w:rPr>
          <w:rFonts w:ascii="宋体"/>
          <w:b w:val="0"/>
          <w:bCs w:val="0"/>
          <w:color w:val="auto"/>
          <w:sz w:val="19"/>
          <w:szCs w:val="19"/>
          <w:highlight w:val="none"/>
        </w:rPr>
        <w:t>．法定代表人或负责人或实际控制人存在股份控制或实际控制关系</w:t>
      </w:r>
    </w:p>
    <w:p w14:paraId="25B73001">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G</w:t>
      </w:r>
      <w:r>
        <w:rPr>
          <w:rFonts w:ascii="宋体"/>
          <w:b w:val="0"/>
          <w:bCs w:val="0"/>
          <w:color w:val="auto"/>
          <w:sz w:val="19"/>
          <w:szCs w:val="19"/>
          <w:highlight w:val="none"/>
        </w:rPr>
        <w:t>．存在共同直接或间接投资设立子公司、联营企业和合营企业情况</w:t>
      </w:r>
    </w:p>
    <w:p w14:paraId="72AACEA9">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H</w:t>
      </w:r>
      <w:r>
        <w:rPr>
          <w:rFonts w:ascii="宋体"/>
          <w:b w:val="0"/>
          <w:bCs w:val="0"/>
          <w:color w:val="auto"/>
          <w:sz w:val="19"/>
          <w:szCs w:val="19"/>
          <w:highlight w:val="none"/>
        </w:rPr>
        <w:t>．存在分级代理或代销关系、同一生产制造商关系、管理关系、重要业务（占主昔业务收入</w:t>
      </w:r>
      <w:r>
        <w:rPr>
          <w:rFonts w:ascii="宋体" w:cs="Verdana"/>
          <w:b w:val="0"/>
          <w:bCs w:val="0"/>
          <w:color w:val="auto"/>
          <w:sz w:val="19"/>
          <w:szCs w:val="19"/>
          <w:highlight w:val="none"/>
        </w:rPr>
        <w:t xml:space="preserve"> 50 </w:t>
      </w:r>
      <w:r>
        <w:rPr>
          <w:rFonts w:ascii="宋体"/>
          <w:b w:val="0"/>
          <w:bCs w:val="0"/>
          <w:color w:val="auto"/>
          <w:sz w:val="19"/>
          <w:szCs w:val="19"/>
          <w:highlight w:val="none"/>
        </w:rPr>
        <w:t>％以上）或重要财务</w:t>
      </w:r>
      <w:r>
        <w:rPr>
          <w:rFonts w:ascii="宋体" w:cs="Verdana"/>
          <w:b w:val="0"/>
          <w:bCs w:val="0"/>
          <w:color w:val="auto"/>
          <w:sz w:val="19"/>
          <w:szCs w:val="19"/>
          <w:highlight w:val="none"/>
        </w:rPr>
        <w:t xml:space="preserve"> </w:t>
      </w:r>
      <w:r>
        <w:rPr>
          <w:rFonts w:ascii="宋体"/>
          <w:b w:val="0"/>
          <w:bCs w:val="0"/>
          <w:color w:val="auto"/>
          <w:sz w:val="19"/>
          <w:szCs w:val="19"/>
          <w:highlight w:val="none"/>
        </w:rPr>
        <w:t>往来关系（如融资）等其他实质性控制关系</w:t>
      </w:r>
    </w:p>
    <w:p w14:paraId="2F71D5DF">
      <w:pPr>
        <w:spacing w:line="480" w:lineRule="auto"/>
        <w:ind w:left="380"/>
        <w:rPr>
          <w:rFonts w:ascii="宋体"/>
          <w:b w:val="0"/>
          <w:bCs w:val="0"/>
          <w:color w:val="auto"/>
          <w:sz w:val="20"/>
          <w:highlight w:val="none"/>
        </w:rPr>
      </w:pPr>
      <w:r>
        <w:rPr>
          <w:rFonts w:ascii="宋体" w:cs="Verdana"/>
          <w:b w:val="0"/>
          <w:bCs w:val="0"/>
          <w:color w:val="auto"/>
          <w:sz w:val="19"/>
          <w:szCs w:val="19"/>
          <w:highlight w:val="none"/>
        </w:rPr>
        <w:t>I</w:t>
      </w:r>
      <w:r>
        <w:rPr>
          <w:rFonts w:ascii="宋体"/>
          <w:b w:val="0"/>
          <w:bCs w:val="0"/>
          <w:color w:val="auto"/>
          <w:sz w:val="19"/>
          <w:szCs w:val="19"/>
          <w:highlight w:val="none"/>
        </w:rPr>
        <w:t>．其他利害关系情况</w:t>
      </w:r>
      <w:r>
        <w:rPr>
          <w:rFonts w:ascii="宋体" w:cs="Verdana"/>
          <w:b w:val="0"/>
          <w:bCs w:val="0"/>
          <w:color w:val="auto"/>
          <w:sz w:val="19"/>
          <w:szCs w:val="19"/>
          <w:highlight w:val="none"/>
        </w:rPr>
        <w:t xml:space="preserve"> ________________________________________</w:t>
      </w:r>
      <w:r>
        <w:rPr>
          <w:rFonts w:ascii="宋体"/>
          <w:b w:val="0"/>
          <w:bCs w:val="0"/>
          <w:color w:val="auto"/>
          <w:sz w:val="19"/>
          <w:szCs w:val="19"/>
          <w:highlight w:val="none"/>
        </w:rPr>
        <w:t>。</w:t>
      </w:r>
    </w:p>
    <w:p w14:paraId="6BC2C704">
      <w:pPr>
        <w:spacing w:line="480" w:lineRule="auto"/>
        <w:ind w:left="380"/>
        <w:rPr>
          <w:rFonts w:ascii="宋体"/>
          <w:b w:val="0"/>
          <w:bCs w:val="0"/>
          <w:color w:val="auto"/>
          <w:sz w:val="20"/>
          <w:highlight w:val="none"/>
        </w:rPr>
      </w:pPr>
      <w:r>
        <w:rPr>
          <w:rFonts w:ascii="宋体"/>
          <w:b w:val="0"/>
          <w:bCs w:val="0"/>
          <w:color w:val="auto"/>
          <w:sz w:val="19"/>
          <w:szCs w:val="19"/>
          <w:highlight w:val="none"/>
        </w:rPr>
        <w:t>三、现己清楚知道并严格遵守政府采购法律法规和</w:t>
      </w:r>
      <w:r>
        <w:rPr>
          <w:rFonts w:hint="eastAsia" w:ascii="宋体"/>
          <w:b w:val="0"/>
          <w:bCs w:val="0"/>
          <w:color w:val="auto"/>
          <w:sz w:val="19"/>
          <w:szCs w:val="19"/>
          <w:highlight w:val="none"/>
          <w:lang w:val="en-US" w:eastAsia="zh-CN"/>
        </w:rPr>
        <w:t>评审</w:t>
      </w:r>
      <w:r>
        <w:rPr>
          <w:rFonts w:ascii="宋体"/>
          <w:b w:val="0"/>
          <w:bCs w:val="0"/>
          <w:color w:val="auto"/>
          <w:sz w:val="19"/>
          <w:szCs w:val="19"/>
          <w:highlight w:val="none"/>
        </w:rPr>
        <w:t>纪律。</w:t>
      </w:r>
    </w:p>
    <w:p w14:paraId="5F804ECA">
      <w:pPr>
        <w:spacing w:line="480" w:lineRule="auto"/>
        <w:ind w:left="380"/>
        <w:rPr>
          <w:rFonts w:ascii="宋体"/>
          <w:b w:val="0"/>
          <w:bCs w:val="0"/>
          <w:color w:val="auto"/>
          <w:sz w:val="20"/>
          <w:highlight w:val="none"/>
        </w:rPr>
      </w:pPr>
      <w:r>
        <w:rPr>
          <w:rFonts w:ascii="宋体"/>
          <w:b w:val="0"/>
          <w:bCs w:val="0"/>
          <w:color w:val="auto"/>
          <w:sz w:val="19"/>
          <w:szCs w:val="19"/>
          <w:highlight w:val="none"/>
        </w:rPr>
        <w:t xml:space="preserve">四、我发现 </w:t>
      </w:r>
      <w:r>
        <w:rPr>
          <w:rFonts w:ascii="宋体" w:cs="Verdana"/>
          <w:b w:val="0"/>
          <w:bCs w:val="0"/>
          <w:color w:val="auto"/>
          <w:sz w:val="19"/>
          <w:szCs w:val="19"/>
          <w:highlight w:val="none"/>
        </w:rPr>
        <w:t>____________________</w:t>
      </w:r>
      <w:r>
        <w:rPr>
          <w:rFonts w:ascii="宋体"/>
          <w:b w:val="0"/>
          <w:bCs w:val="0"/>
          <w:color w:val="auto"/>
          <w:sz w:val="19"/>
          <w:szCs w:val="19"/>
          <w:highlight w:val="none"/>
        </w:rPr>
        <w:t xml:space="preserve">供应商之间存在或可能存在上述第二条第 </w:t>
      </w:r>
      <w:r>
        <w:rPr>
          <w:rFonts w:ascii="宋体" w:cs="Verdana"/>
          <w:b w:val="0"/>
          <w:bCs w:val="0"/>
          <w:color w:val="auto"/>
          <w:sz w:val="19"/>
          <w:szCs w:val="19"/>
          <w:highlight w:val="none"/>
        </w:rPr>
        <w:t>____________</w:t>
      </w:r>
      <w:r>
        <w:rPr>
          <w:rFonts w:ascii="宋体"/>
          <w:b w:val="0"/>
          <w:bCs w:val="0"/>
          <w:color w:val="auto"/>
          <w:sz w:val="19"/>
          <w:szCs w:val="19"/>
          <w:highlight w:val="none"/>
        </w:rPr>
        <w:t>项利害关系。</w:t>
      </w:r>
    </w:p>
    <w:p w14:paraId="6B753980">
      <w:pPr>
        <w:ind w:firstLine="4940" w:firstLineChars="2600"/>
        <w:rPr>
          <w:rFonts w:ascii="宋体"/>
          <w:b w:val="0"/>
          <w:bCs w:val="0"/>
          <w:color w:val="auto"/>
          <w:sz w:val="20"/>
          <w:highlight w:val="none"/>
        </w:rPr>
      </w:pPr>
      <w:r>
        <w:rPr>
          <w:rFonts w:ascii="宋体"/>
          <w:b w:val="0"/>
          <w:bCs w:val="0"/>
          <w:color w:val="auto"/>
          <w:sz w:val="19"/>
          <w:szCs w:val="19"/>
          <w:highlight w:val="none"/>
        </w:rPr>
        <w:t>（供应商代表签名）</w:t>
      </w:r>
      <w:r>
        <w:rPr>
          <w:rFonts w:ascii="宋体" w:cs="Verdana"/>
          <w:b w:val="0"/>
          <w:bCs w:val="0"/>
          <w:color w:val="auto"/>
          <w:sz w:val="19"/>
          <w:szCs w:val="19"/>
          <w:highlight w:val="none"/>
        </w:rPr>
        <w:t>:</w:t>
      </w:r>
    </w:p>
    <w:p w14:paraId="113F6A43">
      <w:pPr>
        <w:spacing w:line="189" w:lineRule="exact"/>
        <w:rPr>
          <w:rFonts w:ascii="宋体"/>
          <w:b w:val="0"/>
          <w:bCs w:val="0"/>
          <w:color w:val="auto"/>
          <w:sz w:val="24"/>
          <w:szCs w:val="24"/>
          <w:highlight w:val="none"/>
        </w:rPr>
      </w:pPr>
    </w:p>
    <w:p w14:paraId="48EE9746">
      <w:pPr>
        <w:ind w:firstLine="4940" w:firstLineChars="2600"/>
        <w:rPr>
          <w:rFonts w:ascii="宋体"/>
          <w:b w:val="0"/>
          <w:bCs w:val="0"/>
          <w:color w:val="auto"/>
          <w:sz w:val="20"/>
          <w:highlight w:val="none"/>
        </w:rPr>
      </w:pPr>
      <w:r>
        <w:rPr>
          <w:rFonts w:ascii="宋体" w:cs="Verdana"/>
          <w:b w:val="0"/>
          <w:bCs w:val="0"/>
          <w:color w:val="auto"/>
          <w:sz w:val="19"/>
          <w:szCs w:val="19"/>
          <w:highlight w:val="none"/>
        </w:rPr>
        <w:t>202</w:t>
      </w:r>
      <w:r>
        <w:rPr>
          <w:rFonts w:hint="eastAsia" w:ascii="宋体" w:cs="Verdana"/>
          <w:b w:val="0"/>
          <w:bCs w:val="0"/>
          <w:color w:val="auto"/>
          <w:sz w:val="19"/>
          <w:szCs w:val="19"/>
          <w:highlight w:val="none"/>
        </w:rPr>
        <w:t>5</w:t>
      </w:r>
      <w:r>
        <w:rPr>
          <w:rFonts w:ascii="宋体"/>
          <w:b w:val="0"/>
          <w:bCs w:val="0"/>
          <w:color w:val="auto"/>
          <w:sz w:val="19"/>
          <w:szCs w:val="19"/>
          <w:highlight w:val="none"/>
        </w:rPr>
        <w:t>年</w:t>
      </w:r>
      <w:r>
        <w:rPr>
          <w:rFonts w:hint="eastAsia" w:ascii="宋体"/>
          <w:b w:val="0"/>
          <w:bCs w:val="0"/>
          <w:color w:val="auto"/>
          <w:sz w:val="19"/>
          <w:szCs w:val="19"/>
          <w:highlight w:val="none"/>
        </w:rPr>
        <w:t xml:space="preserve"> </w:t>
      </w:r>
      <w:r>
        <w:rPr>
          <w:rFonts w:ascii="宋体" w:cs="Verdana"/>
          <w:b w:val="0"/>
          <w:bCs w:val="0"/>
          <w:color w:val="auto"/>
          <w:sz w:val="19"/>
          <w:szCs w:val="19"/>
          <w:highlight w:val="none"/>
        </w:rPr>
        <w:t xml:space="preserve">  </w:t>
      </w:r>
      <w:r>
        <w:rPr>
          <w:rFonts w:ascii="宋体"/>
          <w:b w:val="0"/>
          <w:bCs w:val="0"/>
          <w:color w:val="auto"/>
          <w:sz w:val="19"/>
          <w:szCs w:val="19"/>
          <w:highlight w:val="none"/>
        </w:rPr>
        <w:t>月</w:t>
      </w:r>
      <w:r>
        <w:rPr>
          <w:rFonts w:ascii="宋体" w:cs="Verdana"/>
          <w:b w:val="0"/>
          <w:bCs w:val="0"/>
          <w:color w:val="auto"/>
          <w:sz w:val="19"/>
          <w:szCs w:val="19"/>
          <w:highlight w:val="none"/>
        </w:rPr>
        <w:t xml:space="preserve">    </w:t>
      </w:r>
      <w:r>
        <w:rPr>
          <w:rFonts w:ascii="宋体"/>
          <w:b w:val="0"/>
          <w:bCs w:val="0"/>
          <w:color w:val="auto"/>
          <w:sz w:val="19"/>
          <w:szCs w:val="19"/>
          <w:highlight w:val="none"/>
        </w:rPr>
        <w:t>日</w:t>
      </w:r>
    </w:p>
    <w:p w14:paraId="3DFC4324">
      <w:pPr>
        <w:pStyle w:val="4"/>
        <w:spacing w:before="0" w:after="120" w:line="700" w:lineRule="exact"/>
        <w:ind w:left="0" w:firstLine="0"/>
        <w:jc w:val="center"/>
        <w:rPr>
          <w:rFonts w:ascii="Cambria Math" w:hAnsi="Cambria Math" w:eastAsia="Cambria Math"/>
          <w:b/>
          <w:color w:val="auto"/>
          <w:sz w:val="36"/>
          <w:szCs w:val="36"/>
          <w:highlight w:val="none"/>
        </w:rPr>
      </w:pPr>
      <w:r>
        <w:rPr>
          <w:rFonts w:hint="eastAsia" w:ascii="Cambria Math" w:hAnsi="Cambria Math" w:eastAsia="Cambria Math"/>
          <w:b/>
          <w:color w:val="auto"/>
          <w:sz w:val="36"/>
          <w:szCs w:val="36"/>
          <w:highlight w:val="none"/>
        </w:rPr>
        <w:t>第六部分</w:t>
      </w:r>
      <w:r>
        <w:rPr>
          <w:rFonts w:hint="eastAsia" w:ascii="Cambria Math" w:hAnsi="Cambria Math" w:eastAsiaTheme="minorEastAsia"/>
          <w:b/>
          <w:color w:val="auto"/>
          <w:sz w:val="36"/>
          <w:szCs w:val="36"/>
          <w:highlight w:val="none"/>
        </w:rPr>
        <w:t xml:space="preserve">  </w:t>
      </w:r>
      <w:r>
        <w:rPr>
          <w:rFonts w:hint="eastAsia" w:ascii="Cambria Math" w:hAnsi="Cambria Math" w:eastAsia="Cambria Math"/>
          <w:b/>
          <w:color w:val="auto"/>
          <w:sz w:val="36"/>
          <w:szCs w:val="36"/>
          <w:highlight w:val="none"/>
        </w:rPr>
        <w:t>评标办法</w:t>
      </w:r>
    </w:p>
    <w:p w14:paraId="32D95DF8">
      <w:pPr>
        <w:tabs>
          <w:tab w:val="left" w:pos="8820"/>
        </w:tabs>
        <w:adjustRightInd w:val="0"/>
        <w:snapToGrid w:val="0"/>
        <w:spacing w:before="100" w:after="50" w:line="440" w:lineRule="atLeast"/>
        <w:ind w:firstLine="440" w:firstLineChars="200"/>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根据</w:t>
      </w:r>
      <w:r>
        <w:rPr>
          <w:rFonts w:hint="eastAsia" w:ascii="宋体" w:hAnsi="宋体" w:cs="宋体"/>
          <w:b w:val="0"/>
          <w:color w:val="auto"/>
          <w:sz w:val="22"/>
          <w:szCs w:val="22"/>
          <w:highlight w:val="none"/>
        </w:rPr>
        <w:t>温州市国企采购相关规定，</w:t>
      </w:r>
      <w:r>
        <w:rPr>
          <w:rFonts w:hint="eastAsia" w:ascii="Cambria Math" w:hAnsi="Cambria Math" w:eastAsia="Cambria Math"/>
          <w:b w:val="0"/>
          <w:color w:val="auto"/>
          <w:sz w:val="22"/>
          <w:szCs w:val="22"/>
          <w:highlight w:val="none"/>
        </w:rPr>
        <w:t>结合本次所要采购货物的实际，按照公平、公正、科学、择优的原则选择成交单位，特制定本评审办法。</w:t>
      </w:r>
    </w:p>
    <w:p w14:paraId="54B552AF">
      <w:pPr>
        <w:adjustRightInd w:val="0"/>
        <w:snapToGrid w:val="0"/>
        <w:spacing w:before="120" w:beforeLines="50" w:after="50" w:line="440" w:lineRule="atLeast"/>
        <w:jc w:val="center"/>
        <w:rPr>
          <w:rFonts w:ascii="Cambria Math" w:hAnsi="Cambria Math" w:eastAsia="Cambria Math"/>
          <w:b w:val="0"/>
          <w:bCs w:val="0"/>
          <w:color w:val="auto"/>
          <w:sz w:val="22"/>
          <w:szCs w:val="22"/>
          <w:highlight w:val="none"/>
        </w:rPr>
      </w:pPr>
      <w:r>
        <w:rPr>
          <w:rFonts w:hint="eastAsia" w:ascii="Cambria Math" w:hAnsi="Cambria Math" w:eastAsia="Cambria Math"/>
          <w:b w:val="0"/>
          <w:bCs w:val="0"/>
          <w:color w:val="auto"/>
          <w:sz w:val="22"/>
          <w:szCs w:val="22"/>
          <w:highlight w:val="none"/>
        </w:rPr>
        <w:t>一、总则</w:t>
      </w:r>
    </w:p>
    <w:p w14:paraId="7D8AC76C">
      <w:pPr>
        <w:pStyle w:val="23"/>
        <w:adjustRightInd w:val="0"/>
        <w:snapToGrid w:val="0"/>
        <w:spacing w:before="100" w:after="50" w:line="440" w:lineRule="atLeast"/>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31C940CB">
      <w:pPr>
        <w:adjustRightInd w:val="0"/>
        <w:snapToGrid w:val="0"/>
        <w:spacing w:before="120" w:beforeLines="50" w:after="50" w:line="440" w:lineRule="atLeast"/>
        <w:jc w:val="center"/>
        <w:rPr>
          <w:rFonts w:ascii="Cambria Math" w:hAnsi="Cambria Math" w:eastAsia="Cambria Math"/>
          <w:b w:val="0"/>
          <w:bCs w:val="0"/>
          <w:color w:val="auto"/>
          <w:sz w:val="22"/>
          <w:szCs w:val="22"/>
          <w:highlight w:val="none"/>
        </w:rPr>
      </w:pPr>
      <w:r>
        <w:rPr>
          <w:rFonts w:hint="eastAsia" w:ascii="Cambria Math" w:hAnsi="Cambria Math" w:eastAsia="Cambria Math"/>
          <w:b w:val="0"/>
          <w:bCs w:val="0"/>
          <w:color w:val="auto"/>
          <w:sz w:val="22"/>
          <w:szCs w:val="22"/>
          <w:highlight w:val="none"/>
        </w:rPr>
        <w:t>二、评审组织</w:t>
      </w:r>
    </w:p>
    <w:p w14:paraId="481C854F">
      <w:pPr>
        <w:pStyle w:val="23"/>
        <w:adjustRightInd w:val="0"/>
        <w:snapToGrid w:val="0"/>
        <w:spacing w:before="100" w:after="50" w:line="440" w:lineRule="atLeast"/>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评审工作由采购机构依法组建的评标委员会负责，评标委员会由有关技术、经济专家共同组成。评审全过程由采购管理部门或纪检部门监督。</w:t>
      </w:r>
    </w:p>
    <w:p w14:paraId="473E2886">
      <w:pPr>
        <w:pStyle w:val="86"/>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ascii="Cambria Math" w:hAnsi="Cambria Math" w:eastAsia="Cambria Math"/>
          <w:b w:val="0"/>
          <w:kern w:val="2"/>
          <w:sz w:val="22"/>
          <w:szCs w:val="22"/>
          <w:highlight w:val="none"/>
        </w:rPr>
      </w:pPr>
      <w:r>
        <w:rPr>
          <w:rFonts w:hint="eastAsia" w:ascii="Cambria Math" w:hAnsi="Cambria Math" w:eastAsia="Cambria Math"/>
          <w:b w:val="0"/>
          <w:kern w:val="2"/>
          <w:sz w:val="22"/>
          <w:szCs w:val="22"/>
          <w:highlight w:val="none"/>
        </w:rPr>
        <w:t>三、评标程序及评审办法</w:t>
      </w:r>
    </w:p>
    <w:p w14:paraId="104E8631">
      <w:pPr>
        <w:pStyle w:val="5"/>
        <w:adjustRightInd w:val="0"/>
        <w:snapToGrid w:val="0"/>
        <w:spacing w:before="120" w:beforeLines="50" w:after="50" w:line="440" w:lineRule="atLeast"/>
        <w:ind w:firstLine="440"/>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本次开标，技术资信标和商务标分别开启，程序如下：</w:t>
      </w:r>
    </w:p>
    <w:p w14:paraId="569D1C9E">
      <w:pPr>
        <w:adjustRightInd w:val="0"/>
        <w:snapToGrid w:val="0"/>
        <w:spacing w:before="100" w:after="50" w:line="440" w:lineRule="atLeast"/>
        <w:ind w:firstLine="420"/>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第一步：首先开启技术资信标，评标委员会根据评审原则和评审办法，对各供应商的资信、技术部分文件进行评审，技术资信标不满足采购文件规定的做无效报价文件处理，并退回商务报价文件。</w:t>
      </w:r>
    </w:p>
    <w:p w14:paraId="60921AA9">
      <w:pPr>
        <w:adjustRightInd w:val="0"/>
        <w:snapToGrid w:val="0"/>
        <w:spacing w:before="100" w:after="50" w:line="440" w:lineRule="atLeast"/>
        <w:ind w:firstLine="420"/>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第二步：公开启技术资信标文件符合采购文件要求的有效供应商的商务报价文件。</w:t>
      </w:r>
    </w:p>
    <w:p w14:paraId="0B4FD60C">
      <w:pPr>
        <w:adjustRightInd w:val="0"/>
        <w:snapToGrid w:val="0"/>
        <w:spacing w:before="100" w:after="50" w:line="440" w:lineRule="atLeast"/>
        <w:ind w:firstLine="420"/>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第三步：以技术资信部分和商务报价部分合计分值最高的供应商作为预中标供应商向采购人推荐：评标价计算原则按采购文件规定。</w:t>
      </w:r>
    </w:p>
    <w:p w14:paraId="65393B58">
      <w:pPr>
        <w:adjustRightInd w:val="0"/>
        <w:snapToGrid w:val="0"/>
        <w:spacing w:before="100" w:after="50" w:line="440" w:lineRule="atLeast"/>
        <w:ind w:firstLine="420"/>
        <w:rPr>
          <w:rFonts w:ascii="Cambria Math" w:hAnsi="Cambria Math" w:eastAsia="Cambria Math"/>
          <w:b w:val="0"/>
          <w:color w:val="auto"/>
          <w:sz w:val="22"/>
          <w:szCs w:val="22"/>
          <w:highlight w:val="none"/>
        </w:rPr>
      </w:pPr>
      <w:r>
        <w:rPr>
          <w:rFonts w:hint="eastAsia" w:ascii="Cambria Math" w:hAnsi="Cambria Math" w:eastAsia="Cambria Math"/>
          <w:b w:val="0"/>
          <w:color w:val="auto"/>
          <w:sz w:val="22"/>
          <w:szCs w:val="22"/>
          <w:highlight w:val="none"/>
        </w:rPr>
        <w:t>第四步：采购人授权由评标委员会根据评审报告直接确定中标供应商。</w:t>
      </w:r>
    </w:p>
    <w:p w14:paraId="423804B6">
      <w:pPr>
        <w:adjustRightInd w:val="0"/>
        <w:snapToGrid w:val="0"/>
        <w:spacing w:before="100" w:after="50" w:line="440" w:lineRule="atLeast"/>
        <w:ind w:firstLine="420"/>
        <w:rPr>
          <w:rFonts w:ascii="Cambria Math" w:hAnsi="Cambria Math" w:eastAsia="Cambria Math"/>
          <w:b w:val="0"/>
          <w:color w:val="auto"/>
          <w:sz w:val="22"/>
          <w:szCs w:val="22"/>
          <w:highlight w:val="none"/>
        </w:rPr>
      </w:pPr>
    </w:p>
    <w:p w14:paraId="252A4045">
      <w:pPr>
        <w:adjustRightInd w:val="0"/>
        <w:snapToGrid w:val="0"/>
        <w:spacing w:before="100" w:after="50" w:line="440" w:lineRule="atLeast"/>
        <w:ind w:firstLine="420"/>
        <w:rPr>
          <w:rFonts w:ascii="Cambria Math" w:hAnsi="Cambria Math" w:eastAsiaTheme="minorEastAsia"/>
          <w:b w:val="0"/>
          <w:color w:val="auto"/>
          <w:sz w:val="22"/>
          <w:szCs w:val="22"/>
          <w:highlight w:val="none"/>
        </w:rPr>
      </w:pPr>
    </w:p>
    <w:p w14:paraId="6922CEDD">
      <w:pPr>
        <w:pStyle w:val="23"/>
        <w:rPr>
          <w:highlight w:val="none"/>
        </w:rPr>
      </w:pPr>
    </w:p>
    <w:p w14:paraId="74838412">
      <w:pPr>
        <w:adjustRightInd w:val="0"/>
        <w:snapToGrid w:val="0"/>
        <w:spacing w:before="100" w:after="50" w:line="440" w:lineRule="atLeast"/>
        <w:rPr>
          <w:rFonts w:ascii="Cambria Math" w:hAnsi="Cambria Math"/>
          <w:b w:val="0"/>
          <w:color w:val="auto"/>
          <w:sz w:val="22"/>
          <w:szCs w:val="22"/>
          <w:highlight w:val="none"/>
        </w:rPr>
      </w:pPr>
    </w:p>
    <w:p w14:paraId="26D3FA53">
      <w:pPr>
        <w:adjustRightInd w:val="0"/>
        <w:snapToGrid w:val="0"/>
        <w:spacing w:before="100" w:after="50" w:line="440" w:lineRule="atLeast"/>
        <w:jc w:val="center"/>
        <w:rPr>
          <w:rFonts w:ascii="Cambria Math" w:hAnsi="Cambria Math" w:eastAsia="Cambria Math"/>
          <w:b w:val="0"/>
          <w:bCs w:val="0"/>
          <w:color w:val="auto"/>
          <w:sz w:val="24"/>
          <w:szCs w:val="24"/>
          <w:highlight w:val="none"/>
        </w:rPr>
      </w:pPr>
      <w:r>
        <w:rPr>
          <w:rFonts w:hint="eastAsia" w:ascii="Cambria Math" w:hAnsi="Cambria Math" w:eastAsia="Cambria Math"/>
          <w:b w:val="0"/>
          <w:bCs w:val="0"/>
          <w:color w:val="auto"/>
          <w:sz w:val="24"/>
          <w:szCs w:val="24"/>
          <w:highlight w:val="none"/>
        </w:rPr>
        <w:t>四、评分细则</w:t>
      </w:r>
    </w:p>
    <w:p w14:paraId="48024AAD">
      <w:pPr>
        <w:pStyle w:val="21"/>
        <w:adjustRightInd w:val="0"/>
        <w:snapToGrid w:val="0"/>
        <w:spacing w:line="440" w:lineRule="atLeast"/>
        <w:rPr>
          <w:rFonts w:hint="eastAsia" w:ascii="宋体" w:hAnsi="宋体" w:eastAsia="宋体"/>
          <w:b w:val="0"/>
          <w:bCs w:val="0"/>
          <w:color w:val="auto"/>
          <w:sz w:val="22"/>
          <w:szCs w:val="22"/>
          <w:highlight w:val="none"/>
        </w:rPr>
      </w:pPr>
      <w:r>
        <w:rPr>
          <w:rFonts w:hint="eastAsia" w:ascii="宋体" w:hAnsi="宋体" w:eastAsia="宋体"/>
          <w:b w:val="0"/>
          <w:bCs w:val="0"/>
          <w:color w:val="auto"/>
          <w:sz w:val="22"/>
          <w:szCs w:val="22"/>
          <w:highlight w:val="none"/>
        </w:rPr>
        <w:t>一、</w:t>
      </w:r>
      <w:r>
        <w:rPr>
          <w:rFonts w:hint="eastAsia" w:ascii="宋体" w:hAnsi="宋体" w:eastAsia="宋体"/>
          <w:b w:val="0"/>
          <w:bCs w:val="0"/>
          <w:color w:val="auto"/>
          <w:sz w:val="22"/>
          <w:szCs w:val="22"/>
          <w:highlight w:val="none"/>
          <w:u w:val="single"/>
        </w:rPr>
        <w:t>商务报价评分</w:t>
      </w:r>
      <w:r>
        <w:rPr>
          <w:rFonts w:hint="eastAsia" w:ascii="宋体" w:hAnsi="宋体" w:eastAsia="宋体"/>
          <w:b w:val="0"/>
          <w:bCs w:val="0"/>
          <w:color w:val="auto"/>
          <w:sz w:val="22"/>
          <w:szCs w:val="22"/>
          <w:highlight w:val="none"/>
          <w:lang w:val="en-US" w:eastAsia="zh-CN"/>
        </w:rPr>
        <w:t>2</w:t>
      </w:r>
      <w:r>
        <w:rPr>
          <w:rFonts w:ascii="宋体" w:hAnsi="宋体" w:eastAsia="宋体"/>
          <w:b w:val="0"/>
          <w:bCs w:val="0"/>
          <w:color w:val="auto"/>
          <w:sz w:val="22"/>
          <w:szCs w:val="22"/>
          <w:highlight w:val="none"/>
        </w:rPr>
        <w:t>0</w:t>
      </w:r>
      <w:r>
        <w:rPr>
          <w:rFonts w:hint="eastAsia" w:ascii="宋体" w:hAnsi="宋体" w:eastAsia="宋体"/>
          <w:b w:val="0"/>
          <w:bCs w:val="0"/>
          <w:color w:val="auto"/>
          <w:sz w:val="22"/>
          <w:szCs w:val="22"/>
          <w:highlight w:val="none"/>
        </w:rPr>
        <w:t>分</w:t>
      </w:r>
    </w:p>
    <w:p w14:paraId="36017C4D">
      <w:pPr>
        <w:adjustRightInd w:val="0"/>
        <w:snapToGrid w:val="0"/>
        <w:spacing w:before="100" w:after="50" w:line="440" w:lineRule="atLeast"/>
        <w:ind w:firstLine="420"/>
        <w:rPr>
          <w:rFonts w:hint="eastAsia" w:ascii="宋体" w:hAnsi="宋体"/>
          <w:b w:val="0"/>
          <w:color w:val="auto"/>
          <w:sz w:val="22"/>
          <w:szCs w:val="22"/>
          <w:highlight w:val="none"/>
          <w:u w:val="single"/>
        </w:rPr>
      </w:pPr>
      <w:r>
        <w:rPr>
          <w:rFonts w:hint="eastAsia" w:ascii="宋体" w:hAnsi="宋体"/>
          <w:b w:val="0"/>
          <w:color w:val="auto"/>
          <w:sz w:val="22"/>
          <w:szCs w:val="22"/>
          <w:highlight w:val="none"/>
          <w:u w:val="single"/>
        </w:rPr>
        <w:t>1、以供应商有效投标价中的最低报价为评标基准价，得满分</w:t>
      </w:r>
      <w:r>
        <w:rPr>
          <w:rFonts w:hint="eastAsia" w:ascii="宋体" w:hAnsi="宋体"/>
          <w:b w:val="0"/>
          <w:color w:val="auto"/>
          <w:sz w:val="22"/>
          <w:szCs w:val="22"/>
          <w:highlight w:val="none"/>
          <w:u w:val="single"/>
          <w:lang w:val="en-US" w:eastAsia="zh-CN"/>
        </w:rPr>
        <w:t>2</w:t>
      </w:r>
      <w:r>
        <w:rPr>
          <w:rFonts w:ascii="宋体" w:hAnsi="宋体"/>
          <w:b w:val="0"/>
          <w:color w:val="auto"/>
          <w:sz w:val="22"/>
          <w:szCs w:val="22"/>
          <w:highlight w:val="none"/>
          <w:u w:val="single"/>
        </w:rPr>
        <w:t>0</w:t>
      </w:r>
      <w:r>
        <w:rPr>
          <w:rFonts w:hint="eastAsia" w:ascii="宋体" w:hAnsi="宋体"/>
          <w:b w:val="0"/>
          <w:color w:val="auto"/>
          <w:sz w:val="22"/>
          <w:szCs w:val="22"/>
          <w:highlight w:val="none"/>
          <w:u w:val="single"/>
        </w:rPr>
        <w:t>分。商务报价评分结算公式为:投标报价得分=(评标基准价／投标报价)×</w:t>
      </w:r>
      <w:r>
        <w:rPr>
          <w:rFonts w:hint="eastAsia" w:ascii="宋体" w:hAnsi="宋体"/>
          <w:b w:val="0"/>
          <w:color w:val="auto"/>
          <w:sz w:val="22"/>
          <w:szCs w:val="22"/>
          <w:highlight w:val="none"/>
          <w:u w:val="single"/>
          <w:lang w:val="en-US" w:eastAsia="zh-CN"/>
        </w:rPr>
        <w:t>2</w:t>
      </w:r>
      <w:r>
        <w:rPr>
          <w:rFonts w:ascii="宋体" w:hAnsi="宋体"/>
          <w:b w:val="0"/>
          <w:color w:val="auto"/>
          <w:sz w:val="22"/>
          <w:szCs w:val="22"/>
          <w:highlight w:val="none"/>
          <w:u w:val="single"/>
        </w:rPr>
        <w:t>0</w:t>
      </w:r>
      <w:r>
        <w:rPr>
          <w:rFonts w:hint="eastAsia" w:ascii="宋体" w:hAnsi="宋体"/>
          <w:b w:val="0"/>
          <w:color w:val="auto"/>
          <w:sz w:val="22"/>
          <w:szCs w:val="22"/>
          <w:highlight w:val="none"/>
          <w:u w:val="single"/>
        </w:rPr>
        <w:t>%×100</w:t>
      </w:r>
    </w:p>
    <w:p w14:paraId="700F567E">
      <w:pPr>
        <w:adjustRightInd w:val="0"/>
        <w:snapToGrid w:val="0"/>
        <w:spacing w:before="100" w:after="50" w:line="440" w:lineRule="atLeast"/>
        <w:ind w:firstLine="420"/>
        <w:rPr>
          <w:rFonts w:hint="eastAsia" w:ascii="宋体" w:hAnsi="宋体"/>
          <w:b w:val="0"/>
          <w:color w:val="auto"/>
          <w:sz w:val="22"/>
          <w:szCs w:val="22"/>
          <w:highlight w:val="none"/>
          <w:u w:val="single"/>
        </w:rPr>
      </w:pPr>
      <w:r>
        <w:rPr>
          <w:rFonts w:hint="eastAsia" w:ascii="宋体" w:hAnsi="宋体"/>
          <w:b w:val="0"/>
          <w:color w:val="auto"/>
          <w:sz w:val="22"/>
          <w:szCs w:val="22"/>
          <w:highlight w:val="none"/>
        </w:rPr>
        <w:t>2、</w:t>
      </w:r>
      <w:r>
        <w:rPr>
          <w:rFonts w:ascii="宋体" w:hAnsi="宋体"/>
          <w:b w:val="0"/>
          <w:color w:val="auto"/>
          <w:sz w:val="22"/>
          <w:szCs w:val="22"/>
          <w:highlight w:val="none"/>
          <w:u w:val="single"/>
        </w:rPr>
        <w:t>重要提示：为防止恶意竞标的行为，评审小组认为投标供应商的报价明显低于其他通过符合性审查的投标供应商的报价，有可能影响产品质量或者不能诚信履约的，将要求投标供应商在合理的时间内提供书面说明，必要时提交相关证明材料；投标供应商不能证明其报价合理性的，评审小组将认定为无效投标。</w:t>
      </w:r>
    </w:p>
    <w:p w14:paraId="722A06B7">
      <w:pPr>
        <w:adjustRightInd w:val="0"/>
        <w:snapToGrid w:val="0"/>
        <w:spacing w:line="400" w:lineRule="atLeast"/>
        <w:rPr>
          <w:rFonts w:hint="eastAsia" w:ascii="宋体" w:hAnsi="宋体"/>
          <w:b w:val="0"/>
          <w:color w:val="auto"/>
          <w:sz w:val="22"/>
          <w:szCs w:val="22"/>
          <w:highlight w:val="none"/>
        </w:rPr>
      </w:pPr>
      <w:r>
        <w:rPr>
          <w:rFonts w:hint="eastAsia" w:ascii="宋体" w:hAnsi="宋体"/>
          <w:b w:val="0"/>
          <w:color w:val="auto"/>
          <w:sz w:val="22"/>
          <w:szCs w:val="22"/>
          <w:highlight w:val="none"/>
        </w:rPr>
        <w:t>二、</w:t>
      </w:r>
      <w:r>
        <w:rPr>
          <w:rFonts w:hint="eastAsia" w:ascii="宋体" w:hAnsi="宋体"/>
          <w:b w:val="0"/>
          <w:color w:val="auto"/>
          <w:sz w:val="22"/>
          <w:szCs w:val="22"/>
          <w:highlight w:val="none"/>
          <w:u w:val="single"/>
        </w:rPr>
        <w:t>技术资信综合评分</w:t>
      </w:r>
      <w:r>
        <w:rPr>
          <w:rFonts w:hint="eastAsia" w:ascii="宋体" w:hAnsi="宋体"/>
          <w:b w:val="0"/>
          <w:color w:val="auto"/>
          <w:sz w:val="22"/>
          <w:szCs w:val="22"/>
          <w:highlight w:val="none"/>
          <w:lang w:val="en-US" w:eastAsia="zh-CN"/>
        </w:rPr>
        <w:t>8</w:t>
      </w:r>
      <w:r>
        <w:rPr>
          <w:rFonts w:ascii="宋体" w:hAnsi="宋体"/>
          <w:b w:val="0"/>
          <w:color w:val="auto"/>
          <w:sz w:val="22"/>
          <w:szCs w:val="22"/>
          <w:highlight w:val="none"/>
        </w:rPr>
        <w:t>0</w:t>
      </w:r>
      <w:r>
        <w:rPr>
          <w:rFonts w:hint="eastAsia" w:ascii="宋体" w:hAnsi="宋体"/>
          <w:b w:val="0"/>
          <w:color w:val="auto"/>
          <w:sz w:val="22"/>
          <w:szCs w:val="22"/>
          <w:highlight w:val="none"/>
        </w:rPr>
        <w:t>分</w:t>
      </w:r>
    </w:p>
    <w:tbl>
      <w:tblPr>
        <w:tblStyle w:val="3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28"/>
        <w:gridCol w:w="1338"/>
        <w:gridCol w:w="742"/>
        <w:gridCol w:w="5708"/>
      </w:tblGrid>
      <w:tr w14:paraId="41EC6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jc w:val="center"/>
        </w:trPr>
        <w:tc>
          <w:tcPr>
            <w:tcW w:w="728" w:type="dxa"/>
            <w:shd w:val="clear" w:color="auto" w:fill="auto"/>
            <w:vAlign w:val="center"/>
          </w:tcPr>
          <w:p w14:paraId="0087CE46">
            <w:pPr>
              <w:jc w:val="center"/>
              <w:rPr>
                <w:rFonts w:asciiTheme="minorEastAsia" w:hAnsiTheme="minorEastAsia" w:eastAsiaTheme="minorEastAsia"/>
                <w:b w:val="0"/>
                <w:sz w:val="22"/>
                <w:szCs w:val="22"/>
                <w:highlight w:val="none"/>
              </w:rPr>
            </w:pPr>
            <w:bookmarkStart w:id="174" w:name="_Hlk176423960"/>
            <w:r>
              <w:rPr>
                <w:rFonts w:hint="eastAsia" w:asciiTheme="minorEastAsia" w:hAnsiTheme="minorEastAsia" w:eastAsiaTheme="minorEastAsia"/>
                <w:b w:val="0"/>
                <w:sz w:val="22"/>
                <w:szCs w:val="22"/>
                <w:highlight w:val="none"/>
              </w:rPr>
              <w:t>序号</w:t>
            </w:r>
          </w:p>
        </w:tc>
        <w:tc>
          <w:tcPr>
            <w:tcW w:w="1338" w:type="dxa"/>
            <w:shd w:val="clear" w:color="auto" w:fill="auto"/>
            <w:vAlign w:val="center"/>
          </w:tcPr>
          <w:p w14:paraId="41848BEE">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评分内容</w:t>
            </w:r>
          </w:p>
        </w:tc>
        <w:tc>
          <w:tcPr>
            <w:tcW w:w="742" w:type="dxa"/>
            <w:shd w:val="clear" w:color="auto" w:fill="auto"/>
            <w:vAlign w:val="center"/>
          </w:tcPr>
          <w:p w14:paraId="76CE741C">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分值</w:t>
            </w:r>
          </w:p>
        </w:tc>
        <w:tc>
          <w:tcPr>
            <w:tcW w:w="5708" w:type="dxa"/>
            <w:shd w:val="clear" w:color="auto" w:fill="auto"/>
            <w:vAlign w:val="center"/>
          </w:tcPr>
          <w:p w14:paraId="69190FF1">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评分标准</w:t>
            </w:r>
          </w:p>
        </w:tc>
      </w:tr>
      <w:tr w14:paraId="7CE5B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shd w:val="clear" w:color="auto" w:fill="auto"/>
            <w:vAlign w:val="center"/>
          </w:tcPr>
          <w:p w14:paraId="39F30305">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1</w:t>
            </w:r>
          </w:p>
        </w:tc>
        <w:tc>
          <w:tcPr>
            <w:tcW w:w="1338" w:type="dxa"/>
            <w:shd w:val="clear" w:color="auto" w:fill="auto"/>
            <w:vAlign w:val="center"/>
          </w:tcPr>
          <w:p w14:paraId="0B7F42B9">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偿付能力</w:t>
            </w:r>
          </w:p>
        </w:tc>
        <w:tc>
          <w:tcPr>
            <w:tcW w:w="742" w:type="dxa"/>
            <w:shd w:val="clear" w:color="auto" w:fill="auto"/>
            <w:vAlign w:val="center"/>
          </w:tcPr>
          <w:p w14:paraId="24A05BE5">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0-10</w:t>
            </w:r>
          </w:p>
        </w:tc>
        <w:tc>
          <w:tcPr>
            <w:tcW w:w="5708" w:type="dxa"/>
            <w:shd w:val="clear" w:color="auto" w:fill="auto"/>
            <w:vAlign w:val="center"/>
          </w:tcPr>
          <w:p w14:paraId="55C43BCE">
            <w:pPr>
              <w:jc w:val="left"/>
              <w:rPr>
                <w:rFonts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投标供应商总公司2021年-2023年连续三年核心偿付能力情况进行评分，连续三年200%以上得10分；一年低于200%高于150%得5分；一年低于150%或两年及以上低于200%不得分。</w:t>
            </w:r>
          </w:p>
          <w:p w14:paraId="0EC55446">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注：以2021-2023年经会计事务所审计的审计报告数据为准，投标文件中提供2021-2023年审计报告数据相关界面复印件加盖投标供应商公章，否则不得分。</w:t>
            </w:r>
          </w:p>
        </w:tc>
      </w:tr>
      <w:tr w14:paraId="305DF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shd w:val="clear" w:color="auto" w:fill="auto"/>
            <w:vAlign w:val="center"/>
          </w:tcPr>
          <w:p w14:paraId="24524EA5">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2</w:t>
            </w:r>
          </w:p>
        </w:tc>
        <w:tc>
          <w:tcPr>
            <w:tcW w:w="1338" w:type="dxa"/>
            <w:shd w:val="clear" w:color="auto" w:fill="auto"/>
            <w:vAlign w:val="center"/>
          </w:tcPr>
          <w:p w14:paraId="2962EC86">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投诉率</w:t>
            </w:r>
          </w:p>
        </w:tc>
        <w:tc>
          <w:tcPr>
            <w:tcW w:w="742" w:type="dxa"/>
            <w:shd w:val="clear" w:color="auto" w:fill="auto"/>
            <w:vAlign w:val="center"/>
          </w:tcPr>
          <w:p w14:paraId="7AEA2FA0">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0-6</w:t>
            </w:r>
          </w:p>
        </w:tc>
        <w:tc>
          <w:tcPr>
            <w:tcW w:w="5708" w:type="dxa"/>
            <w:shd w:val="clear" w:color="auto" w:fill="auto"/>
            <w:vAlign w:val="center"/>
          </w:tcPr>
          <w:p w14:paraId="514A47B0">
            <w:pPr>
              <w:jc w:val="left"/>
              <w:rPr>
                <w:rFonts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投标供应商总公司2023年度保险公司万张保单投诉量从低到高排名：排名第一得6分，排名第二得4分，排名第三得2分，其余不得分。</w:t>
            </w:r>
          </w:p>
          <w:p w14:paraId="6CC87A00">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注：以国家金融监督管理总局官网截图为准。</w:t>
            </w:r>
          </w:p>
        </w:tc>
      </w:tr>
      <w:tr w14:paraId="15074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shd w:val="clear" w:color="auto" w:fill="auto"/>
            <w:vAlign w:val="center"/>
          </w:tcPr>
          <w:p w14:paraId="2D37CD52">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3</w:t>
            </w:r>
          </w:p>
        </w:tc>
        <w:tc>
          <w:tcPr>
            <w:tcW w:w="1338" w:type="dxa"/>
            <w:shd w:val="clear" w:color="auto" w:fill="auto"/>
            <w:vAlign w:val="center"/>
          </w:tcPr>
          <w:p w14:paraId="20A6FF27">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法人经营评价结果</w:t>
            </w:r>
          </w:p>
        </w:tc>
        <w:tc>
          <w:tcPr>
            <w:tcW w:w="742" w:type="dxa"/>
            <w:shd w:val="clear" w:color="auto" w:fill="auto"/>
            <w:vAlign w:val="center"/>
          </w:tcPr>
          <w:p w14:paraId="36229555">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0-5</w:t>
            </w:r>
          </w:p>
        </w:tc>
        <w:tc>
          <w:tcPr>
            <w:tcW w:w="5708" w:type="dxa"/>
            <w:shd w:val="clear" w:color="auto" w:fill="auto"/>
            <w:vAlign w:val="center"/>
          </w:tcPr>
          <w:p w14:paraId="76EC25EF">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投标供应商总公司2022年度财产险公司经营评价结果：A级得5分，B级4分，C级得2分。注：以中国保险行业协会评价为准。</w:t>
            </w:r>
          </w:p>
        </w:tc>
      </w:tr>
      <w:tr w14:paraId="07E50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shd w:val="clear" w:color="auto" w:fill="auto"/>
            <w:vAlign w:val="center"/>
          </w:tcPr>
          <w:p w14:paraId="02966FA6">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4</w:t>
            </w:r>
          </w:p>
        </w:tc>
        <w:tc>
          <w:tcPr>
            <w:tcW w:w="1338" w:type="dxa"/>
            <w:shd w:val="clear" w:color="auto" w:fill="auto"/>
            <w:vAlign w:val="center"/>
          </w:tcPr>
          <w:p w14:paraId="1A17A409">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难点、要点的剖析及解决措施</w:t>
            </w:r>
          </w:p>
        </w:tc>
        <w:tc>
          <w:tcPr>
            <w:tcW w:w="742" w:type="dxa"/>
            <w:shd w:val="clear" w:color="auto" w:fill="auto"/>
            <w:vAlign w:val="center"/>
          </w:tcPr>
          <w:p w14:paraId="6392C433">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0-10</w:t>
            </w:r>
          </w:p>
        </w:tc>
        <w:tc>
          <w:tcPr>
            <w:tcW w:w="5708" w:type="dxa"/>
            <w:shd w:val="clear" w:color="auto" w:fill="auto"/>
            <w:vAlign w:val="center"/>
          </w:tcPr>
          <w:p w14:paraId="38B5507D">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针对本项目在实施过程中的难点、要点等问题进行剖析以及克服难点、要点的解决措施：描述全面合理性、针对性强的得10.0-7.1分；一般的得4.0-1.1分；差的得1.0-0分。</w:t>
            </w:r>
          </w:p>
        </w:tc>
      </w:tr>
      <w:tr w14:paraId="31342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shd w:val="clear" w:color="auto" w:fill="auto"/>
            <w:vAlign w:val="center"/>
          </w:tcPr>
          <w:p w14:paraId="3BA46DF3">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5</w:t>
            </w:r>
          </w:p>
        </w:tc>
        <w:tc>
          <w:tcPr>
            <w:tcW w:w="1338" w:type="dxa"/>
            <w:shd w:val="clear" w:color="auto" w:fill="auto"/>
            <w:vAlign w:val="center"/>
          </w:tcPr>
          <w:p w14:paraId="513C9D80">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保险服务方案</w:t>
            </w:r>
          </w:p>
        </w:tc>
        <w:tc>
          <w:tcPr>
            <w:tcW w:w="742" w:type="dxa"/>
            <w:shd w:val="clear" w:color="auto" w:fill="auto"/>
            <w:vAlign w:val="center"/>
          </w:tcPr>
          <w:p w14:paraId="7FCC0FAA">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0-6</w:t>
            </w:r>
          </w:p>
        </w:tc>
        <w:tc>
          <w:tcPr>
            <w:tcW w:w="5708" w:type="dxa"/>
            <w:shd w:val="clear" w:color="auto" w:fill="auto"/>
            <w:vAlign w:val="center"/>
          </w:tcPr>
          <w:p w14:paraId="75701310">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投标供应商以采购文件中的保险责任为基础，根据实际情况科学、合理地制定保险保障方案。根据保险保障方案的科学性、合理性、可行性进行评分。（方案科学性、合理性、可行性强的得6.0-4.1分；一般的得4.0-2.1分；不强的得2.0-0分。）</w:t>
            </w:r>
          </w:p>
        </w:tc>
      </w:tr>
      <w:tr w14:paraId="484FD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vMerge w:val="restart"/>
            <w:shd w:val="clear" w:color="auto" w:fill="auto"/>
            <w:vAlign w:val="center"/>
          </w:tcPr>
          <w:p w14:paraId="6C89D619">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6</w:t>
            </w:r>
          </w:p>
        </w:tc>
        <w:tc>
          <w:tcPr>
            <w:tcW w:w="1338" w:type="dxa"/>
            <w:vMerge w:val="restart"/>
            <w:shd w:val="clear" w:color="auto" w:fill="auto"/>
            <w:vAlign w:val="center"/>
          </w:tcPr>
          <w:p w14:paraId="5E6AAFDD">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服务团队</w:t>
            </w:r>
          </w:p>
        </w:tc>
        <w:tc>
          <w:tcPr>
            <w:tcW w:w="742" w:type="dxa"/>
            <w:shd w:val="clear" w:color="auto" w:fill="auto"/>
            <w:vAlign w:val="center"/>
          </w:tcPr>
          <w:p w14:paraId="2A5B2D16">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0-6</w:t>
            </w:r>
          </w:p>
        </w:tc>
        <w:tc>
          <w:tcPr>
            <w:tcW w:w="5708" w:type="dxa"/>
            <w:shd w:val="clear" w:color="auto" w:fill="auto"/>
            <w:vAlign w:val="center"/>
          </w:tcPr>
          <w:p w14:paraId="42F3F521">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根据项目负责人的专业经验和服务能力打分。（服务经验丰富的得6.0-4.1分；一般的得4.0-2.1分；不强的得2.0-0分。）</w:t>
            </w:r>
          </w:p>
        </w:tc>
      </w:tr>
      <w:tr w14:paraId="52AAF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vMerge w:val="continue"/>
            <w:vAlign w:val="center"/>
          </w:tcPr>
          <w:p w14:paraId="2518D51F">
            <w:pPr>
              <w:jc w:val="center"/>
              <w:rPr>
                <w:rFonts w:asciiTheme="minorEastAsia" w:hAnsiTheme="minorEastAsia" w:eastAsiaTheme="minorEastAsia"/>
                <w:b w:val="0"/>
                <w:sz w:val="22"/>
                <w:szCs w:val="22"/>
                <w:highlight w:val="none"/>
              </w:rPr>
            </w:pPr>
          </w:p>
        </w:tc>
        <w:tc>
          <w:tcPr>
            <w:tcW w:w="1338" w:type="dxa"/>
            <w:vMerge w:val="continue"/>
            <w:vAlign w:val="center"/>
          </w:tcPr>
          <w:p w14:paraId="19620949">
            <w:pPr>
              <w:jc w:val="center"/>
              <w:rPr>
                <w:rFonts w:asciiTheme="minorEastAsia" w:hAnsiTheme="minorEastAsia" w:eastAsiaTheme="minorEastAsia"/>
                <w:b w:val="0"/>
                <w:sz w:val="22"/>
                <w:szCs w:val="22"/>
                <w:highlight w:val="none"/>
              </w:rPr>
            </w:pPr>
          </w:p>
        </w:tc>
        <w:tc>
          <w:tcPr>
            <w:tcW w:w="742" w:type="dxa"/>
            <w:shd w:val="clear" w:color="auto" w:fill="auto"/>
            <w:vAlign w:val="center"/>
          </w:tcPr>
          <w:p w14:paraId="7D6C34D0">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0-10</w:t>
            </w:r>
          </w:p>
        </w:tc>
        <w:tc>
          <w:tcPr>
            <w:tcW w:w="5708" w:type="dxa"/>
            <w:shd w:val="clear" w:color="auto" w:fill="auto"/>
            <w:vAlign w:val="center"/>
          </w:tcPr>
          <w:p w14:paraId="392F2944">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服务团队配置人员（除项目负责人外）的整体专业经验和服务能力、保险小组成员介绍、人员安排计划等根据优劣程度打分。（人员配备售后服务经验比较丰富、计划合理的得10.0-7.1分；一般的得7.0-4.1分；差的得4.0-0分。）</w:t>
            </w:r>
          </w:p>
        </w:tc>
      </w:tr>
      <w:tr w14:paraId="1232E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vMerge w:val="continue"/>
            <w:vAlign w:val="center"/>
          </w:tcPr>
          <w:p w14:paraId="0971C9A9">
            <w:pPr>
              <w:jc w:val="center"/>
              <w:rPr>
                <w:rFonts w:asciiTheme="minorEastAsia" w:hAnsiTheme="minorEastAsia" w:eastAsiaTheme="minorEastAsia"/>
                <w:b w:val="0"/>
                <w:sz w:val="22"/>
                <w:szCs w:val="22"/>
                <w:highlight w:val="none"/>
              </w:rPr>
            </w:pPr>
          </w:p>
        </w:tc>
        <w:tc>
          <w:tcPr>
            <w:tcW w:w="1338" w:type="dxa"/>
            <w:vMerge w:val="continue"/>
            <w:vAlign w:val="center"/>
          </w:tcPr>
          <w:p w14:paraId="33978C9C">
            <w:pPr>
              <w:jc w:val="center"/>
              <w:rPr>
                <w:rFonts w:asciiTheme="minorEastAsia" w:hAnsiTheme="minorEastAsia" w:eastAsiaTheme="minorEastAsia"/>
                <w:b w:val="0"/>
                <w:sz w:val="22"/>
                <w:szCs w:val="22"/>
                <w:highlight w:val="none"/>
              </w:rPr>
            </w:pPr>
          </w:p>
        </w:tc>
        <w:tc>
          <w:tcPr>
            <w:tcW w:w="742" w:type="dxa"/>
            <w:shd w:val="clear" w:color="auto" w:fill="auto"/>
            <w:vAlign w:val="center"/>
          </w:tcPr>
          <w:p w14:paraId="3FCBDFD2">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0-5</w:t>
            </w:r>
          </w:p>
        </w:tc>
        <w:tc>
          <w:tcPr>
            <w:tcW w:w="5708" w:type="dxa"/>
            <w:shd w:val="clear" w:color="auto" w:fill="auto"/>
            <w:vAlign w:val="center"/>
          </w:tcPr>
          <w:p w14:paraId="61CBE916">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根据供应商承诺的法律调解与投诉处理情况进行打分。承诺配备有法律知识背景的专业调解接待人员得3分，承诺建立专门从事接待调解工作的调解室得1分，承诺建立配套信访投诉台账资料的得 1分。</w:t>
            </w:r>
          </w:p>
        </w:tc>
      </w:tr>
      <w:tr w14:paraId="2C568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vMerge w:val="restart"/>
            <w:shd w:val="clear" w:color="auto" w:fill="auto"/>
            <w:vAlign w:val="center"/>
          </w:tcPr>
          <w:p w14:paraId="151DA1D1">
            <w:pPr>
              <w:jc w:val="center"/>
              <w:rPr>
                <w:rFonts w:hint="eastAsia" w:asciiTheme="minorEastAsia" w:hAnsiTheme="minorEastAsia" w:eastAsiaTheme="minorEastAsia"/>
                <w:b w:val="0"/>
                <w:sz w:val="22"/>
                <w:szCs w:val="22"/>
                <w:highlight w:val="none"/>
                <w:lang w:eastAsia="zh-CN"/>
              </w:rPr>
            </w:pPr>
            <w:r>
              <w:rPr>
                <w:rFonts w:hint="eastAsia" w:asciiTheme="minorEastAsia" w:hAnsiTheme="minorEastAsia" w:eastAsiaTheme="minorEastAsia"/>
                <w:b w:val="0"/>
                <w:sz w:val="22"/>
                <w:szCs w:val="22"/>
                <w:highlight w:val="none"/>
                <w:lang w:val="en-US" w:eastAsia="zh-CN"/>
              </w:rPr>
              <w:t>7</w:t>
            </w:r>
          </w:p>
        </w:tc>
        <w:tc>
          <w:tcPr>
            <w:tcW w:w="1338" w:type="dxa"/>
            <w:vMerge w:val="restart"/>
            <w:shd w:val="clear" w:color="auto" w:fill="auto"/>
            <w:vAlign w:val="center"/>
          </w:tcPr>
          <w:p w14:paraId="31923116">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理赔服务方案</w:t>
            </w:r>
          </w:p>
        </w:tc>
        <w:tc>
          <w:tcPr>
            <w:tcW w:w="742" w:type="dxa"/>
            <w:shd w:val="clear" w:color="auto" w:fill="auto"/>
            <w:vAlign w:val="center"/>
          </w:tcPr>
          <w:p w14:paraId="1C7E8B87">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0-6</w:t>
            </w:r>
          </w:p>
        </w:tc>
        <w:tc>
          <w:tcPr>
            <w:tcW w:w="5708" w:type="dxa"/>
            <w:shd w:val="clear" w:color="auto" w:fill="auto"/>
            <w:vAlign w:val="center"/>
          </w:tcPr>
          <w:p w14:paraId="1C37BDF7">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有专门针对本项目得整体理赔服务方案以及理赔服务计划、理赔服务流程的，按照理赔流程是否合理明确、是否有专门的理赔小组/专员、现场查勘时效承诺、理赔时效的长短、免查勘小额赔付金额配置、预付赔款金额设置、是否符合浙江省“最多跑一次”便民服务要求等因素来综合评估方案的优劣程度打分。（方案全面、合理、可操作性、针对性强的得6.0-4.1分；一般的得4.0-2.1分；不强的得2.0-0分。）</w:t>
            </w:r>
          </w:p>
        </w:tc>
      </w:tr>
      <w:tr w14:paraId="0A0A4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vMerge w:val="continue"/>
            <w:vAlign w:val="center"/>
          </w:tcPr>
          <w:p w14:paraId="150BE448">
            <w:pPr>
              <w:jc w:val="center"/>
              <w:rPr>
                <w:rFonts w:asciiTheme="minorEastAsia" w:hAnsiTheme="minorEastAsia" w:eastAsiaTheme="minorEastAsia"/>
                <w:b w:val="0"/>
                <w:sz w:val="22"/>
                <w:szCs w:val="22"/>
                <w:highlight w:val="none"/>
              </w:rPr>
            </w:pPr>
          </w:p>
        </w:tc>
        <w:tc>
          <w:tcPr>
            <w:tcW w:w="1338" w:type="dxa"/>
            <w:vMerge w:val="continue"/>
            <w:vAlign w:val="center"/>
          </w:tcPr>
          <w:p w14:paraId="475B72C4">
            <w:pPr>
              <w:jc w:val="center"/>
              <w:rPr>
                <w:rFonts w:asciiTheme="minorEastAsia" w:hAnsiTheme="minorEastAsia" w:eastAsiaTheme="minorEastAsia"/>
                <w:b w:val="0"/>
                <w:sz w:val="22"/>
                <w:szCs w:val="22"/>
                <w:highlight w:val="none"/>
              </w:rPr>
            </w:pPr>
          </w:p>
        </w:tc>
        <w:tc>
          <w:tcPr>
            <w:tcW w:w="742" w:type="dxa"/>
            <w:shd w:val="clear" w:color="auto" w:fill="auto"/>
            <w:vAlign w:val="center"/>
          </w:tcPr>
          <w:p w14:paraId="1DFE9C27">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0-5</w:t>
            </w:r>
          </w:p>
        </w:tc>
        <w:tc>
          <w:tcPr>
            <w:tcW w:w="5708" w:type="dxa"/>
            <w:shd w:val="clear" w:color="auto" w:fill="auto"/>
            <w:vAlign w:val="center"/>
          </w:tcPr>
          <w:p w14:paraId="507FF902">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保障措施方案：包括但不限于时间进度保证、机构落实、人员落实、设备落实、责任落实、投诉处理控制等，综合评估优劣程度打分。（方案全面、合理、可操作性、针对性强的得5.0-3.1分；一般的得3.0-1.1分；差的得1.0-0分。）。</w:t>
            </w:r>
          </w:p>
        </w:tc>
      </w:tr>
      <w:tr w14:paraId="10CB9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728" w:type="dxa"/>
            <w:shd w:val="clear" w:color="auto" w:fill="auto"/>
            <w:vAlign w:val="center"/>
          </w:tcPr>
          <w:p w14:paraId="17D1C1BB">
            <w:pPr>
              <w:jc w:val="center"/>
              <w:rPr>
                <w:rFonts w:hint="eastAsia" w:asciiTheme="minorEastAsia" w:hAnsiTheme="minorEastAsia" w:eastAsiaTheme="minorEastAsia"/>
                <w:b w:val="0"/>
                <w:sz w:val="22"/>
                <w:szCs w:val="22"/>
                <w:highlight w:val="none"/>
                <w:lang w:eastAsia="zh-CN"/>
              </w:rPr>
            </w:pPr>
            <w:r>
              <w:rPr>
                <w:rFonts w:hint="eastAsia" w:asciiTheme="minorEastAsia" w:hAnsiTheme="minorEastAsia" w:eastAsiaTheme="minorEastAsia"/>
                <w:b w:val="0"/>
                <w:sz w:val="22"/>
                <w:szCs w:val="22"/>
                <w:highlight w:val="none"/>
                <w:lang w:val="en-US" w:eastAsia="zh-CN"/>
              </w:rPr>
              <w:t>8</w:t>
            </w:r>
          </w:p>
        </w:tc>
        <w:tc>
          <w:tcPr>
            <w:tcW w:w="1338" w:type="dxa"/>
            <w:shd w:val="clear" w:color="auto" w:fill="auto"/>
            <w:vAlign w:val="center"/>
          </w:tcPr>
          <w:p w14:paraId="12549774">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保险培训方案</w:t>
            </w:r>
          </w:p>
        </w:tc>
        <w:tc>
          <w:tcPr>
            <w:tcW w:w="742" w:type="dxa"/>
            <w:shd w:val="clear" w:color="auto" w:fill="auto"/>
            <w:vAlign w:val="center"/>
          </w:tcPr>
          <w:p w14:paraId="4C525CAE">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0-6</w:t>
            </w:r>
          </w:p>
        </w:tc>
        <w:tc>
          <w:tcPr>
            <w:tcW w:w="5708" w:type="dxa"/>
            <w:shd w:val="clear" w:color="auto" w:fill="auto"/>
            <w:vAlign w:val="center"/>
          </w:tcPr>
          <w:p w14:paraId="7046C5F0">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根据培训次数、内容的配套性和针对性、授课专家等，综合评估优劣程度打分。（方案科学性、合理性、配套性、针对性和可操作性强的得6</w:t>
            </w:r>
            <w:bookmarkStart w:id="175" w:name="_GoBack"/>
            <w:bookmarkEnd w:id="175"/>
            <w:r>
              <w:rPr>
                <w:rFonts w:hint="eastAsia" w:asciiTheme="minorEastAsia" w:hAnsiTheme="minorEastAsia" w:eastAsiaTheme="minorEastAsia"/>
                <w:b w:val="0"/>
                <w:sz w:val="22"/>
                <w:szCs w:val="22"/>
                <w:highlight w:val="none"/>
              </w:rPr>
              <w:t>.0-4.1分；一般的得4.0-2.1分；不强的得2.0-0分。）。</w:t>
            </w:r>
          </w:p>
        </w:tc>
      </w:tr>
      <w:tr w14:paraId="1B14F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4" w:hRule="atLeast"/>
          <w:jc w:val="center"/>
        </w:trPr>
        <w:tc>
          <w:tcPr>
            <w:tcW w:w="728" w:type="dxa"/>
            <w:shd w:val="clear" w:color="auto" w:fill="auto"/>
            <w:vAlign w:val="center"/>
          </w:tcPr>
          <w:p w14:paraId="3F9B786B">
            <w:pPr>
              <w:jc w:val="center"/>
              <w:rPr>
                <w:rFonts w:hint="eastAsia" w:asciiTheme="minorEastAsia" w:hAnsiTheme="minorEastAsia" w:eastAsiaTheme="minorEastAsia"/>
                <w:b w:val="0"/>
                <w:sz w:val="22"/>
                <w:szCs w:val="22"/>
                <w:highlight w:val="none"/>
                <w:lang w:eastAsia="zh-CN"/>
              </w:rPr>
            </w:pPr>
            <w:r>
              <w:rPr>
                <w:rFonts w:hint="eastAsia" w:asciiTheme="minorEastAsia" w:hAnsiTheme="minorEastAsia" w:eastAsiaTheme="minorEastAsia"/>
                <w:b w:val="0"/>
                <w:sz w:val="22"/>
                <w:szCs w:val="22"/>
                <w:highlight w:val="none"/>
                <w:lang w:val="en-US" w:eastAsia="zh-CN"/>
              </w:rPr>
              <w:t>9</w:t>
            </w:r>
          </w:p>
        </w:tc>
        <w:tc>
          <w:tcPr>
            <w:tcW w:w="1338" w:type="dxa"/>
            <w:shd w:val="clear" w:color="auto" w:fill="auto"/>
            <w:vAlign w:val="center"/>
          </w:tcPr>
          <w:p w14:paraId="39F9DC5D">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增值服务</w:t>
            </w:r>
          </w:p>
        </w:tc>
        <w:tc>
          <w:tcPr>
            <w:tcW w:w="742" w:type="dxa"/>
            <w:shd w:val="clear" w:color="auto" w:fill="auto"/>
            <w:vAlign w:val="center"/>
          </w:tcPr>
          <w:p w14:paraId="470B320C">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0-5</w:t>
            </w:r>
          </w:p>
        </w:tc>
        <w:tc>
          <w:tcPr>
            <w:tcW w:w="5708" w:type="dxa"/>
            <w:shd w:val="clear" w:color="auto" w:fill="auto"/>
            <w:vAlign w:val="center"/>
          </w:tcPr>
          <w:p w14:paraId="6D15971C">
            <w:pPr>
              <w:jc w:val="left"/>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针对本项目提供其他增值服务的实用性、针对性打分。（实用性、针对性强的得5.0-3.1分；一般的得3.0-1.1分；差的得1.0-0分。）</w:t>
            </w:r>
          </w:p>
        </w:tc>
      </w:tr>
      <w:tr w14:paraId="57750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1" w:hRule="atLeast"/>
          <w:jc w:val="center"/>
        </w:trPr>
        <w:tc>
          <w:tcPr>
            <w:tcW w:w="2066" w:type="dxa"/>
            <w:gridSpan w:val="2"/>
            <w:shd w:val="clear" w:color="auto" w:fill="auto"/>
            <w:vAlign w:val="center"/>
          </w:tcPr>
          <w:p w14:paraId="6B8027EE">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合计</w:t>
            </w:r>
          </w:p>
        </w:tc>
        <w:tc>
          <w:tcPr>
            <w:tcW w:w="742" w:type="dxa"/>
            <w:shd w:val="clear" w:color="auto" w:fill="auto"/>
            <w:vAlign w:val="center"/>
          </w:tcPr>
          <w:p w14:paraId="02877EB9">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0-80</w:t>
            </w:r>
          </w:p>
        </w:tc>
        <w:tc>
          <w:tcPr>
            <w:tcW w:w="5708" w:type="dxa"/>
            <w:shd w:val="clear" w:color="auto" w:fill="auto"/>
            <w:vAlign w:val="center"/>
          </w:tcPr>
          <w:p w14:paraId="5C068126">
            <w:pPr>
              <w:jc w:val="center"/>
              <w:rPr>
                <w:rFonts w:hint="eastAsia" w:asciiTheme="minorEastAsia" w:hAnsiTheme="minorEastAsia" w:eastAsiaTheme="minorEastAsia"/>
                <w:b w:val="0"/>
                <w:sz w:val="22"/>
                <w:szCs w:val="22"/>
                <w:highlight w:val="none"/>
              </w:rPr>
            </w:pPr>
            <w:r>
              <w:rPr>
                <w:rFonts w:hint="eastAsia" w:asciiTheme="minorEastAsia" w:hAnsiTheme="minorEastAsia" w:eastAsiaTheme="minorEastAsia"/>
                <w:b w:val="0"/>
                <w:sz w:val="22"/>
                <w:szCs w:val="22"/>
                <w:highlight w:val="none"/>
              </w:rPr>
              <w:t>/</w:t>
            </w:r>
          </w:p>
        </w:tc>
      </w:tr>
      <w:bookmarkEnd w:id="174"/>
    </w:tbl>
    <w:p w14:paraId="5BC20E2B">
      <w:pPr>
        <w:adjustRightInd w:val="0"/>
        <w:snapToGrid w:val="0"/>
        <w:spacing w:before="100" w:after="50" w:line="440" w:lineRule="atLeast"/>
        <w:ind w:firstLine="420"/>
        <w:rPr>
          <w:rFonts w:hint="eastAsia" w:ascii="宋体" w:hAnsi="宋体"/>
          <w:b w:val="0"/>
          <w:color w:val="auto"/>
          <w:sz w:val="22"/>
          <w:szCs w:val="22"/>
          <w:highlight w:val="none"/>
        </w:rPr>
      </w:pPr>
      <w:r>
        <w:rPr>
          <w:rFonts w:hint="eastAsia" w:ascii="宋体" w:hAnsi="宋体"/>
          <w:b w:val="0"/>
          <w:color w:val="auto"/>
          <w:sz w:val="22"/>
          <w:szCs w:val="22"/>
          <w:highlight w:val="none"/>
        </w:rPr>
        <w:t>1、每个供应商最终得分=技术资信部分分值（所有评标委员会成员打分的算术平均值）＋商务报价部分分值。</w:t>
      </w:r>
    </w:p>
    <w:p w14:paraId="13D85E51">
      <w:pPr>
        <w:adjustRightInd w:val="0"/>
        <w:snapToGrid w:val="0"/>
        <w:spacing w:before="100" w:after="50" w:line="440" w:lineRule="atLeast"/>
        <w:ind w:firstLine="420"/>
        <w:rPr>
          <w:rFonts w:hint="eastAsia" w:ascii="宋体" w:hAnsi="宋体"/>
          <w:b w:val="0"/>
          <w:color w:val="auto"/>
          <w:sz w:val="22"/>
          <w:szCs w:val="22"/>
          <w:highlight w:val="none"/>
        </w:rPr>
      </w:pPr>
      <w:r>
        <w:rPr>
          <w:rFonts w:hint="eastAsia" w:ascii="宋体" w:hAnsi="宋体"/>
          <w:b w:val="0"/>
          <w:color w:val="auto"/>
          <w:sz w:val="22"/>
          <w:szCs w:val="22"/>
          <w:highlight w:val="none"/>
        </w:rPr>
        <w:t>2、评标委员会推荐得分最高的供应商为预中标供应商（如果得分相同则按报价从低到高顺序依次推荐为预成交单位）如果得分相同，以报价低的优先报价也相同，以抽签决定，并编写采购报告。</w:t>
      </w:r>
    </w:p>
    <w:p w14:paraId="41A2E695">
      <w:pPr>
        <w:adjustRightInd w:val="0"/>
        <w:snapToGrid w:val="0"/>
        <w:spacing w:before="100" w:after="50" w:line="440" w:lineRule="atLeast"/>
        <w:ind w:firstLine="420"/>
        <w:rPr>
          <w:rFonts w:hint="eastAsia" w:ascii="宋体" w:hAnsi="宋体"/>
          <w:b w:val="0"/>
          <w:color w:val="auto"/>
          <w:sz w:val="22"/>
          <w:szCs w:val="22"/>
          <w:highlight w:val="none"/>
        </w:rPr>
      </w:pPr>
      <w:r>
        <w:rPr>
          <w:rFonts w:hint="eastAsia" w:ascii="宋体" w:hAnsi="宋体"/>
          <w:b w:val="0"/>
          <w:color w:val="auto"/>
          <w:sz w:val="22"/>
          <w:szCs w:val="22"/>
          <w:highlight w:val="none"/>
        </w:rPr>
        <w:t>3、所有分值计算保留小数点后二位，小数点后三位四舍五入。</w:t>
      </w:r>
    </w:p>
    <w:p w14:paraId="05953AE2">
      <w:pPr>
        <w:adjustRightInd w:val="0"/>
        <w:snapToGrid w:val="0"/>
        <w:spacing w:before="100" w:after="50" w:line="440" w:lineRule="atLeast"/>
        <w:ind w:firstLine="420"/>
        <w:rPr>
          <w:rFonts w:hint="eastAsia" w:ascii="宋体" w:hAnsi="宋体"/>
          <w:b w:val="0"/>
          <w:color w:val="auto"/>
          <w:sz w:val="22"/>
          <w:szCs w:val="22"/>
          <w:highlight w:val="none"/>
        </w:rPr>
      </w:pPr>
      <w:r>
        <w:rPr>
          <w:rFonts w:hint="eastAsia" w:ascii="宋体" w:hAnsi="宋体"/>
          <w:b w:val="0"/>
          <w:color w:val="auto"/>
          <w:sz w:val="22"/>
          <w:szCs w:val="22"/>
          <w:highlight w:val="none"/>
        </w:rPr>
        <w:t>4、开评标过程中遇到特殊情况，由评标委员会遵循公开、公正原则，采取投票方式按照少数服从多数原则决定。</w:t>
      </w:r>
    </w:p>
    <w:p w14:paraId="0E68CB13">
      <w:pPr>
        <w:adjustRightInd w:val="0"/>
        <w:snapToGrid w:val="0"/>
        <w:spacing w:before="100" w:after="50" w:line="440" w:lineRule="atLeast"/>
        <w:ind w:firstLine="420"/>
        <w:rPr>
          <w:rFonts w:hint="eastAsia" w:ascii="宋体" w:hAnsi="宋体"/>
          <w:b w:val="0"/>
          <w:color w:val="auto"/>
          <w:sz w:val="22"/>
          <w:szCs w:val="22"/>
          <w:highlight w:val="none"/>
        </w:rPr>
      </w:pPr>
      <w:r>
        <w:rPr>
          <w:rFonts w:hint="eastAsia" w:ascii="宋体" w:hAnsi="宋体"/>
          <w:b w:val="0"/>
          <w:color w:val="auto"/>
          <w:sz w:val="22"/>
          <w:szCs w:val="22"/>
          <w:highlight w:val="none"/>
        </w:rPr>
        <w:t>参见本采购文件第三部分：“供应商须知”中的相关内容，未尽事宜按有关法律规定处理。</w:t>
      </w:r>
    </w:p>
    <w:sectPr>
      <w:headerReference r:id="rId4" w:type="default"/>
      <w:footerReference r:id="rId5" w:type="default"/>
      <w:pgSz w:w="11906" w:h="16838"/>
      <w:pgMar w:top="1440" w:right="1803" w:bottom="1440" w:left="1803"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B3C6">
    <w:pPr>
      <w:spacing w:line="173" w:lineRule="auto"/>
      <w:ind w:left="4093"/>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2468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F2468E">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0069">
    <w:pPr>
      <w:pStyle w:val="25"/>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094"/>
                          </w:sdtPr>
                          <w:sdtContent>
                            <w:p w14:paraId="61A1D4FA">
                              <w:pPr>
                                <w:pStyle w:val="25"/>
                                <w:jc w:val="center"/>
                              </w:pPr>
                              <w:r>
                                <w:fldChar w:fldCharType="begin"/>
                              </w:r>
                              <w:r>
                                <w:instrText xml:space="preserve">PAGE   \* MERGEFORMAT</w:instrText>
                              </w:r>
                              <w:r>
                                <w:fldChar w:fldCharType="separate"/>
                              </w:r>
                              <w:r>
                                <w:rPr>
                                  <w:lang w:val="zh-CN"/>
                                </w:rPr>
                                <w:t>2</w:t>
                              </w:r>
                              <w:r>
                                <w:fldChar w:fldCharType="end"/>
                              </w:r>
                            </w:p>
                          </w:sdtContent>
                        </w:sdt>
                        <w:p w14:paraId="7F84662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9094"/>
                    </w:sdtPr>
                    <w:sdtContent>
                      <w:p w14:paraId="61A1D4FA">
                        <w:pPr>
                          <w:pStyle w:val="25"/>
                          <w:jc w:val="center"/>
                        </w:pPr>
                        <w:r>
                          <w:fldChar w:fldCharType="begin"/>
                        </w:r>
                        <w:r>
                          <w:instrText xml:space="preserve">PAGE   \* MERGEFORMAT</w:instrText>
                        </w:r>
                        <w:r>
                          <w:fldChar w:fldCharType="separate"/>
                        </w:r>
                        <w:r>
                          <w:rPr>
                            <w:lang w:val="zh-CN"/>
                          </w:rPr>
                          <w:t>2</w:t>
                        </w:r>
                        <w:r>
                          <w:fldChar w:fldCharType="end"/>
                        </w:r>
                      </w:p>
                    </w:sdtContent>
                  </w:sdt>
                  <w:p w14:paraId="7F846621"/>
                </w:txbxContent>
              </v:textbox>
            </v:shape>
          </w:pict>
        </mc:Fallback>
      </mc:AlternateContent>
    </w:r>
  </w:p>
  <w:p w14:paraId="40C41BBD">
    <w:pPr>
      <w:pStyle w:val="25"/>
      <w:ind w:right="72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47CE">
    <w:pPr>
      <w:pStyle w:val="26"/>
      <w:pBdr>
        <w:bottom w:val="none" w:color="auto" w:sz="0" w:space="1"/>
      </w:pBdr>
      <w:jc w:val="both"/>
      <w:rPr>
        <w:rFonts w:hint="eastAsia"/>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75DC2"/>
    <w:multiLevelType w:val="singleLevel"/>
    <w:tmpl w:val="91A75DC2"/>
    <w:lvl w:ilvl="0" w:tentative="0">
      <w:start w:val="7"/>
      <w:numFmt w:val="chineseCounting"/>
      <w:suff w:val="nothing"/>
      <w:lvlText w:val="%1、"/>
      <w:lvlJc w:val="left"/>
      <w:rPr>
        <w:rFonts w:hint="eastAsia"/>
      </w:rPr>
    </w:lvl>
  </w:abstractNum>
  <w:abstractNum w:abstractNumId="1">
    <w:nsid w:val="BBC0D3BF"/>
    <w:multiLevelType w:val="singleLevel"/>
    <w:tmpl w:val="BBC0D3BF"/>
    <w:lvl w:ilvl="0" w:tentative="0">
      <w:start w:val="1"/>
      <w:numFmt w:val="decimal"/>
      <w:lvlText w:val="%1)"/>
      <w:lvlJc w:val="left"/>
      <w:pPr>
        <w:ind w:left="425" w:hanging="425"/>
      </w:pPr>
      <w:rPr>
        <w:rFonts w:hint="default"/>
      </w:rPr>
    </w:lvl>
  </w:abstractNum>
  <w:abstractNum w:abstractNumId="2">
    <w:nsid w:val="6D9701FB"/>
    <w:multiLevelType w:val="multilevel"/>
    <w:tmpl w:val="6D9701FB"/>
    <w:lvl w:ilvl="0" w:tentative="0">
      <w:start w:val="1"/>
      <w:numFmt w:val="decimal"/>
      <w:lvlText w:val="%1、"/>
      <w:lvlJc w:val="left"/>
      <w:pPr>
        <w:tabs>
          <w:tab w:val="left" w:pos="803"/>
        </w:tabs>
        <w:ind w:left="803" w:hanging="360"/>
      </w:pPr>
      <w:rPr>
        <w:rFonts w:hint="default"/>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F953DF"/>
    <w:rsid w:val="00000B90"/>
    <w:rsid w:val="000023CC"/>
    <w:rsid w:val="00002437"/>
    <w:rsid w:val="00002836"/>
    <w:rsid w:val="00002B42"/>
    <w:rsid w:val="00002D89"/>
    <w:rsid w:val="0000614D"/>
    <w:rsid w:val="00007369"/>
    <w:rsid w:val="00010CB2"/>
    <w:rsid w:val="0001100D"/>
    <w:rsid w:val="0001144A"/>
    <w:rsid w:val="000118A3"/>
    <w:rsid w:val="00011A00"/>
    <w:rsid w:val="00012286"/>
    <w:rsid w:val="000132DB"/>
    <w:rsid w:val="000136AD"/>
    <w:rsid w:val="00014466"/>
    <w:rsid w:val="00014487"/>
    <w:rsid w:val="00014B89"/>
    <w:rsid w:val="00015716"/>
    <w:rsid w:val="0001640B"/>
    <w:rsid w:val="000173B6"/>
    <w:rsid w:val="000175AB"/>
    <w:rsid w:val="00017AE7"/>
    <w:rsid w:val="00020408"/>
    <w:rsid w:val="000224D7"/>
    <w:rsid w:val="0002288F"/>
    <w:rsid w:val="00022D39"/>
    <w:rsid w:val="00023255"/>
    <w:rsid w:val="0002366C"/>
    <w:rsid w:val="000236A8"/>
    <w:rsid w:val="00024091"/>
    <w:rsid w:val="00024368"/>
    <w:rsid w:val="000250F7"/>
    <w:rsid w:val="00025978"/>
    <w:rsid w:val="00025B64"/>
    <w:rsid w:val="00025F5D"/>
    <w:rsid w:val="00025FFA"/>
    <w:rsid w:val="0002686B"/>
    <w:rsid w:val="00026EE5"/>
    <w:rsid w:val="00026FC6"/>
    <w:rsid w:val="00031079"/>
    <w:rsid w:val="00031329"/>
    <w:rsid w:val="000317F3"/>
    <w:rsid w:val="00031DF4"/>
    <w:rsid w:val="00032357"/>
    <w:rsid w:val="0003237C"/>
    <w:rsid w:val="00033142"/>
    <w:rsid w:val="00033B32"/>
    <w:rsid w:val="00033B53"/>
    <w:rsid w:val="00033BB5"/>
    <w:rsid w:val="000346BC"/>
    <w:rsid w:val="00035C6C"/>
    <w:rsid w:val="00035FF4"/>
    <w:rsid w:val="0003686B"/>
    <w:rsid w:val="00037401"/>
    <w:rsid w:val="00037A11"/>
    <w:rsid w:val="000409C5"/>
    <w:rsid w:val="0004127D"/>
    <w:rsid w:val="000415E8"/>
    <w:rsid w:val="000418A6"/>
    <w:rsid w:val="00041AA9"/>
    <w:rsid w:val="00041DA9"/>
    <w:rsid w:val="00042F1E"/>
    <w:rsid w:val="0004345C"/>
    <w:rsid w:val="000438D1"/>
    <w:rsid w:val="00043CAC"/>
    <w:rsid w:val="00043D3D"/>
    <w:rsid w:val="00043FB7"/>
    <w:rsid w:val="0004498B"/>
    <w:rsid w:val="00044D2C"/>
    <w:rsid w:val="000451E6"/>
    <w:rsid w:val="00045A4B"/>
    <w:rsid w:val="00045BAC"/>
    <w:rsid w:val="000475B6"/>
    <w:rsid w:val="000477FC"/>
    <w:rsid w:val="00047B86"/>
    <w:rsid w:val="000503EC"/>
    <w:rsid w:val="0005061B"/>
    <w:rsid w:val="00050741"/>
    <w:rsid w:val="000507FE"/>
    <w:rsid w:val="00050877"/>
    <w:rsid w:val="00051881"/>
    <w:rsid w:val="00051C58"/>
    <w:rsid w:val="00051E5C"/>
    <w:rsid w:val="00052AC7"/>
    <w:rsid w:val="00052B65"/>
    <w:rsid w:val="00053063"/>
    <w:rsid w:val="00053149"/>
    <w:rsid w:val="00053709"/>
    <w:rsid w:val="000539FF"/>
    <w:rsid w:val="00054068"/>
    <w:rsid w:val="0005407C"/>
    <w:rsid w:val="000541D1"/>
    <w:rsid w:val="000543B7"/>
    <w:rsid w:val="00054529"/>
    <w:rsid w:val="00055081"/>
    <w:rsid w:val="00055B97"/>
    <w:rsid w:val="00055C23"/>
    <w:rsid w:val="00056A7B"/>
    <w:rsid w:val="00056BC6"/>
    <w:rsid w:val="00060577"/>
    <w:rsid w:val="00060C5E"/>
    <w:rsid w:val="00060DBC"/>
    <w:rsid w:val="000612A2"/>
    <w:rsid w:val="00063533"/>
    <w:rsid w:val="00065A79"/>
    <w:rsid w:val="00065B20"/>
    <w:rsid w:val="00065E27"/>
    <w:rsid w:val="0006776D"/>
    <w:rsid w:val="00070CF1"/>
    <w:rsid w:val="00071159"/>
    <w:rsid w:val="000716A4"/>
    <w:rsid w:val="00072538"/>
    <w:rsid w:val="00073C59"/>
    <w:rsid w:val="00073E4B"/>
    <w:rsid w:val="00074206"/>
    <w:rsid w:val="000757BC"/>
    <w:rsid w:val="000764F2"/>
    <w:rsid w:val="000766D8"/>
    <w:rsid w:val="00077D23"/>
    <w:rsid w:val="00080074"/>
    <w:rsid w:val="000802E4"/>
    <w:rsid w:val="000805FB"/>
    <w:rsid w:val="00080900"/>
    <w:rsid w:val="00080929"/>
    <w:rsid w:val="00080EBC"/>
    <w:rsid w:val="0008105A"/>
    <w:rsid w:val="0008149E"/>
    <w:rsid w:val="00081920"/>
    <w:rsid w:val="00084613"/>
    <w:rsid w:val="00085AC5"/>
    <w:rsid w:val="0008669D"/>
    <w:rsid w:val="000873B2"/>
    <w:rsid w:val="00087906"/>
    <w:rsid w:val="000907D5"/>
    <w:rsid w:val="000911E3"/>
    <w:rsid w:val="0009187E"/>
    <w:rsid w:val="00091D0A"/>
    <w:rsid w:val="00092586"/>
    <w:rsid w:val="00092B46"/>
    <w:rsid w:val="00092D15"/>
    <w:rsid w:val="0009322F"/>
    <w:rsid w:val="00093862"/>
    <w:rsid w:val="00093A04"/>
    <w:rsid w:val="00093AA3"/>
    <w:rsid w:val="00093BA8"/>
    <w:rsid w:val="00093D5E"/>
    <w:rsid w:val="00093F62"/>
    <w:rsid w:val="00094841"/>
    <w:rsid w:val="000951F6"/>
    <w:rsid w:val="00095811"/>
    <w:rsid w:val="00095B2B"/>
    <w:rsid w:val="00095B2C"/>
    <w:rsid w:val="00095E65"/>
    <w:rsid w:val="00096D7D"/>
    <w:rsid w:val="00097489"/>
    <w:rsid w:val="00097761"/>
    <w:rsid w:val="00097BFD"/>
    <w:rsid w:val="00097DD4"/>
    <w:rsid w:val="000A07B9"/>
    <w:rsid w:val="000A11A8"/>
    <w:rsid w:val="000A32E0"/>
    <w:rsid w:val="000A47F6"/>
    <w:rsid w:val="000A5303"/>
    <w:rsid w:val="000A58AE"/>
    <w:rsid w:val="000A6BFF"/>
    <w:rsid w:val="000A741B"/>
    <w:rsid w:val="000A79E5"/>
    <w:rsid w:val="000A7DD9"/>
    <w:rsid w:val="000A7F69"/>
    <w:rsid w:val="000B07CF"/>
    <w:rsid w:val="000B2CBF"/>
    <w:rsid w:val="000B3059"/>
    <w:rsid w:val="000B3578"/>
    <w:rsid w:val="000B3FCE"/>
    <w:rsid w:val="000B553F"/>
    <w:rsid w:val="000B6510"/>
    <w:rsid w:val="000B6C47"/>
    <w:rsid w:val="000B72AB"/>
    <w:rsid w:val="000B7891"/>
    <w:rsid w:val="000C020E"/>
    <w:rsid w:val="000C03C1"/>
    <w:rsid w:val="000C0AB1"/>
    <w:rsid w:val="000C0C98"/>
    <w:rsid w:val="000C0FDB"/>
    <w:rsid w:val="000C1218"/>
    <w:rsid w:val="000C2112"/>
    <w:rsid w:val="000C2404"/>
    <w:rsid w:val="000C25DF"/>
    <w:rsid w:val="000C26D1"/>
    <w:rsid w:val="000C2995"/>
    <w:rsid w:val="000C3674"/>
    <w:rsid w:val="000C3D77"/>
    <w:rsid w:val="000C4A9C"/>
    <w:rsid w:val="000C4F06"/>
    <w:rsid w:val="000C4FD4"/>
    <w:rsid w:val="000C69FA"/>
    <w:rsid w:val="000C7357"/>
    <w:rsid w:val="000C750E"/>
    <w:rsid w:val="000C79D8"/>
    <w:rsid w:val="000C7D1F"/>
    <w:rsid w:val="000C7DD1"/>
    <w:rsid w:val="000D063F"/>
    <w:rsid w:val="000D0A41"/>
    <w:rsid w:val="000D12A9"/>
    <w:rsid w:val="000D1C8E"/>
    <w:rsid w:val="000D2C58"/>
    <w:rsid w:val="000D2C7D"/>
    <w:rsid w:val="000D2C7E"/>
    <w:rsid w:val="000D2D5D"/>
    <w:rsid w:val="000D39DD"/>
    <w:rsid w:val="000D424C"/>
    <w:rsid w:val="000D45FB"/>
    <w:rsid w:val="000D4975"/>
    <w:rsid w:val="000D5461"/>
    <w:rsid w:val="000D55F8"/>
    <w:rsid w:val="000D56F6"/>
    <w:rsid w:val="000D6615"/>
    <w:rsid w:val="000D6621"/>
    <w:rsid w:val="000D709F"/>
    <w:rsid w:val="000E016A"/>
    <w:rsid w:val="000E01BC"/>
    <w:rsid w:val="000E048B"/>
    <w:rsid w:val="000E0F23"/>
    <w:rsid w:val="000E11FE"/>
    <w:rsid w:val="000E1BCB"/>
    <w:rsid w:val="000E2166"/>
    <w:rsid w:val="000E27B0"/>
    <w:rsid w:val="000E2E78"/>
    <w:rsid w:val="000E3024"/>
    <w:rsid w:val="000E3534"/>
    <w:rsid w:val="000E460F"/>
    <w:rsid w:val="000E4749"/>
    <w:rsid w:val="000E5035"/>
    <w:rsid w:val="000E5EE8"/>
    <w:rsid w:val="000E6D23"/>
    <w:rsid w:val="000E7A60"/>
    <w:rsid w:val="000F029F"/>
    <w:rsid w:val="000F02D6"/>
    <w:rsid w:val="000F0495"/>
    <w:rsid w:val="000F04EE"/>
    <w:rsid w:val="000F05DE"/>
    <w:rsid w:val="000F14CF"/>
    <w:rsid w:val="000F28A7"/>
    <w:rsid w:val="000F29BA"/>
    <w:rsid w:val="000F30B5"/>
    <w:rsid w:val="000F35EF"/>
    <w:rsid w:val="000F3909"/>
    <w:rsid w:val="000F3E56"/>
    <w:rsid w:val="000F4564"/>
    <w:rsid w:val="000F4EB7"/>
    <w:rsid w:val="000F528A"/>
    <w:rsid w:val="000F5414"/>
    <w:rsid w:val="000F6247"/>
    <w:rsid w:val="000F6B1D"/>
    <w:rsid w:val="000F6DD2"/>
    <w:rsid w:val="000F7420"/>
    <w:rsid w:val="000F7AC3"/>
    <w:rsid w:val="00100683"/>
    <w:rsid w:val="001017B3"/>
    <w:rsid w:val="00101D56"/>
    <w:rsid w:val="001024FD"/>
    <w:rsid w:val="0010280A"/>
    <w:rsid w:val="001036C0"/>
    <w:rsid w:val="0010401B"/>
    <w:rsid w:val="00104A6E"/>
    <w:rsid w:val="00104B6B"/>
    <w:rsid w:val="0010556C"/>
    <w:rsid w:val="0010577D"/>
    <w:rsid w:val="00105FD1"/>
    <w:rsid w:val="001066FC"/>
    <w:rsid w:val="0010670C"/>
    <w:rsid w:val="0010673D"/>
    <w:rsid w:val="00106EC3"/>
    <w:rsid w:val="00111C4B"/>
    <w:rsid w:val="0011205F"/>
    <w:rsid w:val="001144F6"/>
    <w:rsid w:val="00114A08"/>
    <w:rsid w:val="00114EC5"/>
    <w:rsid w:val="00115B44"/>
    <w:rsid w:val="00116B16"/>
    <w:rsid w:val="00116D85"/>
    <w:rsid w:val="001174D8"/>
    <w:rsid w:val="00120334"/>
    <w:rsid w:val="00120B41"/>
    <w:rsid w:val="001215E8"/>
    <w:rsid w:val="00121814"/>
    <w:rsid w:val="00121B00"/>
    <w:rsid w:val="0012248B"/>
    <w:rsid w:val="0012255A"/>
    <w:rsid w:val="00122A02"/>
    <w:rsid w:val="00122FD5"/>
    <w:rsid w:val="00123F24"/>
    <w:rsid w:val="001245E9"/>
    <w:rsid w:val="00124D19"/>
    <w:rsid w:val="00125510"/>
    <w:rsid w:val="00125C39"/>
    <w:rsid w:val="00126D17"/>
    <w:rsid w:val="001275FA"/>
    <w:rsid w:val="00127717"/>
    <w:rsid w:val="00127D6D"/>
    <w:rsid w:val="0013018C"/>
    <w:rsid w:val="0013155C"/>
    <w:rsid w:val="0013327A"/>
    <w:rsid w:val="00133C92"/>
    <w:rsid w:val="00134AB1"/>
    <w:rsid w:val="00135137"/>
    <w:rsid w:val="0013566B"/>
    <w:rsid w:val="00135A84"/>
    <w:rsid w:val="00136204"/>
    <w:rsid w:val="001370E7"/>
    <w:rsid w:val="0013758D"/>
    <w:rsid w:val="001400B1"/>
    <w:rsid w:val="00140737"/>
    <w:rsid w:val="00140AFB"/>
    <w:rsid w:val="001413E7"/>
    <w:rsid w:val="0014167B"/>
    <w:rsid w:val="00141696"/>
    <w:rsid w:val="00141E2E"/>
    <w:rsid w:val="00142D0A"/>
    <w:rsid w:val="001434CD"/>
    <w:rsid w:val="001444E8"/>
    <w:rsid w:val="00144678"/>
    <w:rsid w:val="0014472E"/>
    <w:rsid w:val="00144E83"/>
    <w:rsid w:val="00145113"/>
    <w:rsid w:val="001467EA"/>
    <w:rsid w:val="00146E28"/>
    <w:rsid w:val="00146F88"/>
    <w:rsid w:val="00147033"/>
    <w:rsid w:val="00147288"/>
    <w:rsid w:val="001477CD"/>
    <w:rsid w:val="00150642"/>
    <w:rsid w:val="00150970"/>
    <w:rsid w:val="00150D76"/>
    <w:rsid w:val="001510BE"/>
    <w:rsid w:val="00151D99"/>
    <w:rsid w:val="0015273F"/>
    <w:rsid w:val="00152786"/>
    <w:rsid w:val="00152A3E"/>
    <w:rsid w:val="001540AE"/>
    <w:rsid w:val="001544AF"/>
    <w:rsid w:val="001547BB"/>
    <w:rsid w:val="00154824"/>
    <w:rsid w:val="00155846"/>
    <w:rsid w:val="00155BC2"/>
    <w:rsid w:val="001569B2"/>
    <w:rsid w:val="00157251"/>
    <w:rsid w:val="00157C18"/>
    <w:rsid w:val="00157D92"/>
    <w:rsid w:val="00160509"/>
    <w:rsid w:val="0016054A"/>
    <w:rsid w:val="00160822"/>
    <w:rsid w:val="00160979"/>
    <w:rsid w:val="00162152"/>
    <w:rsid w:val="001628D4"/>
    <w:rsid w:val="00164319"/>
    <w:rsid w:val="00164E14"/>
    <w:rsid w:val="00166AE4"/>
    <w:rsid w:val="00167057"/>
    <w:rsid w:val="00172F53"/>
    <w:rsid w:val="001731DB"/>
    <w:rsid w:val="001735F5"/>
    <w:rsid w:val="001738E9"/>
    <w:rsid w:val="00173AA0"/>
    <w:rsid w:val="001743F3"/>
    <w:rsid w:val="001749A6"/>
    <w:rsid w:val="00174BC5"/>
    <w:rsid w:val="001751BA"/>
    <w:rsid w:val="001756B0"/>
    <w:rsid w:val="00175E78"/>
    <w:rsid w:val="001762EA"/>
    <w:rsid w:val="00176DE7"/>
    <w:rsid w:val="00176FA7"/>
    <w:rsid w:val="00176FEE"/>
    <w:rsid w:val="001776E6"/>
    <w:rsid w:val="00180772"/>
    <w:rsid w:val="00180833"/>
    <w:rsid w:val="00180D3C"/>
    <w:rsid w:val="001818E7"/>
    <w:rsid w:val="001819DF"/>
    <w:rsid w:val="00181C27"/>
    <w:rsid w:val="001821C4"/>
    <w:rsid w:val="00182F51"/>
    <w:rsid w:val="0018340C"/>
    <w:rsid w:val="001835BB"/>
    <w:rsid w:val="00183AA7"/>
    <w:rsid w:val="00183BE2"/>
    <w:rsid w:val="00184866"/>
    <w:rsid w:val="00184E5D"/>
    <w:rsid w:val="001855A4"/>
    <w:rsid w:val="00185998"/>
    <w:rsid w:val="00185F48"/>
    <w:rsid w:val="001860D1"/>
    <w:rsid w:val="00186E87"/>
    <w:rsid w:val="00186F02"/>
    <w:rsid w:val="00187100"/>
    <w:rsid w:val="001874D7"/>
    <w:rsid w:val="00190390"/>
    <w:rsid w:val="00190464"/>
    <w:rsid w:val="001904B2"/>
    <w:rsid w:val="00190A72"/>
    <w:rsid w:val="001910D6"/>
    <w:rsid w:val="0019275F"/>
    <w:rsid w:val="00192CAB"/>
    <w:rsid w:val="001932E6"/>
    <w:rsid w:val="00195543"/>
    <w:rsid w:val="001957B2"/>
    <w:rsid w:val="0019584A"/>
    <w:rsid w:val="00195B40"/>
    <w:rsid w:val="001962AE"/>
    <w:rsid w:val="00196996"/>
    <w:rsid w:val="001969A2"/>
    <w:rsid w:val="001972BC"/>
    <w:rsid w:val="00197321"/>
    <w:rsid w:val="00197DFB"/>
    <w:rsid w:val="001A08AC"/>
    <w:rsid w:val="001A0A8C"/>
    <w:rsid w:val="001A0D25"/>
    <w:rsid w:val="001A127A"/>
    <w:rsid w:val="001A2935"/>
    <w:rsid w:val="001A2B2A"/>
    <w:rsid w:val="001A3E9C"/>
    <w:rsid w:val="001A44B2"/>
    <w:rsid w:val="001A4C41"/>
    <w:rsid w:val="001A5A6B"/>
    <w:rsid w:val="001A61DA"/>
    <w:rsid w:val="001A63A7"/>
    <w:rsid w:val="001A6420"/>
    <w:rsid w:val="001A694E"/>
    <w:rsid w:val="001A7186"/>
    <w:rsid w:val="001B0894"/>
    <w:rsid w:val="001B225A"/>
    <w:rsid w:val="001B2312"/>
    <w:rsid w:val="001B3039"/>
    <w:rsid w:val="001B332B"/>
    <w:rsid w:val="001B3517"/>
    <w:rsid w:val="001B40A5"/>
    <w:rsid w:val="001B5963"/>
    <w:rsid w:val="001B5F35"/>
    <w:rsid w:val="001B611A"/>
    <w:rsid w:val="001B74E6"/>
    <w:rsid w:val="001B75CA"/>
    <w:rsid w:val="001C04A4"/>
    <w:rsid w:val="001C0DA9"/>
    <w:rsid w:val="001C13A0"/>
    <w:rsid w:val="001C142F"/>
    <w:rsid w:val="001C1461"/>
    <w:rsid w:val="001C1C1B"/>
    <w:rsid w:val="001C225F"/>
    <w:rsid w:val="001C2485"/>
    <w:rsid w:val="001C3177"/>
    <w:rsid w:val="001C337D"/>
    <w:rsid w:val="001C365C"/>
    <w:rsid w:val="001C435C"/>
    <w:rsid w:val="001C50C7"/>
    <w:rsid w:val="001C5CEC"/>
    <w:rsid w:val="001C5D6F"/>
    <w:rsid w:val="001C5EDA"/>
    <w:rsid w:val="001C67EB"/>
    <w:rsid w:val="001C6B5A"/>
    <w:rsid w:val="001C74D5"/>
    <w:rsid w:val="001C75A2"/>
    <w:rsid w:val="001C7D9B"/>
    <w:rsid w:val="001D13A6"/>
    <w:rsid w:val="001D176A"/>
    <w:rsid w:val="001D2445"/>
    <w:rsid w:val="001D24A4"/>
    <w:rsid w:val="001D27B5"/>
    <w:rsid w:val="001D28DA"/>
    <w:rsid w:val="001D3C92"/>
    <w:rsid w:val="001D425F"/>
    <w:rsid w:val="001D4327"/>
    <w:rsid w:val="001D450E"/>
    <w:rsid w:val="001D4BCF"/>
    <w:rsid w:val="001D50BC"/>
    <w:rsid w:val="001D55B6"/>
    <w:rsid w:val="001D591A"/>
    <w:rsid w:val="001D59F1"/>
    <w:rsid w:val="001D5AC3"/>
    <w:rsid w:val="001D601D"/>
    <w:rsid w:val="001D6063"/>
    <w:rsid w:val="001D6992"/>
    <w:rsid w:val="001E04F1"/>
    <w:rsid w:val="001E0B1B"/>
    <w:rsid w:val="001E0D2B"/>
    <w:rsid w:val="001E0E3E"/>
    <w:rsid w:val="001E0EDC"/>
    <w:rsid w:val="001E0F96"/>
    <w:rsid w:val="001E0FF9"/>
    <w:rsid w:val="001E17FF"/>
    <w:rsid w:val="001E19B9"/>
    <w:rsid w:val="001E2C44"/>
    <w:rsid w:val="001E31C0"/>
    <w:rsid w:val="001E3210"/>
    <w:rsid w:val="001E3514"/>
    <w:rsid w:val="001E38D2"/>
    <w:rsid w:val="001E41E2"/>
    <w:rsid w:val="001E4367"/>
    <w:rsid w:val="001E43B8"/>
    <w:rsid w:val="001E47A1"/>
    <w:rsid w:val="001E536B"/>
    <w:rsid w:val="001E571E"/>
    <w:rsid w:val="001E5B5F"/>
    <w:rsid w:val="001E669F"/>
    <w:rsid w:val="001E7C96"/>
    <w:rsid w:val="001E7D0B"/>
    <w:rsid w:val="001F009B"/>
    <w:rsid w:val="001F04DD"/>
    <w:rsid w:val="001F18CC"/>
    <w:rsid w:val="001F1C63"/>
    <w:rsid w:val="001F247D"/>
    <w:rsid w:val="001F28C3"/>
    <w:rsid w:val="001F2BF9"/>
    <w:rsid w:val="001F3A0B"/>
    <w:rsid w:val="001F404D"/>
    <w:rsid w:val="001F40F6"/>
    <w:rsid w:val="001F4EBE"/>
    <w:rsid w:val="001F531B"/>
    <w:rsid w:val="001F546B"/>
    <w:rsid w:val="001F58DE"/>
    <w:rsid w:val="001F5F3D"/>
    <w:rsid w:val="001F604E"/>
    <w:rsid w:val="001F6595"/>
    <w:rsid w:val="001F670B"/>
    <w:rsid w:val="001F6D38"/>
    <w:rsid w:val="001F77AF"/>
    <w:rsid w:val="001F7B06"/>
    <w:rsid w:val="00200481"/>
    <w:rsid w:val="00200ADA"/>
    <w:rsid w:val="0020230F"/>
    <w:rsid w:val="0020290A"/>
    <w:rsid w:val="00202BD3"/>
    <w:rsid w:val="0020385C"/>
    <w:rsid w:val="0020405A"/>
    <w:rsid w:val="0020459D"/>
    <w:rsid w:val="00204903"/>
    <w:rsid w:val="0020498F"/>
    <w:rsid w:val="00204F2B"/>
    <w:rsid w:val="002051C2"/>
    <w:rsid w:val="00205315"/>
    <w:rsid w:val="00205354"/>
    <w:rsid w:val="00205784"/>
    <w:rsid w:val="00205B27"/>
    <w:rsid w:val="00205E9E"/>
    <w:rsid w:val="00205F3E"/>
    <w:rsid w:val="002063CE"/>
    <w:rsid w:val="00206AC4"/>
    <w:rsid w:val="00210B1E"/>
    <w:rsid w:val="002114ED"/>
    <w:rsid w:val="002119A8"/>
    <w:rsid w:val="00212950"/>
    <w:rsid w:val="00212A02"/>
    <w:rsid w:val="00212BFC"/>
    <w:rsid w:val="0021337E"/>
    <w:rsid w:val="002145FD"/>
    <w:rsid w:val="00214E01"/>
    <w:rsid w:val="002152CB"/>
    <w:rsid w:val="002153EC"/>
    <w:rsid w:val="002157B9"/>
    <w:rsid w:val="00215B26"/>
    <w:rsid w:val="00215E4D"/>
    <w:rsid w:val="002168A4"/>
    <w:rsid w:val="00216D58"/>
    <w:rsid w:val="0021747C"/>
    <w:rsid w:val="00221678"/>
    <w:rsid w:val="00221926"/>
    <w:rsid w:val="00221BF6"/>
    <w:rsid w:val="00221FF3"/>
    <w:rsid w:val="002226B0"/>
    <w:rsid w:val="00223680"/>
    <w:rsid w:val="00223C3D"/>
    <w:rsid w:val="0022476D"/>
    <w:rsid w:val="00224AC6"/>
    <w:rsid w:val="00224F75"/>
    <w:rsid w:val="0022707B"/>
    <w:rsid w:val="00230836"/>
    <w:rsid w:val="002309D9"/>
    <w:rsid w:val="002314A7"/>
    <w:rsid w:val="0023162E"/>
    <w:rsid w:val="00232A52"/>
    <w:rsid w:val="00233641"/>
    <w:rsid w:val="00235453"/>
    <w:rsid w:val="0023563D"/>
    <w:rsid w:val="00235C47"/>
    <w:rsid w:val="0023639E"/>
    <w:rsid w:val="002364CD"/>
    <w:rsid w:val="002366B6"/>
    <w:rsid w:val="00236908"/>
    <w:rsid w:val="002370C2"/>
    <w:rsid w:val="0023721B"/>
    <w:rsid w:val="002374BC"/>
    <w:rsid w:val="00237F10"/>
    <w:rsid w:val="00240133"/>
    <w:rsid w:val="002401E8"/>
    <w:rsid w:val="0024033C"/>
    <w:rsid w:val="00240B28"/>
    <w:rsid w:val="00241118"/>
    <w:rsid w:val="0024166B"/>
    <w:rsid w:val="002421EB"/>
    <w:rsid w:val="00242C8C"/>
    <w:rsid w:val="00242F03"/>
    <w:rsid w:val="00243F71"/>
    <w:rsid w:val="00244221"/>
    <w:rsid w:val="002462C2"/>
    <w:rsid w:val="00246E7F"/>
    <w:rsid w:val="00247319"/>
    <w:rsid w:val="00247A00"/>
    <w:rsid w:val="00247B30"/>
    <w:rsid w:val="00250C48"/>
    <w:rsid w:val="00250F39"/>
    <w:rsid w:val="00252F88"/>
    <w:rsid w:val="0025314E"/>
    <w:rsid w:val="0025397D"/>
    <w:rsid w:val="0025432A"/>
    <w:rsid w:val="00254775"/>
    <w:rsid w:val="00254858"/>
    <w:rsid w:val="00254948"/>
    <w:rsid w:val="0025499A"/>
    <w:rsid w:val="00254C2D"/>
    <w:rsid w:val="002557C6"/>
    <w:rsid w:val="00255A34"/>
    <w:rsid w:val="00255CAC"/>
    <w:rsid w:val="00255EBB"/>
    <w:rsid w:val="002567B4"/>
    <w:rsid w:val="002569B6"/>
    <w:rsid w:val="00256F2F"/>
    <w:rsid w:val="002579D1"/>
    <w:rsid w:val="00257BDC"/>
    <w:rsid w:val="00260AB9"/>
    <w:rsid w:val="002611EF"/>
    <w:rsid w:val="00261477"/>
    <w:rsid w:val="0026337D"/>
    <w:rsid w:val="002643BB"/>
    <w:rsid w:val="00265ADF"/>
    <w:rsid w:val="002664AA"/>
    <w:rsid w:val="0026732C"/>
    <w:rsid w:val="00267916"/>
    <w:rsid w:val="002702C2"/>
    <w:rsid w:val="00270D91"/>
    <w:rsid w:val="00270F1F"/>
    <w:rsid w:val="0027137D"/>
    <w:rsid w:val="00271505"/>
    <w:rsid w:val="002715B5"/>
    <w:rsid w:val="0027168E"/>
    <w:rsid w:val="00271ACA"/>
    <w:rsid w:val="00271CCA"/>
    <w:rsid w:val="00272620"/>
    <w:rsid w:val="0027273E"/>
    <w:rsid w:val="0027390B"/>
    <w:rsid w:val="0027421E"/>
    <w:rsid w:val="00274585"/>
    <w:rsid w:val="002748CF"/>
    <w:rsid w:val="00274E0D"/>
    <w:rsid w:val="00274EB9"/>
    <w:rsid w:val="00275BDD"/>
    <w:rsid w:val="00276168"/>
    <w:rsid w:val="00276426"/>
    <w:rsid w:val="00280B16"/>
    <w:rsid w:val="00282358"/>
    <w:rsid w:val="00282D0B"/>
    <w:rsid w:val="002838C4"/>
    <w:rsid w:val="002838E7"/>
    <w:rsid w:val="0028526D"/>
    <w:rsid w:val="00285377"/>
    <w:rsid w:val="00285BB9"/>
    <w:rsid w:val="002873D0"/>
    <w:rsid w:val="00287587"/>
    <w:rsid w:val="002876FD"/>
    <w:rsid w:val="002877C0"/>
    <w:rsid w:val="0028784C"/>
    <w:rsid w:val="00287E73"/>
    <w:rsid w:val="00291F37"/>
    <w:rsid w:val="0029238B"/>
    <w:rsid w:val="00292B0F"/>
    <w:rsid w:val="0029424F"/>
    <w:rsid w:val="00295075"/>
    <w:rsid w:val="0029558B"/>
    <w:rsid w:val="00296454"/>
    <w:rsid w:val="00296AD8"/>
    <w:rsid w:val="0029798F"/>
    <w:rsid w:val="002A026F"/>
    <w:rsid w:val="002A06CA"/>
    <w:rsid w:val="002A109D"/>
    <w:rsid w:val="002A1B83"/>
    <w:rsid w:val="002A333C"/>
    <w:rsid w:val="002A4471"/>
    <w:rsid w:val="002A48FF"/>
    <w:rsid w:val="002A507B"/>
    <w:rsid w:val="002A5CFE"/>
    <w:rsid w:val="002A6761"/>
    <w:rsid w:val="002A6A3B"/>
    <w:rsid w:val="002A738E"/>
    <w:rsid w:val="002A7D5C"/>
    <w:rsid w:val="002A7FB6"/>
    <w:rsid w:val="002B0C88"/>
    <w:rsid w:val="002B12CB"/>
    <w:rsid w:val="002B1DCD"/>
    <w:rsid w:val="002B27F8"/>
    <w:rsid w:val="002B2978"/>
    <w:rsid w:val="002B2E25"/>
    <w:rsid w:val="002B3D35"/>
    <w:rsid w:val="002B493B"/>
    <w:rsid w:val="002B49F9"/>
    <w:rsid w:val="002B4DE6"/>
    <w:rsid w:val="002B5CE0"/>
    <w:rsid w:val="002B5EA7"/>
    <w:rsid w:val="002B602B"/>
    <w:rsid w:val="002B630C"/>
    <w:rsid w:val="002B63D4"/>
    <w:rsid w:val="002B747F"/>
    <w:rsid w:val="002B78D7"/>
    <w:rsid w:val="002B791A"/>
    <w:rsid w:val="002B7D19"/>
    <w:rsid w:val="002B7FB1"/>
    <w:rsid w:val="002C09FD"/>
    <w:rsid w:val="002C10A0"/>
    <w:rsid w:val="002C14B5"/>
    <w:rsid w:val="002C2A19"/>
    <w:rsid w:val="002C2A92"/>
    <w:rsid w:val="002C3672"/>
    <w:rsid w:val="002C3BA5"/>
    <w:rsid w:val="002C3E47"/>
    <w:rsid w:val="002C57CD"/>
    <w:rsid w:val="002C6278"/>
    <w:rsid w:val="002C6CB8"/>
    <w:rsid w:val="002C7270"/>
    <w:rsid w:val="002C7736"/>
    <w:rsid w:val="002C7784"/>
    <w:rsid w:val="002D0243"/>
    <w:rsid w:val="002D046D"/>
    <w:rsid w:val="002D0BC6"/>
    <w:rsid w:val="002D15E5"/>
    <w:rsid w:val="002D2614"/>
    <w:rsid w:val="002D3626"/>
    <w:rsid w:val="002D3755"/>
    <w:rsid w:val="002D385F"/>
    <w:rsid w:val="002D3FE9"/>
    <w:rsid w:val="002D47BB"/>
    <w:rsid w:val="002D4C57"/>
    <w:rsid w:val="002D5A27"/>
    <w:rsid w:val="002D6C26"/>
    <w:rsid w:val="002D6FFB"/>
    <w:rsid w:val="002D7074"/>
    <w:rsid w:val="002D71AD"/>
    <w:rsid w:val="002D7909"/>
    <w:rsid w:val="002D7EEA"/>
    <w:rsid w:val="002E03BD"/>
    <w:rsid w:val="002E0734"/>
    <w:rsid w:val="002E2014"/>
    <w:rsid w:val="002E22AC"/>
    <w:rsid w:val="002E290E"/>
    <w:rsid w:val="002E35C9"/>
    <w:rsid w:val="002E449D"/>
    <w:rsid w:val="002E4E21"/>
    <w:rsid w:val="002E4E92"/>
    <w:rsid w:val="002E5EB4"/>
    <w:rsid w:val="002E6ADB"/>
    <w:rsid w:val="002E6B25"/>
    <w:rsid w:val="002E72B8"/>
    <w:rsid w:val="002E7FEE"/>
    <w:rsid w:val="002F0C8E"/>
    <w:rsid w:val="002F0FEB"/>
    <w:rsid w:val="002F2823"/>
    <w:rsid w:val="002F3101"/>
    <w:rsid w:val="002F34AB"/>
    <w:rsid w:val="002F4E4E"/>
    <w:rsid w:val="002F5762"/>
    <w:rsid w:val="002F5EED"/>
    <w:rsid w:val="002F62E7"/>
    <w:rsid w:val="002F7C4A"/>
    <w:rsid w:val="003003B7"/>
    <w:rsid w:val="00300DB1"/>
    <w:rsid w:val="00300FC8"/>
    <w:rsid w:val="003013C8"/>
    <w:rsid w:val="00301A68"/>
    <w:rsid w:val="00301FD9"/>
    <w:rsid w:val="003027E4"/>
    <w:rsid w:val="0030367F"/>
    <w:rsid w:val="00303680"/>
    <w:rsid w:val="00303B7A"/>
    <w:rsid w:val="00304296"/>
    <w:rsid w:val="003048EC"/>
    <w:rsid w:val="00304F8E"/>
    <w:rsid w:val="0030520A"/>
    <w:rsid w:val="003064D4"/>
    <w:rsid w:val="00307442"/>
    <w:rsid w:val="00307F97"/>
    <w:rsid w:val="0031029E"/>
    <w:rsid w:val="0031064E"/>
    <w:rsid w:val="0031084C"/>
    <w:rsid w:val="00311141"/>
    <w:rsid w:val="00311B57"/>
    <w:rsid w:val="00311CDA"/>
    <w:rsid w:val="00312F49"/>
    <w:rsid w:val="0031429D"/>
    <w:rsid w:val="00314448"/>
    <w:rsid w:val="00315264"/>
    <w:rsid w:val="003161E8"/>
    <w:rsid w:val="0031647F"/>
    <w:rsid w:val="00317118"/>
    <w:rsid w:val="00317444"/>
    <w:rsid w:val="00317CF0"/>
    <w:rsid w:val="003203EB"/>
    <w:rsid w:val="0032046C"/>
    <w:rsid w:val="003208C0"/>
    <w:rsid w:val="003210AA"/>
    <w:rsid w:val="00321F27"/>
    <w:rsid w:val="003231C7"/>
    <w:rsid w:val="00323A90"/>
    <w:rsid w:val="003240FD"/>
    <w:rsid w:val="00324424"/>
    <w:rsid w:val="00324457"/>
    <w:rsid w:val="00324D4E"/>
    <w:rsid w:val="00324FE5"/>
    <w:rsid w:val="003250B8"/>
    <w:rsid w:val="003253D2"/>
    <w:rsid w:val="00325458"/>
    <w:rsid w:val="003263A9"/>
    <w:rsid w:val="0032685F"/>
    <w:rsid w:val="00326F43"/>
    <w:rsid w:val="003274CF"/>
    <w:rsid w:val="00327D7F"/>
    <w:rsid w:val="00330EA3"/>
    <w:rsid w:val="0033100B"/>
    <w:rsid w:val="00332357"/>
    <w:rsid w:val="003330B0"/>
    <w:rsid w:val="00333D72"/>
    <w:rsid w:val="00334A9E"/>
    <w:rsid w:val="0033621F"/>
    <w:rsid w:val="00336229"/>
    <w:rsid w:val="00336740"/>
    <w:rsid w:val="00336D41"/>
    <w:rsid w:val="00340299"/>
    <w:rsid w:val="003403EF"/>
    <w:rsid w:val="00341255"/>
    <w:rsid w:val="00341574"/>
    <w:rsid w:val="00341C27"/>
    <w:rsid w:val="003425F8"/>
    <w:rsid w:val="003426EA"/>
    <w:rsid w:val="00343AD1"/>
    <w:rsid w:val="00344288"/>
    <w:rsid w:val="003443A8"/>
    <w:rsid w:val="00344EDD"/>
    <w:rsid w:val="00345018"/>
    <w:rsid w:val="0034538E"/>
    <w:rsid w:val="00345E55"/>
    <w:rsid w:val="0034637C"/>
    <w:rsid w:val="00346D8D"/>
    <w:rsid w:val="003474E6"/>
    <w:rsid w:val="00350076"/>
    <w:rsid w:val="003500B0"/>
    <w:rsid w:val="003503FA"/>
    <w:rsid w:val="0035171C"/>
    <w:rsid w:val="00351E42"/>
    <w:rsid w:val="00352200"/>
    <w:rsid w:val="003535E2"/>
    <w:rsid w:val="00353A66"/>
    <w:rsid w:val="00353E10"/>
    <w:rsid w:val="0035402B"/>
    <w:rsid w:val="003548AC"/>
    <w:rsid w:val="00354DF9"/>
    <w:rsid w:val="00354FD0"/>
    <w:rsid w:val="0035538E"/>
    <w:rsid w:val="003554B7"/>
    <w:rsid w:val="00356DAE"/>
    <w:rsid w:val="00357539"/>
    <w:rsid w:val="00357FE5"/>
    <w:rsid w:val="00360AB1"/>
    <w:rsid w:val="00360FEE"/>
    <w:rsid w:val="00361261"/>
    <w:rsid w:val="003612A2"/>
    <w:rsid w:val="00361533"/>
    <w:rsid w:val="0036182E"/>
    <w:rsid w:val="00361A4A"/>
    <w:rsid w:val="00361F28"/>
    <w:rsid w:val="003620EA"/>
    <w:rsid w:val="00362E49"/>
    <w:rsid w:val="00364C60"/>
    <w:rsid w:val="00365219"/>
    <w:rsid w:val="00365320"/>
    <w:rsid w:val="003654DA"/>
    <w:rsid w:val="003658E0"/>
    <w:rsid w:val="00365B40"/>
    <w:rsid w:val="00366155"/>
    <w:rsid w:val="003670A9"/>
    <w:rsid w:val="00367889"/>
    <w:rsid w:val="00370A89"/>
    <w:rsid w:val="003710EE"/>
    <w:rsid w:val="00371242"/>
    <w:rsid w:val="0037215A"/>
    <w:rsid w:val="003721F1"/>
    <w:rsid w:val="00372538"/>
    <w:rsid w:val="00372C75"/>
    <w:rsid w:val="00373118"/>
    <w:rsid w:val="00373E30"/>
    <w:rsid w:val="00373E43"/>
    <w:rsid w:val="00373FE5"/>
    <w:rsid w:val="00374DA3"/>
    <w:rsid w:val="00375811"/>
    <w:rsid w:val="00375CAB"/>
    <w:rsid w:val="00376114"/>
    <w:rsid w:val="003765D1"/>
    <w:rsid w:val="003766E9"/>
    <w:rsid w:val="00377875"/>
    <w:rsid w:val="003779E5"/>
    <w:rsid w:val="00377EF0"/>
    <w:rsid w:val="003803CE"/>
    <w:rsid w:val="00380647"/>
    <w:rsid w:val="0038099D"/>
    <w:rsid w:val="00380B43"/>
    <w:rsid w:val="00380D9A"/>
    <w:rsid w:val="00380F42"/>
    <w:rsid w:val="0038156B"/>
    <w:rsid w:val="0038167A"/>
    <w:rsid w:val="00382BA9"/>
    <w:rsid w:val="003830BE"/>
    <w:rsid w:val="0038453A"/>
    <w:rsid w:val="003854AA"/>
    <w:rsid w:val="00385E9C"/>
    <w:rsid w:val="00385F67"/>
    <w:rsid w:val="00386539"/>
    <w:rsid w:val="003866AC"/>
    <w:rsid w:val="00386D0E"/>
    <w:rsid w:val="003879B2"/>
    <w:rsid w:val="00390822"/>
    <w:rsid w:val="00390AB2"/>
    <w:rsid w:val="00391BE8"/>
    <w:rsid w:val="00392310"/>
    <w:rsid w:val="003925DD"/>
    <w:rsid w:val="00392827"/>
    <w:rsid w:val="00392875"/>
    <w:rsid w:val="00392EE9"/>
    <w:rsid w:val="003931DD"/>
    <w:rsid w:val="0039332B"/>
    <w:rsid w:val="0039337A"/>
    <w:rsid w:val="00393756"/>
    <w:rsid w:val="00394550"/>
    <w:rsid w:val="00395252"/>
    <w:rsid w:val="00395627"/>
    <w:rsid w:val="00395FA5"/>
    <w:rsid w:val="0039693B"/>
    <w:rsid w:val="00396CC1"/>
    <w:rsid w:val="00396DE9"/>
    <w:rsid w:val="00397E68"/>
    <w:rsid w:val="003A03EE"/>
    <w:rsid w:val="003A199C"/>
    <w:rsid w:val="003A247C"/>
    <w:rsid w:val="003A30BA"/>
    <w:rsid w:val="003A4298"/>
    <w:rsid w:val="003A4331"/>
    <w:rsid w:val="003A631B"/>
    <w:rsid w:val="003A74DB"/>
    <w:rsid w:val="003A78F1"/>
    <w:rsid w:val="003B00B9"/>
    <w:rsid w:val="003B01AF"/>
    <w:rsid w:val="003B0C51"/>
    <w:rsid w:val="003B0CCB"/>
    <w:rsid w:val="003B0DA6"/>
    <w:rsid w:val="003B1868"/>
    <w:rsid w:val="003B1D29"/>
    <w:rsid w:val="003B3301"/>
    <w:rsid w:val="003B3ABF"/>
    <w:rsid w:val="003B4461"/>
    <w:rsid w:val="003B5823"/>
    <w:rsid w:val="003B5A76"/>
    <w:rsid w:val="003B602A"/>
    <w:rsid w:val="003B62DA"/>
    <w:rsid w:val="003B7C90"/>
    <w:rsid w:val="003B7E77"/>
    <w:rsid w:val="003B7EFB"/>
    <w:rsid w:val="003C03AE"/>
    <w:rsid w:val="003C040F"/>
    <w:rsid w:val="003C10CA"/>
    <w:rsid w:val="003C13AB"/>
    <w:rsid w:val="003C2318"/>
    <w:rsid w:val="003C2F63"/>
    <w:rsid w:val="003C301A"/>
    <w:rsid w:val="003C35F3"/>
    <w:rsid w:val="003C4706"/>
    <w:rsid w:val="003C5057"/>
    <w:rsid w:val="003C5A9F"/>
    <w:rsid w:val="003C795F"/>
    <w:rsid w:val="003D0FD5"/>
    <w:rsid w:val="003D103F"/>
    <w:rsid w:val="003D173E"/>
    <w:rsid w:val="003D2ED1"/>
    <w:rsid w:val="003D34C8"/>
    <w:rsid w:val="003D4B43"/>
    <w:rsid w:val="003D5F03"/>
    <w:rsid w:val="003D6075"/>
    <w:rsid w:val="003D6D6A"/>
    <w:rsid w:val="003D6DDB"/>
    <w:rsid w:val="003D72FD"/>
    <w:rsid w:val="003D732C"/>
    <w:rsid w:val="003D78A3"/>
    <w:rsid w:val="003E0BA6"/>
    <w:rsid w:val="003E13DB"/>
    <w:rsid w:val="003E1538"/>
    <w:rsid w:val="003E180F"/>
    <w:rsid w:val="003E2914"/>
    <w:rsid w:val="003E3048"/>
    <w:rsid w:val="003E3364"/>
    <w:rsid w:val="003E3815"/>
    <w:rsid w:val="003E62B9"/>
    <w:rsid w:val="003E6628"/>
    <w:rsid w:val="003E6B05"/>
    <w:rsid w:val="003E7E4C"/>
    <w:rsid w:val="003E7F93"/>
    <w:rsid w:val="003F006A"/>
    <w:rsid w:val="003F0100"/>
    <w:rsid w:val="003F07A1"/>
    <w:rsid w:val="003F3452"/>
    <w:rsid w:val="003F358D"/>
    <w:rsid w:val="003F3E27"/>
    <w:rsid w:val="003F474F"/>
    <w:rsid w:val="003F4B6A"/>
    <w:rsid w:val="003F4D9E"/>
    <w:rsid w:val="003F67A5"/>
    <w:rsid w:val="003F6DBB"/>
    <w:rsid w:val="003F6E5D"/>
    <w:rsid w:val="003F6FD1"/>
    <w:rsid w:val="003F7CFD"/>
    <w:rsid w:val="004000EA"/>
    <w:rsid w:val="004014A4"/>
    <w:rsid w:val="00401ABA"/>
    <w:rsid w:val="004026F7"/>
    <w:rsid w:val="00403407"/>
    <w:rsid w:val="00404663"/>
    <w:rsid w:val="004053F8"/>
    <w:rsid w:val="00405700"/>
    <w:rsid w:val="004057ED"/>
    <w:rsid w:val="00405974"/>
    <w:rsid w:val="00406DF7"/>
    <w:rsid w:val="00406EED"/>
    <w:rsid w:val="00407218"/>
    <w:rsid w:val="0040726A"/>
    <w:rsid w:val="00407CD9"/>
    <w:rsid w:val="00410013"/>
    <w:rsid w:val="004113E4"/>
    <w:rsid w:val="00411601"/>
    <w:rsid w:val="0041277D"/>
    <w:rsid w:val="00412DCA"/>
    <w:rsid w:val="004138D5"/>
    <w:rsid w:val="00414F04"/>
    <w:rsid w:val="00414F1A"/>
    <w:rsid w:val="00415867"/>
    <w:rsid w:val="00415E23"/>
    <w:rsid w:val="0041644A"/>
    <w:rsid w:val="004207E7"/>
    <w:rsid w:val="004208AA"/>
    <w:rsid w:val="00420FE0"/>
    <w:rsid w:val="00421AEF"/>
    <w:rsid w:val="00421CB9"/>
    <w:rsid w:val="004223B4"/>
    <w:rsid w:val="00422E82"/>
    <w:rsid w:val="00422EE9"/>
    <w:rsid w:val="004239C8"/>
    <w:rsid w:val="00423B17"/>
    <w:rsid w:val="00424022"/>
    <w:rsid w:val="004246AA"/>
    <w:rsid w:val="004249FA"/>
    <w:rsid w:val="004262B9"/>
    <w:rsid w:val="004272D4"/>
    <w:rsid w:val="00427376"/>
    <w:rsid w:val="004305A7"/>
    <w:rsid w:val="00430A3D"/>
    <w:rsid w:val="00431BEE"/>
    <w:rsid w:val="004337B3"/>
    <w:rsid w:val="0043393F"/>
    <w:rsid w:val="00433E47"/>
    <w:rsid w:val="004357D6"/>
    <w:rsid w:val="00436C49"/>
    <w:rsid w:val="004375F7"/>
    <w:rsid w:val="00437749"/>
    <w:rsid w:val="00440726"/>
    <w:rsid w:val="004410D7"/>
    <w:rsid w:val="00441709"/>
    <w:rsid w:val="004418EC"/>
    <w:rsid w:val="00442091"/>
    <w:rsid w:val="004427E3"/>
    <w:rsid w:val="00442A7A"/>
    <w:rsid w:val="0044328A"/>
    <w:rsid w:val="00443F19"/>
    <w:rsid w:val="0044448D"/>
    <w:rsid w:val="00444CF4"/>
    <w:rsid w:val="00444D66"/>
    <w:rsid w:val="0044517D"/>
    <w:rsid w:val="00445FC9"/>
    <w:rsid w:val="0044617E"/>
    <w:rsid w:val="0044637B"/>
    <w:rsid w:val="004464A1"/>
    <w:rsid w:val="0044693B"/>
    <w:rsid w:val="00446A2C"/>
    <w:rsid w:val="00447509"/>
    <w:rsid w:val="0044789C"/>
    <w:rsid w:val="004478D1"/>
    <w:rsid w:val="00447A5E"/>
    <w:rsid w:val="00450849"/>
    <w:rsid w:val="00450E9F"/>
    <w:rsid w:val="00451AD5"/>
    <w:rsid w:val="00451C8C"/>
    <w:rsid w:val="00451FF7"/>
    <w:rsid w:val="00452316"/>
    <w:rsid w:val="00452E14"/>
    <w:rsid w:val="004537DD"/>
    <w:rsid w:val="00453CD2"/>
    <w:rsid w:val="00454B34"/>
    <w:rsid w:val="00455169"/>
    <w:rsid w:val="00455477"/>
    <w:rsid w:val="00457494"/>
    <w:rsid w:val="0045768B"/>
    <w:rsid w:val="004577B5"/>
    <w:rsid w:val="0046011A"/>
    <w:rsid w:val="00460515"/>
    <w:rsid w:val="00461254"/>
    <w:rsid w:val="004616D1"/>
    <w:rsid w:val="00461A80"/>
    <w:rsid w:val="00462338"/>
    <w:rsid w:val="004627AC"/>
    <w:rsid w:val="00463405"/>
    <w:rsid w:val="00463850"/>
    <w:rsid w:val="00463A6D"/>
    <w:rsid w:val="00464E00"/>
    <w:rsid w:val="00465C45"/>
    <w:rsid w:val="00465EF1"/>
    <w:rsid w:val="00466373"/>
    <w:rsid w:val="00466487"/>
    <w:rsid w:val="00466801"/>
    <w:rsid w:val="00466C6D"/>
    <w:rsid w:val="00466E01"/>
    <w:rsid w:val="00467526"/>
    <w:rsid w:val="004704A7"/>
    <w:rsid w:val="004715AC"/>
    <w:rsid w:val="00472648"/>
    <w:rsid w:val="00472FFC"/>
    <w:rsid w:val="004739B9"/>
    <w:rsid w:val="00473B4F"/>
    <w:rsid w:val="00473D96"/>
    <w:rsid w:val="00473E44"/>
    <w:rsid w:val="00474B4A"/>
    <w:rsid w:val="00475066"/>
    <w:rsid w:val="0047520A"/>
    <w:rsid w:val="00475675"/>
    <w:rsid w:val="00475F2E"/>
    <w:rsid w:val="00476251"/>
    <w:rsid w:val="0047712D"/>
    <w:rsid w:val="00477302"/>
    <w:rsid w:val="00477925"/>
    <w:rsid w:val="00477F01"/>
    <w:rsid w:val="00480A2E"/>
    <w:rsid w:val="004810CC"/>
    <w:rsid w:val="00481150"/>
    <w:rsid w:val="00481758"/>
    <w:rsid w:val="004819F7"/>
    <w:rsid w:val="00483826"/>
    <w:rsid w:val="0048383E"/>
    <w:rsid w:val="00483A58"/>
    <w:rsid w:val="00484355"/>
    <w:rsid w:val="004847E4"/>
    <w:rsid w:val="00484842"/>
    <w:rsid w:val="00484A70"/>
    <w:rsid w:val="0048532C"/>
    <w:rsid w:val="0048557C"/>
    <w:rsid w:val="0048615D"/>
    <w:rsid w:val="0048681F"/>
    <w:rsid w:val="0048723E"/>
    <w:rsid w:val="00487525"/>
    <w:rsid w:val="004901C9"/>
    <w:rsid w:val="00490983"/>
    <w:rsid w:val="00491661"/>
    <w:rsid w:val="00491E57"/>
    <w:rsid w:val="00491E85"/>
    <w:rsid w:val="00492898"/>
    <w:rsid w:val="00493ED7"/>
    <w:rsid w:val="00493F41"/>
    <w:rsid w:val="004964F0"/>
    <w:rsid w:val="00496714"/>
    <w:rsid w:val="00496BF1"/>
    <w:rsid w:val="00496E85"/>
    <w:rsid w:val="004977BE"/>
    <w:rsid w:val="00497A59"/>
    <w:rsid w:val="00497FEC"/>
    <w:rsid w:val="004A00B5"/>
    <w:rsid w:val="004A1408"/>
    <w:rsid w:val="004A16CB"/>
    <w:rsid w:val="004A36C1"/>
    <w:rsid w:val="004A3898"/>
    <w:rsid w:val="004A446B"/>
    <w:rsid w:val="004A46E1"/>
    <w:rsid w:val="004A522A"/>
    <w:rsid w:val="004A577A"/>
    <w:rsid w:val="004A5A86"/>
    <w:rsid w:val="004A651C"/>
    <w:rsid w:val="004A6E06"/>
    <w:rsid w:val="004B00A3"/>
    <w:rsid w:val="004B07F5"/>
    <w:rsid w:val="004B08FF"/>
    <w:rsid w:val="004B10E9"/>
    <w:rsid w:val="004B50A4"/>
    <w:rsid w:val="004B5D16"/>
    <w:rsid w:val="004B60C0"/>
    <w:rsid w:val="004B66FA"/>
    <w:rsid w:val="004B6DDD"/>
    <w:rsid w:val="004B6E95"/>
    <w:rsid w:val="004B7355"/>
    <w:rsid w:val="004B747B"/>
    <w:rsid w:val="004B75D5"/>
    <w:rsid w:val="004B7A6B"/>
    <w:rsid w:val="004C03D7"/>
    <w:rsid w:val="004C09D3"/>
    <w:rsid w:val="004C13A2"/>
    <w:rsid w:val="004C153C"/>
    <w:rsid w:val="004C1AB3"/>
    <w:rsid w:val="004C2527"/>
    <w:rsid w:val="004C314E"/>
    <w:rsid w:val="004C3BA3"/>
    <w:rsid w:val="004C3BC8"/>
    <w:rsid w:val="004C3E9E"/>
    <w:rsid w:val="004C4809"/>
    <w:rsid w:val="004C5AAF"/>
    <w:rsid w:val="004C67D2"/>
    <w:rsid w:val="004C6CC4"/>
    <w:rsid w:val="004C75D2"/>
    <w:rsid w:val="004D09BE"/>
    <w:rsid w:val="004D0E64"/>
    <w:rsid w:val="004D38C3"/>
    <w:rsid w:val="004D3CDD"/>
    <w:rsid w:val="004D44C5"/>
    <w:rsid w:val="004D4AD4"/>
    <w:rsid w:val="004D4CF3"/>
    <w:rsid w:val="004D4D5D"/>
    <w:rsid w:val="004D553E"/>
    <w:rsid w:val="004D61B5"/>
    <w:rsid w:val="004D63E5"/>
    <w:rsid w:val="004D6CA6"/>
    <w:rsid w:val="004E050E"/>
    <w:rsid w:val="004E063A"/>
    <w:rsid w:val="004E0DCE"/>
    <w:rsid w:val="004E17B7"/>
    <w:rsid w:val="004E22E0"/>
    <w:rsid w:val="004E23CF"/>
    <w:rsid w:val="004E2716"/>
    <w:rsid w:val="004E33B1"/>
    <w:rsid w:val="004E3483"/>
    <w:rsid w:val="004E3C17"/>
    <w:rsid w:val="004E4206"/>
    <w:rsid w:val="004E424C"/>
    <w:rsid w:val="004E450E"/>
    <w:rsid w:val="004E458F"/>
    <w:rsid w:val="004E4BDC"/>
    <w:rsid w:val="004E5379"/>
    <w:rsid w:val="004E5981"/>
    <w:rsid w:val="004E5F2D"/>
    <w:rsid w:val="004E6298"/>
    <w:rsid w:val="004E6E5C"/>
    <w:rsid w:val="004E7A3E"/>
    <w:rsid w:val="004E7CF3"/>
    <w:rsid w:val="004E7D92"/>
    <w:rsid w:val="004F03E1"/>
    <w:rsid w:val="004F0A34"/>
    <w:rsid w:val="004F15B5"/>
    <w:rsid w:val="004F1F8F"/>
    <w:rsid w:val="004F2857"/>
    <w:rsid w:val="004F2909"/>
    <w:rsid w:val="004F2A23"/>
    <w:rsid w:val="004F36E2"/>
    <w:rsid w:val="004F38E2"/>
    <w:rsid w:val="004F4456"/>
    <w:rsid w:val="004F469D"/>
    <w:rsid w:val="004F47FB"/>
    <w:rsid w:val="004F52EA"/>
    <w:rsid w:val="004F5956"/>
    <w:rsid w:val="004F5E63"/>
    <w:rsid w:val="004F6490"/>
    <w:rsid w:val="004F67C8"/>
    <w:rsid w:val="004F6F9B"/>
    <w:rsid w:val="004F71D4"/>
    <w:rsid w:val="004F7792"/>
    <w:rsid w:val="004F7DB7"/>
    <w:rsid w:val="00500B75"/>
    <w:rsid w:val="00501075"/>
    <w:rsid w:val="00501292"/>
    <w:rsid w:val="00501F6F"/>
    <w:rsid w:val="00502CEE"/>
    <w:rsid w:val="00503B73"/>
    <w:rsid w:val="00504C52"/>
    <w:rsid w:val="005056A6"/>
    <w:rsid w:val="00506405"/>
    <w:rsid w:val="00506965"/>
    <w:rsid w:val="0050797C"/>
    <w:rsid w:val="00507F5E"/>
    <w:rsid w:val="00510283"/>
    <w:rsid w:val="00510313"/>
    <w:rsid w:val="0051054A"/>
    <w:rsid w:val="00510AA8"/>
    <w:rsid w:val="005119D5"/>
    <w:rsid w:val="00511D10"/>
    <w:rsid w:val="00511D20"/>
    <w:rsid w:val="005123D2"/>
    <w:rsid w:val="005127C4"/>
    <w:rsid w:val="005129CD"/>
    <w:rsid w:val="00513534"/>
    <w:rsid w:val="005138AD"/>
    <w:rsid w:val="00513F5F"/>
    <w:rsid w:val="0051402D"/>
    <w:rsid w:val="00514897"/>
    <w:rsid w:val="00514929"/>
    <w:rsid w:val="00514BF7"/>
    <w:rsid w:val="00514D11"/>
    <w:rsid w:val="0051529B"/>
    <w:rsid w:val="0051644C"/>
    <w:rsid w:val="005166A8"/>
    <w:rsid w:val="00516915"/>
    <w:rsid w:val="005207E7"/>
    <w:rsid w:val="00522709"/>
    <w:rsid w:val="005229E3"/>
    <w:rsid w:val="00523678"/>
    <w:rsid w:val="00524906"/>
    <w:rsid w:val="0052582B"/>
    <w:rsid w:val="00525E5A"/>
    <w:rsid w:val="00526435"/>
    <w:rsid w:val="00526D8E"/>
    <w:rsid w:val="00526F5A"/>
    <w:rsid w:val="00527403"/>
    <w:rsid w:val="005275A1"/>
    <w:rsid w:val="0052775C"/>
    <w:rsid w:val="00530642"/>
    <w:rsid w:val="00530A62"/>
    <w:rsid w:val="00530E5B"/>
    <w:rsid w:val="00531BB4"/>
    <w:rsid w:val="005324FB"/>
    <w:rsid w:val="00532B89"/>
    <w:rsid w:val="00532BCA"/>
    <w:rsid w:val="00532F00"/>
    <w:rsid w:val="00533962"/>
    <w:rsid w:val="00534743"/>
    <w:rsid w:val="005351D2"/>
    <w:rsid w:val="00535744"/>
    <w:rsid w:val="0053615A"/>
    <w:rsid w:val="00536695"/>
    <w:rsid w:val="00536AEA"/>
    <w:rsid w:val="00536E5D"/>
    <w:rsid w:val="00537354"/>
    <w:rsid w:val="0053735B"/>
    <w:rsid w:val="0054022E"/>
    <w:rsid w:val="00540A18"/>
    <w:rsid w:val="00541777"/>
    <w:rsid w:val="00541D1D"/>
    <w:rsid w:val="00542CB8"/>
    <w:rsid w:val="00542E1F"/>
    <w:rsid w:val="00543D13"/>
    <w:rsid w:val="00545230"/>
    <w:rsid w:val="0054549D"/>
    <w:rsid w:val="00545857"/>
    <w:rsid w:val="00546F43"/>
    <w:rsid w:val="005475E8"/>
    <w:rsid w:val="00547DAB"/>
    <w:rsid w:val="00550323"/>
    <w:rsid w:val="0055042E"/>
    <w:rsid w:val="005504AE"/>
    <w:rsid w:val="005504B8"/>
    <w:rsid w:val="005508E8"/>
    <w:rsid w:val="0055113A"/>
    <w:rsid w:val="005514DB"/>
    <w:rsid w:val="00551AB6"/>
    <w:rsid w:val="00551E88"/>
    <w:rsid w:val="005521CA"/>
    <w:rsid w:val="00552209"/>
    <w:rsid w:val="00552299"/>
    <w:rsid w:val="00552BDB"/>
    <w:rsid w:val="00552FE9"/>
    <w:rsid w:val="005533F6"/>
    <w:rsid w:val="005536A3"/>
    <w:rsid w:val="00553915"/>
    <w:rsid w:val="00555198"/>
    <w:rsid w:val="00555363"/>
    <w:rsid w:val="005554FE"/>
    <w:rsid w:val="0055590E"/>
    <w:rsid w:val="00555D30"/>
    <w:rsid w:val="005560F3"/>
    <w:rsid w:val="005562D8"/>
    <w:rsid w:val="00556328"/>
    <w:rsid w:val="00557BA2"/>
    <w:rsid w:val="00557F01"/>
    <w:rsid w:val="005619FB"/>
    <w:rsid w:val="00561D00"/>
    <w:rsid w:val="00562B32"/>
    <w:rsid w:val="005634E8"/>
    <w:rsid w:val="00563573"/>
    <w:rsid w:val="00563794"/>
    <w:rsid w:val="00563C6F"/>
    <w:rsid w:val="00564433"/>
    <w:rsid w:val="00564BA7"/>
    <w:rsid w:val="00565C23"/>
    <w:rsid w:val="005662B6"/>
    <w:rsid w:val="00566365"/>
    <w:rsid w:val="00566A78"/>
    <w:rsid w:val="00566F53"/>
    <w:rsid w:val="005678D8"/>
    <w:rsid w:val="0056790B"/>
    <w:rsid w:val="00570B75"/>
    <w:rsid w:val="005718FB"/>
    <w:rsid w:val="00571DB0"/>
    <w:rsid w:val="005728CA"/>
    <w:rsid w:val="00572915"/>
    <w:rsid w:val="00573222"/>
    <w:rsid w:val="005765D8"/>
    <w:rsid w:val="00577202"/>
    <w:rsid w:val="005773B7"/>
    <w:rsid w:val="00577AFA"/>
    <w:rsid w:val="00577D35"/>
    <w:rsid w:val="00581103"/>
    <w:rsid w:val="00581644"/>
    <w:rsid w:val="005823CF"/>
    <w:rsid w:val="00582AE6"/>
    <w:rsid w:val="00584395"/>
    <w:rsid w:val="005848BE"/>
    <w:rsid w:val="00585969"/>
    <w:rsid w:val="005876F9"/>
    <w:rsid w:val="0058776B"/>
    <w:rsid w:val="00590954"/>
    <w:rsid w:val="00590C77"/>
    <w:rsid w:val="00590DC5"/>
    <w:rsid w:val="0059112F"/>
    <w:rsid w:val="0059123F"/>
    <w:rsid w:val="0059162E"/>
    <w:rsid w:val="00592622"/>
    <w:rsid w:val="00592951"/>
    <w:rsid w:val="00593744"/>
    <w:rsid w:val="00593E40"/>
    <w:rsid w:val="00593F71"/>
    <w:rsid w:val="00595253"/>
    <w:rsid w:val="005959F8"/>
    <w:rsid w:val="005960F1"/>
    <w:rsid w:val="005972C5"/>
    <w:rsid w:val="0059772C"/>
    <w:rsid w:val="005A0CC4"/>
    <w:rsid w:val="005A1274"/>
    <w:rsid w:val="005A1519"/>
    <w:rsid w:val="005A153A"/>
    <w:rsid w:val="005A1BEE"/>
    <w:rsid w:val="005A1C61"/>
    <w:rsid w:val="005A34E4"/>
    <w:rsid w:val="005A3755"/>
    <w:rsid w:val="005A3C98"/>
    <w:rsid w:val="005A3E1A"/>
    <w:rsid w:val="005A43AE"/>
    <w:rsid w:val="005A45BF"/>
    <w:rsid w:val="005A46D0"/>
    <w:rsid w:val="005A4716"/>
    <w:rsid w:val="005A51C9"/>
    <w:rsid w:val="005A6535"/>
    <w:rsid w:val="005B1323"/>
    <w:rsid w:val="005B18C3"/>
    <w:rsid w:val="005B1FA9"/>
    <w:rsid w:val="005B34A3"/>
    <w:rsid w:val="005B39A4"/>
    <w:rsid w:val="005B3FDF"/>
    <w:rsid w:val="005B4441"/>
    <w:rsid w:val="005B4F03"/>
    <w:rsid w:val="005B5781"/>
    <w:rsid w:val="005B5E05"/>
    <w:rsid w:val="005B6371"/>
    <w:rsid w:val="005B6743"/>
    <w:rsid w:val="005B6850"/>
    <w:rsid w:val="005B7364"/>
    <w:rsid w:val="005B7556"/>
    <w:rsid w:val="005B7D54"/>
    <w:rsid w:val="005B7D6F"/>
    <w:rsid w:val="005C0897"/>
    <w:rsid w:val="005C1377"/>
    <w:rsid w:val="005C1C6D"/>
    <w:rsid w:val="005C2C51"/>
    <w:rsid w:val="005C3013"/>
    <w:rsid w:val="005C38F9"/>
    <w:rsid w:val="005C4874"/>
    <w:rsid w:val="005C53A1"/>
    <w:rsid w:val="005C54A4"/>
    <w:rsid w:val="005C7265"/>
    <w:rsid w:val="005D0FA8"/>
    <w:rsid w:val="005D2725"/>
    <w:rsid w:val="005D2AF7"/>
    <w:rsid w:val="005D3DCF"/>
    <w:rsid w:val="005D43CD"/>
    <w:rsid w:val="005D482F"/>
    <w:rsid w:val="005D498F"/>
    <w:rsid w:val="005D4B07"/>
    <w:rsid w:val="005D4B3E"/>
    <w:rsid w:val="005D4E28"/>
    <w:rsid w:val="005D522B"/>
    <w:rsid w:val="005D52F8"/>
    <w:rsid w:val="005D5B49"/>
    <w:rsid w:val="005D648B"/>
    <w:rsid w:val="005D6C0B"/>
    <w:rsid w:val="005D6FD9"/>
    <w:rsid w:val="005D71B6"/>
    <w:rsid w:val="005D7219"/>
    <w:rsid w:val="005D7261"/>
    <w:rsid w:val="005D740E"/>
    <w:rsid w:val="005D7D42"/>
    <w:rsid w:val="005D7EF6"/>
    <w:rsid w:val="005E00A6"/>
    <w:rsid w:val="005E09F7"/>
    <w:rsid w:val="005E0CF7"/>
    <w:rsid w:val="005E0DB5"/>
    <w:rsid w:val="005E15FF"/>
    <w:rsid w:val="005E20B6"/>
    <w:rsid w:val="005E372B"/>
    <w:rsid w:val="005E3FC2"/>
    <w:rsid w:val="005E458B"/>
    <w:rsid w:val="005E5FE0"/>
    <w:rsid w:val="005E7780"/>
    <w:rsid w:val="005F0225"/>
    <w:rsid w:val="005F033F"/>
    <w:rsid w:val="005F05B4"/>
    <w:rsid w:val="005F106A"/>
    <w:rsid w:val="005F1301"/>
    <w:rsid w:val="005F15DA"/>
    <w:rsid w:val="005F1C49"/>
    <w:rsid w:val="005F28AE"/>
    <w:rsid w:val="005F339C"/>
    <w:rsid w:val="005F35D6"/>
    <w:rsid w:val="005F3755"/>
    <w:rsid w:val="005F3A72"/>
    <w:rsid w:val="005F3E12"/>
    <w:rsid w:val="005F416D"/>
    <w:rsid w:val="005F4B60"/>
    <w:rsid w:val="005F50CA"/>
    <w:rsid w:val="005F738C"/>
    <w:rsid w:val="0060089B"/>
    <w:rsid w:val="00600E10"/>
    <w:rsid w:val="00600E36"/>
    <w:rsid w:val="0060175B"/>
    <w:rsid w:val="00601E79"/>
    <w:rsid w:val="00602197"/>
    <w:rsid w:val="00602A53"/>
    <w:rsid w:val="00602ED5"/>
    <w:rsid w:val="006031D7"/>
    <w:rsid w:val="00603A86"/>
    <w:rsid w:val="00603DF5"/>
    <w:rsid w:val="0060459B"/>
    <w:rsid w:val="00604CB5"/>
    <w:rsid w:val="006050A4"/>
    <w:rsid w:val="00605AAE"/>
    <w:rsid w:val="00606CE6"/>
    <w:rsid w:val="00607A1D"/>
    <w:rsid w:val="00607D22"/>
    <w:rsid w:val="006103FB"/>
    <w:rsid w:val="00610413"/>
    <w:rsid w:val="00610AF0"/>
    <w:rsid w:val="00611988"/>
    <w:rsid w:val="00611F30"/>
    <w:rsid w:val="00612ACB"/>
    <w:rsid w:val="00612C5B"/>
    <w:rsid w:val="006135F9"/>
    <w:rsid w:val="00613CE0"/>
    <w:rsid w:val="00613ED8"/>
    <w:rsid w:val="00613F93"/>
    <w:rsid w:val="00614D63"/>
    <w:rsid w:val="0061585D"/>
    <w:rsid w:val="006162E1"/>
    <w:rsid w:val="0061642A"/>
    <w:rsid w:val="00616D36"/>
    <w:rsid w:val="006172EA"/>
    <w:rsid w:val="0062065B"/>
    <w:rsid w:val="006213FD"/>
    <w:rsid w:val="006214EE"/>
    <w:rsid w:val="0062276B"/>
    <w:rsid w:val="006229FF"/>
    <w:rsid w:val="00623217"/>
    <w:rsid w:val="006233B5"/>
    <w:rsid w:val="00623F33"/>
    <w:rsid w:val="00624590"/>
    <w:rsid w:val="00624BFA"/>
    <w:rsid w:val="00625782"/>
    <w:rsid w:val="00625A61"/>
    <w:rsid w:val="00626190"/>
    <w:rsid w:val="00626496"/>
    <w:rsid w:val="006265D3"/>
    <w:rsid w:val="006265DB"/>
    <w:rsid w:val="00626B60"/>
    <w:rsid w:val="00627402"/>
    <w:rsid w:val="006308CE"/>
    <w:rsid w:val="00631172"/>
    <w:rsid w:val="00631C7B"/>
    <w:rsid w:val="00632A54"/>
    <w:rsid w:val="006337E0"/>
    <w:rsid w:val="00633811"/>
    <w:rsid w:val="00633E9B"/>
    <w:rsid w:val="00634415"/>
    <w:rsid w:val="0063476E"/>
    <w:rsid w:val="00636601"/>
    <w:rsid w:val="006370C6"/>
    <w:rsid w:val="00637B80"/>
    <w:rsid w:val="00637C87"/>
    <w:rsid w:val="0064031F"/>
    <w:rsid w:val="00640A0F"/>
    <w:rsid w:val="00640BF7"/>
    <w:rsid w:val="00640FAB"/>
    <w:rsid w:val="0064102C"/>
    <w:rsid w:val="00641365"/>
    <w:rsid w:val="00641BC7"/>
    <w:rsid w:val="00642EF6"/>
    <w:rsid w:val="006432D5"/>
    <w:rsid w:val="006438F6"/>
    <w:rsid w:val="00643912"/>
    <w:rsid w:val="00645250"/>
    <w:rsid w:val="00645CE9"/>
    <w:rsid w:val="006462EA"/>
    <w:rsid w:val="00646825"/>
    <w:rsid w:val="00647232"/>
    <w:rsid w:val="00650438"/>
    <w:rsid w:val="006521FB"/>
    <w:rsid w:val="00652BAA"/>
    <w:rsid w:val="00652EAB"/>
    <w:rsid w:val="00653376"/>
    <w:rsid w:val="00653DB5"/>
    <w:rsid w:val="00654915"/>
    <w:rsid w:val="00655260"/>
    <w:rsid w:val="006559B4"/>
    <w:rsid w:val="00655C07"/>
    <w:rsid w:val="00656DBC"/>
    <w:rsid w:val="00660A42"/>
    <w:rsid w:val="00661D87"/>
    <w:rsid w:val="00662022"/>
    <w:rsid w:val="006622A2"/>
    <w:rsid w:val="00662817"/>
    <w:rsid w:val="00663380"/>
    <w:rsid w:val="00663C89"/>
    <w:rsid w:val="006642C5"/>
    <w:rsid w:val="006646B6"/>
    <w:rsid w:val="006647F3"/>
    <w:rsid w:val="0066505B"/>
    <w:rsid w:val="006651E8"/>
    <w:rsid w:val="00665939"/>
    <w:rsid w:val="0066600F"/>
    <w:rsid w:val="00666270"/>
    <w:rsid w:val="006666F0"/>
    <w:rsid w:val="00666786"/>
    <w:rsid w:val="006670DD"/>
    <w:rsid w:val="006672CB"/>
    <w:rsid w:val="00667790"/>
    <w:rsid w:val="0066797F"/>
    <w:rsid w:val="006705B7"/>
    <w:rsid w:val="00670883"/>
    <w:rsid w:val="00671306"/>
    <w:rsid w:val="00673ED6"/>
    <w:rsid w:val="0067483A"/>
    <w:rsid w:val="00675287"/>
    <w:rsid w:val="00675C52"/>
    <w:rsid w:val="00675F73"/>
    <w:rsid w:val="00676B1F"/>
    <w:rsid w:val="00676D41"/>
    <w:rsid w:val="006777B0"/>
    <w:rsid w:val="00677938"/>
    <w:rsid w:val="00677ADB"/>
    <w:rsid w:val="00680147"/>
    <w:rsid w:val="0068066C"/>
    <w:rsid w:val="006807B5"/>
    <w:rsid w:val="0068081C"/>
    <w:rsid w:val="00680BE1"/>
    <w:rsid w:val="0068135F"/>
    <w:rsid w:val="006816D2"/>
    <w:rsid w:val="0068230F"/>
    <w:rsid w:val="006827C5"/>
    <w:rsid w:val="00682EE4"/>
    <w:rsid w:val="00683554"/>
    <w:rsid w:val="0068379C"/>
    <w:rsid w:val="00685118"/>
    <w:rsid w:val="00685122"/>
    <w:rsid w:val="0068553D"/>
    <w:rsid w:val="00685B7D"/>
    <w:rsid w:val="006862CA"/>
    <w:rsid w:val="006866D6"/>
    <w:rsid w:val="00686BEC"/>
    <w:rsid w:val="00686C5F"/>
    <w:rsid w:val="006875A9"/>
    <w:rsid w:val="00690348"/>
    <w:rsid w:val="006906C5"/>
    <w:rsid w:val="006906F8"/>
    <w:rsid w:val="00690B9C"/>
    <w:rsid w:val="00690E0C"/>
    <w:rsid w:val="006914A5"/>
    <w:rsid w:val="006915CA"/>
    <w:rsid w:val="00691A3F"/>
    <w:rsid w:val="00692A65"/>
    <w:rsid w:val="006935B5"/>
    <w:rsid w:val="006954F9"/>
    <w:rsid w:val="00695B14"/>
    <w:rsid w:val="00695C77"/>
    <w:rsid w:val="006962F4"/>
    <w:rsid w:val="00696882"/>
    <w:rsid w:val="0069766C"/>
    <w:rsid w:val="00697977"/>
    <w:rsid w:val="006A084E"/>
    <w:rsid w:val="006A0950"/>
    <w:rsid w:val="006A1333"/>
    <w:rsid w:val="006A159E"/>
    <w:rsid w:val="006A1DD1"/>
    <w:rsid w:val="006A230C"/>
    <w:rsid w:val="006A2419"/>
    <w:rsid w:val="006A2444"/>
    <w:rsid w:val="006A2FE9"/>
    <w:rsid w:val="006A3178"/>
    <w:rsid w:val="006A4217"/>
    <w:rsid w:val="006A490E"/>
    <w:rsid w:val="006A51EA"/>
    <w:rsid w:val="006A62EB"/>
    <w:rsid w:val="006A67EA"/>
    <w:rsid w:val="006A6A11"/>
    <w:rsid w:val="006A723B"/>
    <w:rsid w:val="006A78AF"/>
    <w:rsid w:val="006B2A2E"/>
    <w:rsid w:val="006B3DC6"/>
    <w:rsid w:val="006B452D"/>
    <w:rsid w:val="006B4CA3"/>
    <w:rsid w:val="006B4DA5"/>
    <w:rsid w:val="006B5345"/>
    <w:rsid w:val="006B5FB4"/>
    <w:rsid w:val="006B63D1"/>
    <w:rsid w:val="006B6CAF"/>
    <w:rsid w:val="006B7908"/>
    <w:rsid w:val="006C0C8E"/>
    <w:rsid w:val="006C0D68"/>
    <w:rsid w:val="006C0FA1"/>
    <w:rsid w:val="006C13AA"/>
    <w:rsid w:val="006C1984"/>
    <w:rsid w:val="006C2036"/>
    <w:rsid w:val="006C2087"/>
    <w:rsid w:val="006C22C2"/>
    <w:rsid w:val="006C23DC"/>
    <w:rsid w:val="006C3148"/>
    <w:rsid w:val="006C4554"/>
    <w:rsid w:val="006C47BC"/>
    <w:rsid w:val="006C543B"/>
    <w:rsid w:val="006C5559"/>
    <w:rsid w:val="006C6D43"/>
    <w:rsid w:val="006C6E8A"/>
    <w:rsid w:val="006C70F2"/>
    <w:rsid w:val="006C7A99"/>
    <w:rsid w:val="006D0266"/>
    <w:rsid w:val="006D0A87"/>
    <w:rsid w:val="006D154C"/>
    <w:rsid w:val="006D1961"/>
    <w:rsid w:val="006D2BEC"/>
    <w:rsid w:val="006D5630"/>
    <w:rsid w:val="006D63AE"/>
    <w:rsid w:val="006D7525"/>
    <w:rsid w:val="006E0036"/>
    <w:rsid w:val="006E0C9C"/>
    <w:rsid w:val="006E0E3D"/>
    <w:rsid w:val="006E1097"/>
    <w:rsid w:val="006E1320"/>
    <w:rsid w:val="006E1F1F"/>
    <w:rsid w:val="006E201F"/>
    <w:rsid w:val="006E28C5"/>
    <w:rsid w:val="006E28E8"/>
    <w:rsid w:val="006E2960"/>
    <w:rsid w:val="006E2B7B"/>
    <w:rsid w:val="006E2D1A"/>
    <w:rsid w:val="006E2F92"/>
    <w:rsid w:val="006E3BF7"/>
    <w:rsid w:val="006E4416"/>
    <w:rsid w:val="006E49EA"/>
    <w:rsid w:val="006E4C46"/>
    <w:rsid w:val="006E527A"/>
    <w:rsid w:val="006E5E78"/>
    <w:rsid w:val="006E6805"/>
    <w:rsid w:val="006E69EA"/>
    <w:rsid w:val="006E7B84"/>
    <w:rsid w:val="006F0B59"/>
    <w:rsid w:val="006F17D2"/>
    <w:rsid w:val="006F1881"/>
    <w:rsid w:val="006F18BA"/>
    <w:rsid w:val="006F20BF"/>
    <w:rsid w:val="006F32CA"/>
    <w:rsid w:val="006F3633"/>
    <w:rsid w:val="006F3EF5"/>
    <w:rsid w:val="006F4472"/>
    <w:rsid w:val="006F4A1E"/>
    <w:rsid w:val="006F4BCF"/>
    <w:rsid w:val="006F4DF6"/>
    <w:rsid w:val="006F53B0"/>
    <w:rsid w:val="006F55AE"/>
    <w:rsid w:val="006F5887"/>
    <w:rsid w:val="006F5C16"/>
    <w:rsid w:val="006F5D3E"/>
    <w:rsid w:val="006F6111"/>
    <w:rsid w:val="006F6933"/>
    <w:rsid w:val="006F6B15"/>
    <w:rsid w:val="006F7498"/>
    <w:rsid w:val="006F787D"/>
    <w:rsid w:val="007000E9"/>
    <w:rsid w:val="0070016F"/>
    <w:rsid w:val="007003F9"/>
    <w:rsid w:val="007008C3"/>
    <w:rsid w:val="0070091F"/>
    <w:rsid w:val="00702A6A"/>
    <w:rsid w:val="00702DE6"/>
    <w:rsid w:val="00703A94"/>
    <w:rsid w:val="00703AC1"/>
    <w:rsid w:val="00704345"/>
    <w:rsid w:val="0070468E"/>
    <w:rsid w:val="00704868"/>
    <w:rsid w:val="00704A0B"/>
    <w:rsid w:val="00704ADF"/>
    <w:rsid w:val="0070572B"/>
    <w:rsid w:val="0070574A"/>
    <w:rsid w:val="00705ED7"/>
    <w:rsid w:val="00705FB3"/>
    <w:rsid w:val="00706899"/>
    <w:rsid w:val="007077C6"/>
    <w:rsid w:val="00707EA0"/>
    <w:rsid w:val="0071007C"/>
    <w:rsid w:val="00710297"/>
    <w:rsid w:val="0071061D"/>
    <w:rsid w:val="00710885"/>
    <w:rsid w:val="00710E0B"/>
    <w:rsid w:val="00711AE5"/>
    <w:rsid w:val="00711C1B"/>
    <w:rsid w:val="00711C3D"/>
    <w:rsid w:val="007121AD"/>
    <w:rsid w:val="00712886"/>
    <w:rsid w:val="00712963"/>
    <w:rsid w:val="00713A4D"/>
    <w:rsid w:val="0071401D"/>
    <w:rsid w:val="00714582"/>
    <w:rsid w:val="0071499A"/>
    <w:rsid w:val="00716BB6"/>
    <w:rsid w:val="00716FB6"/>
    <w:rsid w:val="007172BB"/>
    <w:rsid w:val="00717697"/>
    <w:rsid w:val="0072034A"/>
    <w:rsid w:val="00720598"/>
    <w:rsid w:val="00721E86"/>
    <w:rsid w:val="007222E6"/>
    <w:rsid w:val="0072239C"/>
    <w:rsid w:val="007223DB"/>
    <w:rsid w:val="00722710"/>
    <w:rsid w:val="00722FBD"/>
    <w:rsid w:val="0072372D"/>
    <w:rsid w:val="0072376B"/>
    <w:rsid w:val="007240E9"/>
    <w:rsid w:val="007256FE"/>
    <w:rsid w:val="007257EB"/>
    <w:rsid w:val="00725A46"/>
    <w:rsid w:val="00725B41"/>
    <w:rsid w:val="007271BF"/>
    <w:rsid w:val="007275AC"/>
    <w:rsid w:val="00727B18"/>
    <w:rsid w:val="00730381"/>
    <w:rsid w:val="00730715"/>
    <w:rsid w:val="00730B58"/>
    <w:rsid w:val="00730DDC"/>
    <w:rsid w:val="0073100A"/>
    <w:rsid w:val="0073131B"/>
    <w:rsid w:val="00732546"/>
    <w:rsid w:val="00732793"/>
    <w:rsid w:val="00733837"/>
    <w:rsid w:val="00733CEF"/>
    <w:rsid w:val="00734017"/>
    <w:rsid w:val="007341A9"/>
    <w:rsid w:val="00734677"/>
    <w:rsid w:val="007347CB"/>
    <w:rsid w:val="007347FA"/>
    <w:rsid w:val="007352FB"/>
    <w:rsid w:val="00735359"/>
    <w:rsid w:val="00735365"/>
    <w:rsid w:val="007353F4"/>
    <w:rsid w:val="00736099"/>
    <w:rsid w:val="00736AFD"/>
    <w:rsid w:val="007411D7"/>
    <w:rsid w:val="007413C2"/>
    <w:rsid w:val="00741B0A"/>
    <w:rsid w:val="00741D3F"/>
    <w:rsid w:val="00741EC4"/>
    <w:rsid w:val="007441FB"/>
    <w:rsid w:val="00744410"/>
    <w:rsid w:val="00744ADC"/>
    <w:rsid w:val="00745948"/>
    <w:rsid w:val="007459EF"/>
    <w:rsid w:val="00745C31"/>
    <w:rsid w:val="0074614E"/>
    <w:rsid w:val="0074794D"/>
    <w:rsid w:val="007500D3"/>
    <w:rsid w:val="007505D8"/>
    <w:rsid w:val="00751B24"/>
    <w:rsid w:val="007526B9"/>
    <w:rsid w:val="00752852"/>
    <w:rsid w:val="00752DB2"/>
    <w:rsid w:val="00752DB8"/>
    <w:rsid w:val="00753A81"/>
    <w:rsid w:val="0075417C"/>
    <w:rsid w:val="007556EC"/>
    <w:rsid w:val="007566F5"/>
    <w:rsid w:val="00756880"/>
    <w:rsid w:val="00757528"/>
    <w:rsid w:val="00757DE0"/>
    <w:rsid w:val="00757F3B"/>
    <w:rsid w:val="007604B1"/>
    <w:rsid w:val="00761C95"/>
    <w:rsid w:val="0076205A"/>
    <w:rsid w:val="007621B7"/>
    <w:rsid w:val="007628EF"/>
    <w:rsid w:val="0076397B"/>
    <w:rsid w:val="00763AA1"/>
    <w:rsid w:val="00763F02"/>
    <w:rsid w:val="00764FAA"/>
    <w:rsid w:val="0076593C"/>
    <w:rsid w:val="00766FA0"/>
    <w:rsid w:val="00771315"/>
    <w:rsid w:val="00771BAD"/>
    <w:rsid w:val="00771D98"/>
    <w:rsid w:val="007734A8"/>
    <w:rsid w:val="00773ACF"/>
    <w:rsid w:val="00774032"/>
    <w:rsid w:val="00774CF2"/>
    <w:rsid w:val="00774F89"/>
    <w:rsid w:val="007757B2"/>
    <w:rsid w:val="0077585B"/>
    <w:rsid w:val="00775897"/>
    <w:rsid w:val="00775C44"/>
    <w:rsid w:val="00775D71"/>
    <w:rsid w:val="00776765"/>
    <w:rsid w:val="00776A13"/>
    <w:rsid w:val="007771E2"/>
    <w:rsid w:val="00777F9F"/>
    <w:rsid w:val="007801DC"/>
    <w:rsid w:val="0078058C"/>
    <w:rsid w:val="00780CBD"/>
    <w:rsid w:val="00781B5B"/>
    <w:rsid w:val="00781E4D"/>
    <w:rsid w:val="00782290"/>
    <w:rsid w:val="00782506"/>
    <w:rsid w:val="007836E4"/>
    <w:rsid w:val="00783CC6"/>
    <w:rsid w:val="00784300"/>
    <w:rsid w:val="007843FE"/>
    <w:rsid w:val="00784531"/>
    <w:rsid w:val="00784BF5"/>
    <w:rsid w:val="00785865"/>
    <w:rsid w:val="00785909"/>
    <w:rsid w:val="00785ADE"/>
    <w:rsid w:val="00786192"/>
    <w:rsid w:val="007863CC"/>
    <w:rsid w:val="00786D58"/>
    <w:rsid w:val="00787179"/>
    <w:rsid w:val="00790AA6"/>
    <w:rsid w:val="00791085"/>
    <w:rsid w:val="00791147"/>
    <w:rsid w:val="00791BF2"/>
    <w:rsid w:val="0079404D"/>
    <w:rsid w:val="00794EBF"/>
    <w:rsid w:val="00795B1A"/>
    <w:rsid w:val="00795B1C"/>
    <w:rsid w:val="0079627E"/>
    <w:rsid w:val="00796873"/>
    <w:rsid w:val="00796A17"/>
    <w:rsid w:val="00796E3D"/>
    <w:rsid w:val="007A0515"/>
    <w:rsid w:val="007A08C3"/>
    <w:rsid w:val="007A15FB"/>
    <w:rsid w:val="007A1B5F"/>
    <w:rsid w:val="007A20FA"/>
    <w:rsid w:val="007A2404"/>
    <w:rsid w:val="007A2D5E"/>
    <w:rsid w:val="007A30AA"/>
    <w:rsid w:val="007A3340"/>
    <w:rsid w:val="007A4738"/>
    <w:rsid w:val="007A4774"/>
    <w:rsid w:val="007A4AC8"/>
    <w:rsid w:val="007A53D5"/>
    <w:rsid w:val="007A612B"/>
    <w:rsid w:val="007A6178"/>
    <w:rsid w:val="007A6CBD"/>
    <w:rsid w:val="007A754D"/>
    <w:rsid w:val="007A7D94"/>
    <w:rsid w:val="007B00D8"/>
    <w:rsid w:val="007B1173"/>
    <w:rsid w:val="007B1BF7"/>
    <w:rsid w:val="007B1CD6"/>
    <w:rsid w:val="007B1F51"/>
    <w:rsid w:val="007B2622"/>
    <w:rsid w:val="007B2D31"/>
    <w:rsid w:val="007B3FDF"/>
    <w:rsid w:val="007B4A70"/>
    <w:rsid w:val="007B513B"/>
    <w:rsid w:val="007B5AD3"/>
    <w:rsid w:val="007B600C"/>
    <w:rsid w:val="007B67C6"/>
    <w:rsid w:val="007B77F4"/>
    <w:rsid w:val="007B7845"/>
    <w:rsid w:val="007C07B0"/>
    <w:rsid w:val="007C12AA"/>
    <w:rsid w:val="007C1C8C"/>
    <w:rsid w:val="007C1D29"/>
    <w:rsid w:val="007C3933"/>
    <w:rsid w:val="007C4265"/>
    <w:rsid w:val="007C4383"/>
    <w:rsid w:val="007C4BF8"/>
    <w:rsid w:val="007C50E4"/>
    <w:rsid w:val="007C5664"/>
    <w:rsid w:val="007C5B79"/>
    <w:rsid w:val="007C5B97"/>
    <w:rsid w:val="007C5B98"/>
    <w:rsid w:val="007C5E59"/>
    <w:rsid w:val="007C6544"/>
    <w:rsid w:val="007C7ED6"/>
    <w:rsid w:val="007D0AB9"/>
    <w:rsid w:val="007D1AB2"/>
    <w:rsid w:val="007D1BEE"/>
    <w:rsid w:val="007D2638"/>
    <w:rsid w:val="007D2D0E"/>
    <w:rsid w:val="007D31C4"/>
    <w:rsid w:val="007D44F6"/>
    <w:rsid w:val="007D64AE"/>
    <w:rsid w:val="007D670E"/>
    <w:rsid w:val="007D6A41"/>
    <w:rsid w:val="007D6C02"/>
    <w:rsid w:val="007D7572"/>
    <w:rsid w:val="007D7BE9"/>
    <w:rsid w:val="007D7F67"/>
    <w:rsid w:val="007E0DA1"/>
    <w:rsid w:val="007E0E04"/>
    <w:rsid w:val="007E26F6"/>
    <w:rsid w:val="007E27AB"/>
    <w:rsid w:val="007E27E8"/>
    <w:rsid w:val="007E29AA"/>
    <w:rsid w:val="007E2AD2"/>
    <w:rsid w:val="007E32D7"/>
    <w:rsid w:val="007E348B"/>
    <w:rsid w:val="007E48DF"/>
    <w:rsid w:val="007E4BB3"/>
    <w:rsid w:val="007E5C50"/>
    <w:rsid w:val="007E66CA"/>
    <w:rsid w:val="007E7C01"/>
    <w:rsid w:val="007E7CA0"/>
    <w:rsid w:val="007E7D02"/>
    <w:rsid w:val="007E7DBE"/>
    <w:rsid w:val="007F03D9"/>
    <w:rsid w:val="007F1131"/>
    <w:rsid w:val="007F197F"/>
    <w:rsid w:val="007F1B9E"/>
    <w:rsid w:val="007F1F90"/>
    <w:rsid w:val="007F20D2"/>
    <w:rsid w:val="007F2D40"/>
    <w:rsid w:val="007F2D4B"/>
    <w:rsid w:val="007F2FD5"/>
    <w:rsid w:val="007F34C0"/>
    <w:rsid w:val="007F3797"/>
    <w:rsid w:val="007F3EAF"/>
    <w:rsid w:val="007F4BB1"/>
    <w:rsid w:val="007F615B"/>
    <w:rsid w:val="007F6571"/>
    <w:rsid w:val="007F667F"/>
    <w:rsid w:val="007F72B3"/>
    <w:rsid w:val="007F743B"/>
    <w:rsid w:val="007F7519"/>
    <w:rsid w:val="007F76B0"/>
    <w:rsid w:val="007F7741"/>
    <w:rsid w:val="007F781C"/>
    <w:rsid w:val="007F7828"/>
    <w:rsid w:val="00801463"/>
    <w:rsid w:val="00801EF3"/>
    <w:rsid w:val="00802A05"/>
    <w:rsid w:val="008030D6"/>
    <w:rsid w:val="00803569"/>
    <w:rsid w:val="00803752"/>
    <w:rsid w:val="0080398B"/>
    <w:rsid w:val="00803DD8"/>
    <w:rsid w:val="008055FF"/>
    <w:rsid w:val="00805ED8"/>
    <w:rsid w:val="00805F76"/>
    <w:rsid w:val="0080629A"/>
    <w:rsid w:val="00807A8C"/>
    <w:rsid w:val="00807ED7"/>
    <w:rsid w:val="00810BF1"/>
    <w:rsid w:val="00811C3F"/>
    <w:rsid w:val="00811DBB"/>
    <w:rsid w:val="00812419"/>
    <w:rsid w:val="00813239"/>
    <w:rsid w:val="0081329E"/>
    <w:rsid w:val="00814972"/>
    <w:rsid w:val="00814D4A"/>
    <w:rsid w:val="008153F6"/>
    <w:rsid w:val="008156A2"/>
    <w:rsid w:val="00815825"/>
    <w:rsid w:val="00815B87"/>
    <w:rsid w:val="008161B7"/>
    <w:rsid w:val="00816428"/>
    <w:rsid w:val="008167F6"/>
    <w:rsid w:val="00816ABF"/>
    <w:rsid w:val="00820970"/>
    <w:rsid w:val="00821B27"/>
    <w:rsid w:val="00822053"/>
    <w:rsid w:val="00822394"/>
    <w:rsid w:val="008230A2"/>
    <w:rsid w:val="00823EDE"/>
    <w:rsid w:val="00824E00"/>
    <w:rsid w:val="0082537E"/>
    <w:rsid w:val="00825A7E"/>
    <w:rsid w:val="0082689A"/>
    <w:rsid w:val="00826973"/>
    <w:rsid w:val="00827A79"/>
    <w:rsid w:val="0083038C"/>
    <w:rsid w:val="00830E3F"/>
    <w:rsid w:val="00831440"/>
    <w:rsid w:val="00832297"/>
    <w:rsid w:val="00832825"/>
    <w:rsid w:val="00832942"/>
    <w:rsid w:val="00832BE4"/>
    <w:rsid w:val="0083355E"/>
    <w:rsid w:val="008346FF"/>
    <w:rsid w:val="0083498C"/>
    <w:rsid w:val="008356F3"/>
    <w:rsid w:val="00835EB6"/>
    <w:rsid w:val="00836172"/>
    <w:rsid w:val="00836485"/>
    <w:rsid w:val="00836661"/>
    <w:rsid w:val="008370D1"/>
    <w:rsid w:val="0083785B"/>
    <w:rsid w:val="00837B7B"/>
    <w:rsid w:val="00837F2C"/>
    <w:rsid w:val="0084032B"/>
    <w:rsid w:val="00840D6C"/>
    <w:rsid w:val="0084163D"/>
    <w:rsid w:val="00841708"/>
    <w:rsid w:val="008418DD"/>
    <w:rsid w:val="00842145"/>
    <w:rsid w:val="008423B0"/>
    <w:rsid w:val="00842B26"/>
    <w:rsid w:val="00842E45"/>
    <w:rsid w:val="00844414"/>
    <w:rsid w:val="00844534"/>
    <w:rsid w:val="00844872"/>
    <w:rsid w:val="00844DE6"/>
    <w:rsid w:val="008457A6"/>
    <w:rsid w:val="00845A06"/>
    <w:rsid w:val="00845D11"/>
    <w:rsid w:val="00846401"/>
    <w:rsid w:val="00846758"/>
    <w:rsid w:val="00846DA1"/>
    <w:rsid w:val="008473A0"/>
    <w:rsid w:val="008500B5"/>
    <w:rsid w:val="00851627"/>
    <w:rsid w:val="00851713"/>
    <w:rsid w:val="00852C76"/>
    <w:rsid w:val="00852D60"/>
    <w:rsid w:val="00853126"/>
    <w:rsid w:val="008536A6"/>
    <w:rsid w:val="008538D9"/>
    <w:rsid w:val="00853E7F"/>
    <w:rsid w:val="00854FA4"/>
    <w:rsid w:val="00855526"/>
    <w:rsid w:val="008558AB"/>
    <w:rsid w:val="008561ED"/>
    <w:rsid w:val="00856B5B"/>
    <w:rsid w:val="00857EBA"/>
    <w:rsid w:val="00860059"/>
    <w:rsid w:val="00861CCD"/>
    <w:rsid w:val="008624F9"/>
    <w:rsid w:val="00864429"/>
    <w:rsid w:val="008647A8"/>
    <w:rsid w:val="00864BE1"/>
    <w:rsid w:val="008653F7"/>
    <w:rsid w:val="0086622A"/>
    <w:rsid w:val="008669FA"/>
    <w:rsid w:val="00870191"/>
    <w:rsid w:val="008701C4"/>
    <w:rsid w:val="008704F5"/>
    <w:rsid w:val="00871198"/>
    <w:rsid w:val="008720E2"/>
    <w:rsid w:val="008721B5"/>
    <w:rsid w:val="00873145"/>
    <w:rsid w:val="0087352B"/>
    <w:rsid w:val="008737A3"/>
    <w:rsid w:val="0087388F"/>
    <w:rsid w:val="00873B6F"/>
    <w:rsid w:val="00873D13"/>
    <w:rsid w:val="00873E71"/>
    <w:rsid w:val="00873EF6"/>
    <w:rsid w:val="008741E9"/>
    <w:rsid w:val="00874656"/>
    <w:rsid w:val="0087485B"/>
    <w:rsid w:val="008757B2"/>
    <w:rsid w:val="0087595D"/>
    <w:rsid w:val="00875DAD"/>
    <w:rsid w:val="00876701"/>
    <w:rsid w:val="008774CA"/>
    <w:rsid w:val="00877A38"/>
    <w:rsid w:val="00877B19"/>
    <w:rsid w:val="00877E21"/>
    <w:rsid w:val="00880B4C"/>
    <w:rsid w:val="0088150D"/>
    <w:rsid w:val="0088152F"/>
    <w:rsid w:val="0088212E"/>
    <w:rsid w:val="0088251F"/>
    <w:rsid w:val="00882AD9"/>
    <w:rsid w:val="0088313B"/>
    <w:rsid w:val="00883C78"/>
    <w:rsid w:val="008847C0"/>
    <w:rsid w:val="00885944"/>
    <w:rsid w:val="00885AF8"/>
    <w:rsid w:val="00885D7B"/>
    <w:rsid w:val="008860EB"/>
    <w:rsid w:val="00887570"/>
    <w:rsid w:val="0088767C"/>
    <w:rsid w:val="00890602"/>
    <w:rsid w:val="00890637"/>
    <w:rsid w:val="00890CCC"/>
    <w:rsid w:val="00890D12"/>
    <w:rsid w:val="00890EA3"/>
    <w:rsid w:val="00891051"/>
    <w:rsid w:val="00891A10"/>
    <w:rsid w:val="0089300D"/>
    <w:rsid w:val="00893731"/>
    <w:rsid w:val="00893900"/>
    <w:rsid w:val="008940AF"/>
    <w:rsid w:val="00894342"/>
    <w:rsid w:val="00894F6D"/>
    <w:rsid w:val="008953FC"/>
    <w:rsid w:val="00895612"/>
    <w:rsid w:val="00896180"/>
    <w:rsid w:val="00896BCB"/>
    <w:rsid w:val="00896E32"/>
    <w:rsid w:val="0089723B"/>
    <w:rsid w:val="00897ED1"/>
    <w:rsid w:val="00897FF0"/>
    <w:rsid w:val="008A09AF"/>
    <w:rsid w:val="008A211B"/>
    <w:rsid w:val="008A2D94"/>
    <w:rsid w:val="008A30CD"/>
    <w:rsid w:val="008A329D"/>
    <w:rsid w:val="008A4399"/>
    <w:rsid w:val="008A60A4"/>
    <w:rsid w:val="008A6563"/>
    <w:rsid w:val="008A6F6B"/>
    <w:rsid w:val="008A70A3"/>
    <w:rsid w:val="008A7C72"/>
    <w:rsid w:val="008B0865"/>
    <w:rsid w:val="008B08AF"/>
    <w:rsid w:val="008B0B0E"/>
    <w:rsid w:val="008B0E18"/>
    <w:rsid w:val="008B106E"/>
    <w:rsid w:val="008B1182"/>
    <w:rsid w:val="008B14F8"/>
    <w:rsid w:val="008B16AC"/>
    <w:rsid w:val="008B1863"/>
    <w:rsid w:val="008B1D33"/>
    <w:rsid w:val="008B295B"/>
    <w:rsid w:val="008B2AF1"/>
    <w:rsid w:val="008B312E"/>
    <w:rsid w:val="008B391F"/>
    <w:rsid w:val="008B4CDE"/>
    <w:rsid w:val="008B50B2"/>
    <w:rsid w:val="008B52AD"/>
    <w:rsid w:val="008B57BD"/>
    <w:rsid w:val="008B5A86"/>
    <w:rsid w:val="008B685F"/>
    <w:rsid w:val="008B6DC8"/>
    <w:rsid w:val="008B7313"/>
    <w:rsid w:val="008B7C04"/>
    <w:rsid w:val="008B7EE5"/>
    <w:rsid w:val="008C06BD"/>
    <w:rsid w:val="008C0F89"/>
    <w:rsid w:val="008C17B2"/>
    <w:rsid w:val="008C1A46"/>
    <w:rsid w:val="008C23B9"/>
    <w:rsid w:val="008C2727"/>
    <w:rsid w:val="008C4FE3"/>
    <w:rsid w:val="008C5475"/>
    <w:rsid w:val="008C5590"/>
    <w:rsid w:val="008C576F"/>
    <w:rsid w:val="008C637F"/>
    <w:rsid w:val="008C66BF"/>
    <w:rsid w:val="008C72C8"/>
    <w:rsid w:val="008C767B"/>
    <w:rsid w:val="008C7688"/>
    <w:rsid w:val="008C77E5"/>
    <w:rsid w:val="008C7B63"/>
    <w:rsid w:val="008D00D8"/>
    <w:rsid w:val="008D09A9"/>
    <w:rsid w:val="008D0E76"/>
    <w:rsid w:val="008D155B"/>
    <w:rsid w:val="008D1C31"/>
    <w:rsid w:val="008D1C5E"/>
    <w:rsid w:val="008D1E40"/>
    <w:rsid w:val="008D216E"/>
    <w:rsid w:val="008D26E7"/>
    <w:rsid w:val="008D2AF8"/>
    <w:rsid w:val="008D2DC7"/>
    <w:rsid w:val="008D3F26"/>
    <w:rsid w:val="008D4ABB"/>
    <w:rsid w:val="008D6040"/>
    <w:rsid w:val="008D633F"/>
    <w:rsid w:val="008D646B"/>
    <w:rsid w:val="008D6D1E"/>
    <w:rsid w:val="008D7309"/>
    <w:rsid w:val="008D73F0"/>
    <w:rsid w:val="008D7C90"/>
    <w:rsid w:val="008E0753"/>
    <w:rsid w:val="008E0A03"/>
    <w:rsid w:val="008E0A90"/>
    <w:rsid w:val="008E0BD9"/>
    <w:rsid w:val="008E1457"/>
    <w:rsid w:val="008E17DD"/>
    <w:rsid w:val="008E2509"/>
    <w:rsid w:val="008E2574"/>
    <w:rsid w:val="008E260A"/>
    <w:rsid w:val="008E290E"/>
    <w:rsid w:val="008E2D48"/>
    <w:rsid w:val="008E3149"/>
    <w:rsid w:val="008E325B"/>
    <w:rsid w:val="008E34FB"/>
    <w:rsid w:val="008E39AF"/>
    <w:rsid w:val="008E3B25"/>
    <w:rsid w:val="008E3CED"/>
    <w:rsid w:val="008E4377"/>
    <w:rsid w:val="008E4D9A"/>
    <w:rsid w:val="008E4F6D"/>
    <w:rsid w:val="008E4FCF"/>
    <w:rsid w:val="008E50E8"/>
    <w:rsid w:val="008E5E1F"/>
    <w:rsid w:val="008E74ED"/>
    <w:rsid w:val="008E7B92"/>
    <w:rsid w:val="008E7D46"/>
    <w:rsid w:val="008E7DC3"/>
    <w:rsid w:val="008E7E7C"/>
    <w:rsid w:val="008E7ED0"/>
    <w:rsid w:val="008F00C8"/>
    <w:rsid w:val="008F03A2"/>
    <w:rsid w:val="008F0B7A"/>
    <w:rsid w:val="008F0C27"/>
    <w:rsid w:val="008F0C7B"/>
    <w:rsid w:val="008F0FEB"/>
    <w:rsid w:val="008F19AE"/>
    <w:rsid w:val="008F2821"/>
    <w:rsid w:val="008F2C77"/>
    <w:rsid w:val="008F2CBF"/>
    <w:rsid w:val="008F39E1"/>
    <w:rsid w:val="008F3E2B"/>
    <w:rsid w:val="008F40F0"/>
    <w:rsid w:val="008F46B5"/>
    <w:rsid w:val="008F4DDA"/>
    <w:rsid w:val="008F4FEE"/>
    <w:rsid w:val="008F52FF"/>
    <w:rsid w:val="008F68C3"/>
    <w:rsid w:val="008F6980"/>
    <w:rsid w:val="008F71E1"/>
    <w:rsid w:val="008F77FC"/>
    <w:rsid w:val="008F7954"/>
    <w:rsid w:val="0090087E"/>
    <w:rsid w:val="009008A7"/>
    <w:rsid w:val="00901376"/>
    <w:rsid w:val="00901E09"/>
    <w:rsid w:val="00901FAD"/>
    <w:rsid w:val="00902624"/>
    <w:rsid w:val="00902694"/>
    <w:rsid w:val="009030CA"/>
    <w:rsid w:val="00903FED"/>
    <w:rsid w:val="009042ED"/>
    <w:rsid w:val="00905683"/>
    <w:rsid w:val="00905EC3"/>
    <w:rsid w:val="00906AD5"/>
    <w:rsid w:val="00907F7C"/>
    <w:rsid w:val="00910698"/>
    <w:rsid w:val="00910EB0"/>
    <w:rsid w:val="009113D0"/>
    <w:rsid w:val="009114AB"/>
    <w:rsid w:val="00911AB8"/>
    <w:rsid w:val="00911FB5"/>
    <w:rsid w:val="0091206C"/>
    <w:rsid w:val="00912A64"/>
    <w:rsid w:val="00912D9A"/>
    <w:rsid w:val="00913229"/>
    <w:rsid w:val="00913A8F"/>
    <w:rsid w:val="00914120"/>
    <w:rsid w:val="00914B4C"/>
    <w:rsid w:val="00914DD0"/>
    <w:rsid w:val="00916AEE"/>
    <w:rsid w:val="0091730D"/>
    <w:rsid w:val="00917445"/>
    <w:rsid w:val="009178F7"/>
    <w:rsid w:val="009204AA"/>
    <w:rsid w:val="00920EFF"/>
    <w:rsid w:val="00920FE8"/>
    <w:rsid w:val="009211D2"/>
    <w:rsid w:val="009215AB"/>
    <w:rsid w:val="009215C6"/>
    <w:rsid w:val="00921C2E"/>
    <w:rsid w:val="00921CC5"/>
    <w:rsid w:val="00922688"/>
    <w:rsid w:val="0092334A"/>
    <w:rsid w:val="00923A87"/>
    <w:rsid w:val="009247D3"/>
    <w:rsid w:val="009252FF"/>
    <w:rsid w:val="009255FF"/>
    <w:rsid w:val="0092588A"/>
    <w:rsid w:val="00925CEF"/>
    <w:rsid w:val="00925E2A"/>
    <w:rsid w:val="009260D3"/>
    <w:rsid w:val="009262F3"/>
    <w:rsid w:val="009264D3"/>
    <w:rsid w:val="00926FB5"/>
    <w:rsid w:val="00927445"/>
    <w:rsid w:val="009278B8"/>
    <w:rsid w:val="0093239F"/>
    <w:rsid w:val="009326FA"/>
    <w:rsid w:val="009331AB"/>
    <w:rsid w:val="00933350"/>
    <w:rsid w:val="0093434D"/>
    <w:rsid w:val="00934562"/>
    <w:rsid w:val="00934E04"/>
    <w:rsid w:val="0093536E"/>
    <w:rsid w:val="009365D2"/>
    <w:rsid w:val="00936C87"/>
    <w:rsid w:val="00936D16"/>
    <w:rsid w:val="00936F0C"/>
    <w:rsid w:val="00941442"/>
    <w:rsid w:val="0094192E"/>
    <w:rsid w:val="00943DBA"/>
    <w:rsid w:val="00943EA7"/>
    <w:rsid w:val="00945293"/>
    <w:rsid w:val="009453F3"/>
    <w:rsid w:val="0094556A"/>
    <w:rsid w:val="009455EE"/>
    <w:rsid w:val="009458F1"/>
    <w:rsid w:val="00945E0B"/>
    <w:rsid w:val="0094657B"/>
    <w:rsid w:val="00947FD4"/>
    <w:rsid w:val="009503F3"/>
    <w:rsid w:val="00950587"/>
    <w:rsid w:val="00951043"/>
    <w:rsid w:val="00951567"/>
    <w:rsid w:val="0095285B"/>
    <w:rsid w:val="00952AD5"/>
    <w:rsid w:val="00952CDF"/>
    <w:rsid w:val="00953531"/>
    <w:rsid w:val="00953988"/>
    <w:rsid w:val="00953C9F"/>
    <w:rsid w:val="00954440"/>
    <w:rsid w:val="00954D5A"/>
    <w:rsid w:val="00955964"/>
    <w:rsid w:val="00955C54"/>
    <w:rsid w:val="00957236"/>
    <w:rsid w:val="00957505"/>
    <w:rsid w:val="00957649"/>
    <w:rsid w:val="009577F1"/>
    <w:rsid w:val="00957F19"/>
    <w:rsid w:val="00960F8A"/>
    <w:rsid w:val="009610F7"/>
    <w:rsid w:val="00961231"/>
    <w:rsid w:val="009619C5"/>
    <w:rsid w:val="00962334"/>
    <w:rsid w:val="00963546"/>
    <w:rsid w:val="00963952"/>
    <w:rsid w:val="00964301"/>
    <w:rsid w:val="00964604"/>
    <w:rsid w:val="00964965"/>
    <w:rsid w:val="00965126"/>
    <w:rsid w:val="00965730"/>
    <w:rsid w:val="00965C36"/>
    <w:rsid w:val="00965CBB"/>
    <w:rsid w:val="00965EBC"/>
    <w:rsid w:val="00966561"/>
    <w:rsid w:val="00966684"/>
    <w:rsid w:val="00966B5C"/>
    <w:rsid w:val="00966C6A"/>
    <w:rsid w:val="009702BA"/>
    <w:rsid w:val="0097126E"/>
    <w:rsid w:val="00972E8D"/>
    <w:rsid w:val="0097385C"/>
    <w:rsid w:val="00974328"/>
    <w:rsid w:val="00974C42"/>
    <w:rsid w:val="00974F02"/>
    <w:rsid w:val="009750F4"/>
    <w:rsid w:val="00975507"/>
    <w:rsid w:val="0097551E"/>
    <w:rsid w:val="009761E7"/>
    <w:rsid w:val="00976411"/>
    <w:rsid w:val="009767B3"/>
    <w:rsid w:val="00976DA4"/>
    <w:rsid w:val="00976FDB"/>
    <w:rsid w:val="00977073"/>
    <w:rsid w:val="00977958"/>
    <w:rsid w:val="00977A68"/>
    <w:rsid w:val="00977FF7"/>
    <w:rsid w:val="00980BBC"/>
    <w:rsid w:val="00980D3E"/>
    <w:rsid w:val="00980D79"/>
    <w:rsid w:val="009824BE"/>
    <w:rsid w:val="00982DED"/>
    <w:rsid w:val="00983BF9"/>
    <w:rsid w:val="00983CE7"/>
    <w:rsid w:val="00984150"/>
    <w:rsid w:val="00984AC0"/>
    <w:rsid w:val="00985909"/>
    <w:rsid w:val="00985A7C"/>
    <w:rsid w:val="009865DD"/>
    <w:rsid w:val="00986A30"/>
    <w:rsid w:val="00987BA5"/>
    <w:rsid w:val="00987CB3"/>
    <w:rsid w:val="009917CC"/>
    <w:rsid w:val="009918AA"/>
    <w:rsid w:val="00992036"/>
    <w:rsid w:val="009923C4"/>
    <w:rsid w:val="00992D21"/>
    <w:rsid w:val="0099474F"/>
    <w:rsid w:val="00995553"/>
    <w:rsid w:val="0099559F"/>
    <w:rsid w:val="00995C4E"/>
    <w:rsid w:val="00995DC1"/>
    <w:rsid w:val="009965C3"/>
    <w:rsid w:val="00996777"/>
    <w:rsid w:val="00996892"/>
    <w:rsid w:val="00997171"/>
    <w:rsid w:val="009972CC"/>
    <w:rsid w:val="009979BE"/>
    <w:rsid w:val="009979EC"/>
    <w:rsid w:val="009A0F4A"/>
    <w:rsid w:val="009A24DF"/>
    <w:rsid w:val="009A262E"/>
    <w:rsid w:val="009A362C"/>
    <w:rsid w:val="009A3831"/>
    <w:rsid w:val="009A5315"/>
    <w:rsid w:val="009A532C"/>
    <w:rsid w:val="009A5806"/>
    <w:rsid w:val="009A59C5"/>
    <w:rsid w:val="009A5B18"/>
    <w:rsid w:val="009A5FE8"/>
    <w:rsid w:val="009A6247"/>
    <w:rsid w:val="009A7047"/>
    <w:rsid w:val="009A7107"/>
    <w:rsid w:val="009A714D"/>
    <w:rsid w:val="009B013D"/>
    <w:rsid w:val="009B21C4"/>
    <w:rsid w:val="009B22BB"/>
    <w:rsid w:val="009B2306"/>
    <w:rsid w:val="009B338C"/>
    <w:rsid w:val="009B3CFE"/>
    <w:rsid w:val="009B4B23"/>
    <w:rsid w:val="009B6ED1"/>
    <w:rsid w:val="009B70FF"/>
    <w:rsid w:val="009B758C"/>
    <w:rsid w:val="009B7A6C"/>
    <w:rsid w:val="009C0E5A"/>
    <w:rsid w:val="009C1140"/>
    <w:rsid w:val="009C1204"/>
    <w:rsid w:val="009C1B93"/>
    <w:rsid w:val="009C1FB5"/>
    <w:rsid w:val="009C267E"/>
    <w:rsid w:val="009C2F36"/>
    <w:rsid w:val="009C3395"/>
    <w:rsid w:val="009C40A2"/>
    <w:rsid w:val="009C4901"/>
    <w:rsid w:val="009C4D95"/>
    <w:rsid w:val="009C5446"/>
    <w:rsid w:val="009C552A"/>
    <w:rsid w:val="009C5917"/>
    <w:rsid w:val="009C59FD"/>
    <w:rsid w:val="009C5A23"/>
    <w:rsid w:val="009C5F78"/>
    <w:rsid w:val="009C6081"/>
    <w:rsid w:val="009C6512"/>
    <w:rsid w:val="009C6C0A"/>
    <w:rsid w:val="009C6CFE"/>
    <w:rsid w:val="009D0A51"/>
    <w:rsid w:val="009D0BEE"/>
    <w:rsid w:val="009D1AF5"/>
    <w:rsid w:val="009D1D67"/>
    <w:rsid w:val="009D2CAD"/>
    <w:rsid w:val="009D36F1"/>
    <w:rsid w:val="009D410F"/>
    <w:rsid w:val="009D47BE"/>
    <w:rsid w:val="009D494A"/>
    <w:rsid w:val="009D4F62"/>
    <w:rsid w:val="009D520D"/>
    <w:rsid w:val="009D5256"/>
    <w:rsid w:val="009D5616"/>
    <w:rsid w:val="009D57B2"/>
    <w:rsid w:val="009D5A4B"/>
    <w:rsid w:val="009D5EC1"/>
    <w:rsid w:val="009D6549"/>
    <w:rsid w:val="009D6BD1"/>
    <w:rsid w:val="009D6C4E"/>
    <w:rsid w:val="009D6CFE"/>
    <w:rsid w:val="009D6E15"/>
    <w:rsid w:val="009D765C"/>
    <w:rsid w:val="009D767F"/>
    <w:rsid w:val="009E01BD"/>
    <w:rsid w:val="009E05BA"/>
    <w:rsid w:val="009E0BBF"/>
    <w:rsid w:val="009E0BD1"/>
    <w:rsid w:val="009E0BE4"/>
    <w:rsid w:val="009E0D17"/>
    <w:rsid w:val="009E0F3A"/>
    <w:rsid w:val="009E10A4"/>
    <w:rsid w:val="009E1F48"/>
    <w:rsid w:val="009E22F4"/>
    <w:rsid w:val="009E23A5"/>
    <w:rsid w:val="009E25F2"/>
    <w:rsid w:val="009E3597"/>
    <w:rsid w:val="009E35BB"/>
    <w:rsid w:val="009E4399"/>
    <w:rsid w:val="009E444A"/>
    <w:rsid w:val="009E4951"/>
    <w:rsid w:val="009E4D36"/>
    <w:rsid w:val="009E51DE"/>
    <w:rsid w:val="009E56DD"/>
    <w:rsid w:val="009E60B7"/>
    <w:rsid w:val="009E6570"/>
    <w:rsid w:val="009E6844"/>
    <w:rsid w:val="009E685A"/>
    <w:rsid w:val="009E7007"/>
    <w:rsid w:val="009E7CA5"/>
    <w:rsid w:val="009E7F4E"/>
    <w:rsid w:val="009F0488"/>
    <w:rsid w:val="009F0ECF"/>
    <w:rsid w:val="009F115D"/>
    <w:rsid w:val="009F1797"/>
    <w:rsid w:val="009F17DA"/>
    <w:rsid w:val="009F18ED"/>
    <w:rsid w:val="009F2123"/>
    <w:rsid w:val="009F2C30"/>
    <w:rsid w:val="009F3638"/>
    <w:rsid w:val="009F3E1F"/>
    <w:rsid w:val="009F4153"/>
    <w:rsid w:val="009F4D70"/>
    <w:rsid w:val="009F5730"/>
    <w:rsid w:val="009F5D31"/>
    <w:rsid w:val="009F6014"/>
    <w:rsid w:val="009F6AEC"/>
    <w:rsid w:val="00A00914"/>
    <w:rsid w:val="00A01217"/>
    <w:rsid w:val="00A0182B"/>
    <w:rsid w:val="00A02035"/>
    <w:rsid w:val="00A0260F"/>
    <w:rsid w:val="00A02A65"/>
    <w:rsid w:val="00A040F6"/>
    <w:rsid w:val="00A04A03"/>
    <w:rsid w:val="00A0519F"/>
    <w:rsid w:val="00A05354"/>
    <w:rsid w:val="00A05CE9"/>
    <w:rsid w:val="00A06095"/>
    <w:rsid w:val="00A0676D"/>
    <w:rsid w:val="00A067B1"/>
    <w:rsid w:val="00A06DA2"/>
    <w:rsid w:val="00A07BBD"/>
    <w:rsid w:val="00A101FB"/>
    <w:rsid w:val="00A112FE"/>
    <w:rsid w:val="00A12909"/>
    <w:rsid w:val="00A12AA9"/>
    <w:rsid w:val="00A131DA"/>
    <w:rsid w:val="00A1386F"/>
    <w:rsid w:val="00A13E91"/>
    <w:rsid w:val="00A14B64"/>
    <w:rsid w:val="00A158AF"/>
    <w:rsid w:val="00A15DFB"/>
    <w:rsid w:val="00A168E3"/>
    <w:rsid w:val="00A16ABB"/>
    <w:rsid w:val="00A178A6"/>
    <w:rsid w:val="00A17943"/>
    <w:rsid w:val="00A17B33"/>
    <w:rsid w:val="00A17F5B"/>
    <w:rsid w:val="00A20033"/>
    <w:rsid w:val="00A20141"/>
    <w:rsid w:val="00A20551"/>
    <w:rsid w:val="00A2076F"/>
    <w:rsid w:val="00A209D7"/>
    <w:rsid w:val="00A20EBC"/>
    <w:rsid w:val="00A21676"/>
    <w:rsid w:val="00A227E0"/>
    <w:rsid w:val="00A2343F"/>
    <w:rsid w:val="00A23858"/>
    <w:rsid w:val="00A25629"/>
    <w:rsid w:val="00A265D2"/>
    <w:rsid w:val="00A26E39"/>
    <w:rsid w:val="00A274D2"/>
    <w:rsid w:val="00A27930"/>
    <w:rsid w:val="00A2795A"/>
    <w:rsid w:val="00A279E1"/>
    <w:rsid w:val="00A30212"/>
    <w:rsid w:val="00A30300"/>
    <w:rsid w:val="00A30771"/>
    <w:rsid w:val="00A30C7D"/>
    <w:rsid w:val="00A310DD"/>
    <w:rsid w:val="00A3134B"/>
    <w:rsid w:val="00A31CCE"/>
    <w:rsid w:val="00A31E90"/>
    <w:rsid w:val="00A3218F"/>
    <w:rsid w:val="00A33C52"/>
    <w:rsid w:val="00A34971"/>
    <w:rsid w:val="00A34B81"/>
    <w:rsid w:val="00A34CA3"/>
    <w:rsid w:val="00A34F0D"/>
    <w:rsid w:val="00A36150"/>
    <w:rsid w:val="00A36CEB"/>
    <w:rsid w:val="00A3779A"/>
    <w:rsid w:val="00A377C3"/>
    <w:rsid w:val="00A37B50"/>
    <w:rsid w:val="00A402D3"/>
    <w:rsid w:val="00A40382"/>
    <w:rsid w:val="00A40F2F"/>
    <w:rsid w:val="00A41620"/>
    <w:rsid w:val="00A424C8"/>
    <w:rsid w:val="00A42600"/>
    <w:rsid w:val="00A42D68"/>
    <w:rsid w:val="00A431CB"/>
    <w:rsid w:val="00A438D6"/>
    <w:rsid w:val="00A43E45"/>
    <w:rsid w:val="00A4418B"/>
    <w:rsid w:val="00A44AE3"/>
    <w:rsid w:val="00A454DD"/>
    <w:rsid w:val="00A4550E"/>
    <w:rsid w:val="00A46B94"/>
    <w:rsid w:val="00A50294"/>
    <w:rsid w:val="00A50370"/>
    <w:rsid w:val="00A510E6"/>
    <w:rsid w:val="00A51AD1"/>
    <w:rsid w:val="00A51FC8"/>
    <w:rsid w:val="00A526CC"/>
    <w:rsid w:val="00A529BB"/>
    <w:rsid w:val="00A532C5"/>
    <w:rsid w:val="00A5341D"/>
    <w:rsid w:val="00A5359C"/>
    <w:rsid w:val="00A536B2"/>
    <w:rsid w:val="00A538DD"/>
    <w:rsid w:val="00A53909"/>
    <w:rsid w:val="00A53E4A"/>
    <w:rsid w:val="00A541A6"/>
    <w:rsid w:val="00A5575F"/>
    <w:rsid w:val="00A56320"/>
    <w:rsid w:val="00A56EB4"/>
    <w:rsid w:val="00A57387"/>
    <w:rsid w:val="00A57392"/>
    <w:rsid w:val="00A574B1"/>
    <w:rsid w:val="00A575C6"/>
    <w:rsid w:val="00A606D8"/>
    <w:rsid w:val="00A60F4E"/>
    <w:rsid w:val="00A6163B"/>
    <w:rsid w:val="00A61BA2"/>
    <w:rsid w:val="00A6308A"/>
    <w:rsid w:val="00A631B8"/>
    <w:rsid w:val="00A63246"/>
    <w:rsid w:val="00A63259"/>
    <w:rsid w:val="00A633AB"/>
    <w:rsid w:val="00A63F48"/>
    <w:rsid w:val="00A64681"/>
    <w:rsid w:val="00A64FA5"/>
    <w:rsid w:val="00A66725"/>
    <w:rsid w:val="00A67941"/>
    <w:rsid w:val="00A67C68"/>
    <w:rsid w:val="00A70075"/>
    <w:rsid w:val="00A70B0F"/>
    <w:rsid w:val="00A70BF1"/>
    <w:rsid w:val="00A70E2C"/>
    <w:rsid w:val="00A7222D"/>
    <w:rsid w:val="00A72A0C"/>
    <w:rsid w:val="00A72BD2"/>
    <w:rsid w:val="00A74952"/>
    <w:rsid w:val="00A74A78"/>
    <w:rsid w:val="00A74D59"/>
    <w:rsid w:val="00A75016"/>
    <w:rsid w:val="00A75559"/>
    <w:rsid w:val="00A7557E"/>
    <w:rsid w:val="00A75850"/>
    <w:rsid w:val="00A75863"/>
    <w:rsid w:val="00A75CD2"/>
    <w:rsid w:val="00A766D0"/>
    <w:rsid w:val="00A76D30"/>
    <w:rsid w:val="00A775C1"/>
    <w:rsid w:val="00A77778"/>
    <w:rsid w:val="00A77AE7"/>
    <w:rsid w:val="00A806DF"/>
    <w:rsid w:val="00A821FC"/>
    <w:rsid w:val="00A82BBC"/>
    <w:rsid w:val="00A8301F"/>
    <w:rsid w:val="00A83707"/>
    <w:rsid w:val="00A83DA4"/>
    <w:rsid w:val="00A84B54"/>
    <w:rsid w:val="00A856B3"/>
    <w:rsid w:val="00A90E7F"/>
    <w:rsid w:val="00A90F6E"/>
    <w:rsid w:val="00A92440"/>
    <w:rsid w:val="00A92569"/>
    <w:rsid w:val="00A927AC"/>
    <w:rsid w:val="00A9305A"/>
    <w:rsid w:val="00A93E8B"/>
    <w:rsid w:val="00A95391"/>
    <w:rsid w:val="00A9540A"/>
    <w:rsid w:val="00A95AA3"/>
    <w:rsid w:val="00A97229"/>
    <w:rsid w:val="00A97666"/>
    <w:rsid w:val="00A97D3C"/>
    <w:rsid w:val="00AA0520"/>
    <w:rsid w:val="00AA19CF"/>
    <w:rsid w:val="00AA28D6"/>
    <w:rsid w:val="00AA2A35"/>
    <w:rsid w:val="00AA2D2B"/>
    <w:rsid w:val="00AA3B99"/>
    <w:rsid w:val="00AA4AEC"/>
    <w:rsid w:val="00AA4FCD"/>
    <w:rsid w:val="00AA5416"/>
    <w:rsid w:val="00AA5918"/>
    <w:rsid w:val="00AA64A1"/>
    <w:rsid w:val="00AA6795"/>
    <w:rsid w:val="00AA69C4"/>
    <w:rsid w:val="00AA7541"/>
    <w:rsid w:val="00AB21B6"/>
    <w:rsid w:val="00AB255E"/>
    <w:rsid w:val="00AB284E"/>
    <w:rsid w:val="00AB28CD"/>
    <w:rsid w:val="00AB2B07"/>
    <w:rsid w:val="00AB3C18"/>
    <w:rsid w:val="00AB3C43"/>
    <w:rsid w:val="00AB456E"/>
    <w:rsid w:val="00AB4D65"/>
    <w:rsid w:val="00AB5BBB"/>
    <w:rsid w:val="00AB5D18"/>
    <w:rsid w:val="00AB616A"/>
    <w:rsid w:val="00AB63A1"/>
    <w:rsid w:val="00AB65C1"/>
    <w:rsid w:val="00AB672C"/>
    <w:rsid w:val="00AB6DEC"/>
    <w:rsid w:val="00AB6E27"/>
    <w:rsid w:val="00AB7043"/>
    <w:rsid w:val="00AB7DB8"/>
    <w:rsid w:val="00AC0E08"/>
    <w:rsid w:val="00AC20B3"/>
    <w:rsid w:val="00AC2CC9"/>
    <w:rsid w:val="00AC2FEE"/>
    <w:rsid w:val="00AC41EA"/>
    <w:rsid w:val="00AC4A2B"/>
    <w:rsid w:val="00AC4D29"/>
    <w:rsid w:val="00AC4E71"/>
    <w:rsid w:val="00AC5E0F"/>
    <w:rsid w:val="00AC691C"/>
    <w:rsid w:val="00AC6FFC"/>
    <w:rsid w:val="00AC7417"/>
    <w:rsid w:val="00AC74A1"/>
    <w:rsid w:val="00AD0296"/>
    <w:rsid w:val="00AD0B3E"/>
    <w:rsid w:val="00AD0C16"/>
    <w:rsid w:val="00AD13D8"/>
    <w:rsid w:val="00AD17DA"/>
    <w:rsid w:val="00AD19AC"/>
    <w:rsid w:val="00AD1B7C"/>
    <w:rsid w:val="00AD1BFC"/>
    <w:rsid w:val="00AD2FBE"/>
    <w:rsid w:val="00AD38BF"/>
    <w:rsid w:val="00AD3DD0"/>
    <w:rsid w:val="00AD47C2"/>
    <w:rsid w:val="00AD4D93"/>
    <w:rsid w:val="00AD4E64"/>
    <w:rsid w:val="00AD5241"/>
    <w:rsid w:val="00AD5266"/>
    <w:rsid w:val="00AD54E2"/>
    <w:rsid w:val="00AD59ED"/>
    <w:rsid w:val="00AD638C"/>
    <w:rsid w:val="00AD68D1"/>
    <w:rsid w:val="00AD6FD0"/>
    <w:rsid w:val="00AD7375"/>
    <w:rsid w:val="00AD7797"/>
    <w:rsid w:val="00AD7BE5"/>
    <w:rsid w:val="00AD7C70"/>
    <w:rsid w:val="00AE0A95"/>
    <w:rsid w:val="00AE1087"/>
    <w:rsid w:val="00AE147D"/>
    <w:rsid w:val="00AE18AB"/>
    <w:rsid w:val="00AE1A88"/>
    <w:rsid w:val="00AE1EB0"/>
    <w:rsid w:val="00AE21D0"/>
    <w:rsid w:val="00AE3FF5"/>
    <w:rsid w:val="00AE47AC"/>
    <w:rsid w:val="00AE500A"/>
    <w:rsid w:val="00AE50AF"/>
    <w:rsid w:val="00AE5641"/>
    <w:rsid w:val="00AE566F"/>
    <w:rsid w:val="00AE56D4"/>
    <w:rsid w:val="00AE5E97"/>
    <w:rsid w:val="00AE6799"/>
    <w:rsid w:val="00AE67CA"/>
    <w:rsid w:val="00AE6D27"/>
    <w:rsid w:val="00AE7558"/>
    <w:rsid w:val="00AE776F"/>
    <w:rsid w:val="00AE7D90"/>
    <w:rsid w:val="00AF0B52"/>
    <w:rsid w:val="00AF108B"/>
    <w:rsid w:val="00AF1B76"/>
    <w:rsid w:val="00AF2026"/>
    <w:rsid w:val="00AF2345"/>
    <w:rsid w:val="00AF3BDC"/>
    <w:rsid w:val="00AF42AF"/>
    <w:rsid w:val="00AF474F"/>
    <w:rsid w:val="00AF4893"/>
    <w:rsid w:val="00AF50EC"/>
    <w:rsid w:val="00AF5772"/>
    <w:rsid w:val="00AF725F"/>
    <w:rsid w:val="00B000B7"/>
    <w:rsid w:val="00B003C7"/>
    <w:rsid w:val="00B006EC"/>
    <w:rsid w:val="00B010CA"/>
    <w:rsid w:val="00B01655"/>
    <w:rsid w:val="00B016E2"/>
    <w:rsid w:val="00B01C7E"/>
    <w:rsid w:val="00B039C0"/>
    <w:rsid w:val="00B04FD1"/>
    <w:rsid w:val="00B0606D"/>
    <w:rsid w:val="00B0606E"/>
    <w:rsid w:val="00B064A3"/>
    <w:rsid w:val="00B065FC"/>
    <w:rsid w:val="00B0675D"/>
    <w:rsid w:val="00B10C01"/>
    <w:rsid w:val="00B10E6E"/>
    <w:rsid w:val="00B1150C"/>
    <w:rsid w:val="00B115D3"/>
    <w:rsid w:val="00B11882"/>
    <w:rsid w:val="00B118E7"/>
    <w:rsid w:val="00B11925"/>
    <w:rsid w:val="00B11F10"/>
    <w:rsid w:val="00B13419"/>
    <w:rsid w:val="00B134C9"/>
    <w:rsid w:val="00B137DA"/>
    <w:rsid w:val="00B13AF2"/>
    <w:rsid w:val="00B13BE6"/>
    <w:rsid w:val="00B13F12"/>
    <w:rsid w:val="00B1453F"/>
    <w:rsid w:val="00B14C88"/>
    <w:rsid w:val="00B1627E"/>
    <w:rsid w:val="00B17631"/>
    <w:rsid w:val="00B2083D"/>
    <w:rsid w:val="00B20A3B"/>
    <w:rsid w:val="00B20CFB"/>
    <w:rsid w:val="00B21A1B"/>
    <w:rsid w:val="00B21C71"/>
    <w:rsid w:val="00B21D8F"/>
    <w:rsid w:val="00B22060"/>
    <w:rsid w:val="00B22848"/>
    <w:rsid w:val="00B22D1F"/>
    <w:rsid w:val="00B2352F"/>
    <w:rsid w:val="00B2353D"/>
    <w:rsid w:val="00B23A62"/>
    <w:rsid w:val="00B246DF"/>
    <w:rsid w:val="00B2480C"/>
    <w:rsid w:val="00B2509C"/>
    <w:rsid w:val="00B2636D"/>
    <w:rsid w:val="00B27A60"/>
    <w:rsid w:val="00B27AFF"/>
    <w:rsid w:val="00B27DAE"/>
    <w:rsid w:val="00B27F6C"/>
    <w:rsid w:val="00B30539"/>
    <w:rsid w:val="00B30F81"/>
    <w:rsid w:val="00B314F1"/>
    <w:rsid w:val="00B3177A"/>
    <w:rsid w:val="00B31F9E"/>
    <w:rsid w:val="00B32051"/>
    <w:rsid w:val="00B34C59"/>
    <w:rsid w:val="00B3514A"/>
    <w:rsid w:val="00B36A6E"/>
    <w:rsid w:val="00B36C94"/>
    <w:rsid w:val="00B37B82"/>
    <w:rsid w:val="00B37CFD"/>
    <w:rsid w:val="00B412CE"/>
    <w:rsid w:val="00B41893"/>
    <w:rsid w:val="00B41DE2"/>
    <w:rsid w:val="00B41EFC"/>
    <w:rsid w:val="00B42735"/>
    <w:rsid w:val="00B42805"/>
    <w:rsid w:val="00B43170"/>
    <w:rsid w:val="00B451A2"/>
    <w:rsid w:val="00B45742"/>
    <w:rsid w:val="00B46345"/>
    <w:rsid w:val="00B467C3"/>
    <w:rsid w:val="00B4714E"/>
    <w:rsid w:val="00B4729B"/>
    <w:rsid w:val="00B50104"/>
    <w:rsid w:val="00B502FB"/>
    <w:rsid w:val="00B5150B"/>
    <w:rsid w:val="00B51B14"/>
    <w:rsid w:val="00B51CA0"/>
    <w:rsid w:val="00B52766"/>
    <w:rsid w:val="00B52E3D"/>
    <w:rsid w:val="00B5322E"/>
    <w:rsid w:val="00B5356A"/>
    <w:rsid w:val="00B55947"/>
    <w:rsid w:val="00B55B34"/>
    <w:rsid w:val="00B5616C"/>
    <w:rsid w:val="00B56285"/>
    <w:rsid w:val="00B56D30"/>
    <w:rsid w:val="00B576AD"/>
    <w:rsid w:val="00B57ABB"/>
    <w:rsid w:val="00B57B45"/>
    <w:rsid w:val="00B600ED"/>
    <w:rsid w:val="00B60530"/>
    <w:rsid w:val="00B61484"/>
    <w:rsid w:val="00B6161D"/>
    <w:rsid w:val="00B63C9D"/>
    <w:rsid w:val="00B63CD5"/>
    <w:rsid w:val="00B642F7"/>
    <w:rsid w:val="00B64F90"/>
    <w:rsid w:val="00B65251"/>
    <w:rsid w:val="00B6549D"/>
    <w:rsid w:val="00B65D36"/>
    <w:rsid w:val="00B66B9F"/>
    <w:rsid w:val="00B67DF5"/>
    <w:rsid w:val="00B7041B"/>
    <w:rsid w:val="00B7286C"/>
    <w:rsid w:val="00B72C5D"/>
    <w:rsid w:val="00B7300B"/>
    <w:rsid w:val="00B73288"/>
    <w:rsid w:val="00B73399"/>
    <w:rsid w:val="00B73411"/>
    <w:rsid w:val="00B73855"/>
    <w:rsid w:val="00B74169"/>
    <w:rsid w:val="00B7471C"/>
    <w:rsid w:val="00B7658F"/>
    <w:rsid w:val="00B76838"/>
    <w:rsid w:val="00B76AD3"/>
    <w:rsid w:val="00B772AC"/>
    <w:rsid w:val="00B77FB9"/>
    <w:rsid w:val="00B801CA"/>
    <w:rsid w:val="00B80D0C"/>
    <w:rsid w:val="00B80E21"/>
    <w:rsid w:val="00B8131F"/>
    <w:rsid w:val="00B8136B"/>
    <w:rsid w:val="00B813AC"/>
    <w:rsid w:val="00B81EFB"/>
    <w:rsid w:val="00B83143"/>
    <w:rsid w:val="00B837D1"/>
    <w:rsid w:val="00B84045"/>
    <w:rsid w:val="00B843DA"/>
    <w:rsid w:val="00B84AC0"/>
    <w:rsid w:val="00B8518D"/>
    <w:rsid w:val="00B8563D"/>
    <w:rsid w:val="00B8687C"/>
    <w:rsid w:val="00B86D42"/>
    <w:rsid w:val="00B8719A"/>
    <w:rsid w:val="00B87D24"/>
    <w:rsid w:val="00B87DC7"/>
    <w:rsid w:val="00B900D6"/>
    <w:rsid w:val="00B902C6"/>
    <w:rsid w:val="00B91171"/>
    <w:rsid w:val="00B91E63"/>
    <w:rsid w:val="00B91EB7"/>
    <w:rsid w:val="00B93F9A"/>
    <w:rsid w:val="00B94BA9"/>
    <w:rsid w:val="00B953FF"/>
    <w:rsid w:val="00B958D2"/>
    <w:rsid w:val="00B95D24"/>
    <w:rsid w:val="00B9626D"/>
    <w:rsid w:val="00B96912"/>
    <w:rsid w:val="00B96ACD"/>
    <w:rsid w:val="00B96CC8"/>
    <w:rsid w:val="00B96DD9"/>
    <w:rsid w:val="00B96E97"/>
    <w:rsid w:val="00B973F7"/>
    <w:rsid w:val="00B9755B"/>
    <w:rsid w:val="00B979F6"/>
    <w:rsid w:val="00BA03BB"/>
    <w:rsid w:val="00BA096F"/>
    <w:rsid w:val="00BA0EE9"/>
    <w:rsid w:val="00BA1098"/>
    <w:rsid w:val="00BA1306"/>
    <w:rsid w:val="00BA1BD6"/>
    <w:rsid w:val="00BA1FD6"/>
    <w:rsid w:val="00BA3844"/>
    <w:rsid w:val="00BA49AE"/>
    <w:rsid w:val="00BA4E4F"/>
    <w:rsid w:val="00BA6B55"/>
    <w:rsid w:val="00BB02C6"/>
    <w:rsid w:val="00BB0FE7"/>
    <w:rsid w:val="00BB140B"/>
    <w:rsid w:val="00BB1BB0"/>
    <w:rsid w:val="00BB20F9"/>
    <w:rsid w:val="00BB2437"/>
    <w:rsid w:val="00BB2679"/>
    <w:rsid w:val="00BB2AA8"/>
    <w:rsid w:val="00BB2B1F"/>
    <w:rsid w:val="00BB3606"/>
    <w:rsid w:val="00BB3ED9"/>
    <w:rsid w:val="00BB418F"/>
    <w:rsid w:val="00BB4203"/>
    <w:rsid w:val="00BB48BE"/>
    <w:rsid w:val="00BB5401"/>
    <w:rsid w:val="00BB5625"/>
    <w:rsid w:val="00BB6EE3"/>
    <w:rsid w:val="00BB7243"/>
    <w:rsid w:val="00BB74B6"/>
    <w:rsid w:val="00BC056E"/>
    <w:rsid w:val="00BC0BC1"/>
    <w:rsid w:val="00BC12EC"/>
    <w:rsid w:val="00BC13C0"/>
    <w:rsid w:val="00BC1565"/>
    <w:rsid w:val="00BC1E1D"/>
    <w:rsid w:val="00BC21BD"/>
    <w:rsid w:val="00BC27B9"/>
    <w:rsid w:val="00BC2856"/>
    <w:rsid w:val="00BC2A83"/>
    <w:rsid w:val="00BC317D"/>
    <w:rsid w:val="00BC42BF"/>
    <w:rsid w:val="00BC42E1"/>
    <w:rsid w:val="00BC43FB"/>
    <w:rsid w:val="00BC4A39"/>
    <w:rsid w:val="00BC553D"/>
    <w:rsid w:val="00BC5841"/>
    <w:rsid w:val="00BC6368"/>
    <w:rsid w:val="00BC6DEB"/>
    <w:rsid w:val="00BC6FBF"/>
    <w:rsid w:val="00BC7A4B"/>
    <w:rsid w:val="00BD01D0"/>
    <w:rsid w:val="00BD03AF"/>
    <w:rsid w:val="00BD10DA"/>
    <w:rsid w:val="00BD124E"/>
    <w:rsid w:val="00BD14A5"/>
    <w:rsid w:val="00BD1AAC"/>
    <w:rsid w:val="00BD1C5F"/>
    <w:rsid w:val="00BD1FA9"/>
    <w:rsid w:val="00BD29AC"/>
    <w:rsid w:val="00BD3600"/>
    <w:rsid w:val="00BD38C7"/>
    <w:rsid w:val="00BD43B3"/>
    <w:rsid w:val="00BD4752"/>
    <w:rsid w:val="00BD515F"/>
    <w:rsid w:val="00BD5165"/>
    <w:rsid w:val="00BD5BAC"/>
    <w:rsid w:val="00BD5BD6"/>
    <w:rsid w:val="00BD64FE"/>
    <w:rsid w:val="00BD67DF"/>
    <w:rsid w:val="00BE0191"/>
    <w:rsid w:val="00BE01D2"/>
    <w:rsid w:val="00BE0F32"/>
    <w:rsid w:val="00BE1C48"/>
    <w:rsid w:val="00BE3133"/>
    <w:rsid w:val="00BE3951"/>
    <w:rsid w:val="00BE3C33"/>
    <w:rsid w:val="00BE44AD"/>
    <w:rsid w:val="00BE45DC"/>
    <w:rsid w:val="00BE4CF4"/>
    <w:rsid w:val="00BE5A95"/>
    <w:rsid w:val="00BE5DE3"/>
    <w:rsid w:val="00BE6E4B"/>
    <w:rsid w:val="00BE6EC9"/>
    <w:rsid w:val="00BE7309"/>
    <w:rsid w:val="00BE7F83"/>
    <w:rsid w:val="00BF06D8"/>
    <w:rsid w:val="00BF0DC1"/>
    <w:rsid w:val="00BF14CA"/>
    <w:rsid w:val="00BF18DB"/>
    <w:rsid w:val="00BF2BEC"/>
    <w:rsid w:val="00BF2F20"/>
    <w:rsid w:val="00BF3163"/>
    <w:rsid w:val="00BF334F"/>
    <w:rsid w:val="00BF3AE2"/>
    <w:rsid w:val="00BF42B4"/>
    <w:rsid w:val="00BF51EB"/>
    <w:rsid w:val="00BF60F4"/>
    <w:rsid w:val="00BF66DB"/>
    <w:rsid w:val="00BF6842"/>
    <w:rsid w:val="00BF6F96"/>
    <w:rsid w:val="00BF7CBE"/>
    <w:rsid w:val="00BF7ECE"/>
    <w:rsid w:val="00C007A0"/>
    <w:rsid w:val="00C00981"/>
    <w:rsid w:val="00C01CCC"/>
    <w:rsid w:val="00C01EFE"/>
    <w:rsid w:val="00C02429"/>
    <w:rsid w:val="00C02864"/>
    <w:rsid w:val="00C02E3C"/>
    <w:rsid w:val="00C03CC2"/>
    <w:rsid w:val="00C0405E"/>
    <w:rsid w:val="00C0437A"/>
    <w:rsid w:val="00C047FA"/>
    <w:rsid w:val="00C04DB2"/>
    <w:rsid w:val="00C04F9E"/>
    <w:rsid w:val="00C050E7"/>
    <w:rsid w:val="00C059D9"/>
    <w:rsid w:val="00C05E93"/>
    <w:rsid w:val="00C06841"/>
    <w:rsid w:val="00C07934"/>
    <w:rsid w:val="00C10BD1"/>
    <w:rsid w:val="00C10EBE"/>
    <w:rsid w:val="00C115E7"/>
    <w:rsid w:val="00C12833"/>
    <w:rsid w:val="00C12D37"/>
    <w:rsid w:val="00C14B81"/>
    <w:rsid w:val="00C14C57"/>
    <w:rsid w:val="00C153B3"/>
    <w:rsid w:val="00C15603"/>
    <w:rsid w:val="00C15B9D"/>
    <w:rsid w:val="00C15C9C"/>
    <w:rsid w:val="00C1629F"/>
    <w:rsid w:val="00C16D87"/>
    <w:rsid w:val="00C17BA5"/>
    <w:rsid w:val="00C17E18"/>
    <w:rsid w:val="00C20874"/>
    <w:rsid w:val="00C20B04"/>
    <w:rsid w:val="00C22843"/>
    <w:rsid w:val="00C22846"/>
    <w:rsid w:val="00C228B6"/>
    <w:rsid w:val="00C22B58"/>
    <w:rsid w:val="00C2340C"/>
    <w:rsid w:val="00C23D59"/>
    <w:rsid w:val="00C24577"/>
    <w:rsid w:val="00C246F4"/>
    <w:rsid w:val="00C25015"/>
    <w:rsid w:val="00C25074"/>
    <w:rsid w:val="00C260A2"/>
    <w:rsid w:val="00C2635D"/>
    <w:rsid w:val="00C2737E"/>
    <w:rsid w:val="00C27B3D"/>
    <w:rsid w:val="00C302F1"/>
    <w:rsid w:val="00C3144E"/>
    <w:rsid w:val="00C3151C"/>
    <w:rsid w:val="00C31536"/>
    <w:rsid w:val="00C32813"/>
    <w:rsid w:val="00C32880"/>
    <w:rsid w:val="00C33A9B"/>
    <w:rsid w:val="00C34264"/>
    <w:rsid w:val="00C342EB"/>
    <w:rsid w:val="00C3475E"/>
    <w:rsid w:val="00C34C96"/>
    <w:rsid w:val="00C35499"/>
    <w:rsid w:val="00C35856"/>
    <w:rsid w:val="00C35E7B"/>
    <w:rsid w:val="00C36306"/>
    <w:rsid w:val="00C365CB"/>
    <w:rsid w:val="00C367AE"/>
    <w:rsid w:val="00C370F9"/>
    <w:rsid w:val="00C404A6"/>
    <w:rsid w:val="00C4102B"/>
    <w:rsid w:val="00C41150"/>
    <w:rsid w:val="00C41F77"/>
    <w:rsid w:val="00C4200E"/>
    <w:rsid w:val="00C423E5"/>
    <w:rsid w:val="00C434FC"/>
    <w:rsid w:val="00C43FC2"/>
    <w:rsid w:val="00C4486F"/>
    <w:rsid w:val="00C44A21"/>
    <w:rsid w:val="00C45839"/>
    <w:rsid w:val="00C45E1A"/>
    <w:rsid w:val="00C46724"/>
    <w:rsid w:val="00C46A86"/>
    <w:rsid w:val="00C46E3E"/>
    <w:rsid w:val="00C500AB"/>
    <w:rsid w:val="00C50A33"/>
    <w:rsid w:val="00C50F4A"/>
    <w:rsid w:val="00C5124A"/>
    <w:rsid w:val="00C52AAD"/>
    <w:rsid w:val="00C544D8"/>
    <w:rsid w:val="00C5485A"/>
    <w:rsid w:val="00C54FAA"/>
    <w:rsid w:val="00C55608"/>
    <w:rsid w:val="00C55661"/>
    <w:rsid w:val="00C5586B"/>
    <w:rsid w:val="00C55FFA"/>
    <w:rsid w:val="00C56BFE"/>
    <w:rsid w:val="00C56D83"/>
    <w:rsid w:val="00C56EE8"/>
    <w:rsid w:val="00C56F20"/>
    <w:rsid w:val="00C57725"/>
    <w:rsid w:val="00C60428"/>
    <w:rsid w:val="00C604FA"/>
    <w:rsid w:val="00C6171D"/>
    <w:rsid w:val="00C6193D"/>
    <w:rsid w:val="00C61B1A"/>
    <w:rsid w:val="00C61D35"/>
    <w:rsid w:val="00C61FAB"/>
    <w:rsid w:val="00C6224D"/>
    <w:rsid w:val="00C6381F"/>
    <w:rsid w:val="00C64407"/>
    <w:rsid w:val="00C6551C"/>
    <w:rsid w:val="00C65FCC"/>
    <w:rsid w:val="00C674FB"/>
    <w:rsid w:val="00C70BEE"/>
    <w:rsid w:val="00C712DC"/>
    <w:rsid w:val="00C71425"/>
    <w:rsid w:val="00C7174D"/>
    <w:rsid w:val="00C71B63"/>
    <w:rsid w:val="00C720B5"/>
    <w:rsid w:val="00C7374C"/>
    <w:rsid w:val="00C73C8D"/>
    <w:rsid w:val="00C74602"/>
    <w:rsid w:val="00C75123"/>
    <w:rsid w:val="00C75FC4"/>
    <w:rsid w:val="00C763C0"/>
    <w:rsid w:val="00C7687B"/>
    <w:rsid w:val="00C76EA7"/>
    <w:rsid w:val="00C773DD"/>
    <w:rsid w:val="00C77B1C"/>
    <w:rsid w:val="00C802E8"/>
    <w:rsid w:val="00C809C6"/>
    <w:rsid w:val="00C80DE9"/>
    <w:rsid w:val="00C8228E"/>
    <w:rsid w:val="00C82BBF"/>
    <w:rsid w:val="00C84A69"/>
    <w:rsid w:val="00C85973"/>
    <w:rsid w:val="00C859CB"/>
    <w:rsid w:val="00C85DA9"/>
    <w:rsid w:val="00C85F83"/>
    <w:rsid w:val="00C861E1"/>
    <w:rsid w:val="00C91AAD"/>
    <w:rsid w:val="00C91F13"/>
    <w:rsid w:val="00C9216E"/>
    <w:rsid w:val="00C92A80"/>
    <w:rsid w:val="00C92E2F"/>
    <w:rsid w:val="00C93357"/>
    <w:rsid w:val="00C939A3"/>
    <w:rsid w:val="00C94A31"/>
    <w:rsid w:val="00C94BEF"/>
    <w:rsid w:val="00C9524E"/>
    <w:rsid w:val="00C9556C"/>
    <w:rsid w:val="00C95C49"/>
    <w:rsid w:val="00C96780"/>
    <w:rsid w:val="00C9678F"/>
    <w:rsid w:val="00C96D1D"/>
    <w:rsid w:val="00C96E43"/>
    <w:rsid w:val="00C97522"/>
    <w:rsid w:val="00CA02A5"/>
    <w:rsid w:val="00CA0E84"/>
    <w:rsid w:val="00CA0F4B"/>
    <w:rsid w:val="00CA2061"/>
    <w:rsid w:val="00CA2750"/>
    <w:rsid w:val="00CA33DB"/>
    <w:rsid w:val="00CA52EC"/>
    <w:rsid w:val="00CA5821"/>
    <w:rsid w:val="00CA5B91"/>
    <w:rsid w:val="00CA6CD5"/>
    <w:rsid w:val="00CA6CFA"/>
    <w:rsid w:val="00CA7008"/>
    <w:rsid w:val="00CA7FED"/>
    <w:rsid w:val="00CB04EB"/>
    <w:rsid w:val="00CB085A"/>
    <w:rsid w:val="00CB0BA8"/>
    <w:rsid w:val="00CB10A1"/>
    <w:rsid w:val="00CB1541"/>
    <w:rsid w:val="00CB1F45"/>
    <w:rsid w:val="00CB1F86"/>
    <w:rsid w:val="00CB22BA"/>
    <w:rsid w:val="00CB24D8"/>
    <w:rsid w:val="00CB2CF9"/>
    <w:rsid w:val="00CB32F5"/>
    <w:rsid w:val="00CB34CC"/>
    <w:rsid w:val="00CB43CB"/>
    <w:rsid w:val="00CB4F6F"/>
    <w:rsid w:val="00CB5A36"/>
    <w:rsid w:val="00CB6217"/>
    <w:rsid w:val="00CB66CB"/>
    <w:rsid w:val="00CB6D89"/>
    <w:rsid w:val="00CB6DE6"/>
    <w:rsid w:val="00CB6EA3"/>
    <w:rsid w:val="00CC0989"/>
    <w:rsid w:val="00CC1496"/>
    <w:rsid w:val="00CC2574"/>
    <w:rsid w:val="00CC37CC"/>
    <w:rsid w:val="00CC3B3F"/>
    <w:rsid w:val="00CC3DA9"/>
    <w:rsid w:val="00CC4141"/>
    <w:rsid w:val="00CC41E9"/>
    <w:rsid w:val="00CC48B3"/>
    <w:rsid w:val="00CC49F5"/>
    <w:rsid w:val="00CC4C10"/>
    <w:rsid w:val="00CC4E82"/>
    <w:rsid w:val="00CC636E"/>
    <w:rsid w:val="00CC63F3"/>
    <w:rsid w:val="00CC72D3"/>
    <w:rsid w:val="00CC7393"/>
    <w:rsid w:val="00CC75A6"/>
    <w:rsid w:val="00CC7DDD"/>
    <w:rsid w:val="00CC7DFB"/>
    <w:rsid w:val="00CD0502"/>
    <w:rsid w:val="00CD0682"/>
    <w:rsid w:val="00CD0724"/>
    <w:rsid w:val="00CD073B"/>
    <w:rsid w:val="00CD07DA"/>
    <w:rsid w:val="00CD1105"/>
    <w:rsid w:val="00CD1536"/>
    <w:rsid w:val="00CD160C"/>
    <w:rsid w:val="00CD1A39"/>
    <w:rsid w:val="00CD235C"/>
    <w:rsid w:val="00CD2AC1"/>
    <w:rsid w:val="00CD2B3E"/>
    <w:rsid w:val="00CD2C93"/>
    <w:rsid w:val="00CD42D0"/>
    <w:rsid w:val="00CD4A1B"/>
    <w:rsid w:val="00CD4C56"/>
    <w:rsid w:val="00CD5440"/>
    <w:rsid w:val="00CD59C6"/>
    <w:rsid w:val="00CD5A96"/>
    <w:rsid w:val="00CD659D"/>
    <w:rsid w:val="00CD6B23"/>
    <w:rsid w:val="00CD7311"/>
    <w:rsid w:val="00CD76E4"/>
    <w:rsid w:val="00CD7774"/>
    <w:rsid w:val="00CE050A"/>
    <w:rsid w:val="00CE1340"/>
    <w:rsid w:val="00CE14F5"/>
    <w:rsid w:val="00CE14FB"/>
    <w:rsid w:val="00CE164D"/>
    <w:rsid w:val="00CE16EF"/>
    <w:rsid w:val="00CE1C8A"/>
    <w:rsid w:val="00CE1C8C"/>
    <w:rsid w:val="00CE244B"/>
    <w:rsid w:val="00CE2805"/>
    <w:rsid w:val="00CE2AB1"/>
    <w:rsid w:val="00CE2BD7"/>
    <w:rsid w:val="00CE2C28"/>
    <w:rsid w:val="00CE2D20"/>
    <w:rsid w:val="00CE2D3A"/>
    <w:rsid w:val="00CE31F6"/>
    <w:rsid w:val="00CE3963"/>
    <w:rsid w:val="00CE42C8"/>
    <w:rsid w:val="00CE5E95"/>
    <w:rsid w:val="00CE6230"/>
    <w:rsid w:val="00CE68B8"/>
    <w:rsid w:val="00CE71FD"/>
    <w:rsid w:val="00CE72D0"/>
    <w:rsid w:val="00CF01E5"/>
    <w:rsid w:val="00CF1090"/>
    <w:rsid w:val="00CF1C6D"/>
    <w:rsid w:val="00CF215A"/>
    <w:rsid w:val="00CF22CC"/>
    <w:rsid w:val="00CF2373"/>
    <w:rsid w:val="00CF23C8"/>
    <w:rsid w:val="00CF3258"/>
    <w:rsid w:val="00CF34DA"/>
    <w:rsid w:val="00CF3D59"/>
    <w:rsid w:val="00CF3DB8"/>
    <w:rsid w:val="00CF4127"/>
    <w:rsid w:val="00CF4558"/>
    <w:rsid w:val="00CF45C7"/>
    <w:rsid w:val="00CF4B37"/>
    <w:rsid w:val="00CF55FD"/>
    <w:rsid w:val="00CF5B2C"/>
    <w:rsid w:val="00CF5CB9"/>
    <w:rsid w:val="00CF7706"/>
    <w:rsid w:val="00D025F1"/>
    <w:rsid w:val="00D03506"/>
    <w:rsid w:val="00D03551"/>
    <w:rsid w:val="00D05AF7"/>
    <w:rsid w:val="00D0613E"/>
    <w:rsid w:val="00D066A0"/>
    <w:rsid w:val="00D06E0C"/>
    <w:rsid w:val="00D070EE"/>
    <w:rsid w:val="00D1044F"/>
    <w:rsid w:val="00D115B4"/>
    <w:rsid w:val="00D11D91"/>
    <w:rsid w:val="00D11EC2"/>
    <w:rsid w:val="00D129C6"/>
    <w:rsid w:val="00D147C0"/>
    <w:rsid w:val="00D15854"/>
    <w:rsid w:val="00D16939"/>
    <w:rsid w:val="00D17CA3"/>
    <w:rsid w:val="00D20B3B"/>
    <w:rsid w:val="00D20ED8"/>
    <w:rsid w:val="00D21A51"/>
    <w:rsid w:val="00D21EC3"/>
    <w:rsid w:val="00D220D1"/>
    <w:rsid w:val="00D22608"/>
    <w:rsid w:val="00D22B95"/>
    <w:rsid w:val="00D23786"/>
    <w:rsid w:val="00D23AFD"/>
    <w:rsid w:val="00D23E33"/>
    <w:rsid w:val="00D24153"/>
    <w:rsid w:val="00D245E8"/>
    <w:rsid w:val="00D24CFC"/>
    <w:rsid w:val="00D254A5"/>
    <w:rsid w:val="00D25589"/>
    <w:rsid w:val="00D25BCA"/>
    <w:rsid w:val="00D26585"/>
    <w:rsid w:val="00D26AFF"/>
    <w:rsid w:val="00D26C0F"/>
    <w:rsid w:val="00D26D3C"/>
    <w:rsid w:val="00D27020"/>
    <w:rsid w:val="00D277B8"/>
    <w:rsid w:val="00D27AA4"/>
    <w:rsid w:val="00D30251"/>
    <w:rsid w:val="00D3030B"/>
    <w:rsid w:val="00D30539"/>
    <w:rsid w:val="00D30563"/>
    <w:rsid w:val="00D30839"/>
    <w:rsid w:val="00D313C8"/>
    <w:rsid w:val="00D31AD2"/>
    <w:rsid w:val="00D31C5D"/>
    <w:rsid w:val="00D31FDE"/>
    <w:rsid w:val="00D322C0"/>
    <w:rsid w:val="00D3236B"/>
    <w:rsid w:val="00D32CDA"/>
    <w:rsid w:val="00D33744"/>
    <w:rsid w:val="00D33962"/>
    <w:rsid w:val="00D34028"/>
    <w:rsid w:val="00D35270"/>
    <w:rsid w:val="00D366F2"/>
    <w:rsid w:val="00D36986"/>
    <w:rsid w:val="00D369C0"/>
    <w:rsid w:val="00D36A41"/>
    <w:rsid w:val="00D36B26"/>
    <w:rsid w:val="00D37375"/>
    <w:rsid w:val="00D37E14"/>
    <w:rsid w:val="00D407EC"/>
    <w:rsid w:val="00D40C43"/>
    <w:rsid w:val="00D40D18"/>
    <w:rsid w:val="00D41620"/>
    <w:rsid w:val="00D42AC4"/>
    <w:rsid w:val="00D42DE0"/>
    <w:rsid w:val="00D43C81"/>
    <w:rsid w:val="00D440AC"/>
    <w:rsid w:val="00D44197"/>
    <w:rsid w:val="00D442EE"/>
    <w:rsid w:val="00D4521D"/>
    <w:rsid w:val="00D455AB"/>
    <w:rsid w:val="00D4582B"/>
    <w:rsid w:val="00D45F9F"/>
    <w:rsid w:val="00D46B29"/>
    <w:rsid w:val="00D46B6F"/>
    <w:rsid w:val="00D46F45"/>
    <w:rsid w:val="00D47442"/>
    <w:rsid w:val="00D477B6"/>
    <w:rsid w:val="00D508F9"/>
    <w:rsid w:val="00D50B66"/>
    <w:rsid w:val="00D51504"/>
    <w:rsid w:val="00D51998"/>
    <w:rsid w:val="00D51B76"/>
    <w:rsid w:val="00D51BA2"/>
    <w:rsid w:val="00D5202C"/>
    <w:rsid w:val="00D52114"/>
    <w:rsid w:val="00D52196"/>
    <w:rsid w:val="00D52705"/>
    <w:rsid w:val="00D52E08"/>
    <w:rsid w:val="00D53A86"/>
    <w:rsid w:val="00D53D7F"/>
    <w:rsid w:val="00D543B0"/>
    <w:rsid w:val="00D54E23"/>
    <w:rsid w:val="00D554A6"/>
    <w:rsid w:val="00D55E06"/>
    <w:rsid w:val="00D561B2"/>
    <w:rsid w:val="00D561C4"/>
    <w:rsid w:val="00D56EA7"/>
    <w:rsid w:val="00D5757B"/>
    <w:rsid w:val="00D577D7"/>
    <w:rsid w:val="00D6029E"/>
    <w:rsid w:val="00D60C3E"/>
    <w:rsid w:val="00D60F3C"/>
    <w:rsid w:val="00D61148"/>
    <w:rsid w:val="00D6130F"/>
    <w:rsid w:val="00D630EB"/>
    <w:rsid w:val="00D6367B"/>
    <w:rsid w:val="00D64718"/>
    <w:rsid w:val="00D6558B"/>
    <w:rsid w:val="00D656F7"/>
    <w:rsid w:val="00D65C5D"/>
    <w:rsid w:val="00D65C70"/>
    <w:rsid w:val="00D665B5"/>
    <w:rsid w:val="00D678E7"/>
    <w:rsid w:val="00D67968"/>
    <w:rsid w:val="00D7007E"/>
    <w:rsid w:val="00D702AD"/>
    <w:rsid w:val="00D72FC3"/>
    <w:rsid w:val="00D730C6"/>
    <w:rsid w:val="00D743C7"/>
    <w:rsid w:val="00D74A52"/>
    <w:rsid w:val="00D74C40"/>
    <w:rsid w:val="00D74F13"/>
    <w:rsid w:val="00D758EC"/>
    <w:rsid w:val="00D75DE1"/>
    <w:rsid w:val="00D76268"/>
    <w:rsid w:val="00D76C8E"/>
    <w:rsid w:val="00D803F8"/>
    <w:rsid w:val="00D804E8"/>
    <w:rsid w:val="00D8192B"/>
    <w:rsid w:val="00D81BF4"/>
    <w:rsid w:val="00D81F40"/>
    <w:rsid w:val="00D82740"/>
    <w:rsid w:val="00D82C51"/>
    <w:rsid w:val="00D83174"/>
    <w:rsid w:val="00D83670"/>
    <w:rsid w:val="00D83B74"/>
    <w:rsid w:val="00D83F8E"/>
    <w:rsid w:val="00D8471E"/>
    <w:rsid w:val="00D84EA7"/>
    <w:rsid w:val="00D84FC2"/>
    <w:rsid w:val="00D862BF"/>
    <w:rsid w:val="00D879F7"/>
    <w:rsid w:val="00D87C70"/>
    <w:rsid w:val="00D90031"/>
    <w:rsid w:val="00D9043F"/>
    <w:rsid w:val="00D9091D"/>
    <w:rsid w:val="00D90D39"/>
    <w:rsid w:val="00D90DD3"/>
    <w:rsid w:val="00D913AC"/>
    <w:rsid w:val="00D91584"/>
    <w:rsid w:val="00D9199B"/>
    <w:rsid w:val="00D92205"/>
    <w:rsid w:val="00D925EA"/>
    <w:rsid w:val="00D931D8"/>
    <w:rsid w:val="00D93357"/>
    <w:rsid w:val="00D93EA2"/>
    <w:rsid w:val="00D94041"/>
    <w:rsid w:val="00D94D51"/>
    <w:rsid w:val="00D94EA9"/>
    <w:rsid w:val="00D94F7D"/>
    <w:rsid w:val="00D95DAB"/>
    <w:rsid w:val="00D9799A"/>
    <w:rsid w:val="00DA0374"/>
    <w:rsid w:val="00DA0D86"/>
    <w:rsid w:val="00DA1577"/>
    <w:rsid w:val="00DA1BC9"/>
    <w:rsid w:val="00DA3093"/>
    <w:rsid w:val="00DA326B"/>
    <w:rsid w:val="00DA3B1C"/>
    <w:rsid w:val="00DA3E4C"/>
    <w:rsid w:val="00DA4E90"/>
    <w:rsid w:val="00DA5B82"/>
    <w:rsid w:val="00DA62CB"/>
    <w:rsid w:val="00DA6A95"/>
    <w:rsid w:val="00DA70B7"/>
    <w:rsid w:val="00DA7704"/>
    <w:rsid w:val="00DB0DD7"/>
    <w:rsid w:val="00DB2166"/>
    <w:rsid w:val="00DB31E8"/>
    <w:rsid w:val="00DB358F"/>
    <w:rsid w:val="00DB4AD5"/>
    <w:rsid w:val="00DB4E80"/>
    <w:rsid w:val="00DB664E"/>
    <w:rsid w:val="00DB6E80"/>
    <w:rsid w:val="00DB7088"/>
    <w:rsid w:val="00DB7508"/>
    <w:rsid w:val="00DB774F"/>
    <w:rsid w:val="00DB7872"/>
    <w:rsid w:val="00DB7912"/>
    <w:rsid w:val="00DC0257"/>
    <w:rsid w:val="00DC1510"/>
    <w:rsid w:val="00DC19F1"/>
    <w:rsid w:val="00DC1FD8"/>
    <w:rsid w:val="00DC2DC3"/>
    <w:rsid w:val="00DC3BF9"/>
    <w:rsid w:val="00DC3C0D"/>
    <w:rsid w:val="00DC407A"/>
    <w:rsid w:val="00DC4D0F"/>
    <w:rsid w:val="00DC50FE"/>
    <w:rsid w:val="00DC5553"/>
    <w:rsid w:val="00DC557F"/>
    <w:rsid w:val="00DC5A6B"/>
    <w:rsid w:val="00DC6EAF"/>
    <w:rsid w:val="00DC6EDE"/>
    <w:rsid w:val="00DC7888"/>
    <w:rsid w:val="00DD084F"/>
    <w:rsid w:val="00DD0867"/>
    <w:rsid w:val="00DD0E63"/>
    <w:rsid w:val="00DD1055"/>
    <w:rsid w:val="00DD17DD"/>
    <w:rsid w:val="00DD1A39"/>
    <w:rsid w:val="00DD20D0"/>
    <w:rsid w:val="00DD2596"/>
    <w:rsid w:val="00DD2C1E"/>
    <w:rsid w:val="00DD3027"/>
    <w:rsid w:val="00DD3127"/>
    <w:rsid w:val="00DD4391"/>
    <w:rsid w:val="00DD43E8"/>
    <w:rsid w:val="00DD4BFB"/>
    <w:rsid w:val="00DD4C69"/>
    <w:rsid w:val="00DD59C8"/>
    <w:rsid w:val="00DD5FB7"/>
    <w:rsid w:val="00DD6B31"/>
    <w:rsid w:val="00DD6D36"/>
    <w:rsid w:val="00DD7DC2"/>
    <w:rsid w:val="00DE0A5A"/>
    <w:rsid w:val="00DE12C8"/>
    <w:rsid w:val="00DE19CA"/>
    <w:rsid w:val="00DE1EB7"/>
    <w:rsid w:val="00DE2752"/>
    <w:rsid w:val="00DE29D2"/>
    <w:rsid w:val="00DE31C1"/>
    <w:rsid w:val="00DE3AC4"/>
    <w:rsid w:val="00DE408D"/>
    <w:rsid w:val="00DE4313"/>
    <w:rsid w:val="00DE4E47"/>
    <w:rsid w:val="00DE5641"/>
    <w:rsid w:val="00DE5AA2"/>
    <w:rsid w:val="00DE607D"/>
    <w:rsid w:val="00DE68BC"/>
    <w:rsid w:val="00DE69AC"/>
    <w:rsid w:val="00DE6F66"/>
    <w:rsid w:val="00DE7590"/>
    <w:rsid w:val="00DF0809"/>
    <w:rsid w:val="00DF12E9"/>
    <w:rsid w:val="00DF173D"/>
    <w:rsid w:val="00DF1982"/>
    <w:rsid w:val="00DF2034"/>
    <w:rsid w:val="00DF216D"/>
    <w:rsid w:val="00DF22BF"/>
    <w:rsid w:val="00DF25A3"/>
    <w:rsid w:val="00DF27F9"/>
    <w:rsid w:val="00DF296C"/>
    <w:rsid w:val="00DF2D4E"/>
    <w:rsid w:val="00DF2F76"/>
    <w:rsid w:val="00DF533B"/>
    <w:rsid w:val="00DF54CD"/>
    <w:rsid w:val="00DF5684"/>
    <w:rsid w:val="00DF5F59"/>
    <w:rsid w:val="00DF6910"/>
    <w:rsid w:val="00DF724A"/>
    <w:rsid w:val="00DF74B3"/>
    <w:rsid w:val="00DF7A88"/>
    <w:rsid w:val="00DF7E54"/>
    <w:rsid w:val="00E00083"/>
    <w:rsid w:val="00E0124E"/>
    <w:rsid w:val="00E02473"/>
    <w:rsid w:val="00E025BC"/>
    <w:rsid w:val="00E0266C"/>
    <w:rsid w:val="00E027F1"/>
    <w:rsid w:val="00E029BD"/>
    <w:rsid w:val="00E02ADC"/>
    <w:rsid w:val="00E0399B"/>
    <w:rsid w:val="00E03B0F"/>
    <w:rsid w:val="00E03C4E"/>
    <w:rsid w:val="00E03FB0"/>
    <w:rsid w:val="00E044F8"/>
    <w:rsid w:val="00E047CA"/>
    <w:rsid w:val="00E06D7C"/>
    <w:rsid w:val="00E06F88"/>
    <w:rsid w:val="00E079AD"/>
    <w:rsid w:val="00E07C70"/>
    <w:rsid w:val="00E101EF"/>
    <w:rsid w:val="00E11226"/>
    <w:rsid w:val="00E11A95"/>
    <w:rsid w:val="00E11C8F"/>
    <w:rsid w:val="00E120C1"/>
    <w:rsid w:val="00E121B9"/>
    <w:rsid w:val="00E131EB"/>
    <w:rsid w:val="00E134AA"/>
    <w:rsid w:val="00E13960"/>
    <w:rsid w:val="00E148CF"/>
    <w:rsid w:val="00E1554C"/>
    <w:rsid w:val="00E15EE6"/>
    <w:rsid w:val="00E16296"/>
    <w:rsid w:val="00E16481"/>
    <w:rsid w:val="00E164A1"/>
    <w:rsid w:val="00E16FAA"/>
    <w:rsid w:val="00E171C4"/>
    <w:rsid w:val="00E17237"/>
    <w:rsid w:val="00E17862"/>
    <w:rsid w:val="00E209B2"/>
    <w:rsid w:val="00E215E4"/>
    <w:rsid w:val="00E22303"/>
    <w:rsid w:val="00E234BE"/>
    <w:rsid w:val="00E23901"/>
    <w:rsid w:val="00E24164"/>
    <w:rsid w:val="00E243E2"/>
    <w:rsid w:val="00E250E2"/>
    <w:rsid w:val="00E262F6"/>
    <w:rsid w:val="00E26369"/>
    <w:rsid w:val="00E26CEA"/>
    <w:rsid w:val="00E2723E"/>
    <w:rsid w:val="00E305E2"/>
    <w:rsid w:val="00E31813"/>
    <w:rsid w:val="00E31B8D"/>
    <w:rsid w:val="00E31D25"/>
    <w:rsid w:val="00E33460"/>
    <w:rsid w:val="00E334A4"/>
    <w:rsid w:val="00E335E7"/>
    <w:rsid w:val="00E347EC"/>
    <w:rsid w:val="00E348CC"/>
    <w:rsid w:val="00E34B25"/>
    <w:rsid w:val="00E34BBA"/>
    <w:rsid w:val="00E35103"/>
    <w:rsid w:val="00E3551A"/>
    <w:rsid w:val="00E3573F"/>
    <w:rsid w:val="00E35EB6"/>
    <w:rsid w:val="00E3697E"/>
    <w:rsid w:val="00E3711D"/>
    <w:rsid w:val="00E37A18"/>
    <w:rsid w:val="00E37E2B"/>
    <w:rsid w:val="00E37F26"/>
    <w:rsid w:val="00E40B6E"/>
    <w:rsid w:val="00E40CE1"/>
    <w:rsid w:val="00E42304"/>
    <w:rsid w:val="00E42524"/>
    <w:rsid w:val="00E42A7F"/>
    <w:rsid w:val="00E43599"/>
    <w:rsid w:val="00E437CC"/>
    <w:rsid w:val="00E43A33"/>
    <w:rsid w:val="00E43C03"/>
    <w:rsid w:val="00E43F2C"/>
    <w:rsid w:val="00E44298"/>
    <w:rsid w:val="00E44AB3"/>
    <w:rsid w:val="00E45255"/>
    <w:rsid w:val="00E46743"/>
    <w:rsid w:val="00E468B9"/>
    <w:rsid w:val="00E46EA5"/>
    <w:rsid w:val="00E46F36"/>
    <w:rsid w:val="00E47265"/>
    <w:rsid w:val="00E47E33"/>
    <w:rsid w:val="00E47E90"/>
    <w:rsid w:val="00E510BC"/>
    <w:rsid w:val="00E51132"/>
    <w:rsid w:val="00E516A6"/>
    <w:rsid w:val="00E51752"/>
    <w:rsid w:val="00E51C26"/>
    <w:rsid w:val="00E52352"/>
    <w:rsid w:val="00E5322D"/>
    <w:rsid w:val="00E5367D"/>
    <w:rsid w:val="00E53948"/>
    <w:rsid w:val="00E545B0"/>
    <w:rsid w:val="00E5538A"/>
    <w:rsid w:val="00E5544C"/>
    <w:rsid w:val="00E559AB"/>
    <w:rsid w:val="00E55FE2"/>
    <w:rsid w:val="00E56077"/>
    <w:rsid w:val="00E56A4F"/>
    <w:rsid w:val="00E56A5C"/>
    <w:rsid w:val="00E5731E"/>
    <w:rsid w:val="00E57352"/>
    <w:rsid w:val="00E5737B"/>
    <w:rsid w:val="00E6078C"/>
    <w:rsid w:val="00E60CD5"/>
    <w:rsid w:val="00E60F31"/>
    <w:rsid w:val="00E6162B"/>
    <w:rsid w:val="00E61869"/>
    <w:rsid w:val="00E625E9"/>
    <w:rsid w:val="00E6343F"/>
    <w:rsid w:val="00E64950"/>
    <w:rsid w:val="00E6533F"/>
    <w:rsid w:val="00E6566F"/>
    <w:rsid w:val="00E65688"/>
    <w:rsid w:val="00E66AEC"/>
    <w:rsid w:val="00E66EFD"/>
    <w:rsid w:val="00E67C9B"/>
    <w:rsid w:val="00E67E03"/>
    <w:rsid w:val="00E7042D"/>
    <w:rsid w:val="00E71429"/>
    <w:rsid w:val="00E720EB"/>
    <w:rsid w:val="00E737B5"/>
    <w:rsid w:val="00E73A19"/>
    <w:rsid w:val="00E74133"/>
    <w:rsid w:val="00E742F7"/>
    <w:rsid w:val="00E745AC"/>
    <w:rsid w:val="00E748BD"/>
    <w:rsid w:val="00E74974"/>
    <w:rsid w:val="00E74990"/>
    <w:rsid w:val="00E74D58"/>
    <w:rsid w:val="00E75A33"/>
    <w:rsid w:val="00E75D7F"/>
    <w:rsid w:val="00E75EF6"/>
    <w:rsid w:val="00E76040"/>
    <w:rsid w:val="00E76AF3"/>
    <w:rsid w:val="00E77352"/>
    <w:rsid w:val="00E77EFB"/>
    <w:rsid w:val="00E80590"/>
    <w:rsid w:val="00E80BC6"/>
    <w:rsid w:val="00E80BE5"/>
    <w:rsid w:val="00E81FEF"/>
    <w:rsid w:val="00E829F3"/>
    <w:rsid w:val="00E82FF2"/>
    <w:rsid w:val="00E83054"/>
    <w:rsid w:val="00E835BD"/>
    <w:rsid w:val="00E837D8"/>
    <w:rsid w:val="00E83895"/>
    <w:rsid w:val="00E83B9C"/>
    <w:rsid w:val="00E84917"/>
    <w:rsid w:val="00E8491A"/>
    <w:rsid w:val="00E852B5"/>
    <w:rsid w:val="00E85BB7"/>
    <w:rsid w:val="00E86338"/>
    <w:rsid w:val="00E864D7"/>
    <w:rsid w:val="00E90054"/>
    <w:rsid w:val="00E90746"/>
    <w:rsid w:val="00E90E95"/>
    <w:rsid w:val="00E90EC9"/>
    <w:rsid w:val="00E916F0"/>
    <w:rsid w:val="00E9255A"/>
    <w:rsid w:val="00E931F0"/>
    <w:rsid w:val="00E93858"/>
    <w:rsid w:val="00E93D6E"/>
    <w:rsid w:val="00E96CA8"/>
    <w:rsid w:val="00E9740C"/>
    <w:rsid w:val="00E977EF"/>
    <w:rsid w:val="00E97CE3"/>
    <w:rsid w:val="00E97ECC"/>
    <w:rsid w:val="00EA0396"/>
    <w:rsid w:val="00EA098F"/>
    <w:rsid w:val="00EA1451"/>
    <w:rsid w:val="00EA1E92"/>
    <w:rsid w:val="00EA2498"/>
    <w:rsid w:val="00EA24F7"/>
    <w:rsid w:val="00EA4572"/>
    <w:rsid w:val="00EA45D0"/>
    <w:rsid w:val="00EA4C1A"/>
    <w:rsid w:val="00EA6634"/>
    <w:rsid w:val="00EA7925"/>
    <w:rsid w:val="00EB03F6"/>
    <w:rsid w:val="00EB0A3C"/>
    <w:rsid w:val="00EB0BFB"/>
    <w:rsid w:val="00EB0F3D"/>
    <w:rsid w:val="00EB1146"/>
    <w:rsid w:val="00EB1CA2"/>
    <w:rsid w:val="00EB1DC4"/>
    <w:rsid w:val="00EB25A1"/>
    <w:rsid w:val="00EB2801"/>
    <w:rsid w:val="00EB2872"/>
    <w:rsid w:val="00EB2A78"/>
    <w:rsid w:val="00EB3BCC"/>
    <w:rsid w:val="00EB4E63"/>
    <w:rsid w:val="00EB5C59"/>
    <w:rsid w:val="00EB5E7A"/>
    <w:rsid w:val="00EB6423"/>
    <w:rsid w:val="00EB7AB3"/>
    <w:rsid w:val="00EB7C92"/>
    <w:rsid w:val="00EC0478"/>
    <w:rsid w:val="00EC0479"/>
    <w:rsid w:val="00EC0881"/>
    <w:rsid w:val="00EC09E6"/>
    <w:rsid w:val="00EC0D5B"/>
    <w:rsid w:val="00EC168C"/>
    <w:rsid w:val="00EC2339"/>
    <w:rsid w:val="00EC2948"/>
    <w:rsid w:val="00EC3570"/>
    <w:rsid w:val="00EC4F4F"/>
    <w:rsid w:val="00EC57BB"/>
    <w:rsid w:val="00EC57CB"/>
    <w:rsid w:val="00EC5BD5"/>
    <w:rsid w:val="00EC72B9"/>
    <w:rsid w:val="00EC74D8"/>
    <w:rsid w:val="00EC762E"/>
    <w:rsid w:val="00EC7E69"/>
    <w:rsid w:val="00ED0729"/>
    <w:rsid w:val="00ED072D"/>
    <w:rsid w:val="00ED0C55"/>
    <w:rsid w:val="00ED240D"/>
    <w:rsid w:val="00ED24A1"/>
    <w:rsid w:val="00ED2E14"/>
    <w:rsid w:val="00ED2F80"/>
    <w:rsid w:val="00ED4269"/>
    <w:rsid w:val="00ED4AED"/>
    <w:rsid w:val="00ED513F"/>
    <w:rsid w:val="00ED6AF9"/>
    <w:rsid w:val="00ED79BB"/>
    <w:rsid w:val="00ED7B93"/>
    <w:rsid w:val="00EE0D16"/>
    <w:rsid w:val="00EE2144"/>
    <w:rsid w:val="00EE21BC"/>
    <w:rsid w:val="00EE2E1B"/>
    <w:rsid w:val="00EE3A99"/>
    <w:rsid w:val="00EE42C6"/>
    <w:rsid w:val="00EE44AD"/>
    <w:rsid w:val="00EE457C"/>
    <w:rsid w:val="00EE45C7"/>
    <w:rsid w:val="00EE4FC7"/>
    <w:rsid w:val="00EE5916"/>
    <w:rsid w:val="00EE5D06"/>
    <w:rsid w:val="00EE6A6A"/>
    <w:rsid w:val="00EE6C65"/>
    <w:rsid w:val="00EE77BB"/>
    <w:rsid w:val="00EE7B59"/>
    <w:rsid w:val="00EF1A90"/>
    <w:rsid w:val="00EF1F3B"/>
    <w:rsid w:val="00EF3F41"/>
    <w:rsid w:val="00EF48F9"/>
    <w:rsid w:val="00EF4E98"/>
    <w:rsid w:val="00EF5A9B"/>
    <w:rsid w:val="00EF619E"/>
    <w:rsid w:val="00EF7037"/>
    <w:rsid w:val="00F006BC"/>
    <w:rsid w:val="00F01232"/>
    <w:rsid w:val="00F0124E"/>
    <w:rsid w:val="00F01402"/>
    <w:rsid w:val="00F0181A"/>
    <w:rsid w:val="00F02434"/>
    <w:rsid w:val="00F0243B"/>
    <w:rsid w:val="00F0344C"/>
    <w:rsid w:val="00F03F45"/>
    <w:rsid w:val="00F04C0F"/>
    <w:rsid w:val="00F055B7"/>
    <w:rsid w:val="00F062B0"/>
    <w:rsid w:val="00F07536"/>
    <w:rsid w:val="00F078DB"/>
    <w:rsid w:val="00F102D2"/>
    <w:rsid w:val="00F1037F"/>
    <w:rsid w:val="00F1069E"/>
    <w:rsid w:val="00F1074B"/>
    <w:rsid w:val="00F1084C"/>
    <w:rsid w:val="00F10997"/>
    <w:rsid w:val="00F1138A"/>
    <w:rsid w:val="00F11F7A"/>
    <w:rsid w:val="00F12115"/>
    <w:rsid w:val="00F122F1"/>
    <w:rsid w:val="00F123AF"/>
    <w:rsid w:val="00F1271D"/>
    <w:rsid w:val="00F12D82"/>
    <w:rsid w:val="00F12F06"/>
    <w:rsid w:val="00F131FF"/>
    <w:rsid w:val="00F1331F"/>
    <w:rsid w:val="00F13390"/>
    <w:rsid w:val="00F13E81"/>
    <w:rsid w:val="00F13F78"/>
    <w:rsid w:val="00F14179"/>
    <w:rsid w:val="00F14353"/>
    <w:rsid w:val="00F1445E"/>
    <w:rsid w:val="00F15441"/>
    <w:rsid w:val="00F16205"/>
    <w:rsid w:val="00F162CB"/>
    <w:rsid w:val="00F1630B"/>
    <w:rsid w:val="00F163E4"/>
    <w:rsid w:val="00F16430"/>
    <w:rsid w:val="00F16880"/>
    <w:rsid w:val="00F16D83"/>
    <w:rsid w:val="00F20CCC"/>
    <w:rsid w:val="00F2112E"/>
    <w:rsid w:val="00F212C4"/>
    <w:rsid w:val="00F21F4D"/>
    <w:rsid w:val="00F23410"/>
    <w:rsid w:val="00F23CE1"/>
    <w:rsid w:val="00F23D46"/>
    <w:rsid w:val="00F246EB"/>
    <w:rsid w:val="00F24778"/>
    <w:rsid w:val="00F25B61"/>
    <w:rsid w:val="00F300CF"/>
    <w:rsid w:val="00F305D7"/>
    <w:rsid w:val="00F305EE"/>
    <w:rsid w:val="00F30620"/>
    <w:rsid w:val="00F312C3"/>
    <w:rsid w:val="00F328BE"/>
    <w:rsid w:val="00F328D8"/>
    <w:rsid w:val="00F32B72"/>
    <w:rsid w:val="00F32F78"/>
    <w:rsid w:val="00F33893"/>
    <w:rsid w:val="00F34297"/>
    <w:rsid w:val="00F360D7"/>
    <w:rsid w:val="00F3646D"/>
    <w:rsid w:val="00F36EB5"/>
    <w:rsid w:val="00F37185"/>
    <w:rsid w:val="00F37243"/>
    <w:rsid w:val="00F37E65"/>
    <w:rsid w:val="00F41843"/>
    <w:rsid w:val="00F420EE"/>
    <w:rsid w:val="00F42B3A"/>
    <w:rsid w:val="00F4395F"/>
    <w:rsid w:val="00F43D54"/>
    <w:rsid w:val="00F43DF7"/>
    <w:rsid w:val="00F442A8"/>
    <w:rsid w:val="00F444B0"/>
    <w:rsid w:val="00F44CE3"/>
    <w:rsid w:val="00F44DEB"/>
    <w:rsid w:val="00F454E2"/>
    <w:rsid w:val="00F45CE5"/>
    <w:rsid w:val="00F45E40"/>
    <w:rsid w:val="00F4638D"/>
    <w:rsid w:val="00F46AFC"/>
    <w:rsid w:val="00F46EB5"/>
    <w:rsid w:val="00F46FE7"/>
    <w:rsid w:val="00F4732C"/>
    <w:rsid w:val="00F50980"/>
    <w:rsid w:val="00F50BA2"/>
    <w:rsid w:val="00F52E88"/>
    <w:rsid w:val="00F53A27"/>
    <w:rsid w:val="00F53ABC"/>
    <w:rsid w:val="00F54196"/>
    <w:rsid w:val="00F54DEB"/>
    <w:rsid w:val="00F551E6"/>
    <w:rsid w:val="00F55D89"/>
    <w:rsid w:val="00F55FD3"/>
    <w:rsid w:val="00F56189"/>
    <w:rsid w:val="00F563FE"/>
    <w:rsid w:val="00F565A6"/>
    <w:rsid w:val="00F570A2"/>
    <w:rsid w:val="00F5760E"/>
    <w:rsid w:val="00F5771F"/>
    <w:rsid w:val="00F5776E"/>
    <w:rsid w:val="00F577D9"/>
    <w:rsid w:val="00F6014A"/>
    <w:rsid w:val="00F608BF"/>
    <w:rsid w:val="00F60E4A"/>
    <w:rsid w:val="00F615AB"/>
    <w:rsid w:val="00F61B98"/>
    <w:rsid w:val="00F62FB1"/>
    <w:rsid w:val="00F64727"/>
    <w:rsid w:val="00F6472D"/>
    <w:rsid w:val="00F64D70"/>
    <w:rsid w:val="00F65A93"/>
    <w:rsid w:val="00F65DA8"/>
    <w:rsid w:val="00F65E56"/>
    <w:rsid w:val="00F65EAD"/>
    <w:rsid w:val="00F664D5"/>
    <w:rsid w:val="00F66E3A"/>
    <w:rsid w:val="00F6711F"/>
    <w:rsid w:val="00F67336"/>
    <w:rsid w:val="00F71B02"/>
    <w:rsid w:val="00F71EA9"/>
    <w:rsid w:val="00F72170"/>
    <w:rsid w:val="00F72574"/>
    <w:rsid w:val="00F732A9"/>
    <w:rsid w:val="00F73713"/>
    <w:rsid w:val="00F73CA8"/>
    <w:rsid w:val="00F74143"/>
    <w:rsid w:val="00F742D8"/>
    <w:rsid w:val="00F74CCA"/>
    <w:rsid w:val="00F74D95"/>
    <w:rsid w:val="00F775A6"/>
    <w:rsid w:val="00F779EE"/>
    <w:rsid w:val="00F77EF9"/>
    <w:rsid w:val="00F77FC5"/>
    <w:rsid w:val="00F8026F"/>
    <w:rsid w:val="00F804F2"/>
    <w:rsid w:val="00F80E5D"/>
    <w:rsid w:val="00F816C9"/>
    <w:rsid w:val="00F81B45"/>
    <w:rsid w:val="00F823E0"/>
    <w:rsid w:val="00F825FB"/>
    <w:rsid w:val="00F82CA6"/>
    <w:rsid w:val="00F831DE"/>
    <w:rsid w:val="00F8349A"/>
    <w:rsid w:val="00F83846"/>
    <w:rsid w:val="00F83EBF"/>
    <w:rsid w:val="00F852E8"/>
    <w:rsid w:val="00F85576"/>
    <w:rsid w:val="00F8657C"/>
    <w:rsid w:val="00F86B9B"/>
    <w:rsid w:val="00F87E24"/>
    <w:rsid w:val="00F901CC"/>
    <w:rsid w:val="00F90F47"/>
    <w:rsid w:val="00F916B4"/>
    <w:rsid w:val="00F919D8"/>
    <w:rsid w:val="00F932A4"/>
    <w:rsid w:val="00F9394F"/>
    <w:rsid w:val="00F94209"/>
    <w:rsid w:val="00F9439C"/>
    <w:rsid w:val="00F94744"/>
    <w:rsid w:val="00F94938"/>
    <w:rsid w:val="00F94E9F"/>
    <w:rsid w:val="00F95071"/>
    <w:rsid w:val="00F95197"/>
    <w:rsid w:val="00F953A3"/>
    <w:rsid w:val="00F953DF"/>
    <w:rsid w:val="00F96057"/>
    <w:rsid w:val="00F960FB"/>
    <w:rsid w:val="00F96F78"/>
    <w:rsid w:val="00F97621"/>
    <w:rsid w:val="00FA0E96"/>
    <w:rsid w:val="00FA1768"/>
    <w:rsid w:val="00FA1B52"/>
    <w:rsid w:val="00FA2B82"/>
    <w:rsid w:val="00FA3654"/>
    <w:rsid w:val="00FA3679"/>
    <w:rsid w:val="00FA3717"/>
    <w:rsid w:val="00FA3F28"/>
    <w:rsid w:val="00FA4157"/>
    <w:rsid w:val="00FA43DA"/>
    <w:rsid w:val="00FA4428"/>
    <w:rsid w:val="00FA4577"/>
    <w:rsid w:val="00FA48FE"/>
    <w:rsid w:val="00FA4D46"/>
    <w:rsid w:val="00FA6B58"/>
    <w:rsid w:val="00FA6BF6"/>
    <w:rsid w:val="00FA777F"/>
    <w:rsid w:val="00FB04CC"/>
    <w:rsid w:val="00FB08F4"/>
    <w:rsid w:val="00FB1656"/>
    <w:rsid w:val="00FB1686"/>
    <w:rsid w:val="00FB373A"/>
    <w:rsid w:val="00FB3E0A"/>
    <w:rsid w:val="00FB3E30"/>
    <w:rsid w:val="00FB3FE1"/>
    <w:rsid w:val="00FB5437"/>
    <w:rsid w:val="00FB6D34"/>
    <w:rsid w:val="00FB7322"/>
    <w:rsid w:val="00FC0298"/>
    <w:rsid w:val="00FC035F"/>
    <w:rsid w:val="00FC048D"/>
    <w:rsid w:val="00FC1419"/>
    <w:rsid w:val="00FC1FCF"/>
    <w:rsid w:val="00FC2E0F"/>
    <w:rsid w:val="00FC3014"/>
    <w:rsid w:val="00FC401C"/>
    <w:rsid w:val="00FC4BB6"/>
    <w:rsid w:val="00FC4F43"/>
    <w:rsid w:val="00FC603F"/>
    <w:rsid w:val="00FC67E7"/>
    <w:rsid w:val="00FC6AEB"/>
    <w:rsid w:val="00FC74CC"/>
    <w:rsid w:val="00FC775D"/>
    <w:rsid w:val="00FC775E"/>
    <w:rsid w:val="00FC7C97"/>
    <w:rsid w:val="00FD022D"/>
    <w:rsid w:val="00FD0356"/>
    <w:rsid w:val="00FD03FA"/>
    <w:rsid w:val="00FD07BC"/>
    <w:rsid w:val="00FD0E5A"/>
    <w:rsid w:val="00FD2238"/>
    <w:rsid w:val="00FD24E6"/>
    <w:rsid w:val="00FD28FB"/>
    <w:rsid w:val="00FD2C4D"/>
    <w:rsid w:val="00FD2D57"/>
    <w:rsid w:val="00FD3237"/>
    <w:rsid w:val="00FD3C39"/>
    <w:rsid w:val="00FD4A10"/>
    <w:rsid w:val="00FD5572"/>
    <w:rsid w:val="00FD5817"/>
    <w:rsid w:val="00FD59C2"/>
    <w:rsid w:val="00FD5C6F"/>
    <w:rsid w:val="00FD5E95"/>
    <w:rsid w:val="00FD7F3A"/>
    <w:rsid w:val="00FE0689"/>
    <w:rsid w:val="00FE086E"/>
    <w:rsid w:val="00FE0AB8"/>
    <w:rsid w:val="00FE1D78"/>
    <w:rsid w:val="00FE26FB"/>
    <w:rsid w:val="00FE2D9A"/>
    <w:rsid w:val="00FE2E76"/>
    <w:rsid w:val="00FE37F1"/>
    <w:rsid w:val="00FE3EA4"/>
    <w:rsid w:val="00FE40B5"/>
    <w:rsid w:val="00FE4816"/>
    <w:rsid w:val="00FE4E0F"/>
    <w:rsid w:val="00FE52B6"/>
    <w:rsid w:val="00FE557B"/>
    <w:rsid w:val="00FE563A"/>
    <w:rsid w:val="00FE5D22"/>
    <w:rsid w:val="00FE6168"/>
    <w:rsid w:val="00FE6177"/>
    <w:rsid w:val="00FE6798"/>
    <w:rsid w:val="00FE6838"/>
    <w:rsid w:val="00FE6E59"/>
    <w:rsid w:val="00FE79D5"/>
    <w:rsid w:val="00FF022F"/>
    <w:rsid w:val="00FF0C30"/>
    <w:rsid w:val="00FF284E"/>
    <w:rsid w:val="00FF28CE"/>
    <w:rsid w:val="00FF2F0C"/>
    <w:rsid w:val="00FF399D"/>
    <w:rsid w:val="00FF3A90"/>
    <w:rsid w:val="00FF3C9D"/>
    <w:rsid w:val="00FF41BD"/>
    <w:rsid w:val="00FF4487"/>
    <w:rsid w:val="00FF44CD"/>
    <w:rsid w:val="00FF44E5"/>
    <w:rsid w:val="00FF4AD5"/>
    <w:rsid w:val="00FF4E5E"/>
    <w:rsid w:val="00FF5F76"/>
    <w:rsid w:val="00FF6AA7"/>
    <w:rsid w:val="00FF7079"/>
    <w:rsid w:val="00FF774B"/>
    <w:rsid w:val="00FF790B"/>
    <w:rsid w:val="00FF7DE8"/>
    <w:rsid w:val="03A4285C"/>
    <w:rsid w:val="064A53E9"/>
    <w:rsid w:val="064B0503"/>
    <w:rsid w:val="06D34ED5"/>
    <w:rsid w:val="090B6E5D"/>
    <w:rsid w:val="099934E2"/>
    <w:rsid w:val="0A8335BA"/>
    <w:rsid w:val="0B1234E1"/>
    <w:rsid w:val="0D431DED"/>
    <w:rsid w:val="0DCB770B"/>
    <w:rsid w:val="10645CD7"/>
    <w:rsid w:val="10E06A17"/>
    <w:rsid w:val="125B0CF7"/>
    <w:rsid w:val="128A1672"/>
    <w:rsid w:val="12DE000F"/>
    <w:rsid w:val="135841B6"/>
    <w:rsid w:val="14081719"/>
    <w:rsid w:val="145063B9"/>
    <w:rsid w:val="163B0E12"/>
    <w:rsid w:val="166149F5"/>
    <w:rsid w:val="18F83315"/>
    <w:rsid w:val="1AD3769B"/>
    <w:rsid w:val="1BE35486"/>
    <w:rsid w:val="1C0C161E"/>
    <w:rsid w:val="1C345240"/>
    <w:rsid w:val="1C5B1E7A"/>
    <w:rsid w:val="1C8C45B0"/>
    <w:rsid w:val="1E4B5E7C"/>
    <w:rsid w:val="1F563009"/>
    <w:rsid w:val="20466A61"/>
    <w:rsid w:val="22AA5273"/>
    <w:rsid w:val="264360F8"/>
    <w:rsid w:val="268B3DD7"/>
    <w:rsid w:val="280D2159"/>
    <w:rsid w:val="29766DF7"/>
    <w:rsid w:val="29D64619"/>
    <w:rsid w:val="2BAB1DF4"/>
    <w:rsid w:val="2C2742A0"/>
    <w:rsid w:val="2D6C3BC9"/>
    <w:rsid w:val="2EF80F41"/>
    <w:rsid w:val="3039594F"/>
    <w:rsid w:val="315E667F"/>
    <w:rsid w:val="32A9552F"/>
    <w:rsid w:val="347B28F0"/>
    <w:rsid w:val="34DD3DAB"/>
    <w:rsid w:val="37A83240"/>
    <w:rsid w:val="37E52578"/>
    <w:rsid w:val="382223E8"/>
    <w:rsid w:val="39D12026"/>
    <w:rsid w:val="3B3333A6"/>
    <w:rsid w:val="3B921290"/>
    <w:rsid w:val="3C841BB6"/>
    <w:rsid w:val="3CAB5993"/>
    <w:rsid w:val="3F5035D6"/>
    <w:rsid w:val="41597B99"/>
    <w:rsid w:val="41812753"/>
    <w:rsid w:val="451D667A"/>
    <w:rsid w:val="45F95EE1"/>
    <w:rsid w:val="465D2048"/>
    <w:rsid w:val="47884D42"/>
    <w:rsid w:val="47B3570B"/>
    <w:rsid w:val="48190D83"/>
    <w:rsid w:val="48E51FA5"/>
    <w:rsid w:val="4C71302B"/>
    <w:rsid w:val="4D7E642C"/>
    <w:rsid w:val="4E97659F"/>
    <w:rsid w:val="4F2A2200"/>
    <w:rsid w:val="505126D5"/>
    <w:rsid w:val="5138107B"/>
    <w:rsid w:val="517D3DBB"/>
    <w:rsid w:val="51FD4BF7"/>
    <w:rsid w:val="52025514"/>
    <w:rsid w:val="52637223"/>
    <w:rsid w:val="553C5221"/>
    <w:rsid w:val="568A41F6"/>
    <w:rsid w:val="5754551B"/>
    <w:rsid w:val="586871FC"/>
    <w:rsid w:val="5A204A60"/>
    <w:rsid w:val="5A386216"/>
    <w:rsid w:val="5B36247C"/>
    <w:rsid w:val="5BD77170"/>
    <w:rsid w:val="5CA026AB"/>
    <w:rsid w:val="5DDE0F37"/>
    <w:rsid w:val="5DED1C27"/>
    <w:rsid w:val="5E3C1CBE"/>
    <w:rsid w:val="5FBA2AA5"/>
    <w:rsid w:val="627E5545"/>
    <w:rsid w:val="630809D1"/>
    <w:rsid w:val="63BF1861"/>
    <w:rsid w:val="6D9C71A1"/>
    <w:rsid w:val="703D7505"/>
    <w:rsid w:val="72E8797B"/>
    <w:rsid w:val="75C46081"/>
    <w:rsid w:val="75E84578"/>
    <w:rsid w:val="77964EB9"/>
    <w:rsid w:val="77CC4535"/>
    <w:rsid w:val="780B16F3"/>
    <w:rsid w:val="78C07823"/>
    <w:rsid w:val="7BA42977"/>
    <w:rsid w:val="7C535605"/>
    <w:rsid w:val="7C9B230A"/>
    <w:rsid w:val="7F5412BE"/>
    <w:rsid w:val="7F797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color w:val="000000"/>
      <w:sz w:val="21"/>
      <w:szCs w:val="21"/>
      <w:lang w:val="en-US" w:eastAsia="zh-CN" w:bidi="ar-SA"/>
    </w:rPr>
  </w:style>
  <w:style w:type="paragraph" w:styleId="2">
    <w:name w:val="heading 1"/>
    <w:basedOn w:val="1"/>
    <w:next w:val="3"/>
    <w:qFormat/>
    <w:uiPriority w:val="0"/>
    <w:pPr>
      <w:keepNext/>
      <w:keepLines/>
      <w:tabs>
        <w:tab w:val="left" w:pos="432"/>
      </w:tabs>
      <w:spacing w:before="340" w:afterLines="50" w:line="578" w:lineRule="auto"/>
      <w:ind w:left="432" w:hanging="432"/>
      <w:outlineLvl w:val="0"/>
    </w:pPr>
    <w:rPr>
      <w:rFonts w:ascii="Yu Mincho Light" w:hAnsi="Yu Mincho Light" w:eastAsia="Yu Mincho Light"/>
      <w:b w:val="0"/>
      <w:bCs w:val="0"/>
      <w:spacing w:val="20"/>
      <w:kern w:val="44"/>
      <w:sz w:val="36"/>
      <w:szCs w:val="44"/>
    </w:rPr>
  </w:style>
  <w:style w:type="paragraph" w:styleId="3">
    <w:name w:val="heading 2"/>
    <w:basedOn w:val="1"/>
    <w:next w:val="1"/>
    <w:link w:val="50"/>
    <w:qFormat/>
    <w:uiPriority w:val="0"/>
    <w:pPr>
      <w:keepNext/>
      <w:keepLines/>
      <w:tabs>
        <w:tab w:val="left" w:pos="576"/>
      </w:tabs>
      <w:spacing w:before="260" w:afterLines="50" w:line="416" w:lineRule="auto"/>
      <w:ind w:left="576" w:hanging="576"/>
      <w:outlineLvl w:val="1"/>
    </w:pPr>
    <w:rPr>
      <w:rFonts w:ascii="Yu Mincho Light" w:hAnsi="Yu Mincho Light" w:eastAsia="Yu Mincho Light" w:cs="Yu Mincho Light"/>
      <w:b w:val="0"/>
      <w:bCs w:val="0"/>
      <w:spacing w:val="20"/>
      <w:sz w:val="32"/>
      <w:szCs w:val="32"/>
    </w:rPr>
  </w:style>
  <w:style w:type="paragraph" w:styleId="4">
    <w:name w:val="heading 3"/>
    <w:basedOn w:val="1"/>
    <w:next w:val="5"/>
    <w:link w:val="66"/>
    <w:qFormat/>
    <w:uiPriority w:val="0"/>
    <w:pPr>
      <w:keepNext/>
      <w:keepLines/>
      <w:tabs>
        <w:tab w:val="left" w:pos="720"/>
      </w:tabs>
      <w:spacing w:before="260" w:afterLines="50" w:line="416" w:lineRule="auto"/>
      <w:ind w:left="720" w:hanging="720"/>
      <w:outlineLvl w:val="2"/>
    </w:pPr>
    <w:rPr>
      <w:rFonts w:ascii="Yu Mincho Light" w:hAnsi="Yu Mincho Light" w:eastAsia="Yu Mincho Light"/>
      <w:b w:val="0"/>
      <w:bCs w:val="0"/>
      <w:spacing w:val="20"/>
      <w:sz w:val="30"/>
      <w:szCs w:val="32"/>
    </w:rPr>
  </w:style>
  <w:style w:type="paragraph" w:styleId="6">
    <w:name w:val="heading 4"/>
    <w:basedOn w:val="1"/>
    <w:next w:val="1"/>
    <w:qFormat/>
    <w:uiPriority w:val="0"/>
    <w:pPr>
      <w:keepNext/>
      <w:keepLines/>
      <w:tabs>
        <w:tab w:val="left" w:pos="1079"/>
      </w:tabs>
      <w:spacing w:before="280" w:afterLines="50" w:line="377" w:lineRule="auto"/>
      <w:ind w:left="1077" w:hanging="1077"/>
      <w:outlineLvl w:val="3"/>
    </w:pPr>
    <w:rPr>
      <w:rFonts w:ascii="Yu Mincho Light" w:hAnsi="Yu Mincho Light" w:eastAsia="Yu Mincho Light"/>
      <w:b w:val="0"/>
      <w:bCs w:val="0"/>
      <w:spacing w:val="10"/>
      <w:sz w:val="28"/>
      <w:szCs w:val="28"/>
    </w:rPr>
  </w:style>
  <w:style w:type="paragraph" w:styleId="7">
    <w:name w:val="heading 5"/>
    <w:basedOn w:val="1"/>
    <w:next w:val="5"/>
    <w:qFormat/>
    <w:uiPriority w:val="0"/>
    <w:pPr>
      <w:keepNext/>
      <w:keepLines/>
      <w:tabs>
        <w:tab w:val="left" w:pos="1260"/>
      </w:tabs>
      <w:spacing w:before="280" w:afterLines="50" w:line="377" w:lineRule="auto"/>
      <w:ind w:left="1259" w:hanging="1259"/>
      <w:outlineLvl w:val="4"/>
    </w:pPr>
    <w:rPr>
      <w:rFonts w:ascii="Yu Mincho Light" w:hAnsi="Yu Mincho Light" w:eastAsia="Yu Mincho Light"/>
      <w:b w:val="0"/>
      <w:bCs w:val="0"/>
      <w:spacing w:val="10"/>
      <w:sz w:val="28"/>
      <w:szCs w:val="28"/>
    </w:rPr>
  </w:style>
  <w:style w:type="paragraph" w:styleId="8">
    <w:name w:val="heading 6"/>
    <w:basedOn w:val="1"/>
    <w:next w:val="5"/>
    <w:qFormat/>
    <w:uiPriority w:val="0"/>
    <w:pPr>
      <w:keepNext/>
      <w:keepLines/>
      <w:tabs>
        <w:tab w:val="left" w:pos="1428"/>
      </w:tabs>
      <w:spacing w:before="240" w:afterLines="50" w:line="319" w:lineRule="auto"/>
      <w:ind w:left="550" w:hanging="550" w:hangingChars="550"/>
      <w:outlineLvl w:val="5"/>
    </w:pPr>
    <w:rPr>
      <w:rFonts w:ascii="Yu Mincho Light" w:hAnsi="Yu Mincho Light" w:eastAsia="Yu Mincho Light"/>
      <w:b w:val="0"/>
      <w:bCs w:val="0"/>
      <w:spacing w:val="10"/>
      <w:sz w:val="24"/>
    </w:rPr>
  </w:style>
  <w:style w:type="paragraph" w:styleId="9">
    <w:name w:val="heading 7"/>
    <w:basedOn w:val="1"/>
    <w:next w:val="5"/>
    <w:qFormat/>
    <w:uiPriority w:val="0"/>
    <w:pPr>
      <w:keepNext/>
      <w:keepLines/>
      <w:tabs>
        <w:tab w:val="left" w:pos="1638"/>
      </w:tabs>
      <w:spacing w:before="240" w:afterLines="50" w:line="319" w:lineRule="auto"/>
      <w:ind w:left="1633" w:hanging="1633"/>
      <w:outlineLvl w:val="6"/>
    </w:pPr>
    <w:rPr>
      <w:rFonts w:ascii="Yu Mincho Light" w:hAnsi="Yu Mincho Light" w:eastAsia="Yu Mincho Light"/>
      <w:b w:val="0"/>
      <w:bCs w:val="0"/>
      <w:sz w:val="24"/>
    </w:rPr>
  </w:style>
  <w:style w:type="paragraph" w:styleId="10">
    <w:name w:val="heading 8"/>
    <w:basedOn w:val="1"/>
    <w:next w:val="5"/>
    <w:qFormat/>
    <w:uiPriority w:val="0"/>
    <w:pPr>
      <w:keepNext/>
      <w:keepLines/>
      <w:tabs>
        <w:tab w:val="left" w:pos="1800"/>
      </w:tabs>
      <w:spacing w:before="240" w:afterLines="50" w:line="319" w:lineRule="auto"/>
      <w:ind w:left="1797" w:hanging="1797"/>
      <w:outlineLvl w:val="7"/>
    </w:pPr>
    <w:rPr>
      <w:rFonts w:ascii="Yu Mincho Light" w:hAnsi="Yu Mincho Light" w:eastAsia="Yu Mincho Light"/>
      <w:sz w:val="24"/>
    </w:rPr>
  </w:style>
  <w:style w:type="paragraph" w:styleId="11">
    <w:name w:val="heading 9"/>
    <w:basedOn w:val="1"/>
    <w:next w:val="5"/>
    <w:qFormat/>
    <w:uiPriority w:val="0"/>
    <w:pPr>
      <w:keepNext/>
      <w:keepLines/>
      <w:tabs>
        <w:tab w:val="left" w:pos="1980"/>
      </w:tabs>
      <w:spacing w:before="240" w:afterLines="50" w:line="319" w:lineRule="auto"/>
      <w:ind w:left="1979" w:hanging="1979"/>
      <w:outlineLvl w:val="8"/>
    </w:pPr>
    <w:rPr>
      <w:rFonts w:ascii="Yu Mincho Light" w:hAnsi="Yu Mincho Light" w:eastAsia="Yu Mincho Light"/>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3"/>
    <w:qFormat/>
    <w:uiPriority w:val="0"/>
    <w:pPr>
      <w:ind w:firstLine="420" w:firstLineChars="200"/>
    </w:pPr>
    <w:rPr>
      <w:rFonts w:ascii="Yu Mincho Light" w:hAnsi="Yu Mincho Light" w:eastAsia="Yu Mincho Light" w:cs="Yu Mincho Light"/>
    </w:rPr>
  </w:style>
  <w:style w:type="paragraph" w:styleId="12">
    <w:name w:val="caption"/>
    <w:basedOn w:val="1"/>
    <w:next w:val="1"/>
    <w:qFormat/>
    <w:uiPriority w:val="0"/>
    <w:rPr>
      <w:rFonts w:ascii="Yu Mincho Light" w:hAnsi="Yu Mincho Light" w:eastAsia="Yu Mincho Light" w:cs="Yu Mincho Light"/>
      <w:sz w:val="20"/>
      <w:szCs w:val="20"/>
    </w:rPr>
  </w:style>
  <w:style w:type="paragraph" w:styleId="13">
    <w:name w:val="List Bullet"/>
    <w:basedOn w:val="1"/>
    <w:qFormat/>
    <w:uiPriority w:val="0"/>
    <w:pPr>
      <w:spacing w:line="360" w:lineRule="auto"/>
    </w:pPr>
    <w:rPr>
      <w:rFonts w:ascii="Yu Mincho Light" w:eastAsia="Yu Mincho Light" w:cs="Yu Mincho Light"/>
      <w:b w:val="0"/>
      <w:bCs w:val="0"/>
      <w:color w:val="auto"/>
      <w:kern w:val="2"/>
      <w:sz w:val="20"/>
      <w:szCs w:val="20"/>
    </w:rPr>
  </w:style>
  <w:style w:type="paragraph" w:styleId="14">
    <w:name w:val="Document Map"/>
    <w:basedOn w:val="1"/>
    <w:semiHidden/>
    <w:qFormat/>
    <w:uiPriority w:val="0"/>
    <w:pPr>
      <w:shd w:val="clear" w:color="auto" w:fill="000080"/>
    </w:pPr>
    <w:rPr>
      <w:rFonts w:ascii="Yu Mincho Light" w:hAnsi="Yu Mincho Light" w:eastAsia="Yu Mincho Light" w:cs="Yu Mincho Light"/>
      <w:b w:val="0"/>
      <w:bCs w:val="0"/>
      <w:color w:val="auto"/>
      <w:kern w:val="2"/>
      <w:szCs w:val="24"/>
    </w:rPr>
  </w:style>
  <w:style w:type="paragraph" w:styleId="15">
    <w:name w:val="toa heading"/>
    <w:basedOn w:val="1"/>
    <w:next w:val="1"/>
    <w:qFormat/>
    <w:uiPriority w:val="0"/>
    <w:pPr>
      <w:spacing w:before="120"/>
    </w:pPr>
    <w:rPr>
      <w:rFonts w:ascii="Yu Mincho Light" w:hAnsi="Yu Mincho Light" w:cs="Yu Mincho Light"/>
      <w:sz w:val="24"/>
    </w:rPr>
  </w:style>
  <w:style w:type="paragraph" w:styleId="16">
    <w:name w:val="annotation text"/>
    <w:basedOn w:val="1"/>
    <w:semiHidden/>
    <w:qFormat/>
    <w:uiPriority w:val="0"/>
    <w:pPr>
      <w:jc w:val="left"/>
    </w:pPr>
    <w:rPr>
      <w:rFonts w:ascii="Yu Mincho Light" w:hAnsi="Yu Mincho Light" w:eastAsia="Yu Mincho Light" w:cs="Yu Mincho Light"/>
      <w:b w:val="0"/>
      <w:bCs w:val="0"/>
      <w:color w:val="auto"/>
      <w:kern w:val="2"/>
      <w:szCs w:val="24"/>
    </w:rPr>
  </w:style>
  <w:style w:type="paragraph" w:styleId="17">
    <w:name w:val="Body Text"/>
    <w:basedOn w:val="1"/>
    <w:qFormat/>
    <w:uiPriority w:val="0"/>
    <w:pPr>
      <w:spacing w:after="120"/>
    </w:pPr>
    <w:rPr>
      <w:rFonts w:ascii="Yu Mincho Light" w:hAnsi="Yu Mincho Light" w:eastAsia="Yu Mincho Light" w:cs="Yu Mincho Light"/>
      <w:b w:val="0"/>
      <w:bCs w:val="0"/>
      <w:color w:val="auto"/>
      <w:kern w:val="2"/>
      <w:szCs w:val="24"/>
    </w:rPr>
  </w:style>
  <w:style w:type="paragraph" w:styleId="18">
    <w:name w:val="Body Text Indent"/>
    <w:basedOn w:val="1"/>
    <w:qFormat/>
    <w:uiPriority w:val="0"/>
    <w:pPr>
      <w:spacing w:after="120"/>
      <w:ind w:left="420" w:leftChars="200"/>
    </w:pPr>
    <w:rPr>
      <w:rFonts w:ascii="Yu Mincho Light" w:hAnsi="Yu Mincho Light" w:eastAsia="Yu Mincho Light" w:cs="Yu Mincho Light"/>
      <w:b w:val="0"/>
      <w:bCs w:val="0"/>
      <w:color w:val="auto"/>
      <w:kern w:val="2"/>
      <w:szCs w:val="24"/>
    </w:rPr>
  </w:style>
  <w:style w:type="paragraph" w:styleId="19">
    <w:name w:val="List Number 3"/>
    <w:basedOn w:val="1"/>
    <w:qFormat/>
    <w:uiPriority w:val="0"/>
    <w:pPr>
      <w:widowControl/>
      <w:tabs>
        <w:tab w:val="left" w:pos="2260"/>
      </w:tabs>
      <w:spacing w:afterLines="50"/>
      <w:ind w:left="2260" w:hanging="340"/>
      <w:jc w:val="left"/>
    </w:pPr>
    <w:rPr>
      <w:rFonts w:ascii="Yu Mincho Light" w:hAnsi="Yu Mincho Light" w:eastAsia="Yu Mincho Light" w:cs="Yu Mincho Light"/>
      <w:b w:val="0"/>
      <w:bCs w:val="0"/>
      <w:color w:val="auto"/>
      <w:sz w:val="24"/>
      <w:szCs w:val="20"/>
    </w:rPr>
  </w:style>
  <w:style w:type="paragraph" w:styleId="20">
    <w:name w:val="toc 3"/>
    <w:basedOn w:val="1"/>
    <w:next w:val="1"/>
    <w:semiHidden/>
    <w:qFormat/>
    <w:uiPriority w:val="0"/>
    <w:pPr>
      <w:tabs>
        <w:tab w:val="right" w:leader="dot" w:pos="8987"/>
      </w:tabs>
      <w:adjustRightInd w:val="0"/>
      <w:snapToGrid w:val="0"/>
      <w:spacing w:beforeLines="50" w:afterLines="50" w:line="400" w:lineRule="atLeast"/>
      <w:textAlignment w:val="baseline"/>
    </w:pPr>
    <w:rPr>
      <w:rFonts w:ascii="Yu Mincho Light" w:hAnsi="Yu Mincho Light" w:cs="Yu Mincho Light"/>
      <w:bCs w:val="0"/>
      <w:sz w:val="28"/>
      <w:szCs w:val="28"/>
    </w:rPr>
  </w:style>
  <w:style w:type="paragraph" w:styleId="21">
    <w:name w:val="Plain Text"/>
    <w:basedOn w:val="1"/>
    <w:link w:val="71"/>
    <w:qFormat/>
    <w:uiPriority w:val="0"/>
    <w:rPr>
      <w:rFonts w:ascii="Yu Mincho Light" w:hAnsi="Yu Mincho Light" w:eastAsia="Yu Mincho Light"/>
      <w:szCs w:val="20"/>
    </w:rPr>
  </w:style>
  <w:style w:type="paragraph" w:styleId="22">
    <w:name w:val="Date"/>
    <w:basedOn w:val="1"/>
    <w:next w:val="1"/>
    <w:qFormat/>
    <w:uiPriority w:val="0"/>
    <w:pPr>
      <w:ind w:left="100" w:leftChars="2500"/>
    </w:pPr>
    <w:rPr>
      <w:sz w:val="24"/>
    </w:rPr>
  </w:style>
  <w:style w:type="paragraph" w:styleId="23">
    <w:name w:val="Body Text Indent 2"/>
    <w:basedOn w:val="1"/>
    <w:link w:val="121"/>
    <w:qFormat/>
    <w:uiPriority w:val="0"/>
    <w:pPr>
      <w:widowControl/>
      <w:spacing w:line="480" w:lineRule="atLeast"/>
      <w:ind w:firstLine="480"/>
    </w:pPr>
    <w:rPr>
      <w:rFonts w:ascii="Yu Mincho Light"/>
      <w:sz w:val="24"/>
      <w:szCs w:val="20"/>
    </w:rPr>
  </w:style>
  <w:style w:type="paragraph" w:styleId="24">
    <w:name w:val="Balloon Text"/>
    <w:basedOn w:val="1"/>
    <w:link w:val="122"/>
    <w:qFormat/>
    <w:uiPriority w:val="0"/>
    <w:rPr>
      <w:sz w:val="18"/>
      <w:szCs w:val="18"/>
    </w:rPr>
  </w:style>
  <w:style w:type="paragraph" w:styleId="25">
    <w:name w:val="footer"/>
    <w:basedOn w:val="1"/>
    <w:link w:val="43"/>
    <w:qFormat/>
    <w:uiPriority w:val="99"/>
    <w:pPr>
      <w:tabs>
        <w:tab w:val="center" w:pos="4153"/>
        <w:tab w:val="right" w:pos="8306"/>
      </w:tabs>
      <w:snapToGrid w:val="0"/>
      <w:jc w:val="left"/>
    </w:pPr>
    <w:rPr>
      <w:rFonts w:ascii="Yu Mincho Light" w:hAnsi="Yu Mincho Light" w:eastAsia="Yu Mincho Light"/>
      <w:sz w:val="18"/>
      <w:szCs w:val="18"/>
    </w:rPr>
  </w:style>
  <w:style w:type="paragraph" w:styleId="26">
    <w:name w:val="header"/>
    <w:basedOn w:val="1"/>
    <w:link w:val="48"/>
    <w:qFormat/>
    <w:uiPriority w:val="0"/>
    <w:pPr>
      <w:pBdr>
        <w:bottom w:val="single" w:color="auto" w:sz="6" w:space="1"/>
      </w:pBdr>
      <w:tabs>
        <w:tab w:val="center" w:pos="4153"/>
        <w:tab w:val="right" w:pos="8306"/>
      </w:tabs>
      <w:snapToGrid w:val="0"/>
      <w:jc w:val="center"/>
    </w:pPr>
    <w:rPr>
      <w:rFonts w:ascii="Yu Mincho Light" w:hAnsi="Yu Mincho Light" w:eastAsia="Yu Mincho Light" w:cs="Yu Mincho Light"/>
      <w:sz w:val="18"/>
      <w:szCs w:val="18"/>
    </w:rPr>
  </w:style>
  <w:style w:type="paragraph" w:styleId="27">
    <w:name w:val="toc 1"/>
    <w:basedOn w:val="1"/>
    <w:next w:val="1"/>
    <w:semiHidden/>
    <w:qFormat/>
    <w:uiPriority w:val="0"/>
    <w:pPr>
      <w:jc w:val="center"/>
    </w:pPr>
    <w:rPr>
      <w:rFonts w:ascii="Yu Mincho Light" w:hAnsi="Yu Mincho Light" w:eastAsia="Yu Mincho Light" w:cs="Yu Mincho Light"/>
      <w:b w:val="0"/>
      <w:bCs w:val="0"/>
      <w:color w:val="auto"/>
      <w:kern w:val="2"/>
      <w:szCs w:val="24"/>
    </w:rPr>
  </w:style>
  <w:style w:type="paragraph" w:styleId="28">
    <w:name w:val="toc 6"/>
    <w:basedOn w:val="1"/>
    <w:next w:val="1"/>
    <w:qFormat/>
    <w:uiPriority w:val="39"/>
    <w:pPr>
      <w:ind w:left="1050"/>
      <w:jc w:val="left"/>
    </w:pPr>
    <w:rPr>
      <w:rFonts w:ascii="Century Gothic" w:hAnsi="Century Gothic"/>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semiHidden/>
    <w:qFormat/>
    <w:uiPriority w:val="0"/>
    <w:pPr>
      <w:ind w:left="420" w:leftChars="200"/>
    </w:pPr>
    <w:rPr>
      <w:rFonts w:ascii="Yu Mincho Light" w:hAnsi="Yu Mincho Light" w:eastAsia="Yu Mincho Light" w:cs="Yu Mincho Light"/>
      <w:b w:val="0"/>
      <w:bCs w:val="0"/>
      <w:color w:val="auto"/>
      <w:kern w:val="2"/>
      <w:szCs w:val="24"/>
    </w:rPr>
  </w:style>
  <w:style w:type="paragraph" w:styleId="31">
    <w:name w:val="Normal (Web)"/>
    <w:basedOn w:val="1"/>
    <w:qFormat/>
    <w:uiPriority w:val="99"/>
    <w:pPr>
      <w:widowControl/>
      <w:spacing w:afterLines="50"/>
      <w:jc w:val="left"/>
    </w:pPr>
    <w:rPr>
      <w:rFonts w:ascii="Yu Mincho Light" w:hAnsi="Yu Mincho Light" w:eastAsia="Yu Mincho Light" w:cs="Yu Mincho Light"/>
      <w:b w:val="0"/>
      <w:bCs w:val="0"/>
      <w:color w:val="auto"/>
      <w:sz w:val="24"/>
      <w:szCs w:val="24"/>
    </w:rPr>
  </w:style>
  <w:style w:type="paragraph" w:styleId="32">
    <w:name w:val="Title"/>
    <w:basedOn w:val="1"/>
    <w:next w:val="1"/>
    <w:link w:val="123"/>
    <w:qFormat/>
    <w:uiPriority w:val="0"/>
    <w:pPr>
      <w:spacing w:before="240" w:after="60"/>
      <w:jc w:val="center"/>
      <w:outlineLvl w:val="0"/>
    </w:pPr>
    <w:rPr>
      <w:rFonts w:ascii="Cambria" w:hAnsi="Cambria" w:eastAsia="Cambria" w:cs="Cambria"/>
      <w:bCs w:val="0"/>
      <w:kern w:val="1"/>
      <w:sz w:val="32"/>
      <w:szCs w:val="32"/>
    </w:rPr>
  </w:style>
  <w:style w:type="paragraph" w:styleId="33">
    <w:name w:val="annotation subject"/>
    <w:basedOn w:val="16"/>
    <w:next w:val="16"/>
    <w:semiHidden/>
    <w:qFormat/>
    <w:uiPriority w:val="0"/>
    <w:rPr>
      <w:b/>
      <w:bCs/>
      <w:color w:val="000000"/>
      <w:kern w:val="0"/>
      <w:szCs w:val="21"/>
    </w:rPr>
  </w:style>
  <w:style w:type="paragraph" w:styleId="34">
    <w:name w:val="Body Text First Indent"/>
    <w:basedOn w:val="17"/>
    <w:next w:val="28"/>
    <w:qFormat/>
    <w:uiPriority w:val="0"/>
    <w:pPr>
      <w:ind w:firstLine="420" w:firstLineChars="100"/>
    </w:pPr>
    <w:rPr>
      <w:rFonts w:ascii="仿宋_GB2312" w:hAnsi="宋体" w:eastAsia="仿宋_GB2312" w:cs="宋体"/>
      <w:b/>
      <w:bCs/>
      <w:color w:val="000000"/>
      <w:kern w:val="0"/>
      <w:szCs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Hyperlink"/>
    <w:qFormat/>
    <w:uiPriority w:val="0"/>
    <w:rPr>
      <w:color w:val="0000FF"/>
      <w:u w:val="single"/>
    </w:rPr>
  </w:style>
  <w:style w:type="character" w:styleId="41">
    <w:name w:val="annotation reference"/>
    <w:semiHidden/>
    <w:qFormat/>
    <w:uiPriority w:val="0"/>
    <w:rPr>
      <w:sz w:val="21"/>
      <w:szCs w:val="21"/>
    </w:rPr>
  </w:style>
  <w:style w:type="paragraph" w:customStyle="1" w:styleId="42">
    <w:name w:val="表格文字"/>
    <w:basedOn w:val="1"/>
    <w:next w:val="17"/>
    <w:qFormat/>
    <w:uiPriority w:val="0"/>
    <w:pPr>
      <w:jc w:val="left"/>
      <w:textAlignment w:val="top"/>
    </w:pPr>
    <w:rPr>
      <w:b w:val="0"/>
      <w:bCs w:val="0"/>
      <w:color w:val="auto"/>
      <w:kern w:val="2"/>
      <w:sz w:val="18"/>
      <w:szCs w:val="24"/>
    </w:rPr>
  </w:style>
  <w:style w:type="character" w:customStyle="1" w:styleId="43">
    <w:name w:val="页脚 字符"/>
    <w:link w:val="25"/>
    <w:qFormat/>
    <w:uiPriority w:val="99"/>
    <w:rPr>
      <w:rFonts w:ascii="Yu Mincho Light" w:hAnsi="Yu Mincho Light" w:eastAsia="Yu Mincho Light" w:cs="Yu Mincho Light"/>
      <w:b/>
      <w:bCs/>
      <w:color w:val="000000"/>
      <w:sz w:val="18"/>
      <w:szCs w:val="18"/>
    </w:rPr>
  </w:style>
  <w:style w:type="character" w:customStyle="1" w:styleId="44">
    <w:name w:val="ca-2"/>
    <w:basedOn w:val="37"/>
    <w:qFormat/>
    <w:uiPriority w:val="0"/>
  </w:style>
  <w:style w:type="character" w:customStyle="1" w:styleId="45">
    <w:name w:val="正文缩进 字符"/>
    <w:qFormat/>
    <w:uiPriority w:val="0"/>
    <w:rPr>
      <w:kern w:val="2"/>
      <w:sz w:val="21"/>
    </w:rPr>
  </w:style>
  <w:style w:type="character" w:customStyle="1" w:styleId="46">
    <w:name w:val="ca-3"/>
    <w:basedOn w:val="37"/>
    <w:qFormat/>
    <w:uiPriority w:val="0"/>
  </w:style>
  <w:style w:type="character" w:customStyle="1" w:styleId="47">
    <w:name w:val="bookmark-item"/>
    <w:basedOn w:val="37"/>
    <w:qFormat/>
    <w:uiPriority w:val="0"/>
  </w:style>
  <w:style w:type="character" w:customStyle="1" w:styleId="48">
    <w:name w:val="页眉 字符1"/>
    <w:link w:val="26"/>
    <w:qFormat/>
    <w:uiPriority w:val="0"/>
    <w:rPr>
      <w:rFonts w:ascii="Yu Mincho Light" w:hAnsi="Yu Mincho Light" w:eastAsia="Yu Mincho Light" w:cs="Yu Mincho Light"/>
      <w:b/>
      <w:bCs/>
      <w:color w:val="000000"/>
      <w:sz w:val="18"/>
      <w:szCs w:val="18"/>
      <w:lang w:val="en-US" w:eastAsia="zh-CN" w:bidi="ar-SA"/>
    </w:rPr>
  </w:style>
  <w:style w:type="character" w:customStyle="1" w:styleId="49">
    <w:name w:val="Plain Text Char"/>
    <w:semiHidden/>
    <w:qFormat/>
    <w:locked/>
    <w:uiPriority w:val="0"/>
    <w:rPr>
      <w:rFonts w:ascii="Yu Mincho Light" w:hAnsi="Yu Mincho Light" w:eastAsia="Yu Mincho Light" w:cs="Yu Mincho Light"/>
      <w:b/>
      <w:color w:val="000000"/>
      <w:kern w:val="0"/>
      <w:sz w:val="20"/>
      <w:szCs w:val="20"/>
    </w:rPr>
  </w:style>
  <w:style w:type="character" w:customStyle="1" w:styleId="50">
    <w:name w:val="标题 2 字符"/>
    <w:link w:val="3"/>
    <w:qFormat/>
    <w:uiPriority w:val="0"/>
    <w:rPr>
      <w:rFonts w:ascii="Yu Mincho Light" w:hAnsi="Yu Mincho Light" w:eastAsia="Yu Mincho Light" w:cs="Yu Mincho Light"/>
      <w:color w:val="000000"/>
      <w:spacing w:val="20"/>
      <w:sz w:val="32"/>
      <w:szCs w:val="32"/>
    </w:rPr>
  </w:style>
  <w:style w:type="character" w:customStyle="1" w:styleId="51">
    <w:name w:val="列表段落 字符"/>
    <w:link w:val="52"/>
    <w:qFormat/>
    <w:locked/>
    <w:uiPriority w:val="0"/>
    <w:rPr>
      <w:rFonts w:ascii="Yu Mincho Light" w:hAnsi="Yu Mincho Light" w:eastAsia="Yu Mincho Light"/>
      <w:kern w:val="2"/>
      <w:sz w:val="21"/>
      <w:szCs w:val="22"/>
      <w:lang w:val="en-US" w:eastAsia="zh-CN" w:bidi="ar-SA"/>
    </w:rPr>
  </w:style>
  <w:style w:type="paragraph" w:styleId="52">
    <w:name w:val="List Paragraph"/>
    <w:basedOn w:val="1"/>
    <w:link w:val="51"/>
    <w:qFormat/>
    <w:uiPriority w:val="34"/>
    <w:pPr>
      <w:ind w:firstLine="420" w:firstLineChars="200"/>
    </w:pPr>
    <w:rPr>
      <w:rFonts w:ascii="Yu Mincho Light" w:hAnsi="Yu Mincho Light" w:eastAsia="Yu Mincho Light"/>
      <w:b w:val="0"/>
      <w:bCs w:val="0"/>
      <w:color w:val="auto"/>
      <w:kern w:val="2"/>
      <w:szCs w:val="22"/>
    </w:rPr>
  </w:style>
  <w:style w:type="character" w:customStyle="1" w:styleId="53">
    <w:name w:val="正文缩进 字符1"/>
    <w:link w:val="5"/>
    <w:qFormat/>
    <w:uiPriority w:val="0"/>
    <w:rPr>
      <w:rFonts w:ascii="Yu Mincho Light" w:hAnsi="Yu Mincho Light" w:eastAsia="Yu Mincho Light" w:cs="Yu Mincho Light"/>
      <w:b/>
      <w:bCs/>
      <w:color w:val="000000"/>
      <w:sz w:val="21"/>
      <w:szCs w:val="21"/>
      <w:lang w:val="en-US" w:eastAsia="zh-CN" w:bidi="ar-SA"/>
    </w:rPr>
  </w:style>
  <w:style w:type="character" w:customStyle="1" w:styleId="54">
    <w:name w:val="Char Char"/>
    <w:qFormat/>
    <w:uiPriority w:val="0"/>
    <w:rPr>
      <w:rFonts w:ascii="Yu Mincho Light" w:hAnsi="Yu Mincho Light" w:eastAsia="Yu Mincho Light"/>
      <w:b/>
      <w:bCs/>
      <w:color w:val="000000"/>
      <w:sz w:val="21"/>
      <w:lang w:val="en-US" w:eastAsia="zh-CN" w:bidi="ar-SA"/>
    </w:rPr>
  </w:style>
  <w:style w:type="character" w:customStyle="1" w:styleId="55">
    <w:name w:val="unnamed11"/>
    <w:basedOn w:val="37"/>
    <w:qFormat/>
    <w:uiPriority w:val="0"/>
  </w:style>
  <w:style w:type="character" w:customStyle="1" w:styleId="56">
    <w:name w:val="apple-converted-space"/>
    <w:basedOn w:val="37"/>
    <w:qFormat/>
    <w:uiPriority w:val="0"/>
  </w:style>
  <w:style w:type="character" w:customStyle="1" w:styleId="57">
    <w:name w:val="纯文本 Char3"/>
    <w:qFormat/>
    <w:uiPriority w:val="0"/>
    <w:rPr>
      <w:rFonts w:ascii="宋体" w:hAnsi="Courier New"/>
      <w:kern w:val="2"/>
      <w:sz w:val="21"/>
    </w:rPr>
  </w:style>
  <w:style w:type="character" w:customStyle="1" w:styleId="58">
    <w:name w:val="纯文本 Char1"/>
    <w:qFormat/>
    <w:uiPriority w:val="0"/>
    <w:rPr>
      <w:rFonts w:ascii="宋体" w:hAnsi="Courier New" w:eastAsia="仿宋_GB2312" w:cs="宋体"/>
      <w:b/>
      <w:bCs/>
      <w:color w:val="000000"/>
      <w:sz w:val="21"/>
    </w:rPr>
  </w:style>
  <w:style w:type="character" w:customStyle="1" w:styleId="59">
    <w:name w:val="Texte Char Char"/>
    <w:qFormat/>
    <w:uiPriority w:val="0"/>
    <w:rPr>
      <w:rFonts w:ascii="Yu Mincho Light" w:hAnsi="Yu Mincho Light" w:eastAsia="Yu Mincho Light"/>
      <w:kern w:val="2"/>
      <w:sz w:val="21"/>
      <w:lang w:val="en-US" w:eastAsia="zh-CN" w:bidi="ar-SA"/>
    </w:rPr>
  </w:style>
  <w:style w:type="character" w:customStyle="1" w:styleId="60">
    <w:name w:val="正文缩进 Char"/>
    <w:qFormat/>
    <w:uiPriority w:val="0"/>
    <w:rPr>
      <w:rFonts w:ascii="Yu Mincho Light" w:hAnsi="Yu Mincho Light" w:eastAsia="Yu Mincho Light" w:cs="Yu Mincho Light"/>
      <w:b/>
      <w:bCs/>
      <w:color w:val="000000"/>
      <w:sz w:val="21"/>
      <w:szCs w:val="21"/>
    </w:rPr>
  </w:style>
  <w:style w:type="character" w:customStyle="1" w:styleId="61">
    <w:name w:val="ca-4"/>
    <w:basedOn w:val="37"/>
    <w:qFormat/>
    <w:uiPriority w:val="0"/>
  </w:style>
  <w:style w:type="character" w:customStyle="1" w:styleId="62">
    <w:name w:val="普通文字 Char Char1"/>
    <w:qFormat/>
    <w:uiPriority w:val="0"/>
    <w:rPr>
      <w:rFonts w:ascii="Yu Mincho Light" w:hAnsi="Yu Mincho Light" w:eastAsia="Yu Mincho Light"/>
      <w:kern w:val="2"/>
      <w:sz w:val="21"/>
      <w:lang w:val="en-US" w:eastAsia="zh-CN" w:bidi="ar-SA"/>
    </w:rPr>
  </w:style>
  <w:style w:type="character" w:customStyle="1" w:styleId="63">
    <w:name w:val="自定义正文 Char"/>
    <w:link w:val="64"/>
    <w:qFormat/>
    <w:uiPriority w:val="0"/>
    <w:rPr>
      <w:kern w:val="2"/>
      <w:sz w:val="24"/>
      <w:lang w:bidi="ar-SA"/>
    </w:rPr>
  </w:style>
  <w:style w:type="paragraph" w:customStyle="1" w:styleId="64">
    <w:name w:val="自定义正文"/>
    <w:basedOn w:val="1"/>
    <w:link w:val="63"/>
    <w:qFormat/>
    <w:uiPriority w:val="0"/>
    <w:pPr>
      <w:spacing w:afterLines="50" w:line="360" w:lineRule="auto"/>
      <w:ind w:firstLine="200" w:firstLineChars="200"/>
      <w:jc w:val="left"/>
    </w:pPr>
    <w:rPr>
      <w:b w:val="0"/>
      <w:bCs w:val="0"/>
      <w:color w:val="auto"/>
      <w:kern w:val="2"/>
      <w:sz w:val="24"/>
      <w:szCs w:val="20"/>
    </w:rPr>
  </w:style>
  <w:style w:type="character" w:customStyle="1" w:styleId="65">
    <w:name w:val="页眉 字符"/>
    <w:qFormat/>
    <w:uiPriority w:val="0"/>
    <w:rPr>
      <w:kern w:val="2"/>
      <w:sz w:val="18"/>
      <w:szCs w:val="18"/>
    </w:rPr>
  </w:style>
  <w:style w:type="character" w:customStyle="1" w:styleId="66">
    <w:name w:val="标题 3 字符"/>
    <w:link w:val="4"/>
    <w:qFormat/>
    <w:uiPriority w:val="0"/>
    <w:rPr>
      <w:rFonts w:ascii="Yu Mincho Light" w:hAnsi="Yu Mincho Light" w:eastAsia="Yu Mincho Light"/>
      <w:color w:val="000000"/>
      <w:spacing w:val="20"/>
      <w:sz w:val="30"/>
      <w:szCs w:val="32"/>
    </w:rPr>
  </w:style>
  <w:style w:type="character" w:customStyle="1" w:styleId="67">
    <w:name w:val="正文 1.5 倍行距 Char"/>
    <w:link w:val="68"/>
    <w:qFormat/>
    <w:uiPriority w:val="0"/>
    <w:rPr>
      <w:sz w:val="24"/>
      <w:lang w:bidi="ar-SA"/>
    </w:rPr>
  </w:style>
  <w:style w:type="paragraph" w:customStyle="1" w:styleId="68">
    <w:name w:val="正文 1.5 倍行距"/>
    <w:basedOn w:val="1"/>
    <w:link w:val="67"/>
    <w:qFormat/>
    <w:uiPriority w:val="0"/>
    <w:pPr>
      <w:autoSpaceDE w:val="0"/>
      <w:autoSpaceDN w:val="0"/>
      <w:adjustRightInd w:val="0"/>
      <w:spacing w:line="360" w:lineRule="auto"/>
      <w:ind w:firstLine="480" w:firstLineChars="200"/>
      <w:textAlignment w:val="baseline"/>
    </w:pPr>
    <w:rPr>
      <w:b w:val="0"/>
      <w:bCs w:val="0"/>
      <w:color w:val="auto"/>
      <w:sz w:val="24"/>
      <w:szCs w:val="20"/>
    </w:rPr>
  </w:style>
  <w:style w:type="character" w:customStyle="1" w:styleId="69">
    <w:name w:val="apple-style-span"/>
    <w:basedOn w:val="37"/>
    <w:qFormat/>
    <w:uiPriority w:val="0"/>
  </w:style>
  <w:style w:type="character" w:customStyle="1" w:styleId="70">
    <w:name w:val="ca-5"/>
    <w:basedOn w:val="37"/>
    <w:qFormat/>
    <w:uiPriority w:val="0"/>
  </w:style>
  <w:style w:type="character" w:customStyle="1" w:styleId="71">
    <w:name w:val="纯文本 字符2"/>
    <w:link w:val="21"/>
    <w:qFormat/>
    <w:uiPriority w:val="0"/>
    <w:rPr>
      <w:rFonts w:ascii="Yu Mincho Light" w:hAnsi="Yu Mincho Light" w:eastAsia="Yu Mincho Light" w:cs="Yu Mincho Light"/>
      <w:b/>
      <w:bCs/>
      <w:color w:val="000000"/>
      <w:sz w:val="21"/>
    </w:rPr>
  </w:style>
  <w:style w:type="character" w:customStyle="1" w:styleId="72">
    <w:name w:val="unnamed51"/>
    <w:qFormat/>
    <w:uiPriority w:val="0"/>
    <w:rPr>
      <w:sz w:val="22"/>
      <w:szCs w:val="22"/>
    </w:rPr>
  </w:style>
  <w:style w:type="character" w:customStyle="1" w:styleId="73">
    <w:name w:val="sub"/>
    <w:basedOn w:val="37"/>
    <w:qFormat/>
    <w:uiPriority w:val="0"/>
  </w:style>
  <w:style w:type="character" w:customStyle="1" w:styleId="74">
    <w:name w:val="ca-1"/>
    <w:basedOn w:val="37"/>
    <w:qFormat/>
    <w:uiPriority w:val="0"/>
  </w:style>
  <w:style w:type="character" w:customStyle="1" w:styleId="75">
    <w:name w:val="纯文本 字符"/>
    <w:qFormat/>
    <w:uiPriority w:val="0"/>
    <w:rPr>
      <w:rFonts w:ascii="Yu Mincho Light" w:hAnsi="Yu Mincho Light"/>
      <w:kern w:val="2"/>
      <w:sz w:val="21"/>
    </w:rPr>
  </w:style>
  <w:style w:type="character" w:customStyle="1" w:styleId="76">
    <w:name w:val="强调1"/>
    <w:qFormat/>
    <w:uiPriority w:val="0"/>
    <w:rPr>
      <w:caps/>
      <w:sz w:val="18"/>
    </w:rPr>
  </w:style>
  <w:style w:type="character" w:customStyle="1" w:styleId="77">
    <w:name w:val="正文缩进 Char1"/>
    <w:qFormat/>
    <w:uiPriority w:val="0"/>
    <w:rPr>
      <w:kern w:val="2"/>
      <w:sz w:val="21"/>
    </w:rPr>
  </w:style>
  <w:style w:type="paragraph" w:customStyle="1" w:styleId="78">
    <w:name w:val="无间隔1"/>
    <w:qFormat/>
    <w:uiPriority w:val="0"/>
    <w:pPr>
      <w:widowControl w:val="0"/>
      <w:jc w:val="both"/>
    </w:pPr>
    <w:rPr>
      <w:rFonts w:ascii="Times New Roman" w:hAnsi="Times New Roman" w:eastAsia="宋体" w:cs="Times New Roman"/>
      <w:b/>
      <w:color w:val="000000"/>
      <w:sz w:val="21"/>
      <w:lang w:val="en-US" w:eastAsia="zh-CN" w:bidi="ar-SA"/>
    </w:rPr>
  </w:style>
  <w:style w:type="paragraph" w:customStyle="1" w:styleId="79">
    <w:name w:val="列出段落1"/>
    <w:basedOn w:val="1"/>
    <w:qFormat/>
    <w:uiPriority w:val="0"/>
    <w:pPr>
      <w:ind w:firstLine="420" w:firstLineChars="200"/>
    </w:pPr>
    <w:rPr>
      <w:rFonts w:ascii="Yu Mincho Light" w:hAnsi="Yu Mincho Light" w:eastAsia="Yu Mincho Light" w:cs="Yu Mincho Light"/>
      <w:b w:val="0"/>
      <w:bCs w:val="0"/>
      <w:color w:val="auto"/>
      <w:kern w:val="2"/>
      <w:szCs w:val="20"/>
    </w:rPr>
  </w:style>
  <w:style w:type="paragraph" w:customStyle="1" w:styleId="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Yu Mincho Light" w:hAnsi="Yu Mincho Light" w:eastAsia="Yu Mincho Light" w:cs="Yu Mincho Light"/>
      <w:b w:val="0"/>
      <w:bCs w:val="0"/>
      <w:color w:val="auto"/>
      <w:sz w:val="24"/>
      <w:szCs w:val="24"/>
    </w:rPr>
  </w:style>
  <w:style w:type="paragraph" w:customStyle="1" w:styleId="81">
    <w:name w:val="1"/>
    <w:basedOn w:val="14"/>
    <w:qFormat/>
    <w:uiPriority w:val="0"/>
    <w:rPr>
      <w:sz w:val="24"/>
    </w:rPr>
  </w:style>
  <w:style w:type="paragraph" w:customStyle="1" w:styleId="82">
    <w:name w:val="p16"/>
    <w:qFormat/>
    <w:uiPriority w:val="0"/>
    <w:pPr>
      <w:jc w:val="both"/>
    </w:pPr>
    <w:rPr>
      <w:rFonts w:ascii="宋体" w:hAnsi="宋体" w:eastAsia="宋体" w:cs="宋体"/>
      <w:sz w:val="21"/>
      <w:szCs w:val="21"/>
      <w:lang w:val="en-US" w:eastAsia="zh-CN" w:bidi="ar-SA"/>
    </w:rPr>
  </w:style>
  <w:style w:type="paragraph" w:customStyle="1" w:styleId="83">
    <w:name w:val="pa-6"/>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4">
    <w:name w:val="Char Char Char Char"/>
    <w:basedOn w:val="14"/>
    <w:qFormat/>
    <w:uiPriority w:val="0"/>
    <w:rPr>
      <w:sz w:val="24"/>
    </w:rPr>
  </w:style>
  <w:style w:type="paragraph" w:customStyle="1" w:styleId="85">
    <w:name w:val="图注"/>
    <w:basedOn w:val="12"/>
    <w:qFormat/>
    <w:uiPriority w:val="0"/>
    <w:pPr>
      <w:jc w:val="center"/>
    </w:pPr>
    <w:rPr>
      <w:b w:val="0"/>
      <w:bCs w:val="0"/>
      <w:color w:val="auto"/>
      <w:spacing w:val="30"/>
      <w:kern w:val="2"/>
      <w:sz w:val="21"/>
    </w:rPr>
  </w:style>
  <w:style w:type="paragraph" w:customStyle="1" w:styleId="8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Yu Mincho Light" w:eastAsia="Yu Mincho Light" w:cs="Yu Mincho Light"/>
      <w:color w:val="auto"/>
      <w:sz w:val="28"/>
      <w:szCs w:val="28"/>
    </w:rPr>
  </w:style>
  <w:style w:type="paragraph" w:customStyle="1" w:styleId="87">
    <w:name w:val="Char Char1"/>
    <w:basedOn w:val="14"/>
    <w:qFormat/>
    <w:uiPriority w:val="0"/>
    <w:rPr>
      <w:sz w:val="24"/>
    </w:rPr>
  </w:style>
  <w:style w:type="paragraph" w:customStyle="1" w:styleId="88">
    <w:name w:val="pa-4"/>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9">
    <w:name w:val="Char Char Char Char Char"/>
    <w:basedOn w:val="1"/>
    <w:qFormat/>
    <w:uiPriority w:val="0"/>
    <w:pPr>
      <w:widowControl/>
      <w:spacing w:after="160" w:line="240" w:lineRule="exact"/>
      <w:jc w:val="left"/>
    </w:pPr>
    <w:rPr>
      <w:rFonts w:ascii="Yu Mincho Light" w:hAnsi="Yu Mincho Light" w:eastAsia="Yu Mincho Light" w:cs="Yu Mincho Light"/>
      <w:b w:val="0"/>
      <w:bCs w:val="0"/>
      <w:color w:val="auto"/>
      <w:szCs w:val="20"/>
      <w:lang w:eastAsia="en-US"/>
    </w:rPr>
  </w:style>
  <w:style w:type="paragraph" w:customStyle="1" w:styleId="90">
    <w:name w:val="正文段"/>
    <w:basedOn w:val="1"/>
    <w:qFormat/>
    <w:uiPriority w:val="0"/>
    <w:pPr>
      <w:widowControl/>
      <w:snapToGrid w:val="0"/>
      <w:spacing w:afterLines="50"/>
      <w:ind w:firstLine="200" w:firstLineChars="200"/>
    </w:pPr>
    <w:rPr>
      <w:rFonts w:ascii="Yu Mincho Light" w:hAnsi="Yu Mincho Light" w:eastAsia="Yu Mincho Light" w:cs="Yu Mincho Light"/>
      <w:b w:val="0"/>
      <w:bCs w:val="0"/>
      <w:color w:val="auto"/>
      <w:sz w:val="24"/>
      <w:szCs w:val="20"/>
    </w:rPr>
  </w:style>
  <w:style w:type="paragraph" w:customStyle="1" w:styleId="91">
    <w:name w:val="Char Char Char Char1"/>
    <w:basedOn w:val="1"/>
    <w:qFormat/>
    <w:uiPriority w:val="0"/>
  </w:style>
  <w:style w:type="paragraph" w:customStyle="1" w:styleId="92">
    <w:name w:val="默认段落字体 Para Char Char Char Char"/>
    <w:basedOn w:val="1"/>
    <w:qFormat/>
    <w:uiPriority w:val="0"/>
    <w:pPr>
      <w:adjustRightInd w:val="0"/>
      <w:spacing w:line="360" w:lineRule="auto"/>
    </w:pPr>
    <w:rPr>
      <w:rFonts w:ascii="Yu Mincho Light" w:hAnsi="Yu Mincho Light" w:eastAsia="Yu Mincho Light" w:cs="Yu Mincho Light"/>
      <w:b w:val="0"/>
      <w:bCs w:val="0"/>
      <w:color w:val="auto"/>
      <w:sz w:val="24"/>
      <w:szCs w:val="20"/>
    </w:rPr>
  </w:style>
  <w:style w:type="paragraph" w:customStyle="1" w:styleId="93">
    <w:name w:val="表内文字"/>
    <w:basedOn w:val="1"/>
    <w:qFormat/>
    <w:uiPriority w:val="0"/>
    <w:pPr>
      <w:spacing w:line="500" w:lineRule="atLeast"/>
      <w:jc w:val="center"/>
    </w:pPr>
    <w:rPr>
      <w:rFonts w:ascii="Yu Mincho Light" w:hAnsi="Yu Mincho Light" w:eastAsia="Yu Mincho Light" w:cs="Yu Mincho Light"/>
      <w:b w:val="0"/>
      <w:bCs w:val="0"/>
      <w:color w:val="auto"/>
      <w:kern w:val="2"/>
      <w:sz w:val="28"/>
      <w:szCs w:val="24"/>
    </w:rPr>
  </w:style>
  <w:style w:type="paragraph" w:customStyle="1" w:styleId="9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5">
    <w:name w:val="Char1"/>
    <w:basedOn w:val="1"/>
    <w:qFormat/>
    <w:uiPriority w:val="0"/>
    <w:rPr>
      <w:rFonts w:hAnsi="Yu Mincho Light" w:cs="Yu Mincho Light"/>
      <w:bCs w:val="0"/>
      <w:color w:val="auto"/>
      <w:kern w:val="2"/>
      <w:sz w:val="32"/>
      <w:szCs w:val="32"/>
    </w:rPr>
  </w:style>
  <w:style w:type="paragraph" w:customStyle="1" w:styleId="96">
    <w:name w:val="Table Paragraph"/>
    <w:basedOn w:val="1"/>
    <w:qFormat/>
    <w:uiPriority w:val="1"/>
    <w:rPr>
      <w:rFonts w:ascii="Cambria Math" w:hAnsi="Cambria Math" w:eastAsia="Cambria Math" w:cs="Cambria Math"/>
      <w:b w:val="0"/>
      <w:bCs w:val="0"/>
      <w:color w:val="auto"/>
      <w:kern w:val="2"/>
      <w:szCs w:val="24"/>
      <w:lang w:val="zh-CN" w:bidi="zh-CN"/>
    </w:rPr>
  </w:style>
  <w:style w:type="paragraph" w:customStyle="1" w:styleId="97">
    <w:name w:val="Char1 Char Char Char"/>
    <w:basedOn w:val="1"/>
    <w:qFormat/>
    <w:uiPriority w:val="0"/>
    <w:rPr>
      <w:rFonts w:hAnsi="Yu Mincho Light" w:cs="Yu Mincho Light"/>
      <w:bCs w:val="0"/>
      <w:color w:val="auto"/>
      <w:kern w:val="2"/>
      <w:sz w:val="32"/>
      <w:szCs w:val="32"/>
    </w:rPr>
  </w:style>
  <w:style w:type="paragraph" w:customStyle="1" w:styleId="98">
    <w:name w:val="Char Char1 Char Char Char Char Char Char Char Char Char Char"/>
    <w:basedOn w:val="1"/>
    <w:qFormat/>
    <w:uiPriority w:val="0"/>
    <w:rPr>
      <w:rFonts w:ascii="Yu Mincho Light" w:hAnsi="Yu Mincho Light" w:eastAsia="Yu Mincho Light" w:cs="Yu Mincho Light"/>
      <w:b w:val="0"/>
      <w:bCs w:val="0"/>
      <w:color w:val="auto"/>
      <w:kern w:val="2"/>
      <w:sz w:val="24"/>
      <w:szCs w:val="20"/>
    </w:rPr>
  </w:style>
  <w:style w:type="paragraph" w:customStyle="1" w:styleId="99">
    <w:name w:val="Char Char Char Char Char Char Char Char Char1 Char"/>
    <w:basedOn w:val="1"/>
    <w:qFormat/>
    <w:uiPriority w:val="0"/>
    <w:rPr>
      <w:rFonts w:hAnsi="Yu Mincho Light" w:cs="Yu Mincho Light"/>
      <w:bCs w:val="0"/>
      <w:color w:val="auto"/>
      <w:kern w:val="2"/>
      <w:sz w:val="32"/>
      <w:szCs w:val="32"/>
    </w:rPr>
  </w:style>
  <w:style w:type="paragraph" w:customStyle="1" w:styleId="100">
    <w:name w:val="Body Text(ch)"/>
    <w:basedOn w:val="1"/>
    <w:next w:val="17"/>
    <w:qFormat/>
    <w:uiPriority w:val="0"/>
    <w:pPr>
      <w:spacing w:line="500" w:lineRule="exact"/>
      <w:jc w:val="center"/>
    </w:pPr>
    <w:rPr>
      <w:rFonts w:ascii="Yu Mincho Light" w:hAnsi="Yu Mincho Light" w:eastAsia="Yu Mincho Light" w:cs="Yu Mincho Light"/>
      <w:b w:val="0"/>
      <w:bCs w:val="0"/>
      <w:color w:val="auto"/>
      <w:kern w:val="2"/>
      <w:szCs w:val="24"/>
    </w:rPr>
  </w:style>
  <w:style w:type="paragraph" w:customStyle="1" w:styleId="101">
    <w:name w:val="Char11"/>
    <w:basedOn w:val="1"/>
    <w:qFormat/>
    <w:uiPriority w:val="0"/>
    <w:pPr>
      <w:tabs>
        <w:tab w:val="left" w:pos="840"/>
      </w:tabs>
      <w:ind w:left="840" w:hanging="420"/>
    </w:pPr>
    <w:rPr>
      <w:rFonts w:ascii="Yu Mincho Light" w:hAnsi="Yu Mincho Light" w:eastAsia="Yu Mincho Light" w:cs="Yu Mincho Light"/>
      <w:b w:val="0"/>
      <w:bCs w:val="0"/>
      <w:color w:val="auto"/>
      <w:kern w:val="2"/>
      <w:sz w:val="24"/>
      <w:szCs w:val="24"/>
    </w:rPr>
  </w:style>
  <w:style w:type="paragraph" w:customStyle="1" w:styleId="102">
    <w:name w:val="样式3"/>
    <w:basedOn w:val="1"/>
    <w:qFormat/>
    <w:uiPriority w:val="0"/>
    <w:pPr>
      <w:tabs>
        <w:tab w:val="left" w:pos="567"/>
      </w:tabs>
      <w:ind w:left="567" w:hanging="567"/>
    </w:pPr>
    <w:rPr>
      <w:rFonts w:ascii="Yu Mincho Light" w:hAnsi="Yu Mincho Light" w:eastAsia="Yu Mincho Light" w:cs="Yu Mincho Light"/>
      <w:b w:val="0"/>
      <w:bCs w:val="0"/>
      <w:color w:val="auto"/>
      <w:kern w:val="2"/>
      <w:szCs w:val="24"/>
    </w:rPr>
  </w:style>
  <w:style w:type="paragraph" w:customStyle="1" w:styleId="103">
    <w:name w:val="正文－恩普"/>
    <w:basedOn w:val="5"/>
    <w:qFormat/>
    <w:uiPriority w:val="0"/>
    <w:pPr>
      <w:widowControl/>
      <w:spacing w:before="100" w:beforeAutospacing="1" w:afterLines="50" w:afterAutospacing="1" w:line="360" w:lineRule="auto"/>
      <w:ind w:firstLine="480"/>
      <w:jc w:val="left"/>
    </w:pPr>
    <w:rPr>
      <w:sz w:val="24"/>
      <w:szCs w:val="20"/>
    </w:rPr>
  </w:style>
  <w:style w:type="paragraph" w:customStyle="1" w:styleId="104">
    <w:name w:val="小点说明"/>
    <w:basedOn w:val="1"/>
    <w:qFormat/>
    <w:uiPriority w:val="0"/>
    <w:pPr>
      <w:tabs>
        <w:tab w:val="left" w:pos="0"/>
      </w:tabs>
      <w:adjustRightInd w:val="0"/>
      <w:snapToGrid w:val="0"/>
      <w:spacing w:line="340" w:lineRule="atLeast"/>
    </w:pPr>
    <w:rPr>
      <w:rFonts w:ascii="Yu Mincho Light" w:eastAsia="Yu Mincho Light" w:cs="Yu Mincho Light"/>
      <w:b w:val="0"/>
      <w:color w:val="auto"/>
      <w:szCs w:val="24"/>
      <w:lang w:val="eu-ES"/>
    </w:rPr>
  </w:style>
  <w:style w:type="paragraph" w:customStyle="1" w:styleId="105">
    <w:name w:val="Char1 Char Char Char Char Char Char"/>
    <w:basedOn w:val="1"/>
    <w:qFormat/>
    <w:uiPriority w:val="0"/>
    <w:rPr>
      <w:rFonts w:ascii="Yu Mincho Light" w:hAnsi="Yu Mincho Light" w:eastAsia="Yu Mincho Light" w:cs="Yu Mincho Light"/>
      <w:b w:val="0"/>
      <w:bCs w:val="0"/>
      <w:color w:val="auto"/>
      <w:kern w:val="2"/>
      <w:sz w:val="24"/>
      <w:szCs w:val="20"/>
    </w:rPr>
  </w:style>
  <w:style w:type="paragraph" w:customStyle="1" w:styleId="106">
    <w:name w:val="正文缩进小五"/>
    <w:basedOn w:val="1"/>
    <w:qFormat/>
    <w:uiPriority w:val="0"/>
    <w:pPr>
      <w:widowControl/>
      <w:spacing w:before="120" w:after="120"/>
      <w:ind w:firstLine="360" w:firstLineChars="200"/>
    </w:pPr>
    <w:rPr>
      <w:rFonts w:ascii="Yu Mincho Light" w:hAnsi="Yu Mincho Light" w:eastAsia="Yu Mincho Light" w:cs="Yu Mincho Light"/>
      <w:b w:val="0"/>
      <w:bCs w:val="0"/>
      <w:color w:val="auto"/>
      <w:sz w:val="18"/>
      <w:szCs w:val="18"/>
    </w:rPr>
  </w:style>
  <w:style w:type="paragraph" w:customStyle="1" w:styleId="107">
    <w:name w:val="Char Char Char Char Char Char Char"/>
    <w:basedOn w:val="1"/>
    <w:qFormat/>
    <w:uiPriority w:val="0"/>
    <w:rPr>
      <w:rFonts w:hAnsi="Yu Mincho Light" w:cs="Yu Mincho Light"/>
      <w:bCs w:val="0"/>
      <w:color w:val="auto"/>
      <w:kern w:val="2"/>
      <w:sz w:val="32"/>
      <w:szCs w:val="32"/>
    </w:rPr>
  </w:style>
  <w:style w:type="paragraph" w:customStyle="1" w:styleId="108">
    <w:name w:val="pa-7"/>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09">
    <w:name w:val="Char"/>
    <w:basedOn w:val="1"/>
    <w:qFormat/>
    <w:uiPriority w:val="0"/>
    <w:rPr>
      <w:rFonts w:hAnsi="Yu Mincho Light" w:cs="Yu Mincho Light"/>
      <w:bCs w:val="0"/>
      <w:color w:val="auto"/>
      <w:kern w:val="2"/>
      <w:sz w:val="32"/>
      <w:szCs w:val="32"/>
    </w:rPr>
  </w:style>
  <w:style w:type="paragraph" w:customStyle="1" w:styleId="110">
    <w:name w:val="Char2"/>
    <w:basedOn w:val="1"/>
    <w:qFormat/>
    <w:uiPriority w:val="0"/>
    <w:rPr>
      <w:rFonts w:ascii="Yu Mincho Light" w:eastAsia="Yu Mincho Light"/>
      <w:b w:val="0"/>
      <w:sz w:val="32"/>
      <w:szCs w:val="32"/>
    </w:rPr>
  </w:style>
  <w:style w:type="paragraph" w:customStyle="1" w:styleId="111">
    <w:name w:val="_Style 19"/>
    <w:basedOn w:val="1"/>
    <w:qFormat/>
    <w:uiPriority w:val="0"/>
  </w:style>
  <w:style w:type="paragraph" w:customStyle="1" w:styleId="112">
    <w:name w:val="Char Char Char"/>
    <w:basedOn w:val="1"/>
    <w:qFormat/>
    <w:uiPriority w:val="0"/>
    <w:rPr>
      <w:rFonts w:ascii="Yu Mincho Light" w:hAnsi="Yu Mincho Light" w:eastAsia="Yu Mincho Light" w:cs="Yu Mincho Light"/>
      <w:b w:val="0"/>
      <w:bCs w:val="0"/>
      <w:color w:val="auto"/>
      <w:kern w:val="2"/>
      <w:sz w:val="24"/>
      <w:szCs w:val="20"/>
    </w:rPr>
  </w:style>
  <w:style w:type="paragraph" w:customStyle="1" w:styleId="113">
    <w:name w:val="默认段落字体 Para Char Char Char Char Char Char Char Char Char1 Char Char Char Char Char Char Char"/>
    <w:basedOn w:val="14"/>
    <w:qFormat/>
    <w:uiPriority w:val="0"/>
    <w:rPr>
      <w:sz w:val="24"/>
    </w:rPr>
  </w:style>
  <w:style w:type="paragraph" w:customStyle="1" w:styleId="114">
    <w:name w:val="pa-1"/>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5">
    <w:name w:val="pa-5"/>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6">
    <w:name w:val="Char1 Char Char Char1"/>
    <w:basedOn w:val="1"/>
    <w:qFormat/>
    <w:uiPriority w:val="0"/>
    <w:pPr>
      <w:widowControl/>
      <w:snapToGrid w:val="0"/>
      <w:spacing w:before="120" w:after="160" w:line="360" w:lineRule="auto"/>
      <w:ind w:right="-360"/>
      <w:jc w:val="left"/>
    </w:pPr>
    <w:rPr>
      <w:rFonts w:ascii="Yu Mincho Light" w:hAnsi="Yu Mincho Light" w:eastAsia="Yu Mincho Light" w:cs="Yu Mincho Light"/>
      <w:b w:val="0"/>
      <w:bCs w:val="0"/>
      <w:color w:val="auto"/>
      <w:sz w:val="24"/>
      <w:szCs w:val="24"/>
      <w:lang w:eastAsia="en-US"/>
    </w:rPr>
  </w:style>
  <w:style w:type="paragraph" w:customStyle="1" w:styleId="117">
    <w:name w:val="表格正文"/>
    <w:basedOn w:val="1"/>
    <w:qFormat/>
    <w:uiPriority w:val="0"/>
    <w:pPr>
      <w:adjustRightInd w:val="0"/>
      <w:snapToGrid w:val="0"/>
      <w:spacing w:before="60" w:after="60"/>
      <w:jc w:val="center"/>
      <w:textAlignment w:val="baseline"/>
    </w:pPr>
    <w:rPr>
      <w:rFonts w:ascii="Yu Mincho Light" w:hAnsi="Yu Mincho Light" w:eastAsia="Yu Mincho Light" w:cs="Yu Mincho Light"/>
      <w:b w:val="0"/>
      <w:bCs w:val="0"/>
      <w:color w:val="auto"/>
      <w:sz w:val="24"/>
      <w:szCs w:val="20"/>
    </w:rPr>
  </w:style>
  <w:style w:type="paragraph" w:customStyle="1" w:styleId="118">
    <w:name w:val="年"/>
    <w:basedOn w:val="1"/>
    <w:qFormat/>
    <w:uiPriority w:val="0"/>
    <w:pPr>
      <w:tabs>
        <w:tab w:val="left" w:pos="420"/>
      </w:tabs>
      <w:adjustRightInd w:val="0"/>
      <w:snapToGrid w:val="0"/>
      <w:spacing w:line="360" w:lineRule="auto"/>
      <w:ind w:left="420" w:hanging="420"/>
    </w:pPr>
    <w:rPr>
      <w:rFonts w:ascii="Yu Mincho Light" w:eastAsia="Yu Mincho Light" w:cs="Yu Mincho Light"/>
      <w:b w:val="0"/>
      <w:color w:val="auto"/>
      <w:kern w:val="2"/>
      <w:sz w:val="24"/>
      <w:szCs w:val="20"/>
    </w:rPr>
  </w:style>
  <w:style w:type="paragraph" w:customStyle="1" w:styleId="119">
    <w:name w:val="pa-3"/>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character" w:customStyle="1" w:styleId="120">
    <w:name w:val="纯文本 字符1"/>
    <w:qFormat/>
    <w:uiPriority w:val="0"/>
    <w:rPr>
      <w:rFonts w:ascii="@仿宋_GB2312" w:hAnsi="@楷体_GB2312" w:eastAsia="@楷体_GB2312" w:cs="@仿宋_GB2312"/>
      <w:b/>
      <w:bCs/>
      <w:color w:val="000000"/>
      <w:sz w:val="21"/>
    </w:rPr>
  </w:style>
  <w:style w:type="character" w:customStyle="1" w:styleId="121">
    <w:name w:val="正文文本缩进 2 字符"/>
    <w:basedOn w:val="37"/>
    <w:link w:val="23"/>
    <w:qFormat/>
    <w:uiPriority w:val="0"/>
    <w:rPr>
      <w:rFonts w:hint="default" w:ascii="Times New Roman" w:hAnsi="Times New Roman" w:cs="Times New Roman"/>
      <w:kern w:val="2"/>
      <w:sz w:val="21"/>
      <w:szCs w:val="24"/>
    </w:rPr>
  </w:style>
  <w:style w:type="character" w:customStyle="1" w:styleId="122">
    <w:name w:val="批注框文本 字符"/>
    <w:link w:val="24"/>
    <w:qFormat/>
    <w:uiPriority w:val="0"/>
    <w:rPr>
      <w:rFonts w:ascii="Times New Roman" w:hAnsi="Times New Roman" w:cs="Times New Roman"/>
      <w:b/>
      <w:bCs/>
      <w:color w:val="000000"/>
      <w:sz w:val="18"/>
      <w:szCs w:val="18"/>
    </w:rPr>
  </w:style>
  <w:style w:type="character" w:customStyle="1" w:styleId="123">
    <w:name w:val="标题 字符"/>
    <w:basedOn w:val="37"/>
    <w:link w:val="32"/>
    <w:qFormat/>
    <w:uiPriority w:val="0"/>
    <w:rPr>
      <w:rFonts w:ascii="Cambria" w:hAnsi="Cambria" w:eastAsia="Cambria" w:cs="Cambria"/>
      <w:b/>
      <w:color w:val="000000"/>
      <w:kern w:val="1"/>
      <w:sz w:val="32"/>
      <w:szCs w:val="32"/>
    </w:rPr>
  </w:style>
  <w:style w:type="paragraph" w:customStyle="1" w:styleId="124">
    <w:name w:val="_Style 123"/>
    <w:basedOn w:val="1"/>
    <w:next w:val="1"/>
    <w:qFormat/>
    <w:uiPriority w:val="0"/>
    <w:pPr>
      <w:ind w:left="420" w:leftChars="200"/>
    </w:pPr>
    <w:rPr>
      <w:b w:val="0"/>
      <w:bCs w:val="0"/>
      <w:color w:val="auto"/>
      <w:kern w:val="2"/>
      <w:szCs w:val="24"/>
    </w:rPr>
  </w:style>
  <w:style w:type="paragraph" w:customStyle="1" w:styleId="125">
    <w:name w:val="样式 首行缩进:  2 字符"/>
    <w:basedOn w:val="1"/>
    <w:qFormat/>
    <w:uiPriority w:val="0"/>
    <w:pPr>
      <w:spacing w:line="360" w:lineRule="auto"/>
      <w:ind w:firstLine="480" w:firstLineChars="200"/>
    </w:pPr>
    <w:rPr>
      <w:rFonts w:ascii="宋体" w:hAnsi="宋体" w:cs="宋体"/>
      <w:b w:val="0"/>
      <w:bCs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2749B-2C32-4A48-B17C-F98670653644}">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43</Pages>
  <Words>2575</Words>
  <Characters>3081</Characters>
  <Lines>156</Lines>
  <Paragraphs>43</Paragraphs>
  <TotalTime>92</TotalTime>
  <ScaleCrop>false</ScaleCrop>
  <LinksUpToDate>false</LinksUpToDate>
  <CharactersWithSpaces>3124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2025-02-16T11:09:00Z</dcterms:created>
  <dc:creator>陈仕盈</dc:creator>
  <cp:keywords>苍南超然招标代理有限公司</cp:keywords>
  <cp:lastModifiedBy>世铭</cp:lastModifiedBy>
  <cp:lastPrinted>2023-03-27T05:27:00Z</cp:lastPrinted>
  <dcterms:modified xsi:type="dcterms:W3CDTF">2025-02-25T02:00:32Z</dcterms:modified>
  <dc:title>玉 环 县 政 府 采 购 中 心</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FE27B0B13CB04F21AA1C5DF3DB2D18FF_13</vt:lpwstr>
  </property>
  <property fmtid="{D5CDD505-2E9C-101B-9397-08002B2CF9AE}" pid="4" name="KSOTemplateDocerSaveRecord">
    <vt:lpwstr>eyJoZGlkIjoiNTU0ZmIwYTQ3NzlmZGUxZmU3Zjk0M2IyZTNmM2IxNjAiLCJ1c2VySWQiOiIzNTI2MTA4NzMifQ==</vt:lpwstr>
  </property>
</Properties>
</file>