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24"/>
        <w:tblW w:w="9214"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1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90" w:hRule="atLeast"/>
        </w:trPr>
        <w:tc>
          <w:tcPr>
            <w:tcW w:w="9214" w:type="dxa"/>
            <w:tcBorders>
              <w:top w:val="nil"/>
              <w:left w:val="nil"/>
              <w:bottom w:val="nil"/>
              <w:right w:val="nil"/>
            </w:tcBorders>
          </w:tcPr>
          <w:p>
            <w:pPr>
              <w:jc w:val="left"/>
              <w:rPr>
                <w:rFonts w:ascii="宋体" w:hAnsi="宋体" w:cs="宋体"/>
                <w:b/>
                <w:bCs/>
                <w:spacing w:val="20"/>
                <w:sz w:val="84"/>
                <w:szCs w:val="84"/>
              </w:rPr>
            </w:pPr>
          </w:p>
          <w:p>
            <w:pPr>
              <w:jc w:val="center"/>
              <w:rPr>
                <w:rFonts w:ascii="宋体" w:hAnsi="宋体" w:cs="宋体"/>
                <w:b/>
                <w:bCs/>
                <w:spacing w:val="20"/>
                <w:sz w:val="62"/>
                <w:szCs w:val="62"/>
              </w:rPr>
            </w:pPr>
            <w:r>
              <w:rPr>
                <w:rFonts w:hint="eastAsia" w:ascii="宋体" w:hAnsi="宋体" w:cs="宋体"/>
                <w:b/>
                <w:bCs/>
                <w:spacing w:val="20"/>
                <w:sz w:val="62"/>
                <w:szCs w:val="62"/>
              </w:rPr>
              <w:t>浙江温州海洋经济发展示范区</w:t>
            </w:r>
          </w:p>
          <w:p>
            <w:pPr>
              <w:jc w:val="center"/>
              <w:rPr>
                <w:rFonts w:ascii="宋体" w:hAnsi="宋体" w:cs="宋体"/>
                <w:b/>
                <w:bCs/>
                <w:spacing w:val="20"/>
                <w:sz w:val="62"/>
                <w:szCs w:val="62"/>
              </w:rPr>
            </w:pPr>
            <w:r>
              <w:rPr>
                <w:rFonts w:hint="eastAsia" w:ascii="宋体" w:hAnsi="宋体" w:cs="宋体"/>
                <w:b/>
                <w:bCs/>
                <w:spacing w:val="20"/>
                <w:sz w:val="62"/>
                <w:szCs w:val="62"/>
              </w:rPr>
              <w:t>国有企业采购</w:t>
            </w:r>
          </w:p>
          <w:p>
            <w:pPr>
              <w:pStyle w:val="2"/>
              <w:ind w:firstLine="412"/>
            </w:pPr>
          </w:p>
          <w:p>
            <w:pPr>
              <w:pStyle w:val="4"/>
              <w:keepNext/>
              <w:keepLines/>
              <w:spacing w:before="340" w:after="330" w:line="578" w:lineRule="auto"/>
              <w:outlineLvl w:val="0"/>
              <w:rPr>
                <w:rFonts w:ascii="宋体" w:hAnsi="宋体" w:cs="宋体"/>
              </w:rPr>
            </w:pPr>
          </w:p>
          <w:p>
            <w:pPr>
              <w:keepNext/>
              <w:keepLines/>
              <w:spacing w:before="340" w:after="330" w:line="360" w:lineRule="exact"/>
              <w:jc w:val="center"/>
              <w:outlineLvl w:val="0"/>
              <w:rPr>
                <w:rFonts w:ascii="宋体" w:hAnsi="宋体" w:cs="宋体"/>
                <w:b/>
                <w:bCs/>
                <w:spacing w:val="140"/>
                <w:sz w:val="72"/>
                <w:szCs w:val="24"/>
              </w:rPr>
            </w:pPr>
          </w:p>
          <w:p>
            <w:pPr>
              <w:spacing w:line="900" w:lineRule="exact"/>
              <w:jc w:val="center"/>
              <w:rPr>
                <w:rFonts w:ascii="宋体" w:hAnsi="宋体" w:cs="宋体"/>
                <w:b/>
                <w:bCs/>
                <w:spacing w:val="20"/>
                <w:sz w:val="56"/>
                <w:szCs w:val="56"/>
              </w:rPr>
            </w:pPr>
            <w:r>
              <w:rPr>
                <w:rFonts w:hint="eastAsia" w:ascii="宋体" w:hAnsi="宋体" w:cs="宋体"/>
                <w:b/>
                <w:bCs/>
                <w:spacing w:val="20"/>
                <w:sz w:val="72"/>
                <w:szCs w:val="72"/>
              </w:rPr>
              <w:t>采购文件</w:t>
            </w:r>
          </w:p>
          <w:p>
            <w:pPr>
              <w:keepNext/>
              <w:keepLines/>
              <w:spacing w:before="340" w:after="330" w:line="400" w:lineRule="exact"/>
              <w:jc w:val="center"/>
              <w:outlineLvl w:val="0"/>
              <w:rPr>
                <w:rFonts w:ascii="宋体" w:hAnsi="宋体" w:cs="宋体"/>
                <w:b/>
                <w:bCs/>
                <w:sz w:val="32"/>
                <w:szCs w:val="32"/>
              </w:rPr>
            </w:pPr>
          </w:p>
          <w:p>
            <w:pPr>
              <w:keepNext/>
              <w:keepLines/>
              <w:spacing w:before="340" w:after="330" w:line="760" w:lineRule="exact"/>
              <w:outlineLvl w:val="0"/>
              <w:rPr>
                <w:rFonts w:ascii="宋体" w:hAnsi="宋体" w:cs="宋体"/>
                <w:sz w:val="30"/>
                <w:szCs w:val="30"/>
              </w:rPr>
            </w:pPr>
          </w:p>
          <w:p>
            <w:pPr>
              <w:keepNext/>
              <w:keepLines/>
              <w:spacing w:before="340" w:after="330" w:line="760" w:lineRule="exact"/>
              <w:ind w:left="750" w:hanging="750" w:hangingChars="250"/>
              <w:jc w:val="center"/>
              <w:outlineLvl w:val="0"/>
              <w:rPr>
                <w:rFonts w:ascii="宋体" w:hAnsi="宋体" w:cs="宋体"/>
                <w:sz w:val="30"/>
                <w:szCs w:val="30"/>
              </w:rPr>
            </w:pPr>
          </w:p>
          <w:tbl>
            <w:tblPr>
              <w:tblStyle w:val="25"/>
              <w:tblW w:w="9952"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1994"/>
              <w:gridCol w:w="7958"/>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1994" w:type="dxa"/>
                  <w:tcBorders>
                    <w:tl2br w:val="nil"/>
                    <w:tr2bl w:val="nil"/>
                  </w:tcBorders>
                </w:tcPr>
                <w:p>
                  <w:pPr>
                    <w:widowControl/>
                    <w:spacing w:before="60" w:after="60" w:line="400" w:lineRule="exact"/>
                    <w:ind w:right="60"/>
                    <w:jc w:val="distribute"/>
                    <w:rPr>
                      <w:rFonts w:ascii="宋体" w:hAnsi="宋体" w:cs="宋体"/>
                      <w:kern w:val="0"/>
                      <w:sz w:val="24"/>
                      <w:szCs w:val="24"/>
                    </w:rPr>
                  </w:pPr>
                  <w:r>
                    <w:rPr>
                      <w:rFonts w:hint="eastAsia" w:ascii="宋体" w:hAnsi="宋体" w:cs="宋体"/>
                      <w:kern w:val="0"/>
                      <w:sz w:val="24"/>
                      <w:szCs w:val="24"/>
                    </w:rPr>
                    <w:t>项目编号：</w:t>
                  </w:r>
                </w:p>
              </w:tc>
              <w:tc>
                <w:tcPr>
                  <w:tcW w:w="7958" w:type="dxa"/>
                  <w:tcBorders>
                    <w:tl2br w:val="nil"/>
                    <w:tr2bl w:val="nil"/>
                  </w:tcBorders>
                </w:tcPr>
                <w:p>
                  <w:pPr>
                    <w:keepNext/>
                    <w:keepLines/>
                    <w:widowControl/>
                    <w:spacing w:before="60" w:after="60" w:line="400" w:lineRule="exact"/>
                    <w:ind w:right="60"/>
                    <w:jc w:val="left"/>
                    <w:rPr>
                      <w:rFonts w:ascii="宋体" w:hAnsi="宋体" w:cs="宋体"/>
                      <w:kern w:val="0"/>
                      <w:sz w:val="24"/>
                      <w:szCs w:val="24"/>
                    </w:rPr>
                  </w:pPr>
                  <w:r>
                    <w:rPr>
                      <w:rFonts w:hint="eastAsia" w:ascii="宋体" w:hAnsi="宋体" w:cs="宋体"/>
                      <w:kern w:val="0"/>
                      <w:sz w:val="24"/>
                      <w:szCs w:val="24"/>
                    </w:rPr>
                    <w:t>XC-GC20241003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1994" w:type="dxa"/>
                  <w:tcBorders>
                    <w:tl2br w:val="nil"/>
                    <w:tr2bl w:val="nil"/>
                  </w:tcBorders>
                </w:tcPr>
                <w:p>
                  <w:pPr>
                    <w:widowControl/>
                    <w:spacing w:before="60" w:after="60" w:line="400" w:lineRule="exact"/>
                    <w:ind w:right="60"/>
                    <w:jc w:val="distribute"/>
                    <w:rPr>
                      <w:rFonts w:ascii="宋体" w:hAnsi="宋体" w:cs="宋体"/>
                      <w:kern w:val="0"/>
                      <w:sz w:val="24"/>
                      <w:szCs w:val="24"/>
                    </w:rPr>
                  </w:pPr>
                  <w:r>
                    <w:rPr>
                      <w:rFonts w:hint="eastAsia" w:ascii="宋体" w:hAnsi="宋体" w:cs="宋体"/>
                      <w:kern w:val="0"/>
                      <w:sz w:val="24"/>
                      <w:szCs w:val="24"/>
                    </w:rPr>
                    <w:t>项目名称：</w:t>
                  </w:r>
                </w:p>
              </w:tc>
              <w:tc>
                <w:tcPr>
                  <w:tcW w:w="7958" w:type="dxa"/>
                  <w:tcBorders>
                    <w:tl2br w:val="nil"/>
                    <w:tr2bl w:val="nil"/>
                  </w:tcBorders>
                </w:tcPr>
                <w:p>
                  <w:pPr>
                    <w:widowControl/>
                    <w:spacing w:before="60" w:after="60" w:line="400" w:lineRule="exact"/>
                    <w:ind w:right="60"/>
                    <w:jc w:val="left"/>
                    <w:rPr>
                      <w:rFonts w:ascii="宋体" w:hAnsi="宋体" w:cs="宋体"/>
                      <w:kern w:val="0"/>
                      <w:sz w:val="24"/>
                      <w:szCs w:val="24"/>
                    </w:rPr>
                  </w:pPr>
                  <w:r>
                    <w:rPr>
                      <w:rFonts w:hint="eastAsia" w:ascii="宋体" w:hAnsi="宋体" w:cs="宋体"/>
                      <w:kern w:val="0"/>
                      <w:sz w:val="24"/>
                      <w:szCs w:val="24"/>
                      <w:lang w:val="zh-CN"/>
                    </w:rPr>
                    <w:t>温州瓯江口建筑泥浆资源化利用项目（</w:t>
                  </w:r>
                  <w:r>
                    <w:rPr>
                      <w:rFonts w:hint="eastAsia" w:ascii="宋体"/>
                      <w:sz w:val="22"/>
                    </w:rPr>
                    <w:t>原位固化含软基处理泥浆</w:t>
                  </w:r>
                  <w:r>
                    <w:rPr>
                      <w:rFonts w:hint="eastAsia" w:ascii="宋体" w:hAnsi="宋体" w:cs="宋体"/>
                      <w:kern w:val="0"/>
                      <w:sz w:val="24"/>
                      <w:szCs w:val="24"/>
                      <w:lang w:val="zh-CN"/>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1994" w:type="dxa"/>
                  <w:tcBorders>
                    <w:tl2br w:val="nil"/>
                    <w:tr2bl w:val="nil"/>
                  </w:tcBorders>
                </w:tcPr>
                <w:p>
                  <w:pPr>
                    <w:widowControl/>
                    <w:spacing w:before="60" w:after="60" w:line="400" w:lineRule="exact"/>
                    <w:ind w:right="60"/>
                    <w:jc w:val="distribute"/>
                    <w:rPr>
                      <w:rFonts w:ascii="宋体" w:hAnsi="宋体" w:cs="宋体"/>
                      <w:kern w:val="0"/>
                      <w:sz w:val="24"/>
                      <w:szCs w:val="24"/>
                    </w:rPr>
                  </w:pPr>
                  <w:r>
                    <w:rPr>
                      <w:rFonts w:hint="eastAsia" w:ascii="宋体" w:hAnsi="宋体" w:cs="宋体"/>
                      <w:kern w:val="0"/>
                      <w:sz w:val="24"/>
                      <w:szCs w:val="24"/>
                    </w:rPr>
                    <w:t>采购方式：</w:t>
                  </w:r>
                </w:p>
              </w:tc>
              <w:tc>
                <w:tcPr>
                  <w:tcW w:w="7958" w:type="dxa"/>
                  <w:tcBorders>
                    <w:tl2br w:val="nil"/>
                    <w:tr2bl w:val="nil"/>
                  </w:tcBorders>
                </w:tcPr>
                <w:p>
                  <w:pPr>
                    <w:widowControl/>
                    <w:spacing w:before="60" w:after="60" w:line="400" w:lineRule="exact"/>
                    <w:ind w:right="60"/>
                    <w:jc w:val="left"/>
                    <w:rPr>
                      <w:rFonts w:ascii="宋体" w:hAnsi="宋体" w:cs="宋体"/>
                      <w:kern w:val="0"/>
                      <w:sz w:val="24"/>
                      <w:szCs w:val="24"/>
                    </w:rPr>
                  </w:pPr>
                  <w:r>
                    <w:rPr>
                      <w:rFonts w:hint="eastAsia" w:ascii="宋体" w:hAnsi="宋体" w:cs="宋体"/>
                      <w:kern w:val="0"/>
                      <w:sz w:val="24"/>
                      <w:szCs w:val="24"/>
                    </w:rPr>
                    <w:t>公开招标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1994" w:type="dxa"/>
                  <w:tcBorders>
                    <w:tl2br w:val="nil"/>
                    <w:tr2bl w:val="nil"/>
                  </w:tcBorders>
                </w:tcPr>
                <w:p>
                  <w:pPr>
                    <w:widowControl/>
                    <w:spacing w:before="60" w:after="60" w:line="400" w:lineRule="exact"/>
                    <w:ind w:right="60"/>
                    <w:jc w:val="distribute"/>
                    <w:rPr>
                      <w:rFonts w:ascii="宋体" w:hAnsi="宋体" w:cs="宋体"/>
                      <w:kern w:val="0"/>
                      <w:sz w:val="24"/>
                      <w:szCs w:val="24"/>
                    </w:rPr>
                  </w:pPr>
                  <w:r>
                    <w:rPr>
                      <w:rFonts w:hint="eastAsia" w:ascii="宋体" w:hAnsi="宋体" w:cs="宋体"/>
                      <w:kern w:val="0"/>
                      <w:sz w:val="24"/>
                      <w:szCs w:val="24"/>
                    </w:rPr>
                    <w:t>采购人：</w:t>
                  </w:r>
                </w:p>
              </w:tc>
              <w:tc>
                <w:tcPr>
                  <w:tcW w:w="7958" w:type="dxa"/>
                  <w:tcBorders>
                    <w:tl2br w:val="nil"/>
                    <w:tr2bl w:val="nil"/>
                  </w:tcBorders>
                </w:tcPr>
                <w:p>
                  <w:pPr>
                    <w:widowControl/>
                    <w:spacing w:before="60" w:after="60" w:line="400" w:lineRule="exact"/>
                    <w:ind w:right="60"/>
                    <w:jc w:val="left"/>
                    <w:rPr>
                      <w:rFonts w:ascii="宋体" w:hAnsi="宋体" w:cs="宋体"/>
                      <w:kern w:val="0"/>
                      <w:sz w:val="24"/>
                      <w:szCs w:val="24"/>
                    </w:rPr>
                  </w:pPr>
                  <w:r>
                    <w:rPr>
                      <w:rFonts w:hint="eastAsia" w:ascii="宋体" w:hAnsi="宋体" w:cs="宋体"/>
                      <w:kern w:val="0"/>
                      <w:sz w:val="24"/>
                      <w:szCs w:val="24"/>
                      <w:lang w:val="zh-CN"/>
                    </w:rPr>
                    <w:t>温州市海宸技术开发有限公司</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1994" w:type="dxa"/>
                  <w:tcBorders>
                    <w:tl2br w:val="nil"/>
                    <w:tr2bl w:val="nil"/>
                  </w:tcBorders>
                </w:tcPr>
                <w:p>
                  <w:pPr>
                    <w:widowControl/>
                    <w:spacing w:before="60" w:after="60" w:line="400" w:lineRule="exact"/>
                    <w:ind w:right="60"/>
                    <w:jc w:val="distribute"/>
                    <w:rPr>
                      <w:rFonts w:ascii="宋体" w:hAnsi="宋体" w:cs="宋体"/>
                      <w:kern w:val="0"/>
                      <w:sz w:val="24"/>
                      <w:szCs w:val="24"/>
                    </w:rPr>
                  </w:pPr>
                  <w:r>
                    <w:rPr>
                      <w:rFonts w:hint="eastAsia" w:ascii="宋体" w:hAnsi="宋体" w:cs="宋体"/>
                      <w:kern w:val="0"/>
                      <w:sz w:val="24"/>
                      <w:szCs w:val="24"/>
                    </w:rPr>
                    <w:t>采购代理机构：</w:t>
                  </w:r>
                </w:p>
              </w:tc>
              <w:tc>
                <w:tcPr>
                  <w:tcW w:w="7958" w:type="dxa"/>
                  <w:tcBorders>
                    <w:tl2br w:val="nil"/>
                    <w:tr2bl w:val="nil"/>
                  </w:tcBorders>
                </w:tcPr>
                <w:p>
                  <w:pPr>
                    <w:widowControl/>
                    <w:spacing w:before="60" w:after="60" w:line="400" w:lineRule="exact"/>
                    <w:ind w:right="60"/>
                    <w:jc w:val="left"/>
                    <w:rPr>
                      <w:rFonts w:ascii="宋体" w:hAnsi="宋体" w:cs="宋体"/>
                      <w:kern w:val="0"/>
                      <w:sz w:val="24"/>
                      <w:szCs w:val="24"/>
                    </w:rPr>
                  </w:pPr>
                  <w:r>
                    <w:rPr>
                      <w:rFonts w:hint="eastAsia" w:ascii="宋体" w:hAnsi="宋体" w:cs="宋体"/>
                      <w:kern w:val="0"/>
                      <w:sz w:val="24"/>
                      <w:szCs w:val="24"/>
                    </w:rPr>
                    <w:t>温州市兴城工程造价审计咨询事务所（普通合伙）</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9952" w:type="dxa"/>
                  <w:gridSpan w:val="2"/>
                  <w:tcBorders>
                    <w:tl2br w:val="nil"/>
                    <w:tr2bl w:val="nil"/>
                  </w:tcBorders>
                </w:tcPr>
                <w:p>
                  <w:pPr>
                    <w:widowControl/>
                    <w:spacing w:before="60" w:after="60" w:line="400" w:lineRule="exact"/>
                    <w:ind w:right="60"/>
                    <w:jc w:val="center"/>
                    <w:rPr>
                      <w:rFonts w:ascii="宋体" w:hAnsi="宋体" w:cs="宋体"/>
                      <w:kern w:val="0"/>
                      <w:sz w:val="24"/>
                      <w:szCs w:val="24"/>
                    </w:rPr>
                  </w:pPr>
                  <w:r>
                    <w:rPr>
                      <w:rFonts w:hint="eastAsia" w:ascii="宋体" w:hAnsi="宋体" w:cs="宋体"/>
                      <w:kern w:val="0"/>
                      <w:sz w:val="24"/>
                      <w:szCs w:val="24"/>
                    </w:rPr>
                    <w:t>二○二四年十月</w:t>
                  </w:r>
                </w:p>
              </w:tc>
            </w:tr>
          </w:tbl>
          <w:p>
            <w:pPr>
              <w:autoSpaceDE w:val="0"/>
              <w:autoSpaceDN w:val="0"/>
              <w:adjustRightInd w:val="0"/>
              <w:spacing w:line="460" w:lineRule="atLeast"/>
              <w:jc w:val="center"/>
              <w:rPr>
                <w:rFonts w:ascii="宋体" w:cs="仿宋_GB2312"/>
                <w:b/>
                <w:bCs/>
                <w:sz w:val="32"/>
                <w:szCs w:val="32"/>
              </w:rPr>
            </w:pPr>
          </w:p>
        </w:tc>
      </w:tr>
    </w:tbl>
    <w:p>
      <w:pPr>
        <w:spacing w:beforeLines="100" w:afterLines="50" w:line="340" w:lineRule="exact"/>
        <w:jc w:val="center"/>
        <w:rPr>
          <w:rFonts w:ascii="宋体" w:cs="Arial"/>
          <w:b/>
          <w:bCs/>
          <w:sz w:val="36"/>
          <w:szCs w:val="36"/>
        </w:rPr>
        <w:sectPr>
          <w:headerReference r:id="rId3" w:type="default"/>
          <w:footerReference r:id="rId5" w:type="default"/>
          <w:headerReference r:id="rId4" w:type="even"/>
          <w:footerReference r:id="rId6" w:type="even"/>
          <w:pgSz w:w="11906" w:h="16838"/>
          <w:pgMar w:top="1440" w:right="1622" w:bottom="1440" w:left="1287" w:header="851" w:footer="992" w:gutter="0"/>
          <w:pgNumType w:start="0"/>
          <w:cols w:space="720" w:num="1"/>
          <w:titlePg/>
          <w:docGrid w:type="linesAndChars" w:linePitch="312" w:charSpace="0"/>
        </w:sectPr>
      </w:pPr>
    </w:p>
    <w:p>
      <w:pPr>
        <w:autoSpaceDE w:val="0"/>
        <w:autoSpaceDN w:val="0"/>
        <w:adjustRightInd w:val="0"/>
        <w:spacing w:line="440" w:lineRule="atLeast"/>
        <w:jc w:val="center"/>
        <w:rPr>
          <w:rFonts w:ascii="宋体" w:cs="仿宋_GB2312"/>
          <w:b/>
          <w:bCs/>
          <w:sz w:val="36"/>
          <w:szCs w:val="36"/>
          <w:lang w:val="zh-CN"/>
        </w:rPr>
      </w:pPr>
      <w:r>
        <w:rPr>
          <w:rFonts w:hint="eastAsia" w:ascii="宋体" w:cs="仿宋_GB2312"/>
          <w:b/>
          <w:bCs/>
          <w:sz w:val="36"/>
          <w:szCs w:val="36"/>
          <w:lang w:val="zh-CN"/>
        </w:rPr>
        <w:t>采购文件目录</w:t>
      </w:r>
    </w:p>
    <w:p>
      <w:pPr>
        <w:pStyle w:val="18"/>
        <w:tabs>
          <w:tab w:val="right" w:leader="dot" w:pos="9514"/>
        </w:tabs>
        <w:spacing w:line="600" w:lineRule="exact"/>
        <w:rPr>
          <w:rFonts w:asciiTheme="minorHAnsi" w:hAnsiTheme="minorHAnsi" w:eastAsiaTheme="minorEastAsia" w:cstheme="minorBidi"/>
          <w:bCs w:val="0"/>
          <w:sz w:val="21"/>
        </w:rPr>
      </w:pPr>
      <w:r>
        <w:rPr>
          <w:rFonts w:cs="仿宋_GB2312"/>
          <w:lang w:val="zh-CN"/>
        </w:rPr>
        <w:fldChar w:fldCharType="begin"/>
      </w:r>
      <w:r>
        <w:rPr>
          <w:rFonts w:cs="仿宋_GB2312"/>
          <w:lang w:val="zh-CN"/>
        </w:rPr>
        <w:instrText xml:space="preserve"> TOC \o "1-1" \h \z \u </w:instrText>
      </w:r>
      <w:r>
        <w:rPr>
          <w:rFonts w:cs="仿宋_GB2312"/>
          <w:lang w:val="zh-CN"/>
        </w:rPr>
        <w:fldChar w:fldCharType="separate"/>
      </w:r>
      <w:r>
        <w:fldChar w:fldCharType="begin"/>
      </w:r>
      <w:r>
        <w:instrText xml:space="preserve"> HYPERLINK \l "_Toc173317519" </w:instrText>
      </w:r>
      <w:r>
        <w:fldChar w:fldCharType="separate"/>
      </w:r>
      <w:r>
        <w:rPr>
          <w:rStyle w:val="31"/>
          <w:rFonts w:hint="eastAsia" w:hAnsi="宋体" w:cs="宋体"/>
          <w:b/>
        </w:rPr>
        <w:t>温州市海宸技术开发有限公司关于温州瓯江口建筑泥浆资源化利用项目（原位固化含软基处理泥浆）的公开招标公告</w:t>
      </w:r>
      <w:r>
        <w:tab/>
      </w:r>
      <w:r>
        <w:fldChar w:fldCharType="begin"/>
      </w:r>
      <w:r>
        <w:instrText xml:space="preserve"> PAGEREF _Toc173317519 \h </w:instrText>
      </w:r>
      <w:r>
        <w:fldChar w:fldCharType="separate"/>
      </w:r>
      <w:r>
        <w:t>2</w:t>
      </w:r>
      <w:r>
        <w:fldChar w:fldCharType="end"/>
      </w:r>
      <w:r>
        <w:fldChar w:fldCharType="end"/>
      </w:r>
    </w:p>
    <w:p>
      <w:pPr>
        <w:pStyle w:val="18"/>
        <w:tabs>
          <w:tab w:val="right" w:leader="dot" w:pos="9514"/>
        </w:tabs>
        <w:spacing w:line="600" w:lineRule="exact"/>
        <w:rPr>
          <w:rFonts w:asciiTheme="minorHAnsi" w:hAnsiTheme="minorHAnsi" w:eastAsiaTheme="minorEastAsia" w:cstheme="minorBidi"/>
          <w:bCs w:val="0"/>
          <w:sz w:val="21"/>
        </w:rPr>
      </w:pPr>
      <w:r>
        <w:fldChar w:fldCharType="begin"/>
      </w:r>
      <w:r>
        <w:instrText xml:space="preserve"> HYPERLINK \l "_Toc173317520" </w:instrText>
      </w:r>
      <w:r>
        <w:fldChar w:fldCharType="separate"/>
      </w:r>
      <w:r>
        <w:rPr>
          <w:rStyle w:val="31"/>
          <w:rFonts w:hint="eastAsia" w:hAnsi="宋体"/>
          <w:b/>
        </w:rPr>
        <w:t>第一部分投标邀请函（投标须知前附表）</w:t>
      </w:r>
      <w:r>
        <w:tab/>
      </w:r>
      <w:r>
        <w:fldChar w:fldCharType="begin"/>
      </w:r>
      <w:r>
        <w:instrText xml:space="preserve"> PAGEREF _Toc173317520 \h </w:instrText>
      </w:r>
      <w:r>
        <w:fldChar w:fldCharType="separate"/>
      </w:r>
      <w:r>
        <w:t>5</w:t>
      </w:r>
      <w:r>
        <w:fldChar w:fldCharType="end"/>
      </w:r>
      <w:r>
        <w:fldChar w:fldCharType="end"/>
      </w:r>
    </w:p>
    <w:p>
      <w:pPr>
        <w:pStyle w:val="18"/>
        <w:tabs>
          <w:tab w:val="right" w:leader="dot" w:pos="9514"/>
        </w:tabs>
        <w:spacing w:line="600" w:lineRule="exact"/>
        <w:rPr>
          <w:rFonts w:asciiTheme="minorHAnsi" w:hAnsiTheme="minorHAnsi" w:eastAsiaTheme="minorEastAsia" w:cstheme="minorBidi"/>
          <w:bCs w:val="0"/>
          <w:sz w:val="21"/>
        </w:rPr>
      </w:pPr>
      <w:r>
        <w:fldChar w:fldCharType="begin"/>
      </w:r>
      <w:r>
        <w:instrText xml:space="preserve"> HYPERLINK \l "_Toc173317521" </w:instrText>
      </w:r>
      <w:r>
        <w:fldChar w:fldCharType="separate"/>
      </w:r>
      <w:r>
        <w:rPr>
          <w:rStyle w:val="31"/>
          <w:rFonts w:hint="eastAsia" w:hAnsi="宋体"/>
          <w:b/>
        </w:rPr>
        <w:t>第二部分采购内容及要求</w:t>
      </w:r>
      <w:r>
        <w:tab/>
      </w:r>
      <w:r>
        <w:fldChar w:fldCharType="begin"/>
      </w:r>
      <w:r>
        <w:instrText xml:space="preserve"> PAGEREF _Toc173317521 \h </w:instrText>
      </w:r>
      <w:r>
        <w:fldChar w:fldCharType="separate"/>
      </w:r>
      <w:r>
        <w:t>8</w:t>
      </w:r>
      <w:r>
        <w:fldChar w:fldCharType="end"/>
      </w:r>
      <w:r>
        <w:fldChar w:fldCharType="end"/>
      </w:r>
    </w:p>
    <w:p>
      <w:pPr>
        <w:pStyle w:val="18"/>
        <w:tabs>
          <w:tab w:val="right" w:leader="dot" w:pos="9514"/>
        </w:tabs>
        <w:spacing w:line="600" w:lineRule="exact"/>
        <w:rPr>
          <w:rFonts w:asciiTheme="minorHAnsi" w:hAnsiTheme="minorHAnsi" w:eastAsiaTheme="minorEastAsia" w:cstheme="minorBidi"/>
          <w:bCs w:val="0"/>
          <w:sz w:val="21"/>
        </w:rPr>
      </w:pPr>
      <w:r>
        <w:fldChar w:fldCharType="begin"/>
      </w:r>
      <w:r>
        <w:instrText xml:space="preserve"> HYPERLINK \l "_Toc173317522" </w:instrText>
      </w:r>
      <w:r>
        <w:fldChar w:fldCharType="separate"/>
      </w:r>
      <w:r>
        <w:rPr>
          <w:rStyle w:val="31"/>
          <w:rFonts w:hint="eastAsia" w:hAnsi="宋体"/>
          <w:b/>
        </w:rPr>
        <w:t>第三部分供应商须知</w:t>
      </w:r>
      <w:r>
        <w:tab/>
      </w:r>
      <w:r>
        <w:fldChar w:fldCharType="begin"/>
      </w:r>
      <w:r>
        <w:instrText xml:space="preserve"> PAGEREF _Toc173317522 \h </w:instrText>
      </w:r>
      <w:r>
        <w:fldChar w:fldCharType="separate"/>
      </w:r>
      <w:r>
        <w:t>12</w:t>
      </w:r>
      <w:r>
        <w:fldChar w:fldCharType="end"/>
      </w:r>
      <w:r>
        <w:fldChar w:fldCharType="end"/>
      </w:r>
    </w:p>
    <w:p>
      <w:pPr>
        <w:pStyle w:val="18"/>
        <w:tabs>
          <w:tab w:val="right" w:leader="dot" w:pos="9514"/>
        </w:tabs>
        <w:spacing w:line="600" w:lineRule="exact"/>
        <w:rPr>
          <w:rFonts w:asciiTheme="minorHAnsi" w:hAnsiTheme="minorHAnsi" w:eastAsiaTheme="minorEastAsia" w:cstheme="minorBidi"/>
          <w:bCs w:val="0"/>
          <w:sz w:val="21"/>
        </w:rPr>
      </w:pPr>
      <w:r>
        <w:fldChar w:fldCharType="begin"/>
      </w:r>
      <w:r>
        <w:instrText xml:space="preserve"> HYPERLINK \l "_Toc173317523" </w:instrText>
      </w:r>
      <w:r>
        <w:fldChar w:fldCharType="separate"/>
      </w:r>
      <w:r>
        <w:rPr>
          <w:rStyle w:val="31"/>
          <w:rFonts w:hint="eastAsia" w:hAnsi="宋体" w:cs="宋体"/>
          <w:b/>
        </w:rPr>
        <w:t>一、说明</w:t>
      </w:r>
      <w:r>
        <w:tab/>
      </w:r>
      <w:r>
        <w:fldChar w:fldCharType="begin"/>
      </w:r>
      <w:r>
        <w:instrText xml:space="preserve"> PAGEREF _Toc173317523 \h </w:instrText>
      </w:r>
      <w:r>
        <w:fldChar w:fldCharType="separate"/>
      </w:r>
      <w:r>
        <w:t>12</w:t>
      </w:r>
      <w:r>
        <w:fldChar w:fldCharType="end"/>
      </w:r>
      <w:r>
        <w:fldChar w:fldCharType="end"/>
      </w:r>
    </w:p>
    <w:p>
      <w:pPr>
        <w:pStyle w:val="18"/>
        <w:tabs>
          <w:tab w:val="right" w:leader="dot" w:pos="9514"/>
        </w:tabs>
        <w:spacing w:line="600" w:lineRule="exact"/>
        <w:rPr>
          <w:rFonts w:asciiTheme="minorHAnsi" w:hAnsiTheme="minorHAnsi" w:eastAsiaTheme="minorEastAsia" w:cstheme="minorBidi"/>
          <w:bCs w:val="0"/>
          <w:sz w:val="21"/>
        </w:rPr>
      </w:pPr>
      <w:r>
        <w:fldChar w:fldCharType="begin"/>
      </w:r>
      <w:r>
        <w:instrText xml:space="preserve"> HYPERLINK \l "_Toc173317524" </w:instrText>
      </w:r>
      <w:r>
        <w:fldChar w:fldCharType="separate"/>
      </w:r>
      <w:r>
        <w:rPr>
          <w:rStyle w:val="31"/>
          <w:rFonts w:hint="eastAsia" w:hAnsi="宋体" w:cs="宋体"/>
          <w:b/>
        </w:rPr>
        <w:t>二、采购文件</w:t>
      </w:r>
      <w:r>
        <w:tab/>
      </w:r>
      <w:r>
        <w:fldChar w:fldCharType="begin"/>
      </w:r>
      <w:r>
        <w:instrText xml:space="preserve"> PAGEREF _Toc173317524 \h </w:instrText>
      </w:r>
      <w:r>
        <w:fldChar w:fldCharType="separate"/>
      </w:r>
      <w:r>
        <w:t>12</w:t>
      </w:r>
      <w:r>
        <w:fldChar w:fldCharType="end"/>
      </w:r>
      <w:r>
        <w:fldChar w:fldCharType="end"/>
      </w:r>
    </w:p>
    <w:p>
      <w:pPr>
        <w:pStyle w:val="18"/>
        <w:tabs>
          <w:tab w:val="right" w:leader="dot" w:pos="9514"/>
        </w:tabs>
        <w:spacing w:line="600" w:lineRule="exact"/>
        <w:rPr>
          <w:rFonts w:asciiTheme="minorHAnsi" w:hAnsiTheme="minorHAnsi" w:eastAsiaTheme="minorEastAsia" w:cstheme="minorBidi"/>
          <w:bCs w:val="0"/>
          <w:sz w:val="21"/>
        </w:rPr>
      </w:pPr>
      <w:r>
        <w:fldChar w:fldCharType="begin"/>
      </w:r>
      <w:r>
        <w:instrText xml:space="preserve"> HYPERLINK \l "_Toc173317525" </w:instrText>
      </w:r>
      <w:r>
        <w:fldChar w:fldCharType="separate"/>
      </w:r>
      <w:r>
        <w:rPr>
          <w:rStyle w:val="31"/>
          <w:rFonts w:hint="eastAsia" w:hAnsi="宋体" w:cs="宋体"/>
          <w:b/>
        </w:rPr>
        <w:t>三、投标文件的编制</w:t>
      </w:r>
      <w:r>
        <w:tab/>
      </w:r>
      <w:r>
        <w:fldChar w:fldCharType="begin"/>
      </w:r>
      <w:r>
        <w:instrText xml:space="preserve"> PAGEREF _Toc173317525 \h </w:instrText>
      </w:r>
      <w:r>
        <w:fldChar w:fldCharType="separate"/>
      </w:r>
      <w:r>
        <w:t>12</w:t>
      </w:r>
      <w:r>
        <w:fldChar w:fldCharType="end"/>
      </w:r>
      <w:r>
        <w:fldChar w:fldCharType="end"/>
      </w:r>
    </w:p>
    <w:p>
      <w:pPr>
        <w:pStyle w:val="18"/>
        <w:tabs>
          <w:tab w:val="right" w:leader="dot" w:pos="9514"/>
        </w:tabs>
        <w:spacing w:line="600" w:lineRule="exact"/>
        <w:rPr>
          <w:rFonts w:asciiTheme="minorHAnsi" w:hAnsiTheme="minorHAnsi" w:eastAsiaTheme="minorEastAsia" w:cstheme="minorBidi"/>
          <w:bCs w:val="0"/>
          <w:sz w:val="21"/>
        </w:rPr>
      </w:pPr>
      <w:r>
        <w:fldChar w:fldCharType="begin"/>
      </w:r>
      <w:r>
        <w:instrText xml:space="preserve"> HYPERLINK \l "_Toc173317526" </w:instrText>
      </w:r>
      <w:r>
        <w:fldChar w:fldCharType="separate"/>
      </w:r>
      <w:r>
        <w:rPr>
          <w:rStyle w:val="31"/>
          <w:rFonts w:hint="eastAsia" w:hAnsi="宋体" w:cs="宋体"/>
          <w:b/>
        </w:rPr>
        <w:t>四、投标文件的递交</w:t>
      </w:r>
      <w:r>
        <w:tab/>
      </w:r>
      <w:r>
        <w:fldChar w:fldCharType="begin"/>
      </w:r>
      <w:r>
        <w:instrText xml:space="preserve"> PAGEREF _Toc173317526 \h </w:instrText>
      </w:r>
      <w:r>
        <w:fldChar w:fldCharType="separate"/>
      </w:r>
      <w:r>
        <w:t>15</w:t>
      </w:r>
      <w:r>
        <w:fldChar w:fldCharType="end"/>
      </w:r>
      <w:r>
        <w:fldChar w:fldCharType="end"/>
      </w:r>
    </w:p>
    <w:p>
      <w:pPr>
        <w:pStyle w:val="18"/>
        <w:tabs>
          <w:tab w:val="right" w:leader="dot" w:pos="9514"/>
        </w:tabs>
        <w:spacing w:line="600" w:lineRule="exact"/>
        <w:rPr>
          <w:rFonts w:asciiTheme="minorHAnsi" w:hAnsiTheme="minorHAnsi" w:eastAsiaTheme="minorEastAsia" w:cstheme="minorBidi"/>
          <w:bCs w:val="0"/>
          <w:sz w:val="21"/>
        </w:rPr>
      </w:pPr>
      <w:r>
        <w:fldChar w:fldCharType="begin"/>
      </w:r>
      <w:r>
        <w:instrText xml:space="preserve"> HYPERLINK \l "_Toc173317527" </w:instrText>
      </w:r>
      <w:r>
        <w:fldChar w:fldCharType="separate"/>
      </w:r>
      <w:r>
        <w:rPr>
          <w:rStyle w:val="31"/>
          <w:rFonts w:hint="eastAsia" w:hAnsi="宋体" w:cs="宋体"/>
          <w:b/>
        </w:rPr>
        <w:t>五、开标和评标</w:t>
      </w:r>
      <w:r>
        <w:tab/>
      </w:r>
      <w:r>
        <w:fldChar w:fldCharType="begin"/>
      </w:r>
      <w:r>
        <w:instrText xml:space="preserve"> PAGEREF _Toc173317527 \h </w:instrText>
      </w:r>
      <w:r>
        <w:fldChar w:fldCharType="separate"/>
      </w:r>
      <w:r>
        <w:t>15</w:t>
      </w:r>
      <w:r>
        <w:fldChar w:fldCharType="end"/>
      </w:r>
      <w:r>
        <w:fldChar w:fldCharType="end"/>
      </w:r>
    </w:p>
    <w:p>
      <w:pPr>
        <w:pStyle w:val="18"/>
        <w:tabs>
          <w:tab w:val="right" w:leader="dot" w:pos="9514"/>
        </w:tabs>
        <w:spacing w:line="600" w:lineRule="exact"/>
        <w:rPr>
          <w:rFonts w:asciiTheme="minorHAnsi" w:hAnsiTheme="minorHAnsi" w:eastAsiaTheme="minorEastAsia" w:cstheme="minorBidi"/>
          <w:bCs w:val="0"/>
          <w:sz w:val="21"/>
        </w:rPr>
      </w:pPr>
      <w:r>
        <w:fldChar w:fldCharType="begin"/>
      </w:r>
      <w:r>
        <w:instrText xml:space="preserve"> HYPERLINK \l "_Toc173317528" </w:instrText>
      </w:r>
      <w:r>
        <w:fldChar w:fldCharType="separate"/>
      </w:r>
      <w:r>
        <w:rPr>
          <w:rStyle w:val="31"/>
          <w:rFonts w:hint="eastAsia" w:hAnsi="宋体" w:cs="宋体"/>
          <w:b/>
        </w:rPr>
        <w:t>六、授予合同</w:t>
      </w:r>
      <w:r>
        <w:tab/>
      </w:r>
      <w:r>
        <w:fldChar w:fldCharType="begin"/>
      </w:r>
      <w:r>
        <w:instrText xml:space="preserve"> PAGEREF _Toc173317528 \h </w:instrText>
      </w:r>
      <w:r>
        <w:fldChar w:fldCharType="separate"/>
      </w:r>
      <w:r>
        <w:t>18</w:t>
      </w:r>
      <w:r>
        <w:fldChar w:fldCharType="end"/>
      </w:r>
      <w:r>
        <w:fldChar w:fldCharType="end"/>
      </w:r>
    </w:p>
    <w:p>
      <w:pPr>
        <w:pStyle w:val="18"/>
        <w:tabs>
          <w:tab w:val="right" w:leader="dot" w:pos="9514"/>
        </w:tabs>
        <w:spacing w:line="600" w:lineRule="exact"/>
        <w:rPr>
          <w:rFonts w:asciiTheme="minorHAnsi" w:hAnsiTheme="minorHAnsi" w:eastAsiaTheme="minorEastAsia" w:cstheme="minorBidi"/>
          <w:bCs w:val="0"/>
          <w:sz w:val="21"/>
        </w:rPr>
      </w:pPr>
      <w:r>
        <w:fldChar w:fldCharType="begin"/>
      </w:r>
      <w:r>
        <w:instrText xml:space="preserve"> HYPERLINK \l "_Toc173317529" </w:instrText>
      </w:r>
      <w:r>
        <w:fldChar w:fldCharType="separate"/>
      </w:r>
      <w:r>
        <w:rPr>
          <w:rStyle w:val="31"/>
          <w:rFonts w:hint="eastAsia" w:hAnsi="宋体"/>
          <w:b/>
        </w:rPr>
        <w:t>第四部分合同格式（参考格式）</w:t>
      </w:r>
      <w:r>
        <w:tab/>
      </w:r>
      <w:r>
        <w:fldChar w:fldCharType="begin"/>
      </w:r>
      <w:r>
        <w:instrText xml:space="preserve"> PAGEREF _Toc173317529 \h </w:instrText>
      </w:r>
      <w:r>
        <w:fldChar w:fldCharType="separate"/>
      </w:r>
      <w:r>
        <w:t>20</w:t>
      </w:r>
      <w:r>
        <w:fldChar w:fldCharType="end"/>
      </w:r>
      <w:r>
        <w:fldChar w:fldCharType="end"/>
      </w:r>
    </w:p>
    <w:p>
      <w:pPr>
        <w:pStyle w:val="18"/>
        <w:tabs>
          <w:tab w:val="right" w:leader="dot" w:pos="9514"/>
        </w:tabs>
        <w:spacing w:line="600" w:lineRule="exact"/>
        <w:rPr>
          <w:rFonts w:asciiTheme="minorHAnsi" w:hAnsiTheme="minorHAnsi" w:eastAsiaTheme="minorEastAsia" w:cstheme="minorBidi"/>
          <w:bCs w:val="0"/>
          <w:sz w:val="21"/>
        </w:rPr>
      </w:pPr>
      <w:r>
        <w:fldChar w:fldCharType="begin"/>
      </w:r>
      <w:r>
        <w:instrText xml:space="preserve"> HYPERLINK \l "_Toc173317532" </w:instrText>
      </w:r>
      <w:r>
        <w:fldChar w:fldCharType="separate"/>
      </w:r>
      <w:r>
        <w:rPr>
          <w:rStyle w:val="31"/>
          <w:rFonts w:hint="eastAsia" w:hAnsi="宋体"/>
          <w:b/>
        </w:rPr>
        <w:t>第五部分投标文件格式</w:t>
      </w:r>
      <w:r>
        <w:tab/>
      </w:r>
      <w:r>
        <w:fldChar w:fldCharType="begin"/>
      </w:r>
      <w:r>
        <w:instrText xml:space="preserve"> PAGEREF _Toc173317532 \h </w:instrText>
      </w:r>
      <w:r>
        <w:fldChar w:fldCharType="separate"/>
      </w:r>
      <w:r>
        <w:t>27</w:t>
      </w:r>
      <w:r>
        <w:fldChar w:fldCharType="end"/>
      </w:r>
      <w:r>
        <w:fldChar w:fldCharType="end"/>
      </w:r>
    </w:p>
    <w:p>
      <w:pPr>
        <w:spacing w:line="600" w:lineRule="exact"/>
        <w:ind w:firstLine="411" w:firstLineChars="196"/>
        <w:rPr>
          <w:rFonts w:ascii="宋体" w:hAnsi="宋体" w:cs="宋体"/>
          <w:bCs/>
          <w:sz w:val="24"/>
          <w:szCs w:val="24"/>
        </w:rPr>
      </w:pPr>
      <w:r>
        <w:rPr>
          <w:rFonts w:ascii="宋体" w:cs="仿宋_GB2312"/>
          <w:bCs/>
          <w:lang w:val="zh-CN"/>
        </w:rPr>
        <w:fldChar w:fldCharType="end"/>
      </w:r>
      <w:r>
        <w:rPr>
          <w:rFonts w:hint="eastAsia" w:ascii="宋体" w:hAnsi="宋体" w:cs="宋体"/>
          <w:bCs/>
          <w:sz w:val="24"/>
          <w:szCs w:val="24"/>
        </w:rPr>
        <w:t>注：采购文件中部分加“▲”的条款，均为本招标项目的实质性要求和条件，着重提醒各投标人注意，并认真查看采购文件中的每一条款及要求，因误读采购文件而造成的后果，采购人概不负责。</w:t>
      </w:r>
    </w:p>
    <w:p>
      <w:pPr>
        <w:autoSpaceDE w:val="0"/>
        <w:autoSpaceDN w:val="0"/>
        <w:adjustRightInd w:val="0"/>
        <w:snapToGrid w:val="0"/>
        <w:spacing w:line="880" w:lineRule="exact"/>
        <w:ind w:firstLine="420" w:firstLineChars="200"/>
        <w:rPr>
          <w:rFonts w:ascii="宋体" w:cs="仿宋_GB2312"/>
          <w:bCs/>
        </w:rPr>
      </w:pPr>
    </w:p>
    <w:p>
      <w:pPr>
        <w:autoSpaceDE w:val="0"/>
        <w:autoSpaceDN w:val="0"/>
        <w:adjustRightInd w:val="0"/>
        <w:snapToGrid w:val="0"/>
        <w:spacing w:before="120" w:line="360" w:lineRule="auto"/>
        <w:ind w:firstLine="420" w:firstLineChars="200"/>
        <w:rPr>
          <w:rFonts w:ascii="宋体" w:cs="仿宋_GB2312"/>
          <w:bCs/>
          <w:lang w:val="zh-CN"/>
        </w:rPr>
      </w:pPr>
    </w:p>
    <w:p>
      <w:pPr>
        <w:autoSpaceDE w:val="0"/>
        <w:autoSpaceDN w:val="0"/>
        <w:adjustRightInd w:val="0"/>
        <w:snapToGrid w:val="0"/>
        <w:spacing w:before="120" w:line="360" w:lineRule="auto"/>
        <w:ind w:firstLine="420" w:firstLineChars="200"/>
        <w:rPr>
          <w:rFonts w:ascii="宋体" w:cs="仿宋_GB2312"/>
          <w:bCs/>
          <w:lang w:val="zh-CN"/>
        </w:rPr>
      </w:pPr>
    </w:p>
    <w:p>
      <w:pPr>
        <w:autoSpaceDE w:val="0"/>
        <w:autoSpaceDN w:val="0"/>
        <w:adjustRightInd w:val="0"/>
        <w:snapToGrid w:val="0"/>
        <w:spacing w:before="120" w:line="360" w:lineRule="auto"/>
        <w:ind w:firstLine="420" w:firstLineChars="200"/>
        <w:rPr>
          <w:rFonts w:ascii="宋体" w:cs="仿宋_GB2312"/>
          <w:bCs/>
          <w:lang w:val="zh-CN"/>
        </w:rPr>
      </w:pPr>
    </w:p>
    <w:p>
      <w:pPr>
        <w:autoSpaceDE w:val="0"/>
        <w:autoSpaceDN w:val="0"/>
        <w:adjustRightInd w:val="0"/>
        <w:snapToGrid w:val="0"/>
        <w:spacing w:before="120" w:line="360" w:lineRule="auto"/>
        <w:ind w:firstLine="420" w:firstLineChars="200"/>
        <w:rPr>
          <w:rFonts w:ascii="宋体" w:cs="仿宋_GB2312"/>
          <w:bCs/>
          <w:lang w:val="zh-CN"/>
        </w:rPr>
      </w:pPr>
    </w:p>
    <w:p>
      <w:pPr>
        <w:pStyle w:val="60"/>
        <w:rPr>
          <w:lang w:val="zh-CN"/>
        </w:rPr>
      </w:pPr>
    </w:p>
    <w:p>
      <w:pPr>
        <w:pStyle w:val="22"/>
        <w:snapToGrid w:val="0"/>
        <w:spacing w:line="440" w:lineRule="atLeast"/>
        <w:ind w:left="421" w:hanging="421" w:hangingChars="131"/>
        <w:rPr>
          <w:rFonts w:ascii="宋体" w:hAnsi="宋体"/>
          <w:b/>
          <w:bCs/>
        </w:rPr>
        <w:sectPr>
          <w:headerReference r:id="rId8" w:type="first"/>
          <w:headerReference r:id="rId7" w:type="default"/>
          <w:footerReference r:id="rId9" w:type="default"/>
          <w:pgSz w:w="11906" w:h="16838"/>
          <w:pgMar w:top="1440" w:right="1191" w:bottom="1440" w:left="1191" w:header="851" w:footer="992" w:gutter="0"/>
          <w:cols w:space="720" w:num="1"/>
          <w:docGrid w:linePitch="312" w:charSpace="0"/>
        </w:sectPr>
      </w:pPr>
    </w:p>
    <w:p>
      <w:pPr>
        <w:keepNext/>
        <w:jc w:val="center"/>
        <w:outlineLvl w:val="0"/>
        <w:rPr>
          <w:rFonts w:ascii="宋体" w:hAnsi="宋体" w:cs="宋体"/>
          <w:sz w:val="24"/>
          <w:szCs w:val="24"/>
        </w:rPr>
      </w:pPr>
      <w:bookmarkStart w:id="0" w:name="_Toc173317519"/>
      <w:r>
        <w:rPr>
          <w:rFonts w:hint="eastAsia" w:ascii="宋体" w:hAnsi="宋体" w:cs="宋体"/>
          <w:b/>
          <w:bCs/>
          <w:sz w:val="30"/>
          <w:szCs w:val="30"/>
        </w:rPr>
        <w:t>温州市海宸技术开发有限公司关于温州瓯江口建筑泥浆资源化利用项目（原位固化含软基处理泥浆）的公开招标公告</w:t>
      </w:r>
      <w:bookmarkEnd w:id="0"/>
    </w:p>
    <w:p>
      <w:pPr>
        <w:jc w:val="center"/>
        <w:rPr>
          <w:rFonts w:ascii="宋体" w:hAnsi="宋体" w:cs="宋体"/>
          <w:sz w:val="22"/>
        </w:rPr>
      </w:pPr>
    </w:p>
    <w:p>
      <w:pPr>
        <w:widowControl/>
        <w:snapToGrid w:val="0"/>
        <w:spacing w:line="460" w:lineRule="atLeast"/>
        <w:ind w:firstLine="440" w:firstLineChars="200"/>
        <w:jc w:val="left"/>
        <w:rPr>
          <w:rFonts w:ascii="宋体" w:hAnsi="宋体" w:cs="宋体"/>
          <w:sz w:val="22"/>
        </w:rPr>
      </w:pPr>
      <w:r>
        <w:rPr>
          <w:rFonts w:hint="eastAsia" w:ascii="宋体" w:hAnsi="宋体" w:cs="宋体"/>
          <w:sz w:val="22"/>
        </w:rPr>
        <w:t>温州瓯江口建筑泥浆资源化利用项目（原位固化含软基处理泥浆）的潜在投标供应商应在乐采云平台（www.lecaiyun.com）获取（下载）采购文件，并于2024年</w:t>
      </w:r>
      <w:r>
        <w:rPr>
          <w:rFonts w:hint="eastAsia" w:ascii="宋体" w:hAnsi="宋体" w:cs="宋体"/>
          <w:sz w:val="22"/>
          <w:lang w:val="en-US" w:eastAsia="zh-CN"/>
        </w:rPr>
        <w:t>11</w:t>
      </w:r>
      <w:r>
        <w:rPr>
          <w:rFonts w:hint="eastAsia" w:ascii="宋体" w:hAnsi="宋体" w:cs="宋体"/>
          <w:sz w:val="22"/>
        </w:rPr>
        <w:t>月</w:t>
      </w:r>
      <w:r>
        <w:rPr>
          <w:rFonts w:hint="eastAsia" w:ascii="宋体" w:hAnsi="宋体" w:cs="宋体"/>
          <w:sz w:val="22"/>
          <w:lang w:val="en-US" w:eastAsia="zh-CN"/>
        </w:rPr>
        <w:t>22</w:t>
      </w:r>
      <w:r>
        <w:rPr>
          <w:rFonts w:hint="eastAsia" w:ascii="宋体" w:hAnsi="宋体" w:cs="宋体"/>
          <w:sz w:val="22"/>
        </w:rPr>
        <w:t>日09:30（北京时间）前提交（上传）响应文件。</w:t>
      </w:r>
    </w:p>
    <w:p>
      <w:pPr>
        <w:widowControl/>
        <w:snapToGrid w:val="0"/>
        <w:spacing w:line="460" w:lineRule="atLeast"/>
        <w:jc w:val="left"/>
        <w:rPr>
          <w:rFonts w:ascii="宋体"/>
          <w:b/>
          <w:sz w:val="22"/>
        </w:rPr>
      </w:pPr>
      <w:r>
        <w:rPr>
          <w:rFonts w:hint="eastAsia" w:ascii="宋体"/>
          <w:b/>
          <w:sz w:val="22"/>
        </w:rPr>
        <w:t>一、采购项目编号: XC-GC20241003</w:t>
      </w:r>
      <w:r>
        <w:fldChar w:fldCharType="begin"/>
      </w:r>
      <w:r>
        <w:instrText xml:space="preserve"> HYPERLINK "https://www.zcy.gov.cn/purchaseplan/list/detail?id=1000000000000514784" \t "https://www.zcy.gov.cn/bidding-open/agentOrder/_blank" </w:instrText>
      </w:r>
      <w:r>
        <w:fldChar w:fldCharType="separate"/>
      </w:r>
      <w:r>
        <w:fldChar w:fldCharType="end"/>
      </w:r>
    </w:p>
    <w:p>
      <w:pPr>
        <w:widowControl/>
        <w:snapToGrid w:val="0"/>
        <w:spacing w:line="460" w:lineRule="atLeast"/>
        <w:jc w:val="left"/>
        <w:rPr>
          <w:rFonts w:ascii="宋体"/>
          <w:b/>
          <w:sz w:val="22"/>
        </w:rPr>
      </w:pPr>
      <w:r>
        <w:rPr>
          <w:rFonts w:hint="eastAsia" w:ascii="宋体"/>
          <w:b/>
          <w:sz w:val="22"/>
        </w:rPr>
        <w:t>二、</w:t>
      </w:r>
      <w:r>
        <w:rPr>
          <w:rFonts w:ascii="宋体"/>
          <w:b/>
          <w:sz w:val="22"/>
        </w:rPr>
        <w:t>采购组织类型：</w:t>
      </w:r>
      <w:r>
        <w:rPr>
          <w:rFonts w:hint="eastAsia" w:ascii="宋体"/>
          <w:b/>
          <w:sz w:val="22"/>
        </w:rPr>
        <w:t>分散委托代理</w:t>
      </w:r>
    </w:p>
    <w:p>
      <w:pPr>
        <w:widowControl/>
        <w:snapToGrid w:val="0"/>
        <w:spacing w:line="460" w:lineRule="atLeast"/>
        <w:jc w:val="left"/>
        <w:rPr>
          <w:rFonts w:ascii="宋体"/>
          <w:b/>
          <w:sz w:val="22"/>
        </w:rPr>
      </w:pPr>
      <w:r>
        <w:rPr>
          <w:rFonts w:hint="eastAsia" w:ascii="宋体"/>
          <w:b/>
          <w:sz w:val="22"/>
        </w:rPr>
        <w:t>三、采购项目性质：国企采购（非政府采购）</w:t>
      </w:r>
    </w:p>
    <w:p>
      <w:pPr>
        <w:widowControl/>
        <w:snapToGrid w:val="0"/>
        <w:spacing w:line="460" w:lineRule="atLeast"/>
        <w:jc w:val="left"/>
        <w:rPr>
          <w:rFonts w:ascii="宋体"/>
          <w:b/>
          <w:sz w:val="22"/>
          <w:highlight w:val="none"/>
        </w:rPr>
      </w:pPr>
      <w:r>
        <w:rPr>
          <w:rFonts w:hint="eastAsia" w:ascii="宋体"/>
          <w:b/>
          <w:sz w:val="22"/>
        </w:rPr>
        <w:t>四、年预算金额：6300万元</w:t>
      </w:r>
    </w:p>
    <w:p>
      <w:pPr>
        <w:widowControl/>
        <w:snapToGrid w:val="0"/>
        <w:spacing w:line="460" w:lineRule="atLeast"/>
        <w:jc w:val="left"/>
        <w:rPr>
          <w:rFonts w:ascii="宋体"/>
          <w:b/>
          <w:sz w:val="22"/>
          <w:highlight w:val="none"/>
        </w:rPr>
      </w:pPr>
      <w:r>
        <w:rPr>
          <w:rFonts w:hint="eastAsia" w:ascii="宋体"/>
          <w:b/>
          <w:sz w:val="22"/>
          <w:highlight w:val="none"/>
        </w:rPr>
        <w:t>五</w:t>
      </w:r>
      <w:r>
        <w:rPr>
          <w:rFonts w:ascii="宋体"/>
          <w:b/>
          <w:sz w:val="22"/>
          <w:highlight w:val="none"/>
        </w:rPr>
        <w:t>、</w:t>
      </w:r>
      <w:r>
        <w:rPr>
          <w:rFonts w:hint="eastAsia" w:ascii="宋体"/>
          <w:b/>
          <w:sz w:val="22"/>
          <w:highlight w:val="none"/>
        </w:rPr>
        <w:t>采购内容（具体采购内容及详细技术要求见采购文件相关部分）：</w:t>
      </w:r>
    </w:p>
    <w:p>
      <w:pPr>
        <w:snapToGrid w:val="0"/>
        <w:spacing w:line="460" w:lineRule="atLeast"/>
        <w:ind w:firstLine="440" w:firstLineChars="200"/>
        <w:rPr>
          <w:rFonts w:ascii="宋体"/>
          <w:sz w:val="22"/>
          <w:highlight w:val="none"/>
        </w:rPr>
      </w:pPr>
      <w:r>
        <w:rPr>
          <w:rFonts w:hint="eastAsia" w:ascii="宋体"/>
          <w:sz w:val="22"/>
          <w:highlight w:val="none"/>
        </w:rPr>
        <w:t>温州瓯江口建筑泥浆资源化利用项目（原位固化含软基处理泥浆），</w:t>
      </w:r>
      <w:r>
        <w:rPr>
          <w:rFonts w:hint="eastAsia" w:ascii="宋体" w:hAnsi="宋体" w:cs="宋体"/>
          <w:sz w:val="22"/>
          <w:highlight w:val="none"/>
        </w:rPr>
        <w:t>运营期内原位固化含软基处理泥浆。预估量为210万湿方/年（70万干方/年），</w:t>
      </w:r>
      <w:r>
        <w:rPr>
          <w:rFonts w:hint="eastAsia" w:ascii="宋体" w:hAnsi="宋体" w:cs="宋体"/>
          <w:b/>
          <w:sz w:val="22"/>
          <w:highlight w:val="none"/>
        </w:rPr>
        <w:t>今后实际处理量和预估量差距可能比较大，投标人需考虑此风险因素。泥浆固化服务</w:t>
      </w:r>
      <w:r>
        <w:rPr>
          <w:rFonts w:hint="eastAsia" w:ascii="宋体" w:hAnsi="宋体" w:cs="宋体"/>
          <w:sz w:val="22"/>
          <w:highlight w:val="none"/>
        </w:rPr>
        <w:t>按项目由采购人进行任务下发，</w:t>
      </w:r>
      <w:r>
        <w:rPr>
          <w:rFonts w:hint="eastAsia" w:ascii="宋体"/>
          <w:sz w:val="22"/>
          <w:highlight w:val="none"/>
        </w:rPr>
        <w:t>下发围堰任务后120天内完成围堰工作，</w:t>
      </w:r>
      <w:r>
        <w:rPr>
          <w:rFonts w:hint="eastAsia" w:ascii="宋体" w:hAnsi="宋体" w:cs="宋体"/>
          <w:sz w:val="22"/>
          <w:highlight w:val="none"/>
        </w:rPr>
        <w:t>下发固化处理任务后4个月内完成固化处理工作</w:t>
      </w:r>
      <w:r>
        <w:rPr>
          <w:rFonts w:hint="eastAsia" w:ascii="宋体"/>
          <w:sz w:val="22"/>
          <w:highlight w:val="none"/>
        </w:rPr>
        <w:t>。服务期限：</w:t>
      </w:r>
      <w:r>
        <w:rPr>
          <w:rFonts w:hint="eastAsia" w:ascii="宋体"/>
          <w:bCs/>
          <w:sz w:val="22"/>
          <w:highlight w:val="none"/>
        </w:rPr>
        <w:t>采用</w:t>
      </w:r>
      <w:r>
        <w:rPr>
          <w:rFonts w:ascii="宋体"/>
          <w:bCs/>
          <w:sz w:val="22"/>
          <w:highlight w:val="none"/>
        </w:rPr>
        <w:t>1+1+1模式</w:t>
      </w:r>
      <w:r>
        <w:rPr>
          <w:rFonts w:hint="eastAsia" w:ascii="宋体" w:hAnsi="宋体" w:cs="宋体"/>
          <w:sz w:val="22"/>
          <w:highlight w:val="none"/>
        </w:rPr>
        <w:t>(1年期满或提前达到年预估总量，考核合格，双方同意，且政策允许的情况下，可以延续一年，</w:t>
      </w:r>
      <w:r>
        <w:rPr>
          <w:rFonts w:hint="eastAsia" w:ascii="宋体" w:hAnsi="宋体" w:cs="宋体"/>
          <w:bCs/>
          <w:spacing w:val="6"/>
          <w:sz w:val="22"/>
          <w:highlight w:val="none"/>
          <w:u w:val="single"/>
        </w:rPr>
        <w:t>续签最多不超过</w:t>
      </w:r>
      <w:r>
        <w:rPr>
          <w:rFonts w:ascii="宋体" w:hAnsi="宋体" w:cs="宋体"/>
          <w:bCs/>
          <w:spacing w:val="6"/>
          <w:sz w:val="22"/>
          <w:highlight w:val="none"/>
          <w:u w:val="single"/>
        </w:rPr>
        <w:t>2次</w:t>
      </w:r>
      <w:r>
        <w:rPr>
          <w:rFonts w:hint="eastAsia" w:ascii="宋体" w:hAnsi="宋体" w:cs="宋体"/>
          <w:sz w:val="22"/>
          <w:highlight w:val="none"/>
        </w:rPr>
        <w:t>）</w:t>
      </w:r>
      <w:r>
        <w:rPr>
          <w:rFonts w:hint="eastAsia" w:ascii="宋体"/>
          <w:sz w:val="22"/>
          <w:highlight w:val="none"/>
        </w:rPr>
        <w:t>。</w:t>
      </w:r>
    </w:p>
    <w:p>
      <w:pPr>
        <w:widowControl/>
        <w:snapToGrid w:val="0"/>
        <w:spacing w:line="460" w:lineRule="atLeast"/>
        <w:jc w:val="left"/>
        <w:rPr>
          <w:rFonts w:ascii="宋体"/>
          <w:b/>
          <w:sz w:val="22"/>
          <w:highlight w:val="none"/>
        </w:rPr>
      </w:pPr>
      <w:r>
        <w:rPr>
          <w:rFonts w:hint="eastAsia" w:ascii="宋体"/>
          <w:b/>
          <w:sz w:val="22"/>
          <w:highlight w:val="none"/>
        </w:rPr>
        <w:t>六</w:t>
      </w:r>
      <w:r>
        <w:rPr>
          <w:rFonts w:ascii="宋体"/>
          <w:b/>
          <w:sz w:val="22"/>
          <w:highlight w:val="none"/>
        </w:rPr>
        <w:t>、</w:t>
      </w:r>
      <w:r>
        <w:rPr>
          <w:rFonts w:hint="eastAsia" w:ascii="宋体"/>
          <w:b/>
          <w:sz w:val="22"/>
          <w:highlight w:val="none"/>
        </w:rPr>
        <w:t>投标人资格要求</w:t>
      </w:r>
      <w:r>
        <w:rPr>
          <w:rFonts w:ascii="宋体"/>
          <w:b/>
          <w:sz w:val="22"/>
          <w:highlight w:val="none"/>
        </w:rPr>
        <w:t>:</w:t>
      </w:r>
    </w:p>
    <w:p>
      <w:pPr>
        <w:widowControl/>
        <w:snapToGrid w:val="0"/>
        <w:spacing w:line="460" w:lineRule="atLeast"/>
        <w:ind w:firstLine="440" w:firstLineChars="200"/>
        <w:jc w:val="left"/>
        <w:rPr>
          <w:rFonts w:ascii="宋体" w:hAnsi="宋体"/>
          <w:sz w:val="22"/>
          <w:highlight w:val="none"/>
        </w:rPr>
      </w:pPr>
      <w:r>
        <w:rPr>
          <w:rFonts w:hint="eastAsia" w:ascii="宋体" w:hAnsi="宋体" w:cs="宋体"/>
          <w:kern w:val="0"/>
          <w:sz w:val="22"/>
          <w:highlight w:val="none"/>
        </w:rPr>
        <w:t>1、</w:t>
      </w:r>
      <w:r>
        <w:rPr>
          <w:rFonts w:hint="eastAsia" w:ascii="宋体" w:hAnsi="宋体"/>
          <w:sz w:val="22"/>
          <w:highlight w:val="none"/>
        </w:rPr>
        <w:t>符合《浙江温州海洋经济发展示范区区属国有企业采购管理办法》第十四条对供应商参加温州市国有企业采购活动应当具备的条件的要求，具体如下：</w:t>
      </w:r>
    </w:p>
    <w:p>
      <w:pPr>
        <w:widowControl/>
        <w:snapToGrid w:val="0"/>
        <w:spacing w:line="460" w:lineRule="atLeast"/>
        <w:ind w:firstLine="440" w:firstLineChars="200"/>
        <w:jc w:val="left"/>
        <w:rPr>
          <w:rFonts w:ascii="宋体" w:hAnsi="宋体"/>
          <w:sz w:val="22"/>
        </w:rPr>
      </w:pPr>
      <w:r>
        <w:rPr>
          <w:rFonts w:hint="eastAsia" w:ascii="宋体" w:hAnsi="宋体"/>
          <w:sz w:val="22"/>
        </w:rPr>
        <w:t xml:space="preserve">（一）具有独立承担民事责任的能力； </w:t>
      </w:r>
    </w:p>
    <w:p>
      <w:pPr>
        <w:widowControl/>
        <w:snapToGrid w:val="0"/>
        <w:spacing w:line="460" w:lineRule="atLeast"/>
        <w:ind w:firstLine="440" w:firstLineChars="200"/>
        <w:jc w:val="left"/>
        <w:rPr>
          <w:rFonts w:ascii="宋体" w:hAnsi="宋体"/>
          <w:sz w:val="22"/>
        </w:rPr>
      </w:pPr>
      <w:r>
        <w:rPr>
          <w:rFonts w:hint="eastAsia" w:ascii="宋体" w:hAnsi="宋体"/>
          <w:sz w:val="22"/>
        </w:rPr>
        <w:t xml:space="preserve">（二）具有良好的商业信誉和健全的财务会计制度； </w:t>
      </w:r>
    </w:p>
    <w:p>
      <w:pPr>
        <w:widowControl/>
        <w:snapToGrid w:val="0"/>
        <w:spacing w:line="460" w:lineRule="atLeast"/>
        <w:ind w:firstLine="440" w:firstLineChars="200"/>
        <w:jc w:val="left"/>
        <w:rPr>
          <w:rFonts w:ascii="宋体" w:hAnsi="宋体"/>
          <w:sz w:val="22"/>
        </w:rPr>
      </w:pPr>
      <w:r>
        <w:rPr>
          <w:rFonts w:hint="eastAsia" w:ascii="宋体" w:hAnsi="宋体"/>
          <w:sz w:val="22"/>
        </w:rPr>
        <w:t xml:space="preserve">（三）具有履行合同所必需的设备和专业技术、售后保障等能力； </w:t>
      </w:r>
    </w:p>
    <w:p>
      <w:pPr>
        <w:widowControl/>
        <w:snapToGrid w:val="0"/>
        <w:spacing w:line="460" w:lineRule="atLeast"/>
        <w:ind w:firstLine="440" w:firstLineChars="200"/>
        <w:jc w:val="left"/>
        <w:rPr>
          <w:rFonts w:ascii="宋体" w:hAnsi="宋体"/>
          <w:sz w:val="22"/>
        </w:rPr>
      </w:pPr>
      <w:r>
        <w:rPr>
          <w:rFonts w:hint="eastAsia" w:ascii="宋体" w:hAnsi="宋体"/>
          <w:sz w:val="22"/>
        </w:rPr>
        <w:t>（四）有依法缴纳税收和社会保障资金的良好记录；</w:t>
      </w:r>
    </w:p>
    <w:p>
      <w:pPr>
        <w:widowControl/>
        <w:snapToGrid w:val="0"/>
        <w:spacing w:line="460" w:lineRule="atLeast"/>
        <w:ind w:firstLine="440" w:firstLineChars="200"/>
        <w:jc w:val="left"/>
        <w:rPr>
          <w:rFonts w:ascii="宋体" w:hAnsi="宋体"/>
          <w:sz w:val="22"/>
        </w:rPr>
      </w:pPr>
      <w:r>
        <w:rPr>
          <w:rFonts w:hint="eastAsia" w:ascii="宋体" w:hAnsi="宋体"/>
          <w:sz w:val="22"/>
        </w:rPr>
        <w:t>（五）参加采购、招投标等活动前三年内，在经营活动中没有重大违法记录、严重失信行为和行贿记录；</w:t>
      </w:r>
    </w:p>
    <w:p>
      <w:pPr>
        <w:widowControl/>
        <w:snapToGrid w:val="0"/>
        <w:spacing w:line="460" w:lineRule="atLeast"/>
        <w:ind w:firstLine="440" w:firstLineChars="200"/>
        <w:jc w:val="left"/>
        <w:rPr>
          <w:rFonts w:ascii="宋体" w:hAnsi="宋体"/>
          <w:sz w:val="22"/>
        </w:rPr>
      </w:pPr>
      <w:r>
        <w:rPr>
          <w:rFonts w:hint="eastAsia" w:ascii="宋体" w:hAnsi="宋体"/>
          <w:sz w:val="22"/>
        </w:rPr>
        <w:t>（六）法律、行政法规规定的其他条件。</w:t>
      </w:r>
    </w:p>
    <w:p>
      <w:pPr>
        <w:widowControl/>
        <w:snapToGrid w:val="0"/>
        <w:spacing w:line="460" w:lineRule="atLeast"/>
        <w:ind w:firstLine="440" w:firstLineChars="200"/>
        <w:jc w:val="left"/>
        <w:rPr>
          <w:rFonts w:ascii="宋体" w:hAnsi="宋体"/>
          <w:sz w:val="22"/>
        </w:rPr>
      </w:pPr>
      <w:r>
        <w:rPr>
          <w:rFonts w:hint="eastAsia" w:ascii="宋体" w:hAnsi="宋体"/>
          <w:sz w:val="22"/>
        </w:rPr>
        <w:t xml:space="preserve">2、未被“信用中国”（www.creditchina.gov.cn)、中国政府采购网（www.ccgp.gov.cn）列入失信被执行人、重大税收违法案件当事人名单、政府采购严重违法失信行为记录名单； </w:t>
      </w:r>
    </w:p>
    <w:p>
      <w:pPr>
        <w:widowControl/>
        <w:snapToGrid w:val="0"/>
        <w:spacing w:line="460" w:lineRule="atLeast"/>
        <w:ind w:firstLine="440" w:firstLineChars="200"/>
        <w:jc w:val="left"/>
        <w:rPr>
          <w:rFonts w:ascii="宋体" w:hAnsi="宋体"/>
          <w:sz w:val="22"/>
        </w:rPr>
      </w:pPr>
      <w:r>
        <w:rPr>
          <w:rFonts w:hint="eastAsia" w:ascii="宋体" w:hAnsi="宋体"/>
          <w:sz w:val="22"/>
        </w:rPr>
        <w:t>3、本项目的特定资格要求：投标供应商须具备有效的市政公用工程施工总承包三级及以上资质或地基基础工程专业承包三级及以上资质，和有效的安全生产许可证；</w:t>
      </w:r>
    </w:p>
    <w:p>
      <w:pPr>
        <w:widowControl/>
        <w:snapToGrid w:val="0"/>
        <w:spacing w:line="460" w:lineRule="atLeast"/>
        <w:ind w:firstLine="440" w:firstLineChars="200"/>
        <w:jc w:val="left"/>
        <w:rPr>
          <w:rFonts w:ascii="宋体" w:hAnsi="宋体"/>
          <w:sz w:val="22"/>
        </w:rPr>
      </w:pPr>
      <w:r>
        <w:rPr>
          <w:rFonts w:hint="eastAsia" w:ascii="宋体" w:hAnsi="宋体"/>
          <w:sz w:val="22"/>
        </w:rPr>
        <w:t>4、本项目不接受联合体投标。</w:t>
      </w:r>
    </w:p>
    <w:p>
      <w:pPr>
        <w:snapToGrid w:val="0"/>
        <w:spacing w:line="460" w:lineRule="atLeast"/>
        <w:rPr>
          <w:rFonts w:ascii="宋体"/>
          <w:sz w:val="22"/>
        </w:rPr>
      </w:pPr>
      <w:r>
        <w:rPr>
          <w:rFonts w:hint="eastAsia" w:ascii="宋体"/>
          <w:sz w:val="22"/>
        </w:rPr>
        <w:t>七、获取（下载）采购文件：</w:t>
      </w:r>
    </w:p>
    <w:p>
      <w:pPr>
        <w:snapToGrid w:val="0"/>
        <w:spacing w:line="460" w:lineRule="atLeast"/>
        <w:ind w:firstLine="440" w:firstLineChars="200"/>
        <w:rPr>
          <w:rFonts w:ascii="宋体"/>
          <w:sz w:val="22"/>
        </w:rPr>
      </w:pPr>
      <w:r>
        <w:rPr>
          <w:rFonts w:ascii="宋体"/>
          <w:sz w:val="22"/>
        </w:rPr>
        <w:t>1.时间：公告发布之日起至投标截止时间前，每天上午00:00至12：00，下午12:00至23：59（北京时间，线上获取法定节假日均可，线下获取文件法定节假日除外）。</w:t>
      </w:r>
    </w:p>
    <w:p>
      <w:pPr>
        <w:snapToGrid w:val="0"/>
        <w:spacing w:line="460" w:lineRule="atLeast"/>
        <w:ind w:firstLine="440" w:firstLineChars="200"/>
        <w:rPr>
          <w:rFonts w:ascii="宋体"/>
          <w:sz w:val="22"/>
        </w:rPr>
      </w:pPr>
      <w:r>
        <w:rPr>
          <w:rFonts w:ascii="宋体"/>
          <w:sz w:val="22"/>
        </w:rPr>
        <w:t>2.地点：在</w:t>
      </w:r>
      <w:r>
        <w:rPr>
          <w:rFonts w:hint="eastAsia" w:ascii="宋体"/>
          <w:sz w:val="22"/>
        </w:rPr>
        <w:t>乐采云平台</w:t>
      </w:r>
      <w:r>
        <w:rPr>
          <w:rFonts w:ascii="宋体"/>
          <w:sz w:val="22"/>
        </w:rPr>
        <w:t>（</w:t>
      </w:r>
      <w:r>
        <w:rPr>
          <w:rFonts w:hint="eastAsia" w:ascii="宋体"/>
          <w:sz w:val="22"/>
        </w:rPr>
        <w:t>www.lecaiyun.com</w:t>
      </w:r>
      <w:r>
        <w:rPr>
          <w:rFonts w:ascii="宋体"/>
          <w:sz w:val="22"/>
        </w:rPr>
        <w:t>）上自主获取（未注册</w:t>
      </w:r>
      <w:r>
        <w:rPr>
          <w:rFonts w:hint="eastAsia" w:ascii="宋体"/>
          <w:sz w:val="22"/>
        </w:rPr>
        <w:t>乐采云</w:t>
      </w:r>
      <w:r>
        <w:rPr>
          <w:rFonts w:ascii="宋体"/>
          <w:sz w:val="22"/>
        </w:rPr>
        <w:t>账号请尽早办理），本项目不提供采购文件纸质版。</w:t>
      </w:r>
    </w:p>
    <w:p>
      <w:pPr>
        <w:snapToGrid w:val="0"/>
        <w:spacing w:line="460" w:lineRule="atLeast"/>
        <w:ind w:firstLine="440" w:firstLineChars="200"/>
        <w:rPr>
          <w:rFonts w:ascii="宋体"/>
          <w:sz w:val="22"/>
        </w:rPr>
      </w:pPr>
      <w:r>
        <w:rPr>
          <w:rFonts w:ascii="宋体"/>
          <w:sz w:val="22"/>
        </w:rPr>
        <w:t>3.方式：潜在</w:t>
      </w:r>
      <w:r>
        <w:rPr>
          <w:rFonts w:hint="eastAsia" w:ascii="宋体"/>
          <w:sz w:val="22"/>
        </w:rPr>
        <w:t>投标供应商登陆乐采云平台（www.lecaiyun.com</w:t>
      </w:r>
      <w:r>
        <w:rPr>
          <w:rFonts w:ascii="宋体"/>
          <w:sz w:val="22"/>
        </w:rPr>
        <w:t>），在线申请获取采购文件（进入“项目采购”应用，在获取采购文件菜单中选择项目，申请获取采购文件；仅需浏览采购文件的供应商可点击“游客，浏览采购文件”直接下载采购文件浏览）。</w:t>
      </w:r>
    </w:p>
    <w:p>
      <w:pPr>
        <w:snapToGrid w:val="0"/>
        <w:spacing w:line="460" w:lineRule="atLeast"/>
        <w:ind w:firstLine="442" w:firstLineChars="200"/>
        <w:rPr>
          <w:rFonts w:ascii="宋体"/>
          <w:sz w:val="22"/>
        </w:rPr>
      </w:pPr>
      <w:r>
        <w:rPr>
          <w:rFonts w:hint="eastAsia" w:ascii="宋体"/>
          <w:b/>
          <w:sz w:val="22"/>
        </w:rPr>
        <w:t>供应商只有在“乐采云平台”完成获取采购文件申请并下载了采购文件后才视作依法获取采购文件（法律法规所指的供应商获取采购文件时间以供应商完成获取采购文件申请后下载采购文件的时间为准）。未依法获取采购文件的潜在供应商对采购文件提起质疑投诉，不予受理。</w:t>
      </w:r>
    </w:p>
    <w:p>
      <w:pPr>
        <w:widowControl/>
        <w:spacing w:line="460" w:lineRule="atLeast"/>
        <w:ind w:firstLine="442" w:firstLineChars="200"/>
        <w:jc w:val="left"/>
        <w:rPr>
          <w:rFonts w:ascii="宋体"/>
          <w:sz w:val="22"/>
        </w:rPr>
      </w:pPr>
      <w:r>
        <w:rPr>
          <w:rFonts w:hint="eastAsia" w:ascii="宋体"/>
          <w:b/>
          <w:sz w:val="22"/>
        </w:rPr>
        <w:t>七、提交投标文件截止时间、开标时间和地点</w:t>
      </w:r>
    </w:p>
    <w:p>
      <w:pPr>
        <w:widowControl/>
        <w:spacing w:line="460" w:lineRule="atLeast"/>
        <w:ind w:firstLine="442" w:firstLineChars="200"/>
        <w:jc w:val="left"/>
        <w:rPr>
          <w:rFonts w:ascii="宋体"/>
          <w:sz w:val="22"/>
        </w:rPr>
      </w:pPr>
      <w:r>
        <w:rPr>
          <w:rFonts w:hint="eastAsia" w:ascii="宋体"/>
          <w:b/>
          <w:sz w:val="22"/>
        </w:rPr>
        <w:t>投标文件提交截止时间：</w:t>
      </w:r>
      <w:r>
        <w:rPr>
          <w:rFonts w:ascii="宋体"/>
          <w:b/>
          <w:sz w:val="22"/>
        </w:rPr>
        <w:t>2024年</w:t>
      </w:r>
      <w:r>
        <w:rPr>
          <w:rFonts w:hint="eastAsia" w:ascii="宋体"/>
          <w:b/>
          <w:sz w:val="22"/>
          <w:lang w:val="en-US" w:eastAsia="zh-CN"/>
        </w:rPr>
        <w:t>11</w:t>
      </w:r>
      <w:r>
        <w:rPr>
          <w:rFonts w:hint="eastAsia" w:ascii="宋体"/>
          <w:b/>
          <w:sz w:val="22"/>
        </w:rPr>
        <w:t>月</w:t>
      </w:r>
      <w:r>
        <w:rPr>
          <w:rFonts w:hint="eastAsia" w:ascii="宋体"/>
          <w:b/>
          <w:sz w:val="22"/>
          <w:lang w:val="en-US" w:eastAsia="zh-CN"/>
        </w:rPr>
        <w:t>22</w:t>
      </w:r>
      <w:r>
        <w:rPr>
          <w:rFonts w:hint="eastAsia" w:ascii="宋体"/>
          <w:b/>
          <w:sz w:val="22"/>
        </w:rPr>
        <w:t>日</w:t>
      </w:r>
      <w:r>
        <w:rPr>
          <w:rFonts w:ascii="宋体"/>
          <w:b/>
          <w:sz w:val="22"/>
        </w:rPr>
        <w:t>9:30（北京时间）</w:t>
      </w:r>
    </w:p>
    <w:p>
      <w:pPr>
        <w:widowControl/>
        <w:spacing w:line="460" w:lineRule="atLeast"/>
        <w:ind w:firstLine="442" w:firstLineChars="200"/>
        <w:jc w:val="left"/>
        <w:rPr>
          <w:rFonts w:ascii="宋体"/>
          <w:sz w:val="22"/>
        </w:rPr>
      </w:pPr>
      <w:r>
        <w:rPr>
          <w:rFonts w:hint="eastAsia" w:ascii="宋体"/>
          <w:b/>
          <w:sz w:val="22"/>
        </w:rPr>
        <w:t>投标地点（网址）：乐采云平台（www.lecaiyun.com</w:t>
      </w:r>
      <w:r>
        <w:rPr>
          <w:rFonts w:ascii="宋体"/>
          <w:b/>
          <w:sz w:val="22"/>
        </w:rPr>
        <w:t>）</w:t>
      </w:r>
    </w:p>
    <w:p>
      <w:pPr>
        <w:widowControl/>
        <w:spacing w:line="460" w:lineRule="atLeast"/>
        <w:ind w:firstLine="442" w:firstLineChars="200"/>
        <w:jc w:val="left"/>
        <w:rPr>
          <w:rFonts w:ascii="宋体"/>
          <w:sz w:val="22"/>
        </w:rPr>
      </w:pPr>
      <w:r>
        <w:rPr>
          <w:rFonts w:hint="eastAsia" w:ascii="宋体"/>
          <w:b/>
          <w:sz w:val="22"/>
        </w:rPr>
        <w:t>开标时间：</w:t>
      </w:r>
      <w:r>
        <w:rPr>
          <w:rFonts w:ascii="宋体"/>
          <w:b/>
          <w:sz w:val="22"/>
        </w:rPr>
        <w:t>2024年</w:t>
      </w:r>
      <w:r>
        <w:rPr>
          <w:rFonts w:hint="eastAsia" w:ascii="宋体"/>
          <w:b/>
          <w:sz w:val="22"/>
          <w:lang w:val="en-US" w:eastAsia="zh-CN"/>
        </w:rPr>
        <w:t>11</w:t>
      </w:r>
      <w:r>
        <w:rPr>
          <w:rFonts w:hint="eastAsia" w:ascii="宋体"/>
          <w:b/>
          <w:sz w:val="22"/>
        </w:rPr>
        <w:t>月</w:t>
      </w:r>
      <w:r>
        <w:rPr>
          <w:rFonts w:hint="eastAsia" w:ascii="宋体"/>
          <w:b/>
          <w:sz w:val="22"/>
          <w:lang w:val="en-US" w:eastAsia="zh-CN"/>
        </w:rPr>
        <w:t>22</w:t>
      </w:r>
      <w:r>
        <w:rPr>
          <w:rFonts w:hint="eastAsia" w:ascii="宋体"/>
          <w:b/>
          <w:sz w:val="22"/>
        </w:rPr>
        <w:t>日</w:t>
      </w:r>
      <w:r>
        <w:rPr>
          <w:rFonts w:ascii="宋体"/>
          <w:b/>
          <w:sz w:val="22"/>
        </w:rPr>
        <w:t>9:30</w:t>
      </w:r>
    </w:p>
    <w:p>
      <w:pPr>
        <w:widowControl/>
        <w:spacing w:line="460" w:lineRule="atLeast"/>
        <w:ind w:firstLine="442" w:firstLineChars="200"/>
        <w:jc w:val="left"/>
        <w:rPr>
          <w:rFonts w:ascii="宋体"/>
          <w:sz w:val="22"/>
        </w:rPr>
      </w:pPr>
      <w:r>
        <w:rPr>
          <w:rFonts w:hint="eastAsia" w:ascii="宋体"/>
          <w:b/>
          <w:sz w:val="22"/>
        </w:rPr>
        <w:t>开标地点（网址）：乐采云平台（www.lecaiyun.com</w:t>
      </w:r>
      <w:r>
        <w:rPr>
          <w:rFonts w:ascii="宋体"/>
          <w:b/>
          <w:sz w:val="22"/>
        </w:rPr>
        <w:t>）</w:t>
      </w:r>
      <w:r>
        <w:rPr>
          <w:rFonts w:hint="eastAsia" w:ascii="宋体"/>
          <w:sz w:val="22"/>
        </w:rPr>
        <w:t>。</w:t>
      </w:r>
    </w:p>
    <w:p>
      <w:pPr>
        <w:widowControl/>
        <w:spacing w:line="460" w:lineRule="atLeast"/>
        <w:ind w:firstLine="442" w:firstLineChars="200"/>
        <w:jc w:val="left"/>
        <w:rPr>
          <w:rFonts w:ascii="宋体"/>
          <w:sz w:val="22"/>
        </w:rPr>
      </w:pPr>
      <w:r>
        <w:rPr>
          <w:rFonts w:hint="eastAsia" w:ascii="宋体"/>
          <w:b/>
          <w:sz w:val="22"/>
        </w:rPr>
        <w:t>八、公告期限</w:t>
      </w:r>
    </w:p>
    <w:p>
      <w:pPr>
        <w:widowControl/>
        <w:spacing w:line="460" w:lineRule="atLeast"/>
        <w:ind w:firstLine="440" w:firstLineChars="200"/>
        <w:jc w:val="left"/>
        <w:rPr>
          <w:rFonts w:ascii="宋体"/>
          <w:sz w:val="22"/>
        </w:rPr>
      </w:pPr>
      <w:r>
        <w:rPr>
          <w:rFonts w:hint="eastAsia" w:ascii="宋体"/>
          <w:sz w:val="22"/>
        </w:rPr>
        <w:t>自本公告发布之日起</w:t>
      </w:r>
      <w:r>
        <w:rPr>
          <w:rFonts w:ascii="宋体"/>
          <w:sz w:val="22"/>
        </w:rPr>
        <w:t>5个工作日。</w:t>
      </w:r>
    </w:p>
    <w:p>
      <w:pPr>
        <w:widowControl/>
        <w:spacing w:line="460" w:lineRule="atLeast"/>
        <w:ind w:firstLine="442" w:firstLineChars="200"/>
        <w:jc w:val="left"/>
        <w:rPr>
          <w:rFonts w:ascii="宋体"/>
          <w:b/>
          <w:sz w:val="22"/>
        </w:rPr>
      </w:pPr>
      <w:r>
        <w:rPr>
          <w:rFonts w:hint="eastAsia" w:ascii="宋体"/>
          <w:b/>
          <w:sz w:val="22"/>
        </w:rPr>
        <w:t>九、投标保证金</w:t>
      </w:r>
    </w:p>
    <w:p>
      <w:pPr>
        <w:widowControl/>
        <w:spacing w:line="460" w:lineRule="atLeast"/>
        <w:ind w:firstLine="440" w:firstLineChars="200"/>
        <w:jc w:val="left"/>
        <w:rPr>
          <w:rFonts w:ascii="宋体"/>
          <w:sz w:val="22"/>
        </w:rPr>
      </w:pPr>
      <w:r>
        <w:rPr>
          <w:rFonts w:hint="eastAsia" w:ascii="宋体"/>
          <w:sz w:val="22"/>
        </w:rPr>
        <w:t>本项目投标保证金人民币30</w:t>
      </w:r>
      <w:r>
        <w:rPr>
          <w:rFonts w:ascii="宋体"/>
          <w:sz w:val="22"/>
        </w:rPr>
        <w:t>万元，投标供应商在投标截止时间前汇入以下指定账号：</w:t>
      </w:r>
    </w:p>
    <w:p>
      <w:pPr>
        <w:widowControl/>
        <w:spacing w:line="460" w:lineRule="atLeast"/>
        <w:ind w:firstLine="440" w:firstLineChars="200"/>
        <w:jc w:val="left"/>
        <w:rPr>
          <w:rFonts w:ascii="宋体"/>
          <w:sz w:val="22"/>
        </w:rPr>
      </w:pPr>
      <w:r>
        <w:rPr>
          <w:rFonts w:hint="eastAsia" w:ascii="宋体"/>
          <w:sz w:val="22"/>
        </w:rPr>
        <w:t>名称：温州市兴城工程造价审计咨询事务所（普通合伙）</w:t>
      </w:r>
    </w:p>
    <w:p>
      <w:pPr>
        <w:widowControl/>
        <w:spacing w:line="460" w:lineRule="atLeast"/>
        <w:ind w:firstLine="440" w:firstLineChars="200"/>
        <w:jc w:val="left"/>
        <w:rPr>
          <w:rFonts w:ascii="宋体"/>
          <w:sz w:val="22"/>
        </w:rPr>
      </w:pPr>
      <w:r>
        <w:rPr>
          <w:rFonts w:hint="eastAsia" w:ascii="宋体"/>
          <w:sz w:val="22"/>
        </w:rPr>
        <w:t>账号：</w:t>
      </w:r>
      <w:r>
        <w:rPr>
          <w:rFonts w:ascii="宋体"/>
          <w:sz w:val="22"/>
        </w:rPr>
        <w:t>355860100100051218</w:t>
      </w:r>
    </w:p>
    <w:p>
      <w:pPr>
        <w:widowControl/>
        <w:spacing w:line="460" w:lineRule="atLeast"/>
        <w:ind w:firstLine="440" w:firstLineChars="200"/>
        <w:jc w:val="left"/>
        <w:rPr>
          <w:rFonts w:ascii="宋体"/>
          <w:sz w:val="22"/>
        </w:rPr>
      </w:pPr>
      <w:r>
        <w:rPr>
          <w:rFonts w:hint="eastAsia" w:ascii="宋体"/>
          <w:sz w:val="22"/>
        </w:rPr>
        <w:t>开户行：兴业银行股份有限公司温州鹿城支行</w:t>
      </w:r>
    </w:p>
    <w:p>
      <w:pPr>
        <w:widowControl/>
        <w:spacing w:line="460" w:lineRule="atLeast"/>
        <w:ind w:firstLine="442" w:firstLineChars="200"/>
        <w:jc w:val="left"/>
        <w:rPr>
          <w:rFonts w:ascii="宋体"/>
          <w:sz w:val="22"/>
        </w:rPr>
      </w:pPr>
      <w:r>
        <w:rPr>
          <w:rFonts w:hint="eastAsia" w:ascii="宋体"/>
          <w:b/>
          <w:sz w:val="22"/>
        </w:rPr>
        <w:t>十、其他补充事宜</w:t>
      </w:r>
    </w:p>
    <w:p>
      <w:pPr>
        <w:widowControl/>
        <w:spacing w:line="460" w:lineRule="atLeast"/>
        <w:ind w:firstLine="440" w:firstLineChars="200"/>
        <w:jc w:val="left"/>
        <w:rPr>
          <w:rFonts w:ascii="宋体"/>
          <w:sz w:val="22"/>
        </w:rPr>
      </w:pPr>
      <w:r>
        <w:rPr>
          <w:rFonts w:ascii="宋体"/>
          <w:sz w:val="22"/>
        </w:rPr>
        <w:t>1.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采购监督管理部门投诉。质疑函范本、投诉书范本请到浙江政府采购网下载专区下载。</w:t>
      </w:r>
    </w:p>
    <w:p>
      <w:pPr>
        <w:widowControl/>
        <w:spacing w:line="460" w:lineRule="atLeast"/>
        <w:ind w:firstLine="440" w:firstLineChars="200"/>
        <w:jc w:val="left"/>
        <w:rPr>
          <w:rFonts w:ascii="宋体"/>
          <w:sz w:val="22"/>
        </w:rPr>
      </w:pPr>
      <w:r>
        <w:rPr>
          <w:rFonts w:ascii="宋体"/>
          <w:sz w:val="22"/>
        </w:rPr>
        <w:t>2.电子投标说明：</w:t>
      </w:r>
    </w:p>
    <w:p>
      <w:pPr>
        <w:widowControl/>
        <w:spacing w:line="460" w:lineRule="atLeast"/>
        <w:ind w:firstLine="440" w:firstLineChars="200"/>
        <w:jc w:val="left"/>
        <w:rPr>
          <w:rFonts w:ascii="宋体"/>
          <w:sz w:val="22"/>
        </w:rPr>
      </w:pPr>
      <w:r>
        <w:rPr>
          <w:rFonts w:hint="eastAsia" w:ascii="宋体"/>
          <w:sz w:val="22"/>
        </w:rPr>
        <w:t>（</w:t>
      </w:r>
      <w:r>
        <w:rPr>
          <w:rFonts w:ascii="宋体"/>
          <w:sz w:val="22"/>
        </w:rPr>
        <w:t>1）本项目通过“</w:t>
      </w:r>
      <w:r>
        <w:rPr>
          <w:rFonts w:hint="eastAsia" w:ascii="宋体"/>
          <w:sz w:val="22"/>
        </w:rPr>
        <w:t>乐采云平台</w:t>
      </w:r>
      <w:r>
        <w:rPr>
          <w:rFonts w:ascii="宋体"/>
          <w:sz w:val="22"/>
        </w:rPr>
        <w:t>（</w:t>
      </w:r>
      <w:r>
        <w:rPr>
          <w:rFonts w:hint="eastAsia" w:ascii="宋体"/>
          <w:sz w:val="22"/>
        </w:rPr>
        <w:t>www.lecaiyun.com</w:t>
      </w:r>
      <w:r>
        <w:rPr>
          <w:rFonts w:ascii="宋体"/>
          <w:sz w:val="22"/>
        </w:rPr>
        <w:t>）”实行在线投标响应（电子投标），供应商应先安装“</w:t>
      </w:r>
      <w:r>
        <w:rPr>
          <w:rFonts w:hint="eastAsia" w:ascii="宋体"/>
          <w:sz w:val="22"/>
        </w:rPr>
        <w:t>乐采云投标客户端</w:t>
      </w:r>
      <w:r>
        <w:rPr>
          <w:rFonts w:ascii="宋体"/>
          <w:sz w:val="22"/>
        </w:rPr>
        <w:t>”，并按照本采购文件和“</w:t>
      </w:r>
      <w:r>
        <w:rPr>
          <w:rFonts w:hint="eastAsia" w:ascii="宋体"/>
          <w:sz w:val="22"/>
        </w:rPr>
        <w:t>乐采云平台</w:t>
      </w:r>
      <w:r>
        <w:rPr>
          <w:rFonts w:ascii="宋体"/>
          <w:sz w:val="22"/>
        </w:rPr>
        <w:t>”的要求，通过“</w:t>
      </w:r>
      <w:r>
        <w:rPr>
          <w:rFonts w:hint="eastAsia" w:ascii="宋体"/>
          <w:sz w:val="22"/>
        </w:rPr>
        <w:t>乐采云投标客户端</w:t>
      </w:r>
      <w:r>
        <w:rPr>
          <w:rFonts w:ascii="宋体"/>
          <w:sz w:val="22"/>
        </w:rPr>
        <w:t>”编制并加密投标文件。供应商未按规定加密的投标文件，“</w:t>
      </w:r>
      <w:r>
        <w:rPr>
          <w:rFonts w:hint="eastAsia" w:ascii="宋体"/>
          <w:sz w:val="22"/>
        </w:rPr>
        <w:t>乐采云平台</w:t>
      </w:r>
      <w:r>
        <w:rPr>
          <w:rFonts w:ascii="宋体"/>
          <w:sz w:val="22"/>
        </w:rPr>
        <w:t>”将予以拒收。</w:t>
      </w:r>
    </w:p>
    <w:p>
      <w:pPr>
        <w:widowControl/>
        <w:wordWrap w:val="0"/>
        <w:spacing w:line="460" w:lineRule="atLeast"/>
        <w:ind w:firstLine="440" w:firstLineChars="200"/>
        <w:jc w:val="left"/>
        <w:rPr>
          <w:rFonts w:ascii="宋体"/>
          <w:sz w:val="22"/>
        </w:rPr>
      </w:pPr>
      <w:r>
        <w:rPr>
          <w:rFonts w:hint="eastAsia" w:ascii="宋体"/>
          <w:sz w:val="22"/>
        </w:rPr>
        <w:t>（</w:t>
      </w:r>
      <w:r>
        <w:rPr>
          <w:rFonts w:ascii="宋体"/>
          <w:sz w:val="22"/>
        </w:rPr>
        <w:t xml:space="preserve">2） </w:t>
      </w:r>
      <w:r>
        <w:rPr>
          <w:rFonts w:hint="eastAsia" w:ascii="宋体"/>
          <w:sz w:val="22"/>
        </w:rPr>
        <w:t>“乐采云投标客户端”请自行前往“（下载链接：https://b.zhengcaiyun.cn/luban/category?parentId=550045&amp;childrenCode=qicaiCategory17&amp;utm=luban.luban-PC-39026.959-pc-websitegroup-navBar-front.8.c8789bc0520b11efb86dbfa49a87be0d））</w:t>
      </w:r>
      <w:r>
        <w:rPr>
          <w:rFonts w:ascii="宋体"/>
          <w:sz w:val="22"/>
        </w:rPr>
        <w:t>”进行下载；电子投标具体操作流程详见本公告附件《供应商项目采购-电子招投标操作指南》；通过“</w:t>
      </w:r>
      <w:r>
        <w:rPr>
          <w:rFonts w:hint="eastAsia" w:ascii="宋体"/>
          <w:sz w:val="22"/>
        </w:rPr>
        <w:t>乐采云平台</w:t>
      </w:r>
      <w:r>
        <w:rPr>
          <w:rFonts w:ascii="宋体"/>
          <w:sz w:val="22"/>
        </w:rPr>
        <w:t>”参与在线投标时如遇平台技</w:t>
      </w:r>
      <w:r>
        <w:rPr>
          <w:rFonts w:hint="eastAsia" w:ascii="宋体"/>
          <w:sz w:val="22"/>
        </w:rPr>
        <w:t>术问题详询95763。</w:t>
      </w:r>
    </w:p>
    <w:p>
      <w:pPr>
        <w:widowControl/>
        <w:spacing w:line="460" w:lineRule="atLeast"/>
        <w:ind w:firstLine="442" w:firstLineChars="200"/>
        <w:jc w:val="left"/>
        <w:rPr>
          <w:rFonts w:ascii="宋体"/>
          <w:sz w:val="22"/>
        </w:rPr>
      </w:pPr>
      <w:r>
        <w:rPr>
          <w:rFonts w:hint="eastAsia" w:ascii="宋体"/>
          <w:b/>
          <w:sz w:val="22"/>
        </w:rPr>
        <w:t>十一、对本次招标提出询问、质疑、投诉，请按以下方式联系</w:t>
      </w:r>
    </w:p>
    <w:p>
      <w:pPr>
        <w:widowControl/>
        <w:spacing w:line="460" w:lineRule="atLeast"/>
        <w:ind w:firstLine="440" w:firstLineChars="200"/>
        <w:jc w:val="left"/>
        <w:rPr>
          <w:rFonts w:ascii="宋体"/>
          <w:sz w:val="22"/>
        </w:rPr>
      </w:pPr>
      <w:r>
        <w:rPr>
          <w:rFonts w:hint="eastAsia" w:ascii="宋体"/>
          <w:sz w:val="22"/>
        </w:rPr>
        <w:t>1.采购人：温州市海宸技术开发有限公司</w:t>
      </w:r>
    </w:p>
    <w:p>
      <w:pPr>
        <w:widowControl/>
        <w:spacing w:line="460" w:lineRule="atLeast"/>
        <w:ind w:firstLine="440" w:firstLineChars="200"/>
        <w:jc w:val="left"/>
        <w:rPr>
          <w:rFonts w:ascii="宋体"/>
          <w:sz w:val="22"/>
        </w:rPr>
      </w:pPr>
      <w:r>
        <w:rPr>
          <w:rFonts w:hint="eastAsia" w:ascii="宋体"/>
          <w:sz w:val="22"/>
        </w:rPr>
        <w:t>地址：浙江省温州海洋经济发展示范区昆鹏街道灵蓉街66号发展大楼3号楼11楼东南侧</w:t>
      </w:r>
    </w:p>
    <w:p>
      <w:pPr>
        <w:widowControl/>
        <w:spacing w:line="460" w:lineRule="atLeast"/>
        <w:ind w:firstLine="440" w:firstLineChars="200"/>
        <w:jc w:val="left"/>
        <w:rPr>
          <w:rFonts w:ascii="宋体"/>
          <w:sz w:val="22"/>
        </w:rPr>
      </w:pPr>
      <w:r>
        <w:rPr>
          <w:rFonts w:hint="eastAsia" w:ascii="宋体"/>
          <w:sz w:val="22"/>
        </w:rPr>
        <w:t>联系人：徐先生</w:t>
      </w:r>
    </w:p>
    <w:p>
      <w:pPr>
        <w:widowControl/>
        <w:spacing w:line="460" w:lineRule="atLeast"/>
        <w:ind w:firstLine="440" w:firstLineChars="200"/>
        <w:jc w:val="left"/>
        <w:rPr>
          <w:rFonts w:ascii="宋体"/>
          <w:sz w:val="22"/>
        </w:rPr>
      </w:pPr>
      <w:r>
        <w:rPr>
          <w:rFonts w:hint="eastAsia" w:ascii="宋体"/>
          <w:sz w:val="22"/>
        </w:rPr>
        <w:t>电话/传真：0577-55873615</w:t>
      </w:r>
    </w:p>
    <w:p>
      <w:pPr>
        <w:widowControl/>
        <w:spacing w:line="460" w:lineRule="atLeast"/>
        <w:ind w:firstLine="440" w:firstLineChars="200"/>
        <w:jc w:val="left"/>
        <w:rPr>
          <w:rFonts w:ascii="宋体"/>
          <w:sz w:val="22"/>
        </w:rPr>
      </w:pPr>
      <w:r>
        <w:rPr>
          <w:rFonts w:hint="eastAsia" w:ascii="宋体"/>
          <w:sz w:val="22"/>
        </w:rPr>
        <w:t>2.采购代理机构：温州市兴城工程造价审计咨询事务所（普通合伙）</w:t>
      </w:r>
    </w:p>
    <w:p>
      <w:pPr>
        <w:widowControl/>
        <w:spacing w:line="460" w:lineRule="atLeast"/>
        <w:ind w:firstLine="440" w:firstLineChars="200"/>
        <w:jc w:val="left"/>
        <w:rPr>
          <w:rFonts w:ascii="宋体"/>
          <w:sz w:val="22"/>
        </w:rPr>
      </w:pPr>
      <w:r>
        <w:rPr>
          <w:rFonts w:hint="eastAsia" w:ascii="宋体"/>
          <w:sz w:val="22"/>
        </w:rPr>
        <w:t>地址：温州市车站大道大诚商厦E幢702室</w:t>
      </w:r>
    </w:p>
    <w:p>
      <w:pPr>
        <w:widowControl/>
        <w:spacing w:line="460" w:lineRule="atLeast"/>
        <w:ind w:firstLine="440" w:firstLineChars="200"/>
        <w:jc w:val="left"/>
        <w:rPr>
          <w:rFonts w:ascii="宋体"/>
          <w:sz w:val="22"/>
        </w:rPr>
      </w:pPr>
      <w:r>
        <w:rPr>
          <w:rFonts w:hint="eastAsia" w:ascii="宋体"/>
          <w:sz w:val="22"/>
        </w:rPr>
        <w:t>联系人：郑凯挺</w:t>
      </w:r>
    </w:p>
    <w:p>
      <w:pPr>
        <w:widowControl/>
        <w:spacing w:line="460" w:lineRule="atLeast"/>
        <w:ind w:firstLine="440" w:firstLineChars="200"/>
        <w:jc w:val="left"/>
        <w:rPr>
          <w:rFonts w:ascii="宋体"/>
          <w:sz w:val="22"/>
        </w:rPr>
      </w:pPr>
      <w:r>
        <w:rPr>
          <w:rFonts w:hint="eastAsia" w:ascii="宋体"/>
          <w:sz w:val="22"/>
        </w:rPr>
        <w:t>联系电话：</w:t>
      </w:r>
      <w:r>
        <w:rPr>
          <w:rFonts w:ascii="宋体"/>
          <w:sz w:val="22"/>
        </w:rPr>
        <w:t>13634235000，0577-88370285</w:t>
      </w:r>
    </w:p>
    <w:p>
      <w:pPr>
        <w:widowControl/>
        <w:spacing w:line="460" w:lineRule="atLeast"/>
        <w:ind w:firstLine="440" w:firstLineChars="200"/>
        <w:jc w:val="left"/>
        <w:rPr>
          <w:rFonts w:ascii="宋体"/>
          <w:sz w:val="22"/>
        </w:rPr>
      </w:pPr>
      <w:r>
        <w:rPr>
          <w:rFonts w:ascii="宋体"/>
          <w:sz w:val="22"/>
        </w:rPr>
        <w:t>3.同级采购监管部门：温州市瓯江口开发建设投资集团有限公司监察监事室</w:t>
      </w:r>
    </w:p>
    <w:p>
      <w:pPr>
        <w:widowControl/>
        <w:spacing w:line="460" w:lineRule="atLeast"/>
        <w:ind w:firstLine="440" w:firstLineChars="200"/>
        <w:jc w:val="left"/>
        <w:rPr>
          <w:rFonts w:ascii="宋体"/>
          <w:sz w:val="22"/>
        </w:rPr>
      </w:pPr>
      <w:r>
        <w:rPr>
          <w:rFonts w:hint="eastAsia" w:ascii="宋体"/>
          <w:sz w:val="22"/>
        </w:rPr>
        <w:t>地址：浙江温州海洋经济发展示范区发展大楼</w:t>
      </w:r>
    </w:p>
    <w:p>
      <w:pPr>
        <w:widowControl/>
        <w:spacing w:line="460" w:lineRule="atLeast"/>
        <w:ind w:firstLine="440" w:firstLineChars="200"/>
        <w:jc w:val="left"/>
        <w:rPr>
          <w:rFonts w:ascii="宋体"/>
          <w:sz w:val="22"/>
        </w:rPr>
      </w:pPr>
      <w:r>
        <w:rPr>
          <w:rFonts w:hint="eastAsia" w:ascii="宋体"/>
          <w:sz w:val="22"/>
        </w:rPr>
        <w:t>联系电话：</w:t>
      </w:r>
      <w:r>
        <w:rPr>
          <w:rFonts w:ascii="宋体"/>
          <w:sz w:val="22"/>
        </w:rPr>
        <w:t>0577-55896510</w:t>
      </w:r>
    </w:p>
    <w:p>
      <w:pPr>
        <w:widowControl/>
        <w:spacing w:line="460" w:lineRule="atLeast"/>
        <w:ind w:firstLine="440" w:firstLineChars="200"/>
        <w:jc w:val="left"/>
        <w:rPr>
          <w:rFonts w:ascii="宋体"/>
          <w:sz w:val="22"/>
        </w:rPr>
      </w:pPr>
    </w:p>
    <w:p>
      <w:pPr>
        <w:widowControl/>
        <w:spacing w:line="460" w:lineRule="atLeast"/>
        <w:ind w:firstLine="440" w:firstLineChars="200"/>
        <w:jc w:val="left"/>
        <w:rPr>
          <w:rFonts w:ascii="宋体"/>
          <w:sz w:val="22"/>
        </w:rPr>
      </w:pPr>
      <w:r>
        <w:rPr>
          <w:rFonts w:hint="eastAsia" w:ascii="宋体"/>
          <w:sz w:val="22"/>
        </w:rPr>
        <w:t>若对项目采购电子交易系统操作有疑问，可登录乐采云（www.lecaiyun.com</w:t>
      </w:r>
      <w:r>
        <w:rPr>
          <w:rFonts w:ascii="宋体"/>
          <w:sz w:val="22"/>
        </w:rPr>
        <w:t>），点击右侧咨询小采，获取采小蜜智能服务管家帮助，或拨打政采云服务热线95763获取热线服务帮助。</w:t>
      </w:r>
    </w:p>
    <w:p>
      <w:pPr>
        <w:widowControl/>
        <w:spacing w:line="460" w:lineRule="atLeast"/>
        <w:ind w:firstLine="440" w:firstLineChars="200"/>
        <w:jc w:val="left"/>
        <w:rPr>
          <w:rFonts w:ascii="宋体"/>
          <w:sz w:val="22"/>
        </w:rPr>
      </w:pPr>
      <w:r>
        <w:rPr>
          <w:rFonts w:ascii="宋体"/>
          <w:sz w:val="22"/>
        </w:rPr>
        <w:t>CA问题联系电话（人工）：汇信CA 400-888-4636；天谷CA 400-087-8198。</w:t>
      </w:r>
    </w:p>
    <w:p>
      <w:pPr>
        <w:pStyle w:val="22"/>
        <w:snapToGrid w:val="0"/>
        <w:spacing w:line="440" w:lineRule="atLeast"/>
        <w:ind w:left="419" w:hanging="419" w:hangingChars="131"/>
        <w:rPr>
          <w:rFonts w:ascii="宋体" w:hAnsi="宋体"/>
          <w:b/>
          <w:bCs/>
        </w:rPr>
      </w:pPr>
      <w:r>
        <w:br w:type="page"/>
      </w:r>
      <w:bookmarkStart w:id="1" w:name="_Toc173317520"/>
      <w:r>
        <w:rPr>
          <w:rFonts w:hint="eastAsia" w:ascii="宋体" w:hAnsi="宋体"/>
          <w:b/>
          <w:bCs/>
        </w:rPr>
        <w:t>第一部分投标邀请函（投标须知前附表）</w:t>
      </w:r>
      <w:bookmarkEnd w:id="1"/>
    </w:p>
    <w:tbl>
      <w:tblPr>
        <w:tblStyle w:val="24"/>
        <w:tblW w:w="9835" w:type="dxa"/>
        <w:tblInd w:w="0" w:type="dxa"/>
        <w:tblLayout w:type="fixed"/>
        <w:tblCellMar>
          <w:top w:w="0" w:type="dxa"/>
          <w:left w:w="108" w:type="dxa"/>
          <w:bottom w:w="0" w:type="dxa"/>
          <w:right w:w="108" w:type="dxa"/>
        </w:tblCellMar>
      </w:tblPr>
      <w:tblGrid>
        <w:gridCol w:w="842"/>
        <w:gridCol w:w="1553"/>
        <w:gridCol w:w="7440"/>
      </w:tblGrid>
      <w:tr>
        <w:tblPrEx>
          <w:tblCellMar>
            <w:top w:w="0" w:type="dxa"/>
            <w:left w:w="108" w:type="dxa"/>
            <w:bottom w:w="0" w:type="dxa"/>
            <w:right w:w="108" w:type="dxa"/>
          </w:tblCellMar>
        </w:tblPrEx>
        <w:trPr>
          <w:trHeight w:val="567" w:hRule="exact"/>
        </w:trPr>
        <w:tc>
          <w:tcPr>
            <w:tcW w:w="842"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s="宋体"/>
                <w:b/>
                <w:bCs/>
                <w:kern w:val="0"/>
                <w:sz w:val="22"/>
              </w:rPr>
            </w:pPr>
            <w:r>
              <w:rPr>
                <w:rFonts w:hint="eastAsia" w:ascii="宋体" w:hAnsi="宋体" w:cs="宋体"/>
                <w:b/>
                <w:bCs/>
                <w:kern w:val="0"/>
                <w:sz w:val="22"/>
              </w:rPr>
              <w:t>序号</w:t>
            </w:r>
          </w:p>
        </w:tc>
        <w:tc>
          <w:tcPr>
            <w:tcW w:w="1553"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s="宋体"/>
                <w:b/>
                <w:bCs/>
                <w:kern w:val="0"/>
                <w:sz w:val="22"/>
              </w:rPr>
            </w:pPr>
            <w:r>
              <w:rPr>
                <w:rFonts w:hint="eastAsia" w:ascii="宋体" w:hAnsi="宋体" w:cs="宋体"/>
                <w:b/>
                <w:bCs/>
                <w:kern w:val="0"/>
                <w:sz w:val="22"/>
              </w:rPr>
              <w:t>条款名称</w:t>
            </w:r>
          </w:p>
        </w:tc>
        <w:tc>
          <w:tcPr>
            <w:tcW w:w="7440"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s="宋体"/>
                <w:b/>
                <w:bCs/>
                <w:kern w:val="0"/>
                <w:sz w:val="22"/>
              </w:rPr>
            </w:pPr>
            <w:r>
              <w:rPr>
                <w:rFonts w:hint="eastAsia" w:ascii="宋体" w:hAnsi="宋体" w:cs="宋体"/>
                <w:b/>
                <w:bCs/>
                <w:kern w:val="0"/>
                <w:sz w:val="22"/>
              </w:rPr>
              <w:t>编列内容</w:t>
            </w:r>
          </w:p>
        </w:tc>
      </w:tr>
      <w:tr>
        <w:tblPrEx>
          <w:tblCellMar>
            <w:top w:w="0" w:type="dxa"/>
            <w:left w:w="108" w:type="dxa"/>
            <w:bottom w:w="0" w:type="dxa"/>
            <w:right w:w="108" w:type="dxa"/>
          </w:tblCellMar>
        </w:tblPrEx>
        <w:trPr>
          <w:trHeight w:val="695" w:hRule="atLeast"/>
        </w:trPr>
        <w:tc>
          <w:tcPr>
            <w:tcW w:w="842"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s="宋体"/>
                <w:kern w:val="0"/>
                <w:sz w:val="22"/>
              </w:rPr>
            </w:pPr>
            <w:r>
              <w:rPr>
                <w:rFonts w:ascii="宋体" w:hAnsi="宋体" w:cs="宋体"/>
                <w:kern w:val="0"/>
                <w:sz w:val="22"/>
              </w:rPr>
              <w:t>1</w:t>
            </w:r>
          </w:p>
        </w:tc>
        <w:tc>
          <w:tcPr>
            <w:tcW w:w="1553"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s="宋体"/>
                <w:kern w:val="0"/>
                <w:sz w:val="22"/>
              </w:rPr>
            </w:pPr>
            <w:r>
              <w:rPr>
                <w:rFonts w:hint="eastAsia" w:ascii="宋体" w:hAnsi="宋体" w:cs="宋体"/>
                <w:kern w:val="0"/>
                <w:sz w:val="22"/>
              </w:rPr>
              <w:t>采购人</w:t>
            </w:r>
          </w:p>
        </w:tc>
        <w:tc>
          <w:tcPr>
            <w:tcW w:w="7440" w:type="dxa"/>
            <w:tcBorders>
              <w:top w:val="single" w:color="auto" w:sz="4" w:space="0"/>
              <w:left w:val="single" w:color="auto" w:sz="4" w:space="0"/>
              <w:bottom w:val="single" w:color="auto" w:sz="4" w:space="0"/>
              <w:right w:val="single" w:color="auto" w:sz="4" w:space="0"/>
            </w:tcBorders>
            <w:vAlign w:val="center"/>
          </w:tcPr>
          <w:p>
            <w:pPr>
              <w:spacing w:line="300" w:lineRule="exact"/>
              <w:rPr>
                <w:rFonts w:ascii="宋体" w:hAnsi="宋体" w:cs="宋体"/>
                <w:kern w:val="0"/>
                <w:sz w:val="22"/>
              </w:rPr>
            </w:pPr>
            <w:r>
              <w:rPr>
                <w:rFonts w:hint="eastAsia" w:ascii="宋体" w:hAnsi="宋体" w:cs="宋体"/>
                <w:kern w:val="0"/>
                <w:sz w:val="22"/>
              </w:rPr>
              <w:t>采购人：温州市海宸技术开发有限公司</w:t>
            </w:r>
          </w:p>
          <w:p>
            <w:pPr>
              <w:spacing w:line="300" w:lineRule="exact"/>
              <w:rPr>
                <w:rFonts w:ascii="宋体" w:hAnsi="宋体" w:cs="宋体"/>
                <w:kern w:val="0"/>
                <w:sz w:val="22"/>
              </w:rPr>
            </w:pPr>
            <w:r>
              <w:rPr>
                <w:rFonts w:hint="eastAsia" w:ascii="宋体" w:hAnsi="宋体" w:cs="宋体"/>
                <w:kern w:val="0"/>
                <w:sz w:val="22"/>
              </w:rPr>
              <w:t>地址：浙江省温州海洋经济发展示范区昆鹏街道灵蓉街66号发展大楼3号楼11楼东南侧</w:t>
            </w:r>
          </w:p>
          <w:p>
            <w:pPr>
              <w:spacing w:line="300" w:lineRule="exact"/>
              <w:rPr>
                <w:rFonts w:ascii="宋体" w:hAnsi="宋体" w:cs="宋体"/>
                <w:kern w:val="0"/>
                <w:sz w:val="22"/>
              </w:rPr>
            </w:pPr>
            <w:r>
              <w:rPr>
                <w:rFonts w:hint="eastAsia" w:ascii="宋体" w:hAnsi="宋体" w:cs="宋体"/>
                <w:kern w:val="0"/>
                <w:sz w:val="22"/>
              </w:rPr>
              <w:t>联系人：徐先生</w:t>
            </w:r>
          </w:p>
          <w:p>
            <w:pPr>
              <w:spacing w:line="300" w:lineRule="exact"/>
              <w:rPr>
                <w:rFonts w:ascii="宋体" w:hAnsi="宋体" w:cs="宋体"/>
                <w:kern w:val="0"/>
                <w:sz w:val="22"/>
              </w:rPr>
            </w:pPr>
            <w:r>
              <w:rPr>
                <w:rFonts w:hint="eastAsia" w:ascii="宋体" w:hAnsi="宋体" w:cs="宋体"/>
                <w:kern w:val="0"/>
                <w:sz w:val="22"/>
              </w:rPr>
              <w:t>电话/传真：</w:t>
            </w:r>
            <w:r>
              <w:rPr>
                <w:rFonts w:hint="eastAsia" w:ascii="宋体" w:hAnsi="宋体" w:cs="宋体"/>
                <w:sz w:val="22"/>
              </w:rPr>
              <w:t>0577-55873615</w:t>
            </w:r>
          </w:p>
        </w:tc>
      </w:tr>
      <w:tr>
        <w:tblPrEx>
          <w:tblCellMar>
            <w:top w:w="0" w:type="dxa"/>
            <w:left w:w="108" w:type="dxa"/>
            <w:bottom w:w="0" w:type="dxa"/>
            <w:right w:w="108" w:type="dxa"/>
          </w:tblCellMar>
        </w:tblPrEx>
        <w:trPr>
          <w:trHeight w:val="1120" w:hRule="atLeast"/>
        </w:trPr>
        <w:tc>
          <w:tcPr>
            <w:tcW w:w="842"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s="宋体"/>
                <w:kern w:val="0"/>
                <w:sz w:val="22"/>
              </w:rPr>
            </w:pPr>
            <w:r>
              <w:rPr>
                <w:rFonts w:ascii="宋体" w:hAnsi="宋体" w:cs="宋体"/>
                <w:kern w:val="0"/>
                <w:sz w:val="22"/>
              </w:rPr>
              <w:t>2</w:t>
            </w:r>
          </w:p>
        </w:tc>
        <w:tc>
          <w:tcPr>
            <w:tcW w:w="1553"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s="宋体"/>
                <w:kern w:val="0"/>
                <w:sz w:val="22"/>
              </w:rPr>
            </w:pPr>
            <w:r>
              <w:rPr>
                <w:rFonts w:hint="eastAsia" w:ascii="宋体" w:hAnsi="宋体" w:cs="宋体"/>
                <w:kern w:val="0"/>
                <w:sz w:val="22"/>
              </w:rPr>
              <w:t>采购代理机构</w:t>
            </w:r>
          </w:p>
        </w:tc>
        <w:tc>
          <w:tcPr>
            <w:tcW w:w="7440" w:type="dxa"/>
            <w:tcBorders>
              <w:top w:val="single" w:color="auto" w:sz="4" w:space="0"/>
              <w:left w:val="single" w:color="auto" w:sz="4" w:space="0"/>
              <w:bottom w:val="single" w:color="auto" w:sz="4" w:space="0"/>
              <w:right w:val="single" w:color="auto" w:sz="4" w:space="0"/>
            </w:tcBorders>
            <w:vAlign w:val="center"/>
          </w:tcPr>
          <w:p>
            <w:pPr>
              <w:spacing w:line="300" w:lineRule="exact"/>
              <w:rPr>
                <w:rFonts w:ascii="宋体" w:hAnsi="宋体" w:cs="宋体"/>
                <w:kern w:val="0"/>
                <w:sz w:val="22"/>
              </w:rPr>
            </w:pPr>
            <w:r>
              <w:rPr>
                <w:rFonts w:hint="eastAsia" w:ascii="宋体" w:hAnsi="宋体" w:cs="宋体"/>
                <w:kern w:val="0"/>
                <w:sz w:val="22"/>
              </w:rPr>
              <w:t>代理机构名称：温州市兴城工程造价审计咨询事务所（普通合伙）</w:t>
            </w:r>
          </w:p>
          <w:p>
            <w:pPr>
              <w:spacing w:line="300" w:lineRule="exact"/>
              <w:rPr>
                <w:rFonts w:ascii="宋体" w:hAnsi="宋体" w:cs="宋体"/>
                <w:kern w:val="0"/>
                <w:sz w:val="22"/>
              </w:rPr>
            </w:pPr>
            <w:r>
              <w:rPr>
                <w:rFonts w:hint="eastAsia" w:ascii="宋体" w:hAnsi="宋体" w:cs="宋体"/>
                <w:kern w:val="0"/>
                <w:sz w:val="22"/>
              </w:rPr>
              <w:t>代理机构地址：温州市车站大道大诚商厦</w:t>
            </w:r>
            <w:r>
              <w:rPr>
                <w:rFonts w:ascii="宋体" w:hAnsi="宋体" w:cs="宋体"/>
                <w:kern w:val="0"/>
                <w:sz w:val="22"/>
              </w:rPr>
              <w:t>E幢702室</w:t>
            </w:r>
          </w:p>
          <w:p>
            <w:pPr>
              <w:spacing w:line="300" w:lineRule="exact"/>
              <w:rPr>
                <w:rFonts w:ascii="宋体" w:hAnsi="宋体" w:cs="宋体"/>
                <w:kern w:val="0"/>
                <w:sz w:val="22"/>
              </w:rPr>
            </w:pPr>
            <w:r>
              <w:rPr>
                <w:rFonts w:hint="eastAsia" w:ascii="宋体" w:hAnsi="宋体" w:cs="宋体"/>
                <w:kern w:val="0"/>
                <w:sz w:val="22"/>
              </w:rPr>
              <w:t>联系人：郑凯挺</w:t>
            </w:r>
          </w:p>
          <w:p>
            <w:pPr>
              <w:spacing w:line="300" w:lineRule="exact"/>
              <w:rPr>
                <w:rFonts w:ascii="宋体" w:hAnsi="宋体" w:cs="宋体"/>
                <w:kern w:val="0"/>
                <w:sz w:val="22"/>
              </w:rPr>
            </w:pPr>
            <w:r>
              <w:rPr>
                <w:rFonts w:hint="eastAsia" w:ascii="宋体" w:hAnsi="宋体" w:cs="宋体"/>
                <w:kern w:val="0"/>
                <w:sz w:val="22"/>
              </w:rPr>
              <w:t>联系电话：</w:t>
            </w:r>
            <w:r>
              <w:rPr>
                <w:rFonts w:ascii="宋体" w:hAnsi="宋体" w:cs="宋体"/>
                <w:kern w:val="0"/>
                <w:sz w:val="22"/>
              </w:rPr>
              <w:t>13634235000，0577-88370285</w:t>
            </w:r>
          </w:p>
        </w:tc>
      </w:tr>
      <w:tr>
        <w:tblPrEx>
          <w:tblCellMar>
            <w:top w:w="0" w:type="dxa"/>
            <w:left w:w="108" w:type="dxa"/>
            <w:bottom w:w="0" w:type="dxa"/>
            <w:right w:w="108" w:type="dxa"/>
          </w:tblCellMar>
        </w:tblPrEx>
        <w:trPr>
          <w:trHeight w:val="750" w:hRule="atLeast"/>
        </w:trPr>
        <w:tc>
          <w:tcPr>
            <w:tcW w:w="842"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s="宋体"/>
                <w:kern w:val="0"/>
                <w:sz w:val="22"/>
              </w:rPr>
            </w:pPr>
            <w:r>
              <w:rPr>
                <w:rFonts w:ascii="宋体" w:hAnsi="宋体" w:cs="宋体"/>
                <w:kern w:val="0"/>
                <w:sz w:val="22"/>
              </w:rPr>
              <w:t>3</w:t>
            </w:r>
          </w:p>
        </w:tc>
        <w:tc>
          <w:tcPr>
            <w:tcW w:w="1553"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s="宋体"/>
                <w:kern w:val="0"/>
                <w:sz w:val="22"/>
              </w:rPr>
            </w:pPr>
            <w:r>
              <w:rPr>
                <w:rFonts w:hint="eastAsia" w:ascii="宋体" w:hAnsi="宋体" w:cs="宋体"/>
                <w:kern w:val="0"/>
                <w:sz w:val="22"/>
              </w:rPr>
              <w:t>项目名称及项目编号</w:t>
            </w:r>
          </w:p>
        </w:tc>
        <w:tc>
          <w:tcPr>
            <w:tcW w:w="7440" w:type="dxa"/>
            <w:tcBorders>
              <w:top w:val="single" w:color="auto" w:sz="4" w:space="0"/>
              <w:left w:val="single" w:color="auto" w:sz="4" w:space="0"/>
              <w:bottom w:val="single" w:color="auto" w:sz="4" w:space="0"/>
              <w:right w:val="single" w:color="auto" w:sz="4" w:space="0"/>
            </w:tcBorders>
            <w:vAlign w:val="center"/>
          </w:tcPr>
          <w:p>
            <w:pPr>
              <w:spacing w:line="300" w:lineRule="exact"/>
              <w:rPr>
                <w:rFonts w:ascii="宋体" w:hAnsi="宋体" w:cs="宋体"/>
                <w:kern w:val="0"/>
                <w:sz w:val="22"/>
              </w:rPr>
            </w:pPr>
            <w:r>
              <w:rPr>
                <w:rFonts w:hint="eastAsia" w:ascii="宋体" w:hAnsi="宋体" w:cs="宋体"/>
                <w:kern w:val="0"/>
                <w:sz w:val="22"/>
              </w:rPr>
              <w:t>项目名称：温州瓯江口建筑泥浆资源化利用项目（原位固化含软基处理泥浆）</w:t>
            </w:r>
          </w:p>
          <w:p>
            <w:pPr>
              <w:spacing w:line="300" w:lineRule="exact"/>
              <w:rPr>
                <w:rFonts w:ascii="宋体" w:hAnsi="宋体" w:cs="宋体"/>
                <w:sz w:val="22"/>
              </w:rPr>
            </w:pPr>
            <w:r>
              <w:rPr>
                <w:rFonts w:hint="eastAsia" w:ascii="宋体" w:hAnsi="宋体" w:cs="宋体"/>
                <w:kern w:val="0"/>
                <w:sz w:val="22"/>
              </w:rPr>
              <w:t>项目编号：XC-GC20241003</w:t>
            </w:r>
          </w:p>
        </w:tc>
      </w:tr>
      <w:tr>
        <w:tblPrEx>
          <w:tblCellMar>
            <w:top w:w="0" w:type="dxa"/>
            <w:left w:w="108" w:type="dxa"/>
            <w:bottom w:w="0" w:type="dxa"/>
            <w:right w:w="108" w:type="dxa"/>
          </w:tblCellMar>
        </w:tblPrEx>
        <w:trPr>
          <w:trHeight w:val="750" w:hRule="atLeast"/>
        </w:trPr>
        <w:tc>
          <w:tcPr>
            <w:tcW w:w="842"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s="宋体"/>
                <w:kern w:val="0"/>
                <w:sz w:val="22"/>
              </w:rPr>
            </w:pPr>
            <w:r>
              <w:rPr>
                <w:rFonts w:ascii="宋体" w:hAnsi="宋体" w:cs="宋体"/>
                <w:kern w:val="0"/>
                <w:sz w:val="22"/>
              </w:rPr>
              <w:t>4</w:t>
            </w:r>
          </w:p>
        </w:tc>
        <w:tc>
          <w:tcPr>
            <w:tcW w:w="1553"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s="宋体"/>
                <w:kern w:val="0"/>
                <w:sz w:val="22"/>
              </w:rPr>
            </w:pPr>
            <w:r>
              <w:rPr>
                <w:rFonts w:hint="eastAsia" w:ascii="宋体" w:hAnsi="宋体" w:cs="宋体"/>
                <w:kern w:val="0"/>
                <w:sz w:val="22"/>
              </w:rPr>
              <w:t>采购内容</w:t>
            </w:r>
          </w:p>
        </w:tc>
        <w:tc>
          <w:tcPr>
            <w:tcW w:w="7440" w:type="dxa"/>
            <w:tcBorders>
              <w:top w:val="single" w:color="auto" w:sz="4" w:space="0"/>
              <w:left w:val="single" w:color="auto" w:sz="4" w:space="0"/>
              <w:bottom w:val="single" w:color="auto" w:sz="4" w:space="0"/>
              <w:right w:val="single" w:color="auto" w:sz="4" w:space="0"/>
            </w:tcBorders>
            <w:vAlign w:val="center"/>
          </w:tcPr>
          <w:p>
            <w:pPr>
              <w:spacing w:line="300" w:lineRule="exact"/>
              <w:rPr>
                <w:rFonts w:ascii="宋体" w:hAnsi="宋体" w:cs="宋体"/>
                <w:kern w:val="0"/>
                <w:sz w:val="22"/>
              </w:rPr>
            </w:pPr>
            <w:r>
              <w:rPr>
                <w:rFonts w:hint="eastAsia" w:ascii="宋体" w:hAnsi="宋体" w:cs="宋体"/>
                <w:kern w:val="0"/>
                <w:sz w:val="22"/>
              </w:rPr>
              <w:t>详见采购文件第二部分。</w:t>
            </w:r>
          </w:p>
        </w:tc>
      </w:tr>
      <w:tr>
        <w:tblPrEx>
          <w:tblCellMar>
            <w:top w:w="0" w:type="dxa"/>
            <w:left w:w="108" w:type="dxa"/>
            <w:bottom w:w="0" w:type="dxa"/>
            <w:right w:w="108" w:type="dxa"/>
          </w:tblCellMar>
        </w:tblPrEx>
        <w:trPr>
          <w:trHeight w:val="750" w:hRule="atLeast"/>
        </w:trPr>
        <w:tc>
          <w:tcPr>
            <w:tcW w:w="842"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s="宋体"/>
                <w:kern w:val="0"/>
                <w:sz w:val="22"/>
              </w:rPr>
            </w:pPr>
            <w:r>
              <w:rPr>
                <w:rFonts w:ascii="宋体" w:hAnsi="宋体" w:cs="宋体"/>
                <w:kern w:val="0"/>
                <w:sz w:val="22"/>
              </w:rPr>
              <w:t>5</w:t>
            </w:r>
          </w:p>
        </w:tc>
        <w:tc>
          <w:tcPr>
            <w:tcW w:w="1553"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s="宋体"/>
                <w:kern w:val="0"/>
                <w:sz w:val="22"/>
              </w:rPr>
            </w:pPr>
            <w:r>
              <w:rPr>
                <w:rFonts w:hint="eastAsia" w:ascii="宋体" w:hAnsi="宋体" w:cs="宋体"/>
                <w:kern w:val="0"/>
                <w:sz w:val="22"/>
              </w:rPr>
              <w:t>投标供应商资格要求</w:t>
            </w:r>
          </w:p>
        </w:tc>
        <w:tc>
          <w:tcPr>
            <w:tcW w:w="7440"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kern w:val="0"/>
                <w:sz w:val="22"/>
              </w:rPr>
            </w:pPr>
            <w:r>
              <w:rPr>
                <w:rFonts w:hint="eastAsia" w:ascii="宋体" w:hAnsi="宋体" w:cs="宋体"/>
                <w:kern w:val="0"/>
                <w:sz w:val="22"/>
              </w:rPr>
              <w:t>见公开招标公告</w:t>
            </w:r>
          </w:p>
        </w:tc>
      </w:tr>
      <w:tr>
        <w:tblPrEx>
          <w:tblCellMar>
            <w:top w:w="0" w:type="dxa"/>
            <w:left w:w="108" w:type="dxa"/>
            <w:bottom w:w="0" w:type="dxa"/>
            <w:right w:w="108" w:type="dxa"/>
          </w:tblCellMar>
        </w:tblPrEx>
        <w:trPr>
          <w:trHeight w:val="954" w:hRule="atLeast"/>
        </w:trPr>
        <w:tc>
          <w:tcPr>
            <w:tcW w:w="842"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s="宋体"/>
                <w:kern w:val="0"/>
                <w:sz w:val="22"/>
              </w:rPr>
            </w:pPr>
            <w:r>
              <w:rPr>
                <w:rFonts w:ascii="宋体" w:hAnsi="宋体" w:cs="宋体"/>
                <w:kern w:val="0"/>
                <w:sz w:val="22"/>
              </w:rPr>
              <w:t>7</w:t>
            </w:r>
          </w:p>
        </w:tc>
        <w:tc>
          <w:tcPr>
            <w:tcW w:w="1553"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s="宋体"/>
                <w:kern w:val="0"/>
                <w:sz w:val="22"/>
              </w:rPr>
            </w:pPr>
            <w:r>
              <w:rPr>
                <w:rFonts w:hint="eastAsia" w:ascii="宋体" w:hAnsi="宋体" w:cs="宋体"/>
                <w:kern w:val="0"/>
                <w:sz w:val="22"/>
              </w:rPr>
              <w:t>是否接受联合体投标</w:t>
            </w:r>
          </w:p>
        </w:tc>
        <w:tc>
          <w:tcPr>
            <w:tcW w:w="7440"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kern w:val="0"/>
                <w:sz w:val="22"/>
              </w:rPr>
            </w:pPr>
            <w:r>
              <w:rPr>
                <w:rFonts w:ascii="宋体" w:hAnsi="宋体" w:cs="宋体"/>
                <w:kern w:val="0"/>
                <w:sz w:val="22"/>
              </w:rPr>
              <w:sym w:font="Wingdings" w:char="F0FE"/>
            </w:r>
            <w:r>
              <w:rPr>
                <w:rFonts w:hint="eastAsia" w:ascii="宋体" w:hAnsi="宋体" w:cs="宋体"/>
                <w:kern w:val="0"/>
                <w:sz w:val="22"/>
              </w:rPr>
              <w:t>不接受</w:t>
            </w:r>
          </w:p>
        </w:tc>
      </w:tr>
      <w:tr>
        <w:tblPrEx>
          <w:tblCellMar>
            <w:top w:w="0" w:type="dxa"/>
            <w:left w:w="108" w:type="dxa"/>
            <w:bottom w:w="0" w:type="dxa"/>
            <w:right w:w="108" w:type="dxa"/>
          </w:tblCellMar>
        </w:tblPrEx>
        <w:trPr>
          <w:trHeight w:val="735" w:hRule="atLeast"/>
        </w:trPr>
        <w:tc>
          <w:tcPr>
            <w:tcW w:w="842"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s="宋体"/>
                <w:kern w:val="0"/>
                <w:sz w:val="22"/>
              </w:rPr>
            </w:pPr>
            <w:r>
              <w:rPr>
                <w:rFonts w:ascii="宋体" w:hAnsi="宋体" w:cs="宋体"/>
                <w:kern w:val="0"/>
                <w:sz w:val="22"/>
              </w:rPr>
              <w:t>8</w:t>
            </w:r>
          </w:p>
        </w:tc>
        <w:tc>
          <w:tcPr>
            <w:tcW w:w="1553"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s="宋体"/>
                <w:kern w:val="0"/>
                <w:sz w:val="22"/>
              </w:rPr>
            </w:pPr>
            <w:r>
              <w:rPr>
                <w:rFonts w:hint="eastAsia" w:ascii="宋体" w:hAnsi="宋体" w:cs="宋体"/>
                <w:kern w:val="0"/>
                <w:sz w:val="22"/>
              </w:rPr>
              <w:t>踏勘现场</w:t>
            </w:r>
          </w:p>
        </w:tc>
        <w:tc>
          <w:tcPr>
            <w:tcW w:w="7440"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kern w:val="0"/>
                <w:sz w:val="22"/>
              </w:rPr>
            </w:pPr>
            <w:r>
              <w:rPr>
                <w:rFonts w:ascii="宋体" w:hAnsi="宋体" w:cs="宋体"/>
                <w:kern w:val="0"/>
                <w:sz w:val="22"/>
              </w:rPr>
              <w:sym w:font="Wingdings" w:char="F0FE"/>
            </w:r>
            <w:r>
              <w:rPr>
                <w:rFonts w:hint="eastAsia" w:ascii="宋体" w:hAnsi="宋体" w:cs="宋体"/>
                <w:kern w:val="0"/>
                <w:sz w:val="22"/>
              </w:rPr>
              <w:t>不组织</w:t>
            </w:r>
          </w:p>
        </w:tc>
      </w:tr>
      <w:tr>
        <w:tblPrEx>
          <w:tblCellMar>
            <w:top w:w="0" w:type="dxa"/>
            <w:left w:w="108" w:type="dxa"/>
            <w:bottom w:w="0" w:type="dxa"/>
            <w:right w:w="108" w:type="dxa"/>
          </w:tblCellMar>
        </w:tblPrEx>
        <w:trPr>
          <w:trHeight w:val="735" w:hRule="atLeast"/>
        </w:trPr>
        <w:tc>
          <w:tcPr>
            <w:tcW w:w="842"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s="宋体"/>
                <w:kern w:val="0"/>
                <w:sz w:val="22"/>
              </w:rPr>
            </w:pPr>
            <w:r>
              <w:rPr>
                <w:rFonts w:ascii="宋体" w:hAnsi="宋体" w:cs="宋体"/>
                <w:kern w:val="0"/>
                <w:sz w:val="22"/>
              </w:rPr>
              <w:t>9</w:t>
            </w:r>
          </w:p>
        </w:tc>
        <w:tc>
          <w:tcPr>
            <w:tcW w:w="1553"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s="宋体"/>
                <w:kern w:val="0"/>
                <w:sz w:val="22"/>
              </w:rPr>
            </w:pPr>
            <w:r>
              <w:rPr>
                <w:rFonts w:hint="eastAsia" w:ascii="宋体" w:hAnsi="宋体" w:cs="宋体"/>
                <w:kern w:val="0"/>
                <w:sz w:val="22"/>
              </w:rPr>
              <w:t>投标预备会</w:t>
            </w:r>
          </w:p>
        </w:tc>
        <w:tc>
          <w:tcPr>
            <w:tcW w:w="7440"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kern w:val="0"/>
                <w:sz w:val="22"/>
              </w:rPr>
            </w:pPr>
            <w:r>
              <w:rPr>
                <w:rFonts w:ascii="宋体" w:hAnsi="宋体" w:cs="宋体"/>
                <w:kern w:val="0"/>
                <w:sz w:val="22"/>
              </w:rPr>
              <w:sym w:font="Wingdings" w:char="F0FE"/>
            </w:r>
            <w:r>
              <w:rPr>
                <w:rFonts w:hint="eastAsia" w:ascii="宋体" w:hAnsi="宋体" w:cs="宋体"/>
                <w:kern w:val="0"/>
                <w:sz w:val="22"/>
              </w:rPr>
              <w:t>不召开</w:t>
            </w:r>
          </w:p>
        </w:tc>
      </w:tr>
      <w:tr>
        <w:tblPrEx>
          <w:tblCellMar>
            <w:top w:w="0" w:type="dxa"/>
            <w:left w:w="108" w:type="dxa"/>
            <w:bottom w:w="0" w:type="dxa"/>
            <w:right w:w="108" w:type="dxa"/>
          </w:tblCellMar>
        </w:tblPrEx>
        <w:trPr>
          <w:trHeight w:val="735" w:hRule="atLeast"/>
        </w:trPr>
        <w:tc>
          <w:tcPr>
            <w:tcW w:w="842"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s="宋体"/>
                <w:kern w:val="0"/>
                <w:sz w:val="22"/>
              </w:rPr>
            </w:pPr>
            <w:r>
              <w:rPr>
                <w:rFonts w:ascii="宋体" w:hAnsi="宋体" w:cs="宋体"/>
                <w:kern w:val="0"/>
                <w:sz w:val="22"/>
              </w:rPr>
              <w:t>10</w:t>
            </w:r>
          </w:p>
        </w:tc>
        <w:tc>
          <w:tcPr>
            <w:tcW w:w="1553"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s="宋体"/>
                <w:kern w:val="0"/>
                <w:sz w:val="22"/>
              </w:rPr>
            </w:pPr>
            <w:r>
              <w:rPr>
                <w:rFonts w:hint="eastAsia" w:ascii="宋体" w:hAnsi="宋体" w:cs="宋体"/>
                <w:kern w:val="0"/>
                <w:sz w:val="22"/>
              </w:rPr>
              <w:t>投标截止时间</w:t>
            </w:r>
          </w:p>
        </w:tc>
        <w:tc>
          <w:tcPr>
            <w:tcW w:w="7440" w:type="dxa"/>
            <w:tcBorders>
              <w:top w:val="single" w:color="auto" w:sz="4" w:space="0"/>
              <w:left w:val="single" w:color="auto" w:sz="4" w:space="0"/>
              <w:bottom w:val="single" w:color="auto" w:sz="4" w:space="0"/>
              <w:right w:val="single" w:color="auto" w:sz="4" w:space="0"/>
            </w:tcBorders>
            <w:vAlign w:val="center"/>
          </w:tcPr>
          <w:p>
            <w:pPr>
              <w:spacing w:line="300" w:lineRule="exact"/>
              <w:rPr>
                <w:rFonts w:ascii="宋体" w:hAnsi="宋体" w:cs="宋体"/>
                <w:kern w:val="0"/>
                <w:sz w:val="22"/>
              </w:rPr>
            </w:pPr>
            <w:r>
              <w:rPr>
                <w:rFonts w:hint="eastAsia" w:ascii="宋体" w:hAnsi="宋体" w:cs="宋体"/>
                <w:kern w:val="0"/>
                <w:sz w:val="22"/>
              </w:rPr>
              <w:t>见公开招标公告</w:t>
            </w:r>
          </w:p>
        </w:tc>
      </w:tr>
      <w:tr>
        <w:tblPrEx>
          <w:tblCellMar>
            <w:top w:w="0" w:type="dxa"/>
            <w:left w:w="108" w:type="dxa"/>
            <w:bottom w:w="0" w:type="dxa"/>
            <w:right w:w="108" w:type="dxa"/>
          </w:tblCellMar>
        </w:tblPrEx>
        <w:trPr>
          <w:trHeight w:val="735" w:hRule="atLeast"/>
        </w:trPr>
        <w:tc>
          <w:tcPr>
            <w:tcW w:w="842"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s="宋体"/>
                <w:kern w:val="0"/>
                <w:sz w:val="22"/>
              </w:rPr>
            </w:pPr>
            <w:r>
              <w:rPr>
                <w:rFonts w:ascii="宋体" w:hAnsi="宋体" w:cs="宋体"/>
                <w:kern w:val="0"/>
                <w:sz w:val="22"/>
              </w:rPr>
              <w:t>11</w:t>
            </w:r>
          </w:p>
        </w:tc>
        <w:tc>
          <w:tcPr>
            <w:tcW w:w="1553"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s="宋体"/>
                <w:kern w:val="0"/>
                <w:sz w:val="22"/>
              </w:rPr>
            </w:pPr>
            <w:r>
              <w:rPr>
                <w:rFonts w:hint="eastAsia" w:ascii="宋体" w:hAnsi="宋体" w:cs="宋体"/>
                <w:kern w:val="0"/>
                <w:sz w:val="22"/>
              </w:rPr>
              <w:t>分包</w:t>
            </w:r>
          </w:p>
        </w:tc>
        <w:tc>
          <w:tcPr>
            <w:tcW w:w="7440" w:type="dxa"/>
            <w:tcBorders>
              <w:top w:val="single" w:color="auto" w:sz="4" w:space="0"/>
              <w:left w:val="single" w:color="auto" w:sz="4" w:space="0"/>
              <w:bottom w:val="single" w:color="auto" w:sz="4" w:space="0"/>
              <w:right w:val="single" w:color="auto" w:sz="4" w:space="0"/>
            </w:tcBorders>
            <w:vAlign w:val="center"/>
          </w:tcPr>
          <w:p>
            <w:pPr>
              <w:spacing w:line="300" w:lineRule="exact"/>
              <w:rPr>
                <w:rFonts w:ascii="宋体" w:hAnsi="宋体" w:cs="宋体"/>
                <w:kern w:val="0"/>
                <w:sz w:val="22"/>
              </w:rPr>
            </w:pPr>
            <w:r>
              <w:rPr>
                <w:rFonts w:ascii="宋体" w:hAnsi="宋体" w:cs="宋体"/>
                <w:b/>
                <w:snapToGrid w:val="0"/>
                <w:sz w:val="22"/>
              </w:rPr>
              <w:sym w:font="Wingdings" w:char="F0FE"/>
            </w:r>
            <w:r>
              <w:rPr>
                <w:rFonts w:hint="eastAsia" w:ascii="宋体" w:hAnsi="宋体" w:cs="宋体"/>
                <w:kern w:val="0"/>
                <w:sz w:val="22"/>
              </w:rPr>
              <w:t>不允许</w:t>
            </w:r>
          </w:p>
        </w:tc>
      </w:tr>
      <w:tr>
        <w:tblPrEx>
          <w:tblCellMar>
            <w:top w:w="0" w:type="dxa"/>
            <w:left w:w="108" w:type="dxa"/>
            <w:bottom w:w="0" w:type="dxa"/>
            <w:right w:w="108" w:type="dxa"/>
          </w:tblCellMar>
        </w:tblPrEx>
        <w:trPr>
          <w:trHeight w:val="735" w:hRule="atLeast"/>
        </w:trPr>
        <w:tc>
          <w:tcPr>
            <w:tcW w:w="842"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s="宋体"/>
                <w:kern w:val="0"/>
                <w:sz w:val="22"/>
              </w:rPr>
            </w:pPr>
            <w:r>
              <w:rPr>
                <w:rFonts w:ascii="宋体" w:hAnsi="宋体" w:cs="宋体"/>
                <w:kern w:val="0"/>
                <w:sz w:val="22"/>
              </w:rPr>
              <w:t>12</w:t>
            </w:r>
          </w:p>
        </w:tc>
        <w:tc>
          <w:tcPr>
            <w:tcW w:w="1553"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s="宋体"/>
                <w:kern w:val="0"/>
                <w:sz w:val="22"/>
              </w:rPr>
            </w:pPr>
            <w:r>
              <w:rPr>
                <w:rFonts w:hint="eastAsia" w:ascii="宋体" w:hAnsi="宋体" w:cs="宋体"/>
                <w:kern w:val="0"/>
                <w:sz w:val="22"/>
              </w:rPr>
              <w:t>偏离</w:t>
            </w:r>
          </w:p>
        </w:tc>
        <w:tc>
          <w:tcPr>
            <w:tcW w:w="7440" w:type="dxa"/>
            <w:tcBorders>
              <w:top w:val="single" w:color="auto" w:sz="4" w:space="0"/>
              <w:left w:val="single" w:color="auto" w:sz="4" w:space="0"/>
              <w:bottom w:val="single" w:color="auto" w:sz="4" w:space="0"/>
              <w:right w:val="single" w:color="auto" w:sz="4" w:space="0"/>
            </w:tcBorders>
            <w:vAlign w:val="center"/>
          </w:tcPr>
          <w:p>
            <w:pPr>
              <w:spacing w:line="300" w:lineRule="exact"/>
              <w:rPr>
                <w:rFonts w:ascii="宋体" w:hAnsi="宋体" w:cs="宋体"/>
                <w:kern w:val="0"/>
                <w:sz w:val="22"/>
              </w:rPr>
            </w:pPr>
            <w:r>
              <w:rPr>
                <w:rFonts w:hint="eastAsia" w:ascii="宋体" w:hAnsi="宋体" w:cs="宋体"/>
                <w:kern w:val="0"/>
                <w:sz w:val="22"/>
              </w:rPr>
              <w:t>偏差允许幅度及其处理方法：允许细微偏差，不允许重大偏差。由评标委员会判断，细微偏差要求投标供应商在评标结束前予以澄清、说明或补正，不接受要求进行的，评标委员会有权做无效标处理，详见条款“</w:t>
            </w:r>
            <w:r>
              <w:rPr>
                <w:rFonts w:ascii="宋体" w:hAnsi="宋体" w:cs="宋体"/>
                <w:kern w:val="0"/>
                <w:sz w:val="22"/>
              </w:rPr>
              <w:t>23.</w:t>
            </w:r>
            <w:r>
              <w:rPr>
                <w:rFonts w:hint="eastAsia" w:ascii="宋体" w:hAnsi="宋体" w:cs="宋体"/>
                <w:sz w:val="22"/>
              </w:rPr>
              <w:t>投标文件的澄清</w:t>
            </w:r>
            <w:r>
              <w:rPr>
                <w:rFonts w:hint="eastAsia" w:ascii="宋体" w:hAnsi="宋体" w:cs="宋体"/>
                <w:kern w:val="0"/>
                <w:sz w:val="22"/>
              </w:rPr>
              <w:t>。”</w:t>
            </w:r>
          </w:p>
        </w:tc>
      </w:tr>
      <w:tr>
        <w:tblPrEx>
          <w:tblCellMar>
            <w:top w:w="0" w:type="dxa"/>
            <w:left w:w="108" w:type="dxa"/>
            <w:bottom w:w="0" w:type="dxa"/>
            <w:right w:w="108" w:type="dxa"/>
          </w:tblCellMar>
        </w:tblPrEx>
        <w:trPr>
          <w:trHeight w:val="1080" w:hRule="atLeast"/>
        </w:trPr>
        <w:tc>
          <w:tcPr>
            <w:tcW w:w="842"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s="宋体"/>
                <w:kern w:val="0"/>
                <w:sz w:val="22"/>
              </w:rPr>
            </w:pPr>
            <w:r>
              <w:rPr>
                <w:rFonts w:ascii="宋体" w:hAnsi="宋体" w:cs="宋体"/>
                <w:kern w:val="0"/>
                <w:sz w:val="22"/>
              </w:rPr>
              <w:t>13</w:t>
            </w:r>
          </w:p>
        </w:tc>
        <w:tc>
          <w:tcPr>
            <w:tcW w:w="1553"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s="宋体"/>
                <w:kern w:val="0"/>
                <w:sz w:val="22"/>
              </w:rPr>
            </w:pPr>
            <w:r>
              <w:rPr>
                <w:rFonts w:hint="eastAsia" w:ascii="宋体" w:hAnsi="宋体" w:cs="宋体"/>
                <w:kern w:val="0"/>
                <w:sz w:val="22"/>
              </w:rPr>
              <w:t>投标有效期</w:t>
            </w:r>
          </w:p>
        </w:tc>
        <w:tc>
          <w:tcPr>
            <w:tcW w:w="7440" w:type="dxa"/>
            <w:tcBorders>
              <w:top w:val="single" w:color="auto" w:sz="4" w:space="0"/>
              <w:left w:val="single" w:color="auto" w:sz="4" w:space="0"/>
              <w:bottom w:val="single" w:color="auto" w:sz="4" w:space="0"/>
              <w:right w:val="single" w:color="auto" w:sz="4" w:space="0"/>
            </w:tcBorders>
            <w:vAlign w:val="center"/>
          </w:tcPr>
          <w:p>
            <w:pPr>
              <w:spacing w:line="300" w:lineRule="exact"/>
              <w:rPr>
                <w:rFonts w:ascii="宋体" w:hAnsi="宋体" w:cs="宋体"/>
                <w:kern w:val="0"/>
                <w:sz w:val="22"/>
              </w:rPr>
            </w:pPr>
            <w:r>
              <w:rPr>
                <w:rFonts w:hint="eastAsia" w:ascii="宋体" w:hAnsi="宋体" w:cs="宋体"/>
                <w:kern w:val="0"/>
                <w:sz w:val="22"/>
              </w:rPr>
              <w:t>投标文件自投标截止时间起生效，有效期</w:t>
            </w:r>
            <w:r>
              <w:rPr>
                <w:rFonts w:ascii="宋体" w:hAnsi="宋体" w:cs="宋体"/>
                <w:kern w:val="0"/>
                <w:sz w:val="22"/>
              </w:rPr>
              <w:t>90天。</w:t>
            </w:r>
          </w:p>
        </w:tc>
      </w:tr>
      <w:tr>
        <w:tblPrEx>
          <w:tblCellMar>
            <w:top w:w="0" w:type="dxa"/>
            <w:left w:w="108" w:type="dxa"/>
            <w:bottom w:w="0" w:type="dxa"/>
            <w:right w:w="108" w:type="dxa"/>
          </w:tblCellMar>
        </w:tblPrEx>
        <w:trPr>
          <w:trHeight w:val="861" w:hRule="exact"/>
        </w:trPr>
        <w:tc>
          <w:tcPr>
            <w:tcW w:w="842"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s="宋体"/>
                <w:kern w:val="0"/>
                <w:sz w:val="22"/>
              </w:rPr>
            </w:pPr>
            <w:r>
              <w:rPr>
                <w:rFonts w:ascii="宋体" w:hAnsi="宋体" w:cs="宋体"/>
                <w:kern w:val="0"/>
                <w:sz w:val="22"/>
              </w:rPr>
              <w:t>14</w:t>
            </w:r>
          </w:p>
        </w:tc>
        <w:tc>
          <w:tcPr>
            <w:tcW w:w="1553"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s="宋体"/>
                <w:kern w:val="0"/>
                <w:sz w:val="22"/>
              </w:rPr>
            </w:pPr>
            <w:r>
              <w:rPr>
                <w:rFonts w:hint="eastAsia" w:ascii="宋体" w:hAnsi="宋体" w:cs="宋体"/>
                <w:kern w:val="0"/>
                <w:sz w:val="22"/>
              </w:rPr>
              <w:t>投标保证金</w:t>
            </w:r>
          </w:p>
        </w:tc>
        <w:tc>
          <w:tcPr>
            <w:tcW w:w="7440" w:type="dxa"/>
            <w:tcBorders>
              <w:top w:val="single" w:color="auto" w:sz="4" w:space="0"/>
              <w:left w:val="single" w:color="auto" w:sz="4" w:space="0"/>
              <w:bottom w:val="single" w:color="auto" w:sz="4" w:space="0"/>
              <w:right w:val="single" w:color="auto" w:sz="4" w:space="0"/>
            </w:tcBorders>
            <w:vAlign w:val="center"/>
          </w:tcPr>
          <w:p>
            <w:pPr>
              <w:spacing w:line="300" w:lineRule="exact"/>
              <w:rPr>
                <w:rFonts w:ascii="宋体" w:hAnsi="宋体" w:cs="宋体"/>
                <w:kern w:val="0"/>
                <w:sz w:val="22"/>
              </w:rPr>
            </w:pPr>
            <w:r>
              <w:rPr>
                <w:rFonts w:hint="eastAsia" w:ascii="宋体" w:hAnsi="宋体" w:cs="宋体"/>
                <w:kern w:val="0"/>
                <w:sz w:val="22"/>
              </w:rPr>
              <w:t>见公开招标公告</w:t>
            </w:r>
          </w:p>
        </w:tc>
      </w:tr>
      <w:tr>
        <w:tblPrEx>
          <w:tblCellMar>
            <w:top w:w="0" w:type="dxa"/>
            <w:left w:w="108" w:type="dxa"/>
            <w:bottom w:w="0" w:type="dxa"/>
            <w:right w:w="108" w:type="dxa"/>
          </w:tblCellMar>
        </w:tblPrEx>
        <w:trPr>
          <w:trHeight w:val="861" w:hRule="exact"/>
        </w:trPr>
        <w:tc>
          <w:tcPr>
            <w:tcW w:w="842"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s="宋体"/>
                <w:kern w:val="0"/>
                <w:sz w:val="22"/>
              </w:rPr>
            </w:pPr>
            <w:r>
              <w:rPr>
                <w:rFonts w:ascii="宋体" w:hAnsi="宋体" w:cs="宋体"/>
                <w:szCs w:val="24"/>
              </w:rPr>
              <w:t>15</w:t>
            </w:r>
          </w:p>
        </w:tc>
        <w:tc>
          <w:tcPr>
            <w:tcW w:w="1553"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s="宋体"/>
                <w:kern w:val="0"/>
                <w:sz w:val="22"/>
              </w:rPr>
            </w:pPr>
            <w:r>
              <w:rPr>
                <w:rFonts w:hint="eastAsia" w:ascii="宋体" w:hAnsi="宋体" w:cs="宋体"/>
                <w:szCs w:val="24"/>
              </w:rPr>
              <w:t>采购响应文件的签章</w:t>
            </w:r>
          </w:p>
        </w:tc>
        <w:tc>
          <w:tcPr>
            <w:tcW w:w="7440" w:type="dxa"/>
            <w:tcBorders>
              <w:top w:val="single" w:color="auto" w:sz="4" w:space="0"/>
              <w:left w:val="single" w:color="auto" w:sz="4" w:space="0"/>
              <w:bottom w:val="single" w:color="auto" w:sz="4" w:space="0"/>
              <w:right w:val="single" w:color="auto" w:sz="4" w:space="0"/>
            </w:tcBorders>
            <w:vAlign w:val="center"/>
          </w:tcPr>
          <w:p>
            <w:pPr>
              <w:spacing w:line="300" w:lineRule="exact"/>
              <w:rPr>
                <w:rFonts w:ascii="宋体" w:hAnsi="宋体" w:cs="宋体"/>
                <w:kern w:val="0"/>
                <w:sz w:val="22"/>
              </w:rPr>
            </w:pPr>
            <w:r>
              <w:rPr>
                <w:rFonts w:hint="eastAsia" w:ascii="宋体" w:hAnsi="宋体" w:cs="宋体"/>
                <w:szCs w:val="24"/>
              </w:rPr>
              <w:t>电子签章。</w:t>
            </w:r>
          </w:p>
        </w:tc>
      </w:tr>
      <w:tr>
        <w:tblPrEx>
          <w:tblCellMar>
            <w:top w:w="0" w:type="dxa"/>
            <w:left w:w="108" w:type="dxa"/>
            <w:bottom w:w="0" w:type="dxa"/>
            <w:right w:w="108" w:type="dxa"/>
          </w:tblCellMar>
        </w:tblPrEx>
        <w:trPr>
          <w:trHeight w:val="836" w:hRule="atLeast"/>
        </w:trPr>
        <w:tc>
          <w:tcPr>
            <w:tcW w:w="842"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s="宋体"/>
                <w:kern w:val="0"/>
                <w:sz w:val="22"/>
              </w:rPr>
            </w:pPr>
            <w:r>
              <w:rPr>
                <w:rFonts w:ascii="宋体" w:hAnsi="宋体" w:cs="宋体"/>
                <w:kern w:val="0"/>
                <w:sz w:val="22"/>
              </w:rPr>
              <w:t>16</w:t>
            </w:r>
          </w:p>
        </w:tc>
        <w:tc>
          <w:tcPr>
            <w:tcW w:w="1553"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s="宋体"/>
                <w:kern w:val="0"/>
                <w:sz w:val="22"/>
              </w:rPr>
            </w:pPr>
            <w:r>
              <w:rPr>
                <w:rFonts w:hint="eastAsia" w:ascii="宋体" w:hAnsi="宋体" w:cs="宋体"/>
                <w:kern w:val="0"/>
                <w:sz w:val="22"/>
              </w:rPr>
              <w:t>投标文件组成、投标文件的编制及在线投标响应（电子投标）说明</w:t>
            </w:r>
          </w:p>
        </w:tc>
        <w:tc>
          <w:tcPr>
            <w:tcW w:w="7440" w:type="dxa"/>
            <w:tcBorders>
              <w:top w:val="single" w:color="auto" w:sz="4" w:space="0"/>
              <w:left w:val="single" w:color="auto" w:sz="4" w:space="0"/>
              <w:bottom w:val="single" w:color="auto" w:sz="4" w:space="0"/>
              <w:right w:val="single" w:color="auto" w:sz="4" w:space="0"/>
            </w:tcBorders>
            <w:vAlign w:val="center"/>
          </w:tcPr>
          <w:p>
            <w:pPr>
              <w:spacing w:line="300" w:lineRule="exact"/>
              <w:rPr>
                <w:rFonts w:ascii="宋体" w:hAnsi="宋体" w:cs="宋体"/>
                <w:kern w:val="0"/>
                <w:sz w:val="22"/>
              </w:rPr>
            </w:pPr>
            <w:r>
              <w:rPr>
                <w:rFonts w:ascii="宋体" w:hAnsi="宋体" w:cs="宋体"/>
                <w:kern w:val="0"/>
                <w:sz w:val="22"/>
              </w:rPr>
              <w:t>1、投标文件组成：资格部分、商务技术部分和报价部分。</w:t>
            </w:r>
          </w:p>
          <w:p>
            <w:pPr>
              <w:spacing w:line="300" w:lineRule="exact"/>
              <w:rPr>
                <w:rFonts w:ascii="宋体" w:hAnsi="宋体" w:cs="宋体"/>
                <w:kern w:val="0"/>
                <w:sz w:val="22"/>
              </w:rPr>
            </w:pPr>
            <w:r>
              <w:rPr>
                <w:rFonts w:ascii="宋体" w:hAnsi="宋体" w:cs="宋体"/>
                <w:kern w:val="0"/>
                <w:sz w:val="22"/>
              </w:rPr>
              <w:t>2、投标文件编制：供应商应先安装“</w:t>
            </w:r>
            <w:r>
              <w:rPr>
                <w:rFonts w:hint="eastAsia" w:ascii="宋体" w:hAnsi="宋体" w:cs="宋体"/>
                <w:kern w:val="0"/>
                <w:sz w:val="22"/>
              </w:rPr>
              <w:t>乐采云投标客户端</w:t>
            </w:r>
            <w:r>
              <w:rPr>
                <w:rFonts w:ascii="宋体" w:hAnsi="宋体" w:cs="宋体"/>
                <w:kern w:val="0"/>
                <w:sz w:val="22"/>
              </w:rPr>
              <w:t>”，并按照本采购文件和“</w:t>
            </w:r>
            <w:r>
              <w:rPr>
                <w:rFonts w:hint="eastAsia" w:ascii="宋体" w:hAnsi="宋体" w:cs="宋体"/>
                <w:kern w:val="0"/>
                <w:sz w:val="22"/>
              </w:rPr>
              <w:t>乐采云平台</w:t>
            </w:r>
            <w:r>
              <w:rPr>
                <w:rFonts w:ascii="宋体" w:hAnsi="宋体" w:cs="宋体"/>
                <w:kern w:val="0"/>
                <w:sz w:val="22"/>
              </w:rPr>
              <w:t>”的要求，通过“</w:t>
            </w:r>
            <w:r>
              <w:rPr>
                <w:rFonts w:hint="eastAsia" w:ascii="宋体" w:hAnsi="宋体" w:cs="宋体"/>
                <w:kern w:val="0"/>
                <w:sz w:val="22"/>
              </w:rPr>
              <w:t>乐采云投标客户端</w:t>
            </w:r>
            <w:r>
              <w:rPr>
                <w:rFonts w:ascii="宋体" w:hAnsi="宋体" w:cs="宋体"/>
                <w:kern w:val="0"/>
                <w:sz w:val="22"/>
              </w:rPr>
              <w:t>”编制并加密投标文件。</w:t>
            </w:r>
          </w:p>
          <w:p>
            <w:pPr>
              <w:spacing w:line="300" w:lineRule="exact"/>
              <w:rPr>
                <w:rFonts w:ascii="宋体" w:hAnsi="宋体" w:cs="宋体"/>
                <w:kern w:val="0"/>
                <w:sz w:val="22"/>
              </w:rPr>
            </w:pPr>
            <w:r>
              <w:rPr>
                <w:rFonts w:ascii="宋体" w:hAnsi="宋体" w:cs="宋体"/>
                <w:kern w:val="0"/>
                <w:sz w:val="22"/>
              </w:rPr>
              <w:t>3、投标文件的形式：</w:t>
            </w:r>
            <w:r>
              <w:rPr>
                <w:rFonts w:ascii="宋体" w:hAnsi="宋体" w:cs="宋体"/>
                <w:b/>
                <w:snapToGrid w:val="0"/>
                <w:sz w:val="22"/>
              </w:rPr>
              <w:sym w:font="Wingdings" w:char="F0FE"/>
            </w:r>
            <w:r>
              <w:rPr>
                <w:rFonts w:hint="eastAsia" w:ascii="宋体" w:hAnsi="宋体" w:cs="宋体"/>
                <w:kern w:val="0"/>
                <w:sz w:val="22"/>
              </w:rPr>
              <w:t>电子投标文件（包括“电子加密投标文件”和“备份投标文件”，在投标文件编制完成后同时生成）；</w:t>
            </w:r>
          </w:p>
          <w:p>
            <w:pPr>
              <w:spacing w:line="300" w:lineRule="exact"/>
              <w:rPr>
                <w:rFonts w:ascii="宋体" w:hAnsi="宋体" w:cs="宋体"/>
                <w:kern w:val="0"/>
                <w:sz w:val="22"/>
                <w:lang w:val="zh-CN"/>
              </w:rPr>
            </w:pPr>
            <w:r>
              <w:rPr>
                <w:rFonts w:hint="eastAsia" w:ascii="宋体" w:hAnsi="宋体" w:cs="宋体"/>
                <w:kern w:val="0"/>
                <w:sz w:val="22"/>
                <w:lang w:val="zh-CN"/>
              </w:rPr>
              <w:t>（</w:t>
            </w:r>
            <w:r>
              <w:rPr>
                <w:rFonts w:ascii="宋体" w:hAnsi="宋体" w:cs="宋体"/>
                <w:kern w:val="0"/>
                <w:sz w:val="22"/>
                <w:lang w:val="zh-CN"/>
              </w:rPr>
              <w:t>1）“电子投标文件”是指通过“</w:t>
            </w:r>
            <w:r>
              <w:rPr>
                <w:rFonts w:hint="eastAsia" w:ascii="宋体" w:hAnsi="宋体" w:cs="宋体"/>
                <w:kern w:val="0"/>
                <w:sz w:val="22"/>
                <w:lang w:val="zh-CN"/>
              </w:rPr>
              <w:t>乐采云投标客户端</w:t>
            </w:r>
            <w:r>
              <w:rPr>
                <w:rFonts w:ascii="宋体" w:hAnsi="宋体" w:cs="宋体"/>
                <w:kern w:val="0"/>
                <w:sz w:val="22"/>
                <w:lang w:val="zh-CN"/>
              </w:rPr>
              <w:t>”完成投标文件编制后生成并加密的数据电文形式的</w:t>
            </w:r>
            <w:r>
              <w:rPr>
                <w:rFonts w:hint="eastAsia" w:ascii="宋体" w:hAnsi="宋体" w:cs="宋体"/>
                <w:kern w:val="0"/>
                <w:sz w:val="22"/>
              </w:rPr>
              <w:t>加密标书，加密标书文件后缀格式为</w:t>
            </w:r>
            <w:r>
              <w:rPr>
                <w:rFonts w:ascii="宋体" w:hAnsi="宋体" w:cs="宋体"/>
                <w:kern w:val="0"/>
                <w:sz w:val="22"/>
              </w:rPr>
              <w:t>.jmbs</w:t>
            </w:r>
            <w:r>
              <w:rPr>
                <w:rFonts w:hint="eastAsia" w:ascii="宋体" w:hAnsi="宋体" w:cs="宋体"/>
                <w:kern w:val="0"/>
                <w:sz w:val="22"/>
                <w:lang w:val="zh-CN"/>
              </w:rPr>
              <w:t>。</w:t>
            </w:r>
          </w:p>
          <w:p>
            <w:pPr>
              <w:spacing w:line="300" w:lineRule="exact"/>
              <w:rPr>
                <w:rFonts w:ascii="宋体" w:hAnsi="宋体" w:cs="宋体"/>
                <w:kern w:val="0"/>
                <w:sz w:val="22"/>
              </w:rPr>
            </w:pPr>
            <w:r>
              <w:rPr>
                <w:rFonts w:hint="eastAsia" w:ascii="宋体" w:hAnsi="宋体" w:cs="宋体"/>
                <w:kern w:val="0"/>
                <w:sz w:val="22"/>
                <w:lang w:val="zh-CN"/>
              </w:rPr>
              <w:t>（</w:t>
            </w:r>
            <w:r>
              <w:rPr>
                <w:rFonts w:ascii="宋体" w:hAnsi="宋体" w:cs="宋体"/>
                <w:kern w:val="0"/>
                <w:sz w:val="22"/>
                <w:lang w:val="zh-CN"/>
              </w:rPr>
              <w:t>2）“备份投标文件”是指与“</w:t>
            </w:r>
            <w:r>
              <w:rPr>
                <w:rFonts w:hint="eastAsia" w:ascii="宋体" w:hAnsi="宋体" w:cs="宋体"/>
                <w:kern w:val="0"/>
                <w:sz w:val="22"/>
              </w:rPr>
              <w:t>加密标书</w:t>
            </w:r>
            <w:r>
              <w:rPr>
                <w:rFonts w:hint="eastAsia" w:ascii="宋体" w:hAnsi="宋体" w:cs="宋体"/>
                <w:kern w:val="0"/>
                <w:sz w:val="22"/>
                <w:lang w:val="zh-CN"/>
              </w:rPr>
              <w:t>”同时生成的数据电文形式的电子文件（备份标书），备份标书文件后缀格式为</w:t>
            </w:r>
            <w:r>
              <w:rPr>
                <w:rFonts w:ascii="宋体" w:hAnsi="宋体" w:cs="宋体"/>
                <w:kern w:val="0"/>
                <w:sz w:val="22"/>
                <w:lang w:val="zh-CN"/>
              </w:rPr>
              <w:t>.bfbs</w:t>
            </w:r>
            <w:r>
              <w:rPr>
                <w:rFonts w:hint="eastAsia" w:ascii="宋体" w:hAnsi="宋体" w:cs="宋体"/>
                <w:kern w:val="0"/>
                <w:sz w:val="22"/>
              </w:rPr>
              <w:t>，</w:t>
            </w:r>
            <w:r>
              <w:rPr>
                <w:rFonts w:hint="eastAsia" w:ascii="宋体" w:hAnsi="宋体" w:cs="宋体"/>
                <w:kern w:val="0"/>
                <w:sz w:val="22"/>
                <w:lang w:val="zh-CN"/>
              </w:rPr>
              <w:t>其他方式编制的备份投标文件视为无效备份投标文件。</w:t>
            </w:r>
          </w:p>
          <w:p>
            <w:pPr>
              <w:spacing w:line="300" w:lineRule="exact"/>
              <w:rPr>
                <w:rFonts w:ascii="宋体" w:hAnsi="宋体" w:cs="宋体"/>
                <w:kern w:val="0"/>
                <w:sz w:val="22"/>
              </w:rPr>
            </w:pPr>
            <w:r>
              <w:rPr>
                <w:rFonts w:ascii="宋体" w:hAnsi="宋体" w:cs="宋体"/>
                <w:kern w:val="0"/>
                <w:sz w:val="22"/>
              </w:rPr>
              <w:t xml:space="preserve">4、投标文件份数： </w:t>
            </w:r>
            <w:r>
              <w:rPr>
                <w:rFonts w:hint="eastAsia" w:ascii="宋体" w:hAnsi="宋体" w:cs="宋体"/>
                <w:kern w:val="0"/>
                <w:sz w:val="22"/>
              </w:rPr>
              <w:t>“电子加密投标文件”：在线上传递交、一份。中标后按采购人要求另外提供符合采购人要求份数的纸质投标文件。</w:t>
            </w:r>
          </w:p>
          <w:p>
            <w:pPr>
              <w:spacing w:line="300" w:lineRule="exact"/>
              <w:rPr>
                <w:rFonts w:ascii="宋体" w:hAnsi="宋体" w:cs="宋体"/>
                <w:kern w:val="0"/>
                <w:sz w:val="22"/>
              </w:rPr>
            </w:pPr>
            <w:r>
              <w:rPr>
                <w:rFonts w:ascii="宋体" w:hAnsi="宋体" w:cs="宋体"/>
                <w:kern w:val="0"/>
                <w:sz w:val="22"/>
              </w:rPr>
              <w:t>5、投标文件的上传和递交：</w:t>
            </w:r>
          </w:p>
          <w:p>
            <w:pPr>
              <w:spacing w:line="300" w:lineRule="exact"/>
              <w:rPr>
                <w:rFonts w:ascii="宋体" w:hAnsi="宋体" w:cs="宋体"/>
                <w:kern w:val="0"/>
                <w:sz w:val="22"/>
              </w:rPr>
            </w:pPr>
            <w:r>
              <w:rPr>
                <w:rFonts w:hint="eastAsia" w:ascii="宋体" w:hAnsi="宋体" w:cs="宋体"/>
                <w:kern w:val="0"/>
                <w:sz w:val="22"/>
              </w:rPr>
              <w:t>（</w:t>
            </w:r>
            <w:r>
              <w:rPr>
                <w:rFonts w:ascii="宋体" w:hAnsi="宋体" w:cs="宋体"/>
                <w:kern w:val="0"/>
                <w:sz w:val="22"/>
              </w:rPr>
              <w:t>1）“电子加密投标文件”的上传、递交：</w:t>
            </w:r>
          </w:p>
          <w:p>
            <w:pPr>
              <w:spacing w:line="300" w:lineRule="exact"/>
              <w:rPr>
                <w:rFonts w:ascii="宋体" w:hAnsi="宋体" w:cs="宋体"/>
                <w:kern w:val="0"/>
                <w:sz w:val="22"/>
              </w:rPr>
            </w:pPr>
            <w:r>
              <w:rPr>
                <w:rFonts w:ascii="宋体" w:hAnsi="宋体" w:cs="宋体"/>
                <w:kern w:val="0"/>
                <w:sz w:val="22"/>
              </w:rPr>
              <w:t>a.供应商应在投标截止时间前将“电子加密投标文件”成功上传递交至“</w:t>
            </w:r>
            <w:r>
              <w:rPr>
                <w:rFonts w:hint="eastAsia" w:ascii="宋体" w:hAnsi="宋体" w:cs="宋体"/>
                <w:kern w:val="0"/>
                <w:sz w:val="22"/>
              </w:rPr>
              <w:t>乐采云平台</w:t>
            </w:r>
            <w:r>
              <w:rPr>
                <w:rFonts w:ascii="宋体" w:hAnsi="宋体" w:cs="宋体"/>
                <w:kern w:val="0"/>
                <w:sz w:val="22"/>
              </w:rPr>
              <w:t>”，否则投标无效。</w:t>
            </w:r>
          </w:p>
          <w:p>
            <w:pPr>
              <w:spacing w:line="300" w:lineRule="exact"/>
              <w:rPr>
                <w:rFonts w:ascii="宋体" w:hAnsi="宋体" w:cs="宋体"/>
                <w:kern w:val="0"/>
                <w:sz w:val="22"/>
              </w:rPr>
            </w:pPr>
            <w:r>
              <w:rPr>
                <w:rFonts w:ascii="宋体" w:hAnsi="宋体" w:cs="宋体"/>
                <w:kern w:val="0"/>
                <w:sz w:val="22"/>
              </w:rPr>
              <w:t>b.“电子加密投标文件”成功上传递交后，供应商可自行打印投标文件接收回执。</w:t>
            </w:r>
          </w:p>
          <w:p>
            <w:pPr>
              <w:spacing w:line="300" w:lineRule="exact"/>
              <w:rPr>
                <w:rFonts w:ascii="宋体" w:hAnsi="宋体" w:cs="宋体"/>
                <w:kern w:val="0"/>
                <w:sz w:val="22"/>
              </w:rPr>
            </w:pPr>
            <w:r>
              <w:rPr>
                <w:rFonts w:hint="eastAsia" w:ascii="宋体" w:hAnsi="宋体" w:cs="宋体"/>
                <w:kern w:val="0"/>
                <w:sz w:val="22"/>
              </w:rPr>
              <w:t>（</w:t>
            </w:r>
            <w:r>
              <w:rPr>
                <w:rFonts w:ascii="宋体" w:hAnsi="宋体" w:cs="宋体"/>
                <w:kern w:val="0"/>
                <w:sz w:val="22"/>
              </w:rPr>
              <w:t>2）“备份投标文件”的递交：</w:t>
            </w:r>
          </w:p>
          <w:p>
            <w:pPr>
              <w:spacing w:line="300" w:lineRule="exact"/>
              <w:rPr>
                <w:rFonts w:ascii="宋体" w:hAnsi="宋体" w:cs="宋体"/>
                <w:b/>
                <w:bCs/>
                <w:kern w:val="0"/>
                <w:sz w:val="22"/>
              </w:rPr>
            </w:pPr>
            <w:r>
              <w:rPr>
                <w:rFonts w:ascii="宋体" w:hAnsi="宋体" w:cs="宋体"/>
                <w:kern w:val="0"/>
                <w:sz w:val="22"/>
              </w:rPr>
              <w:t>a.</w:t>
            </w:r>
            <w:r>
              <w:rPr>
                <w:rFonts w:hint="eastAsia" w:ascii="宋体" w:hAnsi="宋体" w:cs="宋体"/>
                <w:kern w:val="0"/>
                <w:sz w:val="22"/>
              </w:rPr>
              <w:t>供应商在系统里上传好加密标书后，可以（建议）在投标截止时间前将系统生成的备份标书（后缀格式为</w:t>
            </w:r>
            <w:r>
              <w:rPr>
                <w:rFonts w:ascii="宋体" w:hAnsi="宋体" w:cs="宋体"/>
                <w:kern w:val="0"/>
                <w:sz w:val="22"/>
              </w:rPr>
              <w:t>.bfbs）以电子邮件形式传送至采购代理机构邮箱1589009783@qq.com，</w:t>
            </w:r>
            <w:r>
              <w:rPr>
                <w:rFonts w:hint="eastAsia" w:ascii="宋体" w:hAnsi="宋体" w:cs="宋体"/>
                <w:b/>
                <w:bCs/>
                <w:kern w:val="0"/>
                <w:sz w:val="22"/>
              </w:rPr>
              <w:t>传送的备份标书需打包压缩并加密，加密密码由供应商自行保管；</w:t>
            </w:r>
          </w:p>
          <w:p>
            <w:pPr>
              <w:spacing w:line="300" w:lineRule="exact"/>
              <w:rPr>
                <w:rFonts w:ascii="宋体" w:hAnsi="宋体" w:cs="宋体"/>
                <w:kern w:val="0"/>
                <w:sz w:val="22"/>
              </w:rPr>
            </w:pPr>
            <w:r>
              <w:rPr>
                <w:rFonts w:ascii="宋体" w:hAnsi="宋体" w:cs="宋体"/>
                <w:kern w:val="0"/>
                <w:sz w:val="22"/>
              </w:rPr>
              <w:t>b.通过“</w:t>
            </w:r>
            <w:r>
              <w:rPr>
                <w:rFonts w:hint="eastAsia" w:ascii="宋体" w:hAnsi="宋体" w:cs="宋体"/>
                <w:kern w:val="0"/>
                <w:sz w:val="22"/>
              </w:rPr>
              <w:t>乐采云平台</w:t>
            </w:r>
            <w:r>
              <w:rPr>
                <w:rFonts w:ascii="宋体" w:hAnsi="宋体" w:cs="宋体"/>
                <w:kern w:val="0"/>
                <w:sz w:val="22"/>
              </w:rPr>
              <w:t>”成功上传递交的“电子加密投标文件”已按时解密的，“备份投标文件”自动失效。投标截止时间前，供应商仅递交了“备份投标文件”而未将“电子加密投标文件”成功上传至“</w:t>
            </w:r>
            <w:r>
              <w:rPr>
                <w:rFonts w:hint="eastAsia" w:ascii="宋体" w:hAnsi="宋体" w:cs="宋体"/>
                <w:kern w:val="0"/>
                <w:sz w:val="22"/>
              </w:rPr>
              <w:t>乐采云平台</w:t>
            </w:r>
            <w:r>
              <w:rPr>
                <w:rFonts w:ascii="宋体" w:hAnsi="宋体" w:cs="宋体"/>
                <w:kern w:val="0"/>
                <w:sz w:val="22"/>
              </w:rPr>
              <w:t>”的，投标无效。</w:t>
            </w:r>
          </w:p>
          <w:p>
            <w:pPr>
              <w:spacing w:line="300" w:lineRule="exact"/>
              <w:rPr>
                <w:rFonts w:ascii="宋体" w:hAnsi="宋体" w:cs="宋体"/>
                <w:kern w:val="0"/>
                <w:sz w:val="22"/>
              </w:rPr>
            </w:pPr>
            <w:r>
              <w:rPr>
                <w:rFonts w:ascii="宋体" w:hAnsi="宋体" w:cs="宋体"/>
                <w:kern w:val="0"/>
                <w:sz w:val="22"/>
              </w:rPr>
              <w:t>6、电子加密投标文件的解密和异常情况处理：</w:t>
            </w:r>
          </w:p>
          <w:p>
            <w:pPr>
              <w:spacing w:line="300" w:lineRule="exact"/>
              <w:rPr>
                <w:rFonts w:ascii="宋体" w:hAnsi="宋体" w:cs="宋体"/>
                <w:kern w:val="0"/>
                <w:sz w:val="22"/>
              </w:rPr>
            </w:pPr>
            <w:r>
              <w:rPr>
                <w:rFonts w:hint="eastAsia" w:ascii="宋体" w:hAnsi="宋体" w:cs="宋体"/>
                <w:kern w:val="0"/>
                <w:sz w:val="22"/>
              </w:rPr>
              <w:t>（</w:t>
            </w:r>
            <w:r>
              <w:rPr>
                <w:rFonts w:ascii="宋体" w:hAnsi="宋体" w:cs="宋体"/>
                <w:kern w:val="0"/>
                <w:sz w:val="22"/>
              </w:rPr>
              <w:t>1）开标后，采购组织机构将向各供应商发出“电子加密投标文件”的解密通知，各供应商代表应当在接到解密通知后30分钟内自行完成“电子加密投标文件”的在线解密。</w:t>
            </w:r>
          </w:p>
          <w:p>
            <w:pPr>
              <w:spacing w:line="300" w:lineRule="exact"/>
              <w:rPr>
                <w:rFonts w:ascii="宋体" w:hAnsi="宋体" w:cs="宋体"/>
                <w:kern w:val="0"/>
                <w:sz w:val="22"/>
              </w:rPr>
            </w:pPr>
            <w:r>
              <w:rPr>
                <w:rFonts w:hint="eastAsia" w:ascii="宋体" w:hAnsi="宋体" w:cs="宋体"/>
                <w:kern w:val="0"/>
                <w:sz w:val="22"/>
              </w:rPr>
              <w:t>（</w:t>
            </w:r>
            <w:r>
              <w:rPr>
                <w:rFonts w:ascii="宋体" w:hAnsi="宋体" w:cs="宋体"/>
                <w:kern w:val="0"/>
                <w:sz w:val="22"/>
              </w:rPr>
              <w:t>2）通过“</w:t>
            </w:r>
            <w:r>
              <w:rPr>
                <w:rFonts w:hint="eastAsia" w:ascii="宋体" w:hAnsi="宋体" w:cs="宋体"/>
                <w:kern w:val="0"/>
                <w:sz w:val="22"/>
              </w:rPr>
              <w:t>乐采云平台</w:t>
            </w:r>
            <w:r>
              <w:rPr>
                <w:rFonts w:ascii="宋体" w:hAnsi="宋体" w:cs="宋体"/>
                <w:kern w:val="0"/>
                <w:sz w:val="22"/>
              </w:rPr>
              <w:t>”成功上传递交的“电子加密投标文件”无法按时解密，供应商如按规定递交了“备份投标文件”的，以“备份投标文件”为依据（由采购组织机构按“</w:t>
            </w:r>
            <w:r>
              <w:rPr>
                <w:rFonts w:hint="eastAsia" w:ascii="宋体" w:hAnsi="宋体" w:cs="宋体"/>
                <w:kern w:val="0"/>
                <w:sz w:val="22"/>
              </w:rPr>
              <w:t>乐采云平台</w:t>
            </w:r>
            <w:r>
              <w:rPr>
                <w:rFonts w:ascii="宋体" w:hAnsi="宋体" w:cs="宋体"/>
                <w:kern w:val="0"/>
                <w:sz w:val="22"/>
              </w:rPr>
              <w:t>”操作规范将“备份投标文件”上传至“</w:t>
            </w:r>
            <w:r>
              <w:rPr>
                <w:rFonts w:hint="eastAsia" w:ascii="宋体" w:hAnsi="宋体" w:cs="宋体"/>
                <w:kern w:val="0"/>
                <w:sz w:val="22"/>
              </w:rPr>
              <w:t>乐采云平台</w:t>
            </w:r>
            <w:r>
              <w:rPr>
                <w:rFonts w:ascii="宋体" w:hAnsi="宋体" w:cs="宋体"/>
                <w:kern w:val="0"/>
                <w:sz w:val="22"/>
              </w:rPr>
              <w:t>”，上传成功后，“电子加密投标文件”自动失效），否则视为投标文件撤回。</w:t>
            </w:r>
          </w:p>
          <w:p>
            <w:pPr>
              <w:spacing w:line="300" w:lineRule="exact"/>
              <w:rPr>
                <w:rFonts w:ascii="宋体" w:hAnsi="宋体" w:cs="宋体"/>
                <w:kern w:val="0"/>
                <w:sz w:val="22"/>
              </w:rPr>
            </w:pPr>
            <w:r>
              <w:rPr>
                <w:rFonts w:hint="eastAsia" w:ascii="宋体" w:hAnsi="宋体" w:cs="宋体"/>
                <w:kern w:val="0"/>
                <w:sz w:val="22"/>
              </w:rPr>
              <w:t>（</w:t>
            </w:r>
            <w:r>
              <w:rPr>
                <w:rFonts w:ascii="宋体" w:hAnsi="宋体" w:cs="宋体"/>
                <w:kern w:val="0"/>
                <w:sz w:val="22"/>
              </w:rPr>
              <w:t>3）投标截止时间前，供应商仅递交了“备份投标文件”而未将电子加密投标文件上传至“</w:t>
            </w:r>
            <w:r>
              <w:rPr>
                <w:rFonts w:hint="eastAsia" w:ascii="宋体" w:hAnsi="宋体" w:cs="宋体"/>
                <w:kern w:val="0"/>
                <w:sz w:val="22"/>
              </w:rPr>
              <w:t>乐采云平台</w:t>
            </w:r>
            <w:r>
              <w:rPr>
                <w:rFonts w:ascii="宋体" w:hAnsi="宋体" w:cs="宋体"/>
                <w:kern w:val="0"/>
                <w:sz w:val="22"/>
              </w:rPr>
              <w:t>”的，投标无效。</w:t>
            </w:r>
          </w:p>
          <w:p>
            <w:pPr>
              <w:snapToGrid w:val="0"/>
              <w:spacing w:line="300" w:lineRule="exact"/>
              <w:rPr>
                <w:rFonts w:ascii="宋体" w:hAnsi="宋体" w:cs="宋体"/>
                <w:kern w:val="0"/>
                <w:sz w:val="22"/>
              </w:rPr>
            </w:pPr>
            <w:r>
              <w:rPr>
                <w:rFonts w:ascii="宋体" w:hAnsi="宋体" w:cs="宋体"/>
                <w:kern w:val="0"/>
                <w:sz w:val="22"/>
              </w:rPr>
              <w:t>7、投标截止后，在投标有效期内，供应商不能撤销投标文件。</w:t>
            </w:r>
          </w:p>
          <w:p>
            <w:pPr>
              <w:snapToGrid w:val="0"/>
              <w:spacing w:line="300" w:lineRule="exact"/>
              <w:rPr>
                <w:rFonts w:ascii="宋体" w:hAnsi="宋体" w:cs="宋体"/>
                <w:kern w:val="0"/>
                <w:sz w:val="22"/>
              </w:rPr>
            </w:pPr>
            <w:r>
              <w:rPr>
                <w:rFonts w:ascii="宋体" w:hAnsi="宋体" w:cs="宋体"/>
                <w:kern w:val="0"/>
                <w:sz w:val="22"/>
              </w:rPr>
              <w:t>8、中标后，供应商拒绝签订合同的，采购人可以按照评审报告推荐的中标候选人名单排序，确定下一排名为中标供应商，也可以重新开展采购活动。</w:t>
            </w:r>
          </w:p>
          <w:p>
            <w:pPr>
              <w:snapToGrid w:val="0"/>
              <w:spacing w:line="300" w:lineRule="exact"/>
              <w:rPr>
                <w:rFonts w:ascii="宋体" w:hAnsi="宋体" w:cs="宋体"/>
                <w:kern w:val="0"/>
                <w:sz w:val="22"/>
              </w:rPr>
            </w:pPr>
            <w:r>
              <w:rPr>
                <w:rFonts w:ascii="宋体" w:hAnsi="宋体" w:cs="宋体"/>
                <w:kern w:val="0"/>
                <w:sz w:val="22"/>
              </w:rPr>
              <w:t>9、存在下列行为的，采购代理机构将其失信行为上报政府采购主管部门，由主管部门按有关规定对其违法失信行为记录进行公开：</w:t>
            </w:r>
          </w:p>
          <w:p>
            <w:pPr>
              <w:snapToGrid w:val="0"/>
              <w:spacing w:line="300" w:lineRule="exact"/>
              <w:rPr>
                <w:rFonts w:ascii="宋体" w:hAnsi="宋体" w:cs="宋体"/>
                <w:kern w:val="0"/>
                <w:sz w:val="22"/>
              </w:rPr>
            </w:pPr>
            <w:r>
              <w:rPr>
                <w:rFonts w:hint="eastAsia" w:ascii="宋体" w:hAnsi="宋体" w:cs="宋体"/>
                <w:kern w:val="0"/>
                <w:sz w:val="22"/>
              </w:rPr>
              <w:t>（</w:t>
            </w:r>
            <w:r>
              <w:rPr>
                <w:rFonts w:ascii="宋体" w:hAnsi="宋体" w:cs="宋体"/>
                <w:kern w:val="0"/>
                <w:sz w:val="22"/>
              </w:rPr>
              <w:t>1）中标或者成交后，拒绝签订政府采购合同的；</w:t>
            </w:r>
          </w:p>
          <w:p>
            <w:pPr>
              <w:spacing w:line="300" w:lineRule="exact"/>
              <w:rPr>
                <w:rFonts w:ascii="宋体" w:hAnsi="宋体" w:cs="宋体"/>
                <w:kern w:val="0"/>
                <w:sz w:val="22"/>
              </w:rPr>
            </w:pPr>
            <w:r>
              <w:rPr>
                <w:rFonts w:hint="eastAsia" w:ascii="宋体" w:hAnsi="宋体" w:cs="宋体"/>
                <w:kern w:val="0"/>
                <w:sz w:val="22"/>
              </w:rPr>
              <w:t>（</w:t>
            </w:r>
            <w:r>
              <w:rPr>
                <w:rFonts w:ascii="宋体" w:hAnsi="宋体" w:cs="宋体"/>
                <w:kern w:val="0"/>
                <w:sz w:val="22"/>
              </w:rPr>
              <w:t>2）投标有效期内撤销投标文件的。</w:t>
            </w:r>
          </w:p>
        </w:tc>
      </w:tr>
      <w:tr>
        <w:tblPrEx>
          <w:tblCellMar>
            <w:top w:w="0" w:type="dxa"/>
            <w:left w:w="108" w:type="dxa"/>
            <w:bottom w:w="0" w:type="dxa"/>
            <w:right w:w="108" w:type="dxa"/>
          </w:tblCellMar>
        </w:tblPrEx>
        <w:trPr>
          <w:trHeight w:val="795" w:hRule="atLeast"/>
        </w:trPr>
        <w:tc>
          <w:tcPr>
            <w:tcW w:w="842"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s="宋体"/>
                <w:kern w:val="0"/>
                <w:sz w:val="22"/>
              </w:rPr>
            </w:pPr>
            <w:r>
              <w:rPr>
                <w:rFonts w:ascii="宋体" w:hAnsi="宋体" w:cs="宋体"/>
                <w:kern w:val="0"/>
                <w:sz w:val="22"/>
              </w:rPr>
              <w:t>17</w:t>
            </w:r>
          </w:p>
        </w:tc>
        <w:tc>
          <w:tcPr>
            <w:tcW w:w="1553"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s="宋体"/>
                <w:kern w:val="0"/>
                <w:sz w:val="22"/>
              </w:rPr>
            </w:pPr>
            <w:r>
              <w:rPr>
                <w:rFonts w:hint="eastAsia" w:ascii="宋体" w:hAnsi="宋体" w:cs="宋体"/>
                <w:kern w:val="0"/>
                <w:sz w:val="22"/>
              </w:rPr>
              <w:t>递交投标</w:t>
            </w:r>
          </w:p>
          <w:p>
            <w:pPr>
              <w:spacing w:line="300" w:lineRule="exact"/>
              <w:jc w:val="center"/>
              <w:rPr>
                <w:rFonts w:ascii="宋体" w:hAnsi="宋体" w:cs="宋体"/>
                <w:kern w:val="0"/>
                <w:sz w:val="22"/>
              </w:rPr>
            </w:pPr>
            <w:r>
              <w:rPr>
                <w:rFonts w:hint="eastAsia" w:ascii="宋体" w:hAnsi="宋体" w:cs="宋体"/>
                <w:kern w:val="0"/>
                <w:sz w:val="22"/>
              </w:rPr>
              <w:t>文件地点</w:t>
            </w:r>
          </w:p>
        </w:tc>
        <w:tc>
          <w:tcPr>
            <w:tcW w:w="7440" w:type="dxa"/>
            <w:tcBorders>
              <w:top w:val="single" w:color="auto" w:sz="4" w:space="0"/>
              <w:left w:val="single" w:color="auto" w:sz="4" w:space="0"/>
              <w:bottom w:val="single" w:color="auto" w:sz="4" w:space="0"/>
              <w:right w:val="single" w:color="auto" w:sz="4" w:space="0"/>
            </w:tcBorders>
            <w:vAlign w:val="center"/>
          </w:tcPr>
          <w:p>
            <w:pPr>
              <w:spacing w:line="300" w:lineRule="exact"/>
              <w:rPr>
                <w:rFonts w:ascii="宋体" w:hAnsi="宋体" w:cs="宋体"/>
                <w:kern w:val="0"/>
                <w:sz w:val="22"/>
              </w:rPr>
            </w:pPr>
            <w:r>
              <w:rPr>
                <w:rFonts w:hint="eastAsia" w:ascii="宋体" w:hAnsi="宋体" w:cs="宋体"/>
                <w:kern w:val="0"/>
                <w:sz w:val="22"/>
              </w:rPr>
              <w:t>地点：通过“乐采云平台（www.lecaiyun.com</w:t>
            </w:r>
            <w:r>
              <w:rPr>
                <w:rFonts w:ascii="宋体" w:hAnsi="宋体" w:cs="宋体"/>
                <w:kern w:val="0"/>
                <w:sz w:val="22"/>
              </w:rPr>
              <w:t>）”实行在线投标响应</w:t>
            </w:r>
          </w:p>
          <w:p>
            <w:pPr>
              <w:spacing w:line="300" w:lineRule="exact"/>
              <w:rPr>
                <w:rFonts w:ascii="宋体" w:hAnsi="宋体" w:cs="宋体"/>
                <w:kern w:val="0"/>
                <w:sz w:val="22"/>
              </w:rPr>
            </w:pPr>
            <w:r>
              <w:rPr>
                <w:rFonts w:hint="eastAsia" w:ascii="宋体" w:hAnsi="宋体" w:cs="宋体"/>
                <w:kern w:val="0"/>
                <w:sz w:val="22"/>
              </w:rPr>
              <w:t>时间：</w:t>
            </w:r>
            <w:r>
              <w:rPr>
                <w:rFonts w:ascii="宋体" w:hAnsi="宋体" w:cs="宋体"/>
                <w:bCs/>
                <w:kern w:val="0"/>
                <w:sz w:val="22"/>
              </w:rPr>
              <w:t>2024年</w:t>
            </w:r>
            <w:r>
              <w:rPr>
                <w:rFonts w:hint="eastAsia" w:ascii="宋体" w:hAnsi="宋体" w:cs="宋体"/>
                <w:bCs/>
                <w:kern w:val="0"/>
                <w:sz w:val="22"/>
                <w:lang w:val="en-US" w:eastAsia="zh-CN"/>
              </w:rPr>
              <w:t>11</w:t>
            </w:r>
            <w:r>
              <w:rPr>
                <w:rFonts w:hint="eastAsia" w:ascii="宋体" w:hAnsi="宋体" w:cs="宋体"/>
                <w:bCs/>
                <w:kern w:val="0"/>
                <w:sz w:val="22"/>
              </w:rPr>
              <w:t>月</w:t>
            </w:r>
            <w:r>
              <w:rPr>
                <w:rFonts w:hint="eastAsia" w:ascii="宋体" w:hAnsi="宋体" w:cs="宋体"/>
                <w:bCs/>
                <w:kern w:val="0"/>
                <w:sz w:val="22"/>
                <w:lang w:val="en-US" w:eastAsia="zh-CN"/>
              </w:rPr>
              <w:t>22</w:t>
            </w:r>
            <w:r>
              <w:rPr>
                <w:rFonts w:hint="eastAsia" w:ascii="宋体" w:hAnsi="宋体" w:cs="宋体"/>
                <w:bCs/>
                <w:kern w:val="0"/>
                <w:sz w:val="22"/>
              </w:rPr>
              <w:t>日</w:t>
            </w:r>
            <w:r>
              <w:rPr>
                <w:rFonts w:ascii="宋体" w:hAnsi="宋体" w:cs="宋体"/>
                <w:kern w:val="0"/>
                <w:sz w:val="22"/>
              </w:rPr>
              <w:t>09时30分</w:t>
            </w:r>
          </w:p>
        </w:tc>
      </w:tr>
      <w:tr>
        <w:tblPrEx>
          <w:tblCellMar>
            <w:top w:w="0" w:type="dxa"/>
            <w:left w:w="108" w:type="dxa"/>
            <w:bottom w:w="0" w:type="dxa"/>
            <w:right w:w="108" w:type="dxa"/>
          </w:tblCellMar>
        </w:tblPrEx>
        <w:trPr>
          <w:trHeight w:val="795" w:hRule="atLeast"/>
        </w:trPr>
        <w:tc>
          <w:tcPr>
            <w:tcW w:w="842"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s="宋体"/>
                <w:kern w:val="0"/>
                <w:sz w:val="22"/>
              </w:rPr>
            </w:pPr>
            <w:r>
              <w:rPr>
                <w:rFonts w:ascii="宋体" w:hAnsi="宋体" w:cs="宋体"/>
                <w:kern w:val="0"/>
                <w:sz w:val="22"/>
              </w:rPr>
              <w:t>18</w:t>
            </w:r>
          </w:p>
        </w:tc>
        <w:tc>
          <w:tcPr>
            <w:tcW w:w="1553"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s="宋体"/>
                <w:kern w:val="0"/>
                <w:sz w:val="22"/>
              </w:rPr>
            </w:pPr>
            <w:r>
              <w:rPr>
                <w:rFonts w:hint="eastAsia" w:ascii="宋体" w:hAnsi="宋体" w:cs="宋体"/>
                <w:kern w:val="0"/>
                <w:sz w:val="22"/>
              </w:rPr>
              <w:t>开标时间</w:t>
            </w:r>
          </w:p>
          <w:p>
            <w:pPr>
              <w:spacing w:line="300" w:lineRule="exact"/>
              <w:jc w:val="center"/>
              <w:rPr>
                <w:rFonts w:ascii="宋体" w:hAnsi="宋体" w:cs="宋体"/>
                <w:kern w:val="0"/>
                <w:sz w:val="22"/>
              </w:rPr>
            </w:pPr>
            <w:r>
              <w:rPr>
                <w:rFonts w:hint="eastAsia" w:ascii="宋体" w:hAnsi="宋体" w:cs="宋体"/>
                <w:kern w:val="0"/>
                <w:sz w:val="22"/>
              </w:rPr>
              <w:t>和地点</w:t>
            </w:r>
          </w:p>
        </w:tc>
        <w:tc>
          <w:tcPr>
            <w:tcW w:w="7440" w:type="dxa"/>
            <w:tcBorders>
              <w:top w:val="single" w:color="auto" w:sz="4" w:space="0"/>
              <w:left w:val="single" w:color="auto" w:sz="4" w:space="0"/>
              <w:bottom w:val="single" w:color="auto" w:sz="4" w:space="0"/>
              <w:right w:val="single" w:color="auto" w:sz="4" w:space="0"/>
            </w:tcBorders>
            <w:vAlign w:val="center"/>
          </w:tcPr>
          <w:p>
            <w:pPr>
              <w:spacing w:line="300" w:lineRule="exact"/>
              <w:rPr>
                <w:rFonts w:ascii="宋体" w:hAnsi="宋体" w:cs="宋体"/>
                <w:kern w:val="0"/>
                <w:sz w:val="22"/>
              </w:rPr>
            </w:pPr>
            <w:r>
              <w:rPr>
                <w:rFonts w:hint="eastAsia" w:ascii="宋体" w:hAnsi="宋体" w:cs="宋体"/>
                <w:kern w:val="0"/>
                <w:sz w:val="22"/>
              </w:rPr>
              <w:t>地点：通过“乐采云平台（www.lecaiyun.com</w:t>
            </w:r>
            <w:r>
              <w:rPr>
                <w:rFonts w:ascii="宋体" w:hAnsi="宋体" w:cs="宋体"/>
                <w:kern w:val="0"/>
                <w:sz w:val="22"/>
              </w:rPr>
              <w:t>）”实行在线投标响应</w:t>
            </w:r>
          </w:p>
          <w:p>
            <w:pPr>
              <w:spacing w:line="300" w:lineRule="exact"/>
              <w:rPr>
                <w:rFonts w:ascii="宋体" w:hAnsi="宋体" w:cs="宋体"/>
                <w:kern w:val="0"/>
                <w:sz w:val="22"/>
              </w:rPr>
            </w:pPr>
            <w:r>
              <w:rPr>
                <w:rFonts w:hint="eastAsia" w:ascii="宋体" w:hAnsi="宋体" w:cs="宋体"/>
                <w:kern w:val="0"/>
                <w:sz w:val="22"/>
              </w:rPr>
              <w:t>时间：</w:t>
            </w:r>
            <w:r>
              <w:rPr>
                <w:rFonts w:ascii="宋体" w:hAnsi="宋体" w:cs="宋体"/>
                <w:bCs/>
                <w:kern w:val="0"/>
                <w:sz w:val="22"/>
              </w:rPr>
              <w:t>2024年</w:t>
            </w:r>
            <w:r>
              <w:rPr>
                <w:rFonts w:hint="eastAsia" w:ascii="宋体" w:hAnsi="宋体" w:cs="宋体"/>
                <w:bCs/>
                <w:kern w:val="0"/>
                <w:sz w:val="22"/>
                <w:lang w:val="en-US" w:eastAsia="zh-CN"/>
              </w:rPr>
              <w:t>11</w:t>
            </w:r>
            <w:r>
              <w:rPr>
                <w:rFonts w:hint="eastAsia" w:ascii="宋体" w:hAnsi="宋体" w:cs="宋体"/>
                <w:bCs/>
                <w:kern w:val="0"/>
                <w:sz w:val="22"/>
              </w:rPr>
              <w:t>月</w:t>
            </w:r>
            <w:r>
              <w:rPr>
                <w:rFonts w:hint="eastAsia" w:ascii="宋体" w:hAnsi="宋体" w:cs="宋体"/>
                <w:bCs/>
                <w:kern w:val="0"/>
                <w:sz w:val="22"/>
                <w:lang w:val="en-US" w:eastAsia="zh-CN"/>
              </w:rPr>
              <w:t>22</w:t>
            </w:r>
            <w:r>
              <w:rPr>
                <w:rFonts w:hint="eastAsia" w:ascii="宋体" w:hAnsi="宋体" w:cs="宋体"/>
                <w:bCs/>
                <w:kern w:val="0"/>
                <w:sz w:val="22"/>
              </w:rPr>
              <w:t>日</w:t>
            </w:r>
            <w:r>
              <w:rPr>
                <w:rFonts w:ascii="宋体" w:hAnsi="宋体" w:cs="宋体"/>
                <w:kern w:val="0"/>
                <w:sz w:val="22"/>
              </w:rPr>
              <w:t>09时30分</w:t>
            </w:r>
          </w:p>
        </w:tc>
      </w:tr>
      <w:tr>
        <w:tblPrEx>
          <w:tblCellMar>
            <w:top w:w="0" w:type="dxa"/>
            <w:left w:w="108" w:type="dxa"/>
            <w:bottom w:w="0" w:type="dxa"/>
            <w:right w:w="108" w:type="dxa"/>
          </w:tblCellMar>
        </w:tblPrEx>
        <w:trPr>
          <w:trHeight w:val="795" w:hRule="atLeast"/>
        </w:trPr>
        <w:tc>
          <w:tcPr>
            <w:tcW w:w="842"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s="宋体"/>
                <w:kern w:val="0"/>
                <w:sz w:val="22"/>
              </w:rPr>
            </w:pPr>
            <w:r>
              <w:rPr>
                <w:rFonts w:ascii="宋体" w:hAnsi="宋体" w:cs="宋体"/>
                <w:kern w:val="0"/>
                <w:sz w:val="22"/>
              </w:rPr>
              <w:t>19</w:t>
            </w:r>
          </w:p>
        </w:tc>
        <w:tc>
          <w:tcPr>
            <w:tcW w:w="1553"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s="宋体"/>
                <w:kern w:val="0"/>
                <w:sz w:val="22"/>
              </w:rPr>
            </w:pPr>
            <w:r>
              <w:rPr>
                <w:rFonts w:hint="eastAsia" w:ascii="宋体" w:hAnsi="宋体" w:cs="宋体"/>
                <w:kern w:val="0"/>
                <w:sz w:val="22"/>
              </w:rPr>
              <w:t>开评标程序</w:t>
            </w:r>
          </w:p>
        </w:tc>
        <w:tc>
          <w:tcPr>
            <w:tcW w:w="7440" w:type="dxa"/>
            <w:tcBorders>
              <w:top w:val="single" w:color="auto" w:sz="4" w:space="0"/>
              <w:left w:val="single" w:color="auto" w:sz="4" w:space="0"/>
              <w:bottom w:val="single" w:color="auto" w:sz="4" w:space="0"/>
              <w:right w:val="single" w:color="auto" w:sz="4" w:space="0"/>
            </w:tcBorders>
            <w:vAlign w:val="center"/>
          </w:tcPr>
          <w:p>
            <w:pPr>
              <w:spacing w:line="300" w:lineRule="exact"/>
              <w:rPr>
                <w:rFonts w:ascii="宋体" w:hAnsi="宋体" w:cs="宋体"/>
                <w:kern w:val="0"/>
                <w:sz w:val="22"/>
              </w:rPr>
            </w:pPr>
            <w:r>
              <w:rPr>
                <w:rFonts w:hint="eastAsia" w:ascii="宋体" w:hAnsi="宋体" w:cs="宋体"/>
                <w:kern w:val="0"/>
                <w:sz w:val="22"/>
              </w:rPr>
              <w:t>开启</w:t>
            </w:r>
            <w:r>
              <w:rPr>
                <w:rFonts w:hint="eastAsia" w:ascii="宋体" w:hAnsi="宋体" w:cs="宋体"/>
                <w:sz w:val="22"/>
              </w:rPr>
              <w:t>资格文件和商务技术文件</w:t>
            </w:r>
            <w:r>
              <w:rPr>
                <w:rFonts w:ascii="宋体" w:hAnsi="宋体" w:cs="宋体"/>
                <w:sz w:val="22"/>
              </w:rPr>
              <w:sym w:font="Wingdings" w:char="F0E8"/>
            </w:r>
            <w:r>
              <w:rPr>
                <w:rFonts w:hint="eastAsia" w:ascii="宋体" w:hAnsi="宋体" w:cs="宋体"/>
                <w:sz w:val="22"/>
              </w:rPr>
              <w:t>资格审查</w:t>
            </w:r>
            <w:r>
              <w:rPr>
                <w:rFonts w:ascii="宋体" w:hAnsi="宋体" w:cs="宋体"/>
                <w:sz w:val="22"/>
              </w:rPr>
              <w:sym w:font="Wingdings" w:char="F0E8"/>
            </w:r>
            <w:r>
              <w:rPr>
                <w:rFonts w:hint="eastAsia" w:ascii="宋体" w:hAnsi="宋体" w:cs="宋体"/>
                <w:sz w:val="22"/>
              </w:rPr>
              <w:t>符合性审查</w:t>
            </w:r>
            <w:r>
              <w:rPr>
                <w:rFonts w:ascii="宋体" w:hAnsi="宋体" w:cs="宋体"/>
                <w:sz w:val="22"/>
              </w:rPr>
              <w:sym w:font="Wingdings" w:char="F0E8"/>
            </w:r>
            <w:r>
              <w:rPr>
                <w:rFonts w:hint="eastAsia" w:ascii="宋体" w:hAnsi="宋体" w:cs="宋体"/>
                <w:sz w:val="22"/>
              </w:rPr>
              <w:t>商务技术文件评审</w:t>
            </w:r>
            <w:r>
              <w:rPr>
                <w:rFonts w:ascii="宋体" w:hAnsi="宋体" w:cs="宋体"/>
                <w:sz w:val="22"/>
              </w:rPr>
              <w:sym w:font="Wingdings" w:char="F0E8"/>
            </w:r>
            <w:r>
              <w:rPr>
                <w:rFonts w:hint="eastAsia" w:ascii="宋体" w:hAnsi="宋体" w:cs="宋体"/>
                <w:sz w:val="22"/>
              </w:rPr>
              <w:t>开启报价文件</w:t>
            </w:r>
            <w:r>
              <w:rPr>
                <w:rFonts w:ascii="宋体" w:hAnsi="宋体" w:cs="宋体"/>
                <w:sz w:val="22"/>
              </w:rPr>
              <w:sym w:font="Wingdings" w:char="F0E8"/>
            </w:r>
            <w:r>
              <w:rPr>
                <w:rFonts w:hint="eastAsia" w:ascii="宋体" w:hAnsi="宋体" w:cs="宋体"/>
                <w:sz w:val="22"/>
              </w:rPr>
              <w:t>报价评审</w:t>
            </w:r>
            <w:r>
              <w:rPr>
                <w:rFonts w:ascii="宋体" w:hAnsi="宋体" w:cs="宋体"/>
                <w:sz w:val="22"/>
              </w:rPr>
              <w:sym w:font="Wingdings" w:char="F0E8"/>
            </w:r>
            <w:r>
              <w:rPr>
                <w:rFonts w:hint="eastAsia" w:ascii="宋体" w:hAnsi="宋体" w:cs="宋体"/>
                <w:sz w:val="22"/>
              </w:rPr>
              <w:t>提交评审报告</w:t>
            </w:r>
          </w:p>
        </w:tc>
      </w:tr>
      <w:tr>
        <w:tblPrEx>
          <w:tblCellMar>
            <w:top w:w="0" w:type="dxa"/>
            <w:left w:w="108" w:type="dxa"/>
            <w:bottom w:w="0" w:type="dxa"/>
            <w:right w:w="108" w:type="dxa"/>
          </w:tblCellMar>
        </w:tblPrEx>
        <w:trPr>
          <w:trHeight w:val="784" w:hRule="atLeast"/>
        </w:trPr>
        <w:tc>
          <w:tcPr>
            <w:tcW w:w="842"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s="宋体"/>
                <w:kern w:val="0"/>
                <w:sz w:val="22"/>
              </w:rPr>
            </w:pPr>
            <w:r>
              <w:rPr>
                <w:rFonts w:ascii="宋体" w:hAnsi="宋体" w:cs="宋体"/>
                <w:kern w:val="0"/>
                <w:sz w:val="22"/>
              </w:rPr>
              <w:t>20</w:t>
            </w:r>
          </w:p>
        </w:tc>
        <w:tc>
          <w:tcPr>
            <w:tcW w:w="1553"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s="宋体"/>
                <w:kern w:val="0"/>
                <w:sz w:val="22"/>
              </w:rPr>
            </w:pPr>
            <w:r>
              <w:rPr>
                <w:rFonts w:hint="eastAsia" w:ascii="宋体" w:hAnsi="宋体" w:cs="宋体"/>
                <w:kern w:val="0"/>
                <w:sz w:val="22"/>
              </w:rPr>
              <w:t>评标委员会</w:t>
            </w:r>
          </w:p>
          <w:p>
            <w:pPr>
              <w:spacing w:line="300" w:lineRule="exact"/>
              <w:jc w:val="center"/>
              <w:rPr>
                <w:rFonts w:ascii="宋体" w:hAnsi="宋体" w:cs="宋体"/>
                <w:kern w:val="0"/>
                <w:sz w:val="22"/>
              </w:rPr>
            </w:pPr>
            <w:r>
              <w:rPr>
                <w:rFonts w:hint="eastAsia" w:ascii="宋体" w:hAnsi="宋体" w:cs="宋体"/>
                <w:kern w:val="0"/>
                <w:sz w:val="22"/>
              </w:rPr>
              <w:t>的组建</w:t>
            </w:r>
          </w:p>
        </w:tc>
        <w:tc>
          <w:tcPr>
            <w:tcW w:w="7440" w:type="dxa"/>
            <w:tcBorders>
              <w:top w:val="single" w:color="auto" w:sz="4" w:space="0"/>
              <w:left w:val="single" w:color="auto" w:sz="4" w:space="0"/>
              <w:bottom w:val="single" w:color="auto" w:sz="4" w:space="0"/>
              <w:right w:val="single" w:color="auto" w:sz="4" w:space="0"/>
            </w:tcBorders>
            <w:vAlign w:val="center"/>
          </w:tcPr>
          <w:p>
            <w:pPr>
              <w:spacing w:line="300" w:lineRule="exact"/>
              <w:jc w:val="left"/>
              <w:rPr>
                <w:rFonts w:ascii="宋体" w:hAnsi="宋体" w:cs="宋体"/>
                <w:kern w:val="0"/>
                <w:sz w:val="22"/>
              </w:rPr>
            </w:pPr>
            <w:r>
              <w:rPr>
                <w:rFonts w:hint="eastAsia" w:ascii="宋体" w:hAnsi="宋体" w:cs="宋体"/>
                <w:kern w:val="0"/>
                <w:sz w:val="22"/>
              </w:rPr>
              <w:t>评标委员会成员由采购人代表和有关技术、经济等方面的专家组成，有关技术、经济等方面的专家成员人数为</w:t>
            </w:r>
            <w:r>
              <w:rPr>
                <w:rFonts w:ascii="宋体" w:hAnsi="宋体" w:cs="宋体"/>
                <w:kern w:val="0"/>
                <w:sz w:val="22"/>
              </w:rPr>
              <w:t>7人或7人以上单数。</w:t>
            </w:r>
          </w:p>
        </w:tc>
      </w:tr>
      <w:tr>
        <w:tblPrEx>
          <w:tblCellMar>
            <w:top w:w="0" w:type="dxa"/>
            <w:left w:w="108" w:type="dxa"/>
            <w:bottom w:w="0" w:type="dxa"/>
            <w:right w:w="108" w:type="dxa"/>
          </w:tblCellMar>
        </w:tblPrEx>
        <w:trPr>
          <w:trHeight w:val="784" w:hRule="atLeast"/>
        </w:trPr>
        <w:tc>
          <w:tcPr>
            <w:tcW w:w="842"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s="宋体"/>
                <w:kern w:val="0"/>
                <w:sz w:val="22"/>
              </w:rPr>
            </w:pPr>
            <w:r>
              <w:rPr>
                <w:rFonts w:ascii="宋体" w:hAnsi="宋体" w:cs="宋体"/>
                <w:kern w:val="0"/>
                <w:sz w:val="22"/>
              </w:rPr>
              <w:t>21</w:t>
            </w:r>
          </w:p>
        </w:tc>
        <w:tc>
          <w:tcPr>
            <w:tcW w:w="1553"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s="宋体"/>
                <w:kern w:val="0"/>
                <w:sz w:val="22"/>
              </w:rPr>
            </w:pPr>
            <w:r>
              <w:rPr>
                <w:rFonts w:hint="eastAsia" w:ascii="宋体" w:hAnsi="宋体" w:cs="宋体"/>
                <w:kern w:val="0"/>
                <w:sz w:val="22"/>
              </w:rPr>
              <w:t>履约保证金</w:t>
            </w:r>
          </w:p>
        </w:tc>
        <w:tc>
          <w:tcPr>
            <w:tcW w:w="7440" w:type="dxa"/>
            <w:tcBorders>
              <w:top w:val="single" w:color="auto" w:sz="4" w:space="0"/>
              <w:left w:val="single" w:color="auto" w:sz="4" w:space="0"/>
              <w:bottom w:val="single" w:color="auto" w:sz="4" w:space="0"/>
              <w:right w:val="single" w:color="auto" w:sz="4" w:space="0"/>
            </w:tcBorders>
            <w:vAlign w:val="center"/>
          </w:tcPr>
          <w:p>
            <w:pPr>
              <w:spacing w:line="300" w:lineRule="exact"/>
              <w:jc w:val="left"/>
              <w:rPr>
                <w:rFonts w:ascii="宋体" w:hAnsi="宋体" w:cs="宋体"/>
                <w:kern w:val="0"/>
                <w:sz w:val="22"/>
              </w:rPr>
            </w:pPr>
            <w:r>
              <w:rPr>
                <w:rFonts w:hint="eastAsia" w:ascii="宋体" w:hAnsi="宋体" w:cs="宋体"/>
                <w:kern w:val="0"/>
                <w:sz w:val="22"/>
              </w:rPr>
              <w:t>履约保证金：</w:t>
            </w:r>
            <w:r>
              <w:rPr>
                <w:rFonts w:hint="eastAsia" w:ascii="宋体" w:hAnsi="宋体" w:cs="宋体"/>
                <w:kern w:val="0"/>
                <w:sz w:val="22"/>
                <w:u w:val="single"/>
              </w:rPr>
              <w:t>人民币2</w:t>
            </w:r>
            <w:r>
              <w:rPr>
                <w:rFonts w:ascii="宋体" w:hAnsi="宋体" w:cs="宋体"/>
                <w:kern w:val="0"/>
                <w:sz w:val="22"/>
                <w:u w:val="single"/>
              </w:rPr>
              <w:t>00万元</w:t>
            </w:r>
            <w:r>
              <w:rPr>
                <w:rFonts w:hint="eastAsia" w:ascii="宋体" w:hAnsi="宋体" w:cs="宋体"/>
                <w:kern w:val="0"/>
                <w:sz w:val="22"/>
              </w:rPr>
              <w:t>，采用转账或保函或保险的形式，在合同签订后</w:t>
            </w:r>
            <w:r>
              <w:rPr>
                <w:rFonts w:ascii="宋体" w:hAnsi="宋体" w:cs="宋体"/>
                <w:kern w:val="0"/>
                <w:sz w:val="22"/>
              </w:rPr>
              <w:t>7日内向采购人提供。</w:t>
            </w:r>
          </w:p>
        </w:tc>
      </w:tr>
      <w:tr>
        <w:tblPrEx>
          <w:tblCellMar>
            <w:top w:w="0" w:type="dxa"/>
            <w:left w:w="108" w:type="dxa"/>
            <w:bottom w:w="0" w:type="dxa"/>
            <w:right w:w="108" w:type="dxa"/>
          </w:tblCellMar>
        </w:tblPrEx>
        <w:trPr>
          <w:trHeight w:val="3396" w:hRule="atLeast"/>
        </w:trPr>
        <w:tc>
          <w:tcPr>
            <w:tcW w:w="842"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s="宋体"/>
                <w:kern w:val="0"/>
                <w:sz w:val="22"/>
              </w:rPr>
            </w:pPr>
            <w:r>
              <w:rPr>
                <w:rFonts w:ascii="宋体" w:hAnsi="宋体" w:cs="宋体"/>
                <w:kern w:val="0"/>
                <w:sz w:val="22"/>
              </w:rPr>
              <w:t>22</w:t>
            </w:r>
          </w:p>
        </w:tc>
        <w:tc>
          <w:tcPr>
            <w:tcW w:w="1553" w:type="dxa"/>
            <w:tcBorders>
              <w:top w:val="single" w:color="auto" w:sz="4" w:space="0"/>
              <w:left w:val="single" w:color="auto" w:sz="4" w:space="0"/>
              <w:bottom w:val="single" w:color="auto" w:sz="4" w:space="0"/>
              <w:right w:val="single" w:color="auto" w:sz="4" w:space="0"/>
            </w:tcBorders>
            <w:vAlign w:val="center"/>
          </w:tcPr>
          <w:p>
            <w:pPr>
              <w:spacing w:line="300" w:lineRule="exact"/>
              <w:rPr>
                <w:rFonts w:ascii="宋体" w:hAnsi="宋体" w:cs="宋体"/>
                <w:kern w:val="0"/>
                <w:sz w:val="22"/>
              </w:rPr>
            </w:pPr>
            <w:r>
              <w:rPr>
                <w:rFonts w:hint="eastAsia" w:ascii="宋体" w:hAnsi="宋体" w:cs="宋体"/>
                <w:kern w:val="0"/>
                <w:sz w:val="22"/>
              </w:rPr>
              <w:t>供应商信用信息查询</w:t>
            </w:r>
          </w:p>
        </w:tc>
        <w:tc>
          <w:tcPr>
            <w:tcW w:w="7440" w:type="dxa"/>
            <w:tcBorders>
              <w:top w:val="single" w:color="auto" w:sz="4" w:space="0"/>
              <w:left w:val="single" w:color="auto" w:sz="4" w:space="0"/>
              <w:bottom w:val="single" w:color="auto" w:sz="4" w:space="0"/>
              <w:right w:val="single" w:color="auto" w:sz="4" w:space="0"/>
            </w:tcBorders>
            <w:vAlign w:val="center"/>
          </w:tcPr>
          <w:p>
            <w:pPr>
              <w:spacing w:line="300" w:lineRule="exact"/>
              <w:rPr>
                <w:rFonts w:ascii="宋体" w:hAnsi="宋体" w:cs="宋体"/>
                <w:kern w:val="0"/>
                <w:sz w:val="22"/>
              </w:rPr>
            </w:pPr>
            <w:r>
              <w:rPr>
                <w:rFonts w:hint="eastAsia" w:ascii="宋体" w:hAnsi="宋体" w:cs="宋体"/>
                <w:kern w:val="0"/>
                <w:sz w:val="22"/>
              </w:rPr>
              <w:t>根据财库</w:t>
            </w:r>
            <w:r>
              <w:rPr>
                <w:rFonts w:ascii="宋体" w:hAnsi="宋体" w:cs="宋体"/>
                <w:kern w:val="0"/>
                <w:sz w:val="22"/>
              </w:rPr>
              <w:t>[2016]125号《关于在政府采购活动中查询及使用信用记录有关问题的通知》要求，采购代理机构会对供应商信用记录进行查询并甄别。</w:t>
            </w:r>
          </w:p>
          <w:p>
            <w:pPr>
              <w:spacing w:line="300" w:lineRule="exact"/>
              <w:rPr>
                <w:rFonts w:ascii="宋体" w:hAnsi="宋体" w:cs="宋体"/>
                <w:kern w:val="0"/>
                <w:sz w:val="22"/>
              </w:rPr>
            </w:pPr>
            <w:r>
              <w:rPr>
                <w:rFonts w:ascii="宋体" w:hAnsi="宋体" w:cs="宋体"/>
                <w:kern w:val="0"/>
                <w:sz w:val="22"/>
              </w:rPr>
              <w:t>1.信用信息查询的截止时点：响应文件递交截止时间；</w:t>
            </w:r>
          </w:p>
          <w:p>
            <w:pPr>
              <w:spacing w:line="300" w:lineRule="exact"/>
              <w:rPr>
                <w:rFonts w:ascii="宋体" w:hAnsi="宋体" w:cs="宋体"/>
                <w:kern w:val="0"/>
                <w:sz w:val="22"/>
              </w:rPr>
            </w:pPr>
            <w:r>
              <w:rPr>
                <w:rFonts w:ascii="宋体" w:hAnsi="宋体" w:cs="宋体"/>
                <w:kern w:val="0"/>
                <w:sz w:val="22"/>
              </w:rPr>
              <w:t>2.查询渠道：“信用中国”（</w:t>
            </w:r>
            <w:r>
              <w:fldChar w:fldCharType="begin"/>
            </w:r>
            <w:r>
              <w:instrText xml:space="preserve"> HYPERLINK "http://www.creditchina.gov.cn/" </w:instrText>
            </w:r>
            <w:r>
              <w:fldChar w:fldCharType="separate"/>
            </w:r>
            <w:r>
              <w:rPr>
                <w:rFonts w:ascii="宋体" w:hAnsi="宋体" w:cs="宋体"/>
                <w:kern w:val="0"/>
                <w:sz w:val="22"/>
              </w:rPr>
              <w:t>www.creditchina.gov.cn</w:t>
            </w:r>
            <w:r>
              <w:rPr>
                <w:rFonts w:ascii="宋体" w:hAnsi="宋体" w:cs="宋体"/>
                <w:kern w:val="0"/>
                <w:sz w:val="22"/>
              </w:rPr>
              <w:fldChar w:fldCharType="end"/>
            </w:r>
            <w:r>
              <w:rPr>
                <w:rFonts w:hint="eastAsia" w:ascii="宋体" w:hAnsi="宋体" w:cs="宋体"/>
                <w:kern w:val="0"/>
                <w:sz w:val="22"/>
              </w:rPr>
              <w:t>）、“中国政府采购网”（</w:t>
            </w:r>
            <w:r>
              <w:fldChar w:fldCharType="begin"/>
            </w:r>
            <w:r>
              <w:instrText xml:space="preserve"> HYPERLINK "http://www.ccgp.gov.cn/" </w:instrText>
            </w:r>
            <w:r>
              <w:fldChar w:fldCharType="separate"/>
            </w:r>
            <w:r>
              <w:rPr>
                <w:rFonts w:ascii="宋体" w:hAnsi="宋体" w:cs="宋体"/>
                <w:kern w:val="0"/>
                <w:sz w:val="22"/>
              </w:rPr>
              <w:t>www.ccgp.gov.cn</w:t>
            </w:r>
            <w:r>
              <w:rPr>
                <w:rFonts w:ascii="宋体" w:hAnsi="宋体" w:cs="宋体"/>
                <w:kern w:val="0"/>
                <w:sz w:val="22"/>
              </w:rPr>
              <w:fldChar w:fldCharType="end"/>
            </w:r>
            <w:r>
              <w:rPr>
                <w:rFonts w:hint="eastAsia" w:ascii="宋体" w:hAnsi="宋体" w:cs="宋体"/>
                <w:kern w:val="0"/>
                <w:sz w:val="22"/>
              </w:rPr>
              <w:t>）；</w:t>
            </w:r>
          </w:p>
          <w:p>
            <w:pPr>
              <w:spacing w:line="300" w:lineRule="exact"/>
              <w:rPr>
                <w:rFonts w:ascii="宋体" w:hAnsi="宋体" w:cs="宋体"/>
                <w:kern w:val="0"/>
                <w:sz w:val="22"/>
              </w:rPr>
            </w:pPr>
            <w:r>
              <w:rPr>
                <w:rFonts w:ascii="宋体" w:hAnsi="宋体" w:cs="宋体"/>
                <w:kern w:val="0"/>
                <w:sz w:val="22"/>
              </w:rPr>
              <w:t>3.信用信息的使用规则：供应商存在不良信用记录的，其投标将被作为无效投标被拒绝；</w:t>
            </w:r>
          </w:p>
          <w:p>
            <w:pPr>
              <w:spacing w:line="300" w:lineRule="exact"/>
              <w:rPr>
                <w:rFonts w:ascii="宋体" w:hAnsi="宋体" w:cs="宋体"/>
                <w:kern w:val="0"/>
                <w:sz w:val="22"/>
              </w:rPr>
            </w:pPr>
            <w:r>
              <w:rPr>
                <w:rFonts w:ascii="宋体" w:hAnsi="宋体" w:cs="宋体"/>
                <w:kern w:val="0"/>
                <w:sz w:val="22"/>
              </w:rPr>
              <w:t xml:space="preserve">4.不良信用记录指：“信用中国”被列入失信被执行人和重大税收违法案件当事人名单或存在 </w:t>
            </w:r>
            <w:r>
              <w:rPr>
                <w:rFonts w:hint="eastAsia" w:ascii="宋体" w:hAnsi="宋体" w:cs="宋体"/>
                <w:kern w:val="0"/>
                <w:sz w:val="22"/>
              </w:rPr>
              <w:t>《中华人民共和国政府采购法实施条例》第十九条规定；中国政府采购网被列入政府采购严重违法失信行为记录名单。</w:t>
            </w:r>
          </w:p>
        </w:tc>
      </w:tr>
      <w:tr>
        <w:tblPrEx>
          <w:tblCellMar>
            <w:top w:w="0" w:type="dxa"/>
            <w:left w:w="108" w:type="dxa"/>
            <w:bottom w:w="0" w:type="dxa"/>
            <w:right w:w="108" w:type="dxa"/>
          </w:tblCellMar>
        </w:tblPrEx>
        <w:trPr>
          <w:trHeight w:val="794" w:hRule="exact"/>
        </w:trPr>
        <w:tc>
          <w:tcPr>
            <w:tcW w:w="842"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s="宋体"/>
                <w:kern w:val="0"/>
                <w:sz w:val="22"/>
              </w:rPr>
            </w:pPr>
            <w:r>
              <w:rPr>
                <w:rFonts w:ascii="宋体" w:hAnsi="宋体" w:cs="宋体"/>
                <w:kern w:val="0"/>
                <w:sz w:val="22"/>
              </w:rPr>
              <w:t>23</w:t>
            </w:r>
          </w:p>
        </w:tc>
        <w:tc>
          <w:tcPr>
            <w:tcW w:w="1553"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s="宋体"/>
                <w:kern w:val="0"/>
                <w:sz w:val="22"/>
              </w:rPr>
            </w:pPr>
            <w:r>
              <w:rPr>
                <w:rFonts w:hint="eastAsia" w:ascii="宋体" w:hAnsi="宋体" w:cs="宋体"/>
                <w:kern w:val="0"/>
                <w:sz w:val="22"/>
              </w:rPr>
              <w:t>原件</w:t>
            </w:r>
          </w:p>
        </w:tc>
        <w:tc>
          <w:tcPr>
            <w:tcW w:w="7440" w:type="dxa"/>
            <w:tcBorders>
              <w:top w:val="single" w:color="auto" w:sz="4" w:space="0"/>
              <w:left w:val="single" w:color="auto" w:sz="4" w:space="0"/>
              <w:bottom w:val="single" w:color="auto" w:sz="4" w:space="0"/>
              <w:right w:val="single" w:color="auto" w:sz="4" w:space="0"/>
            </w:tcBorders>
            <w:vAlign w:val="center"/>
          </w:tcPr>
          <w:p>
            <w:pPr>
              <w:spacing w:line="300" w:lineRule="exact"/>
              <w:rPr>
                <w:rFonts w:ascii="宋体" w:hAnsi="宋体" w:cs="宋体"/>
                <w:kern w:val="0"/>
                <w:sz w:val="22"/>
              </w:rPr>
            </w:pPr>
            <w:r>
              <w:rPr>
                <w:rFonts w:ascii="宋体" w:hAnsi="宋体" w:cs="宋体"/>
                <w:b/>
                <w:snapToGrid w:val="0"/>
                <w:sz w:val="22"/>
              </w:rPr>
              <w:sym w:font="Wingdings" w:char="F0FE"/>
            </w:r>
            <w:r>
              <w:rPr>
                <w:rFonts w:hint="eastAsia" w:ascii="宋体" w:hAnsi="宋体" w:cs="宋体"/>
                <w:kern w:val="0"/>
                <w:sz w:val="22"/>
              </w:rPr>
              <w:t>不要求</w:t>
            </w:r>
          </w:p>
        </w:tc>
      </w:tr>
      <w:tr>
        <w:tblPrEx>
          <w:tblCellMar>
            <w:top w:w="0" w:type="dxa"/>
            <w:left w:w="108" w:type="dxa"/>
            <w:bottom w:w="0" w:type="dxa"/>
            <w:right w:w="108" w:type="dxa"/>
          </w:tblCellMar>
        </w:tblPrEx>
        <w:trPr>
          <w:trHeight w:val="660" w:hRule="atLeast"/>
        </w:trPr>
        <w:tc>
          <w:tcPr>
            <w:tcW w:w="842"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s="宋体"/>
                <w:kern w:val="0"/>
                <w:sz w:val="22"/>
              </w:rPr>
            </w:pPr>
            <w:r>
              <w:rPr>
                <w:rFonts w:ascii="宋体" w:hAnsi="宋体" w:cs="宋体"/>
                <w:kern w:val="0"/>
                <w:sz w:val="22"/>
              </w:rPr>
              <w:t>24</w:t>
            </w:r>
          </w:p>
        </w:tc>
        <w:tc>
          <w:tcPr>
            <w:tcW w:w="1553"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s="宋体"/>
                <w:kern w:val="0"/>
                <w:sz w:val="22"/>
              </w:rPr>
            </w:pPr>
            <w:r>
              <w:rPr>
                <w:rFonts w:hint="eastAsia" w:ascii="宋体" w:hAnsi="宋体" w:cs="宋体"/>
                <w:kern w:val="0"/>
                <w:sz w:val="22"/>
              </w:rPr>
              <w:t>注意事项</w:t>
            </w:r>
          </w:p>
        </w:tc>
        <w:tc>
          <w:tcPr>
            <w:tcW w:w="7440" w:type="dxa"/>
            <w:tcBorders>
              <w:top w:val="single" w:color="auto" w:sz="4" w:space="0"/>
              <w:left w:val="single" w:color="auto" w:sz="4" w:space="0"/>
              <w:bottom w:val="single" w:color="auto" w:sz="4" w:space="0"/>
              <w:right w:val="single" w:color="auto" w:sz="4" w:space="0"/>
            </w:tcBorders>
            <w:vAlign w:val="center"/>
          </w:tcPr>
          <w:p>
            <w:pPr>
              <w:spacing w:line="300" w:lineRule="exact"/>
              <w:rPr>
                <w:rFonts w:ascii="宋体" w:hAnsi="宋体" w:cs="宋体"/>
                <w:kern w:val="0"/>
                <w:sz w:val="22"/>
              </w:rPr>
            </w:pPr>
            <w:r>
              <w:rPr>
                <w:rFonts w:ascii="宋体" w:hAnsi="宋体" w:cs="宋体"/>
                <w:kern w:val="0"/>
                <w:sz w:val="22"/>
              </w:rPr>
              <w:t>1）本采购文件中如有前后不一致的，一律以本“投标供应商须知前附表”为准；</w:t>
            </w:r>
          </w:p>
          <w:p>
            <w:pPr>
              <w:spacing w:line="300" w:lineRule="exact"/>
              <w:rPr>
                <w:rFonts w:ascii="宋体" w:hAnsi="宋体" w:cs="宋体"/>
                <w:kern w:val="0"/>
                <w:sz w:val="22"/>
              </w:rPr>
            </w:pPr>
            <w:r>
              <w:rPr>
                <w:rFonts w:ascii="宋体" w:hAnsi="宋体" w:cs="宋体"/>
                <w:kern w:val="0"/>
                <w:sz w:val="22"/>
              </w:rPr>
              <w:t>2）本采购文件涉及的时间为“北京时间”；</w:t>
            </w:r>
          </w:p>
          <w:p>
            <w:pPr>
              <w:spacing w:line="300" w:lineRule="exact"/>
              <w:rPr>
                <w:rFonts w:ascii="宋体" w:hAnsi="宋体" w:cs="宋体"/>
                <w:kern w:val="0"/>
                <w:sz w:val="22"/>
              </w:rPr>
            </w:pPr>
            <w:r>
              <w:rPr>
                <w:rFonts w:ascii="宋体" w:hAnsi="宋体" w:cs="宋体"/>
                <w:kern w:val="0"/>
                <w:sz w:val="22"/>
              </w:rPr>
              <w:t>3）本采购文件涉及的货币为“人民币”；</w:t>
            </w:r>
          </w:p>
          <w:p>
            <w:pPr>
              <w:spacing w:line="300" w:lineRule="exact"/>
              <w:rPr>
                <w:rFonts w:ascii="宋体" w:hAnsi="宋体" w:cs="宋体"/>
                <w:kern w:val="0"/>
                <w:sz w:val="22"/>
              </w:rPr>
            </w:pPr>
            <w:r>
              <w:rPr>
                <w:rFonts w:ascii="宋体" w:hAnsi="宋体" w:cs="宋体"/>
                <w:kern w:val="0"/>
                <w:sz w:val="22"/>
              </w:rPr>
              <w:t>4）监督管理部门：</w:t>
            </w:r>
            <w:r>
              <w:rPr>
                <w:rFonts w:hint="eastAsia" w:ascii="宋体" w:hAnsi="宋体" w:cs="宋体"/>
                <w:sz w:val="22"/>
              </w:rPr>
              <w:t>温州市瓯江口开发建设投资集团有限公司</w:t>
            </w:r>
            <w:r>
              <w:rPr>
                <w:rFonts w:hint="eastAsia" w:ascii="宋体" w:hAnsi="宋体" w:cs="宋体"/>
                <w:kern w:val="0"/>
                <w:sz w:val="22"/>
              </w:rPr>
              <w:t>监察监事室</w:t>
            </w:r>
          </w:p>
          <w:p>
            <w:pPr>
              <w:spacing w:line="300" w:lineRule="exact"/>
              <w:rPr>
                <w:rFonts w:ascii="宋体" w:hAnsi="宋体" w:cs="宋体"/>
                <w:kern w:val="0"/>
                <w:sz w:val="22"/>
              </w:rPr>
            </w:pPr>
            <w:r>
              <w:rPr>
                <w:rFonts w:hint="eastAsia" w:ascii="宋体" w:hAnsi="宋体" w:cs="宋体"/>
                <w:kern w:val="0"/>
                <w:sz w:val="22"/>
              </w:rPr>
              <w:t>电话：</w:t>
            </w:r>
            <w:r>
              <w:rPr>
                <w:rFonts w:ascii="宋体" w:hAnsi="宋体" w:cs="宋体"/>
                <w:kern w:val="0"/>
                <w:sz w:val="22"/>
              </w:rPr>
              <w:t>0577-55896510。</w:t>
            </w:r>
          </w:p>
          <w:p>
            <w:pPr>
              <w:pStyle w:val="2"/>
              <w:ind w:firstLine="412"/>
            </w:pPr>
            <w:r>
              <w:rPr>
                <w:rFonts w:hint="eastAsia"/>
                <w:kern w:val="0"/>
              </w:rPr>
              <w:t>5）中标供应商因非不可抗力原因放弃中标，或者存在以他人名义投标、弄虚作假等影响中标结果的行为，导致采购人须从其他中标候选人重新确定中标供应商或重新组织招标的，采购人有权不予退还投标保证金（如有），中标供应商还应对采购人承担超出保证金部分的损失赔偿责任，采购人的损失包括但不限于因此实际支付的招标费用、中标差价金额（如有）、延误期间项目成本资金的利息损失、向投标人追索产生的诉讼费等所有直接和间接损失。</w:t>
            </w:r>
          </w:p>
        </w:tc>
      </w:tr>
    </w:tbl>
    <w:p>
      <w:pPr>
        <w:pStyle w:val="22"/>
        <w:snapToGrid w:val="0"/>
        <w:spacing w:line="440" w:lineRule="atLeast"/>
        <w:ind w:left="421" w:hanging="421" w:hangingChars="131"/>
        <w:rPr>
          <w:rFonts w:ascii="宋体" w:hAnsi="宋体"/>
          <w:b/>
          <w:bCs/>
        </w:rPr>
      </w:pPr>
      <w:bookmarkStart w:id="2" w:name="_Toc91494373"/>
      <w:bookmarkStart w:id="3" w:name="_Toc173317521"/>
      <w:r>
        <w:rPr>
          <w:rFonts w:hint="eastAsia" w:ascii="宋体" w:hAnsi="宋体"/>
          <w:b/>
          <w:bCs/>
        </w:rPr>
        <w:t>第二部分 采购内容及要求</w:t>
      </w:r>
      <w:bookmarkEnd w:id="2"/>
      <w:bookmarkEnd w:id="3"/>
    </w:p>
    <w:p>
      <w:pPr>
        <w:spacing w:line="400" w:lineRule="exact"/>
        <w:rPr>
          <w:rFonts w:ascii="宋体" w:hAnsi="宋体" w:cs="宋体"/>
          <w:b/>
          <w:sz w:val="22"/>
          <w:highlight w:val="none"/>
        </w:rPr>
      </w:pPr>
      <w:r>
        <w:rPr>
          <w:rFonts w:hint="eastAsia" w:ascii="宋体" w:hAnsi="宋体" w:cs="宋体"/>
          <w:b/>
          <w:sz w:val="22"/>
        </w:rPr>
        <w:t>一、项目概况</w:t>
      </w:r>
    </w:p>
    <w:p>
      <w:pPr>
        <w:spacing w:line="400" w:lineRule="exact"/>
        <w:ind w:firstLine="480"/>
        <w:rPr>
          <w:rFonts w:ascii="宋体" w:hAnsi="宋体" w:cs="宋体"/>
          <w:sz w:val="22"/>
          <w:highlight w:val="none"/>
        </w:rPr>
      </w:pPr>
      <w:r>
        <w:rPr>
          <w:rFonts w:hint="eastAsia" w:ascii="宋体" w:hAnsi="宋体" w:cs="宋体"/>
          <w:sz w:val="22"/>
          <w:highlight w:val="none"/>
        </w:rPr>
        <w:t>（一）项目地点：温州瓯江口产业集聚区</w:t>
      </w:r>
      <w:r>
        <w:rPr>
          <w:rFonts w:hint="eastAsia" w:ascii="宋体" w:hAnsi="宋体" w:cs="宋体"/>
          <w:spacing w:val="6"/>
          <w:sz w:val="22"/>
          <w:highlight w:val="none"/>
        </w:rPr>
        <w:t>，</w:t>
      </w:r>
      <w:r>
        <w:rPr>
          <w:rFonts w:hint="eastAsia" w:ascii="宋体" w:hAnsi="宋体" w:cs="宋体"/>
          <w:sz w:val="22"/>
          <w:highlight w:val="none"/>
        </w:rPr>
        <w:t>具体以采购人指定地点为准。</w:t>
      </w:r>
    </w:p>
    <w:p>
      <w:pPr>
        <w:spacing w:line="400" w:lineRule="exact"/>
        <w:ind w:firstLine="480"/>
        <w:rPr>
          <w:rFonts w:ascii="宋体" w:hAnsi="宋体" w:cs="宋体"/>
          <w:sz w:val="22"/>
          <w:highlight w:val="none"/>
        </w:rPr>
      </w:pPr>
      <w:r>
        <w:rPr>
          <w:rFonts w:hint="eastAsia" w:ascii="宋体" w:hAnsi="宋体" w:cs="宋体"/>
          <w:sz w:val="22"/>
          <w:highlight w:val="none"/>
        </w:rPr>
        <w:t>（二）</w:t>
      </w:r>
      <w:r>
        <w:rPr>
          <w:rFonts w:hint="eastAsia" w:ascii="宋体" w:hAnsi="宋体" w:cs="宋体"/>
          <w:b/>
          <w:sz w:val="22"/>
          <w:highlight w:val="none"/>
        </w:rPr>
        <w:t>泥浆固化服务</w:t>
      </w:r>
      <w:r>
        <w:rPr>
          <w:rFonts w:hint="eastAsia" w:ascii="宋体" w:hAnsi="宋体" w:cs="宋体"/>
          <w:sz w:val="22"/>
          <w:highlight w:val="none"/>
        </w:rPr>
        <w:t>按项目由采购人进行任务下发，</w:t>
      </w:r>
      <w:r>
        <w:rPr>
          <w:rFonts w:hint="eastAsia" w:ascii="宋体"/>
          <w:sz w:val="22"/>
          <w:highlight w:val="none"/>
        </w:rPr>
        <w:t>下发围堰任务后120天内完成围堰工作，</w:t>
      </w:r>
      <w:r>
        <w:rPr>
          <w:rFonts w:hint="eastAsia" w:ascii="宋体" w:hAnsi="宋体" w:cs="宋体"/>
          <w:sz w:val="22"/>
          <w:highlight w:val="none"/>
        </w:rPr>
        <w:t>下发固化处理任务后4个月内完成固化处理工作</w:t>
      </w:r>
      <w:r>
        <w:rPr>
          <w:rFonts w:hint="eastAsia" w:ascii="宋体"/>
          <w:sz w:val="22"/>
          <w:highlight w:val="none"/>
        </w:rPr>
        <w:t>，</w:t>
      </w:r>
      <w:r>
        <w:rPr>
          <w:rFonts w:hint="eastAsia" w:ascii="宋体" w:hAnsi="宋体" w:cs="宋体"/>
          <w:spacing w:val="6"/>
          <w:sz w:val="22"/>
          <w:highlight w:val="none"/>
        </w:rPr>
        <w:t>因不可抗力造成无法正常工作的，可以顺延</w:t>
      </w:r>
      <w:r>
        <w:rPr>
          <w:rFonts w:hint="eastAsia" w:ascii="宋体" w:hAnsi="宋体" w:cs="宋体"/>
          <w:sz w:val="22"/>
          <w:highlight w:val="none"/>
        </w:rPr>
        <w:t>。服务期限：采用1+1+1模式(1年期满或提前达到年预估总量，考核合格，双方同意，且政策允许的情况下，可以延续一年，续签最多不超过2次）。</w:t>
      </w:r>
    </w:p>
    <w:p>
      <w:pPr>
        <w:spacing w:line="400" w:lineRule="exact"/>
        <w:ind w:firstLine="480"/>
        <w:rPr>
          <w:rFonts w:ascii="宋体" w:hAnsi="宋体" w:cs="宋体"/>
          <w:sz w:val="22"/>
          <w:highlight w:val="none"/>
        </w:rPr>
      </w:pPr>
      <w:r>
        <w:rPr>
          <w:rFonts w:hint="eastAsia" w:ascii="宋体" w:hAnsi="宋体" w:cs="宋体"/>
          <w:sz w:val="22"/>
          <w:highlight w:val="none"/>
        </w:rPr>
        <w:t>（三）工程量：运营期内原位固化含软基处理泥浆预估量为210万湿方/年（70万干方/年），</w:t>
      </w:r>
      <w:r>
        <w:rPr>
          <w:rFonts w:hint="eastAsia" w:ascii="宋体" w:hAnsi="宋体" w:cs="宋体"/>
          <w:b/>
          <w:bCs/>
          <w:sz w:val="22"/>
          <w:highlight w:val="none"/>
        </w:rPr>
        <w:t>今后实际处理量和预估量差距可能比较大，投标人需考虑此风险因素</w:t>
      </w:r>
      <w:r>
        <w:rPr>
          <w:rFonts w:hint="eastAsia" w:ascii="宋体" w:hAnsi="宋体" w:cs="宋体"/>
          <w:sz w:val="22"/>
          <w:highlight w:val="none"/>
        </w:rPr>
        <w:t>。</w:t>
      </w:r>
    </w:p>
    <w:p>
      <w:pPr>
        <w:spacing w:line="400" w:lineRule="exact"/>
        <w:rPr>
          <w:rFonts w:ascii="宋体" w:hAnsi="宋体" w:cs="宋体"/>
          <w:b/>
          <w:bCs/>
          <w:sz w:val="22"/>
          <w:highlight w:val="none"/>
        </w:rPr>
      </w:pPr>
      <w:r>
        <w:rPr>
          <w:rFonts w:hint="eastAsia" w:ascii="宋体" w:hAnsi="宋体" w:cs="宋体"/>
          <w:b/>
          <w:bCs/>
          <w:sz w:val="22"/>
          <w:highlight w:val="none"/>
        </w:rPr>
        <w:t>二、工作内容包括：</w:t>
      </w:r>
    </w:p>
    <w:p>
      <w:pPr>
        <w:spacing w:line="400" w:lineRule="exact"/>
        <w:ind w:firstLine="480"/>
        <w:rPr>
          <w:rFonts w:ascii="宋体" w:hAnsi="宋体" w:cs="宋体"/>
          <w:sz w:val="22"/>
          <w:highlight w:val="none"/>
        </w:rPr>
      </w:pPr>
      <w:r>
        <w:rPr>
          <w:rFonts w:hint="eastAsia" w:ascii="宋体" w:hAnsi="宋体" w:cs="宋体"/>
          <w:sz w:val="22"/>
          <w:highlight w:val="none"/>
        </w:rPr>
        <w:t>（1）采购人负责提供固化用地场所，供中标供应商建设固化处理点，现场所需水电、药剂、排水、围堰措施等所有配套设施均由中标供应商自行负责，中标供应商承担固化处理点建设及所有配套工作的全部费用。</w:t>
      </w:r>
    </w:p>
    <w:p>
      <w:pPr>
        <w:pStyle w:val="3"/>
        <w:spacing w:after="0" w:line="400" w:lineRule="exact"/>
        <w:ind w:firstLine="442" w:firstLineChars="200"/>
        <w:rPr>
          <w:b/>
        </w:rPr>
      </w:pPr>
      <w:r>
        <w:rPr>
          <w:rFonts w:hint="eastAsia" w:ascii="宋体" w:hAnsi="宋体" w:cs="宋体"/>
          <w:b/>
          <w:sz w:val="22"/>
          <w:highlight w:val="none"/>
        </w:rPr>
        <w:t>投标单位中标后，与采购人协商并深化用地布局，最终由采购人确定中标供应商用地面积、围堰方案与区域位置，中标供应商应依据采购人的要求对场区进行统一布局和建设，整个场区内需满足消防、环保、安全、防台等要求，建设费用包含</w:t>
      </w:r>
      <w:r>
        <w:rPr>
          <w:rFonts w:hint="eastAsia" w:ascii="宋体" w:hAnsi="宋体" w:cs="宋体"/>
          <w:b/>
          <w:sz w:val="22"/>
        </w:rPr>
        <w:t>在投标报价中。</w:t>
      </w:r>
    </w:p>
    <w:p>
      <w:pPr>
        <w:spacing w:line="400" w:lineRule="exact"/>
        <w:ind w:firstLine="480"/>
        <w:rPr>
          <w:rFonts w:ascii="宋体" w:hAnsi="宋体" w:cs="宋体"/>
          <w:sz w:val="22"/>
        </w:rPr>
      </w:pPr>
      <w:r>
        <w:rPr>
          <w:rFonts w:hint="eastAsia" w:ascii="宋体" w:hAnsi="宋体" w:cs="宋体"/>
          <w:sz w:val="22"/>
        </w:rPr>
        <w:t>（2）中标供应商负责固化场地的安全生产，必须符合有关行政部门对污水排放、泥浆处置、环保的要求。</w:t>
      </w:r>
    </w:p>
    <w:p>
      <w:pPr>
        <w:spacing w:line="400" w:lineRule="exact"/>
        <w:ind w:firstLine="480"/>
        <w:rPr>
          <w:rFonts w:ascii="宋体" w:hAnsi="宋体" w:cs="宋体"/>
          <w:sz w:val="22"/>
        </w:rPr>
      </w:pPr>
      <w:r>
        <w:rPr>
          <w:rFonts w:hint="eastAsia" w:ascii="宋体" w:hAnsi="宋体" w:cs="宋体"/>
          <w:sz w:val="22"/>
        </w:rPr>
        <w:t>（3）生产过程中，如需向区有关部门办理行政许可的，均由中标供应商负责。</w:t>
      </w:r>
    </w:p>
    <w:p>
      <w:pPr>
        <w:spacing w:line="400" w:lineRule="exact"/>
        <w:ind w:firstLine="480"/>
        <w:rPr>
          <w:rFonts w:ascii="宋体" w:hAnsi="宋体" w:cs="宋体"/>
          <w:sz w:val="22"/>
        </w:rPr>
      </w:pPr>
      <w:r>
        <w:rPr>
          <w:rFonts w:hint="eastAsia" w:ascii="宋体" w:hAnsi="宋体" w:cs="宋体"/>
          <w:sz w:val="22"/>
        </w:rPr>
        <w:t>（4）中标供应商负责设施设备的安装、生产、维护维修和日常管理。</w:t>
      </w:r>
    </w:p>
    <w:p>
      <w:pPr>
        <w:spacing w:line="400" w:lineRule="exact"/>
        <w:ind w:firstLine="480"/>
        <w:rPr>
          <w:rFonts w:ascii="宋体" w:hAnsi="宋体" w:cs="宋体"/>
          <w:sz w:val="22"/>
        </w:rPr>
      </w:pPr>
      <w:r>
        <w:rPr>
          <w:rFonts w:hint="eastAsia" w:ascii="宋体" w:hAnsi="宋体" w:cs="宋体"/>
          <w:sz w:val="22"/>
        </w:rPr>
        <w:t>（5）环境保护和安全文明生产由中标供应商负全责。</w:t>
      </w:r>
    </w:p>
    <w:p>
      <w:pPr>
        <w:spacing w:line="400" w:lineRule="exact"/>
        <w:ind w:firstLine="480"/>
      </w:pPr>
      <w:r>
        <w:rPr>
          <w:rFonts w:hint="eastAsia"/>
        </w:rPr>
        <w:t>（6）</w:t>
      </w:r>
      <w:r>
        <w:t>服务期内，</w:t>
      </w:r>
      <w:r>
        <w:rPr>
          <w:rFonts w:hint="eastAsia"/>
        </w:rPr>
        <w:t>中标供应商需委托第三方机构根据环保部门要求定期进行检测，检测结果报采购人备案，检测后相关指标不符合上述要求，中标供应商应及时整改，调整生产工艺以确保环评指标符合标准。</w:t>
      </w:r>
    </w:p>
    <w:p>
      <w:pPr>
        <w:pStyle w:val="3"/>
        <w:spacing w:after="0" w:line="400" w:lineRule="exact"/>
        <w:ind w:firstLine="420" w:firstLineChars="200"/>
      </w:pPr>
      <w:r>
        <w:rPr>
          <w:rFonts w:hint="eastAsia"/>
        </w:rPr>
        <w:t>（7）</w:t>
      </w:r>
      <w:r>
        <w:t>场</w:t>
      </w:r>
      <w:r>
        <w:rPr>
          <w:rFonts w:hint="eastAsia"/>
        </w:rPr>
        <w:t>区</w:t>
      </w:r>
      <w:r>
        <w:t>出入口需安装在线视频监控及</w:t>
      </w:r>
      <w:r>
        <w:rPr>
          <w:rFonts w:hint="eastAsia"/>
        </w:rPr>
        <w:t>道闸设备，并接入采购人管理平台。</w:t>
      </w:r>
    </w:p>
    <w:p>
      <w:pPr>
        <w:spacing w:line="400" w:lineRule="exact"/>
        <w:rPr>
          <w:rFonts w:ascii="宋体" w:hAnsi="宋体" w:cs="宋体"/>
          <w:b/>
          <w:sz w:val="22"/>
        </w:rPr>
      </w:pPr>
      <w:r>
        <w:rPr>
          <w:rFonts w:hint="eastAsia" w:ascii="宋体" w:hAnsi="宋体" w:cs="宋体"/>
          <w:b/>
          <w:sz w:val="22"/>
        </w:rPr>
        <w:t>三、现场管理要求</w:t>
      </w:r>
    </w:p>
    <w:p>
      <w:pPr>
        <w:spacing w:line="400" w:lineRule="exact"/>
        <w:ind w:firstLine="480"/>
        <w:rPr>
          <w:rFonts w:ascii="宋体" w:hAnsi="宋体" w:cs="宋体"/>
          <w:sz w:val="22"/>
        </w:rPr>
      </w:pPr>
      <w:r>
        <w:rPr>
          <w:rFonts w:hint="eastAsia" w:ascii="宋体" w:hAnsi="宋体" w:cs="宋体"/>
          <w:sz w:val="22"/>
        </w:rPr>
        <w:t>1、中标供应商必须遵守采购人工作现场和人员管理的规定，安全生产，文明作业。中标供应商须提交工作人员名单及身份证复印件给采购人备案。现场工作人员必须接受采购人的监督、管理和指导，无条件遵守采购人的各项规定。</w:t>
      </w:r>
    </w:p>
    <w:p>
      <w:pPr>
        <w:spacing w:line="400" w:lineRule="exact"/>
        <w:ind w:firstLine="440" w:firstLineChars="200"/>
        <w:rPr>
          <w:rFonts w:ascii="宋体" w:hAnsi="宋体" w:cs="宋体"/>
          <w:b/>
          <w:bCs/>
          <w:sz w:val="22"/>
        </w:rPr>
      </w:pPr>
      <w:r>
        <w:rPr>
          <w:rFonts w:hint="eastAsia" w:ascii="宋体" w:hAnsi="宋体" w:cs="宋体"/>
          <w:sz w:val="22"/>
        </w:rPr>
        <w:t>2、</w:t>
      </w:r>
      <w:r>
        <w:rPr>
          <w:rFonts w:hint="eastAsia" w:ascii="宋体" w:hAnsi="宋体" w:cs="宋体"/>
          <w:b/>
          <w:bCs/>
          <w:sz w:val="22"/>
        </w:rPr>
        <w:t>人员要求：</w:t>
      </w:r>
    </w:p>
    <w:p>
      <w:pPr>
        <w:spacing w:line="400" w:lineRule="exact"/>
        <w:ind w:firstLine="480"/>
        <w:rPr>
          <w:rFonts w:ascii="宋体" w:hAnsi="宋体" w:cs="宋体"/>
          <w:sz w:val="22"/>
        </w:rPr>
      </w:pPr>
      <w:r>
        <w:rPr>
          <w:rFonts w:hint="eastAsia" w:ascii="宋体" w:hAnsi="宋体" w:cs="宋体"/>
          <w:sz w:val="22"/>
        </w:rPr>
        <w:t>（1）中标供应商应根据本项目特点配备相应的项目实施人员，要求配备管理及经营团队（至少配备项目负责人1名，作为本项目的总体负责人；安全员不少于1人），管理人员应有一定的管理经验，具备一定沟通能力，能确保本项目工作的顺利开展；其他人员需具有相关工作经验。</w:t>
      </w:r>
    </w:p>
    <w:p>
      <w:pPr>
        <w:spacing w:line="400" w:lineRule="exact"/>
        <w:ind w:firstLine="480"/>
        <w:rPr>
          <w:rFonts w:ascii="宋体" w:hAnsi="宋体" w:cs="宋体"/>
          <w:sz w:val="22"/>
        </w:rPr>
      </w:pPr>
      <w:r>
        <w:rPr>
          <w:rFonts w:hint="eastAsia" w:ascii="宋体" w:hAnsi="宋体" w:cs="宋体"/>
          <w:sz w:val="22"/>
        </w:rPr>
        <w:t>（2）应对全部人员定期进行环保、安全等方面的培训。</w:t>
      </w:r>
    </w:p>
    <w:p>
      <w:pPr>
        <w:spacing w:line="400" w:lineRule="exact"/>
        <w:ind w:firstLine="480"/>
        <w:rPr>
          <w:rFonts w:ascii="宋体" w:hAnsi="宋体" w:cs="宋体"/>
          <w:sz w:val="22"/>
        </w:rPr>
      </w:pPr>
      <w:r>
        <w:rPr>
          <w:rFonts w:hint="eastAsia" w:ascii="宋体" w:hAnsi="宋体" w:cs="宋体"/>
          <w:sz w:val="22"/>
        </w:rPr>
        <w:t>（3）泥浆处置设备操作人员应熟悉掌握设备操作方法和流程，严格按照设备操作说明书或操作手册来操作设备。</w:t>
      </w:r>
    </w:p>
    <w:p>
      <w:pPr>
        <w:spacing w:line="400" w:lineRule="exact"/>
        <w:ind w:firstLine="480"/>
        <w:rPr>
          <w:rFonts w:ascii="宋体" w:hAnsi="宋体" w:cs="宋体"/>
          <w:sz w:val="22"/>
        </w:rPr>
      </w:pPr>
      <w:r>
        <w:rPr>
          <w:rFonts w:hint="eastAsia" w:ascii="宋体" w:hAnsi="宋体" w:cs="宋体"/>
          <w:sz w:val="22"/>
        </w:rPr>
        <w:t>（4）泥浆处置设备操作人员应熟知泥浆固化处置应急预案，能正确有效处理在泥浆处置过程中出现的突发情况。</w:t>
      </w:r>
    </w:p>
    <w:p>
      <w:pPr>
        <w:spacing w:line="400" w:lineRule="exact"/>
        <w:ind w:firstLine="480"/>
        <w:rPr>
          <w:rFonts w:ascii="宋体" w:hAnsi="宋体" w:cs="宋体"/>
          <w:sz w:val="22"/>
        </w:rPr>
      </w:pPr>
      <w:r>
        <w:rPr>
          <w:rFonts w:hint="eastAsia" w:ascii="宋体" w:hAnsi="宋体" w:cs="宋体"/>
          <w:sz w:val="22"/>
        </w:rPr>
        <w:t>（5）项目负责人及技术人员应具有相关经验，有泥浆处理运行管理经验，经相应的岗位技术培训合格后上岗。</w:t>
      </w:r>
    </w:p>
    <w:p>
      <w:pPr>
        <w:spacing w:line="400" w:lineRule="exact"/>
        <w:ind w:firstLine="480"/>
        <w:rPr>
          <w:rFonts w:ascii="宋体" w:hAnsi="宋体" w:cs="宋体"/>
          <w:sz w:val="22"/>
        </w:rPr>
      </w:pPr>
      <w:r>
        <w:rPr>
          <w:rFonts w:hint="eastAsia" w:ascii="宋体" w:hAnsi="宋体" w:cs="宋体"/>
          <w:sz w:val="22"/>
        </w:rPr>
        <w:t>3、在工作进行中，中标供应商要注意保护工作现场内的各种管线和设施。若有任何损坏，须立即通知采购人，并由中标供应商承担损失和修复费用。中标供应商在工作期间，如遇到需与外部相关单位协调的问题时，应自行解决，采购人只负责协助。</w:t>
      </w:r>
    </w:p>
    <w:p>
      <w:pPr>
        <w:spacing w:line="400" w:lineRule="exact"/>
        <w:ind w:firstLine="480"/>
        <w:rPr>
          <w:rFonts w:ascii="宋体" w:hAnsi="宋体" w:cs="宋体"/>
          <w:sz w:val="22"/>
        </w:rPr>
      </w:pPr>
      <w:r>
        <w:rPr>
          <w:rFonts w:hint="eastAsia" w:ascii="宋体" w:hAnsi="宋体" w:cs="宋体"/>
          <w:sz w:val="22"/>
        </w:rPr>
        <w:t>4、中标供应商必须严格按照已经确认的工作方案组织工作，并接受采购人对工作质量、服务期、安全生产、文明作业、环保的监督和管理。</w:t>
      </w:r>
    </w:p>
    <w:p>
      <w:pPr>
        <w:spacing w:line="400" w:lineRule="exact"/>
        <w:ind w:firstLine="480"/>
        <w:rPr>
          <w:rFonts w:ascii="宋体" w:hAnsi="宋体" w:cs="宋体"/>
          <w:sz w:val="22"/>
        </w:rPr>
      </w:pPr>
      <w:r>
        <w:rPr>
          <w:rFonts w:hint="eastAsia" w:ascii="宋体" w:hAnsi="宋体" w:cs="宋体"/>
          <w:sz w:val="22"/>
        </w:rPr>
        <w:t>5、中标供应商在工作期间应严格遵守国家、省、市有关防火、防爆和施工安全以及文明作业，深夜作业、环卫、治安与城管等规定，应建立规章制度和防护、防范措施，并承担由于自身措施不力造成事故责任和发生的费用。工作期间，必须建立安全用电制度，确保用电设备的完好无损，并设置漏电保护装置。</w:t>
      </w:r>
    </w:p>
    <w:p>
      <w:pPr>
        <w:spacing w:line="400" w:lineRule="exact"/>
        <w:ind w:firstLine="480"/>
        <w:rPr>
          <w:rFonts w:ascii="宋体" w:hAnsi="宋体" w:cs="宋体"/>
          <w:sz w:val="22"/>
        </w:rPr>
      </w:pPr>
      <w:r>
        <w:rPr>
          <w:rFonts w:hint="eastAsia" w:ascii="宋体" w:hAnsi="宋体" w:cs="宋体"/>
          <w:sz w:val="22"/>
        </w:rPr>
        <w:t>6、中标供应商自行解决工人宿舍用地、食堂与生活设施等场地问题。</w:t>
      </w:r>
    </w:p>
    <w:p>
      <w:pPr>
        <w:spacing w:line="400" w:lineRule="exact"/>
        <w:ind w:firstLine="480"/>
        <w:rPr>
          <w:rFonts w:ascii="宋体" w:hAnsi="宋体" w:cs="宋体"/>
          <w:sz w:val="22"/>
        </w:rPr>
      </w:pPr>
      <w:r>
        <w:rPr>
          <w:rFonts w:hint="eastAsia" w:ascii="宋体" w:hAnsi="宋体" w:cs="宋体"/>
          <w:sz w:val="22"/>
        </w:rPr>
        <w:t>7、所用的机械工具由中标供应商自备及自费运到工作现场安装调试，进场后进行必要的性能安全检查，工作完成后自费搬出运走，所用的材料及机械工具由中标供应商自行保管，不得随便存放，以免造成不必要的丢失、损坏。</w:t>
      </w:r>
    </w:p>
    <w:p>
      <w:pPr>
        <w:spacing w:line="400" w:lineRule="exact"/>
        <w:ind w:firstLine="480"/>
        <w:rPr>
          <w:rFonts w:ascii="宋体" w:hAnsi="宋体" w:cs="宋体"/>
          <w:sz w:val="22"/>
        </w:rPr>
      </w:pPr>
      <w:r>
        <w:rPr>
          <w:rFonts w:hint="eastAsia" w:ascii="宋体" w:hAnsi="宋体" w:cs="宋体"/>
          <w:sz w:val="22"/>
        </w:rPr>
        <w:t>8、中标供应商必须注意工作安全，做好安全文明工作，造成人身安全或工伤死亡事故，一切责任由中标供应商负责。</w:t>
      </w:r>
    </w:p>
    <w:p>
      <w:pPr>
        <w:spacing w:line="400" w:lineRule="exact"/>
        <w:ind w:firstLine="480"/>
        <w:rPr>
          <w:rFonts w:ascii="宋体" w:hAnsi="宋体" w:cs="宋体"/>
          <w:sz w:val="22"/>
        </w:rPr>
      </w:pPr>
      <w:r>
        <w:rPr>
          <w:rFonts w:hint="eastAsia" w:ascii="宋体" w:hAnsi="宋体" w:cs="宋体"/>
          <w:sz w:val="22"/>
        </w:rPr>
        <w:t>9、中标供应商在工作期间，须严格遵守政府职能部门的各项规章制度，由于管理不善，导致政府职能部门的罚款和停工整改，由其发生的费用与损失由中标供应商自行承担。</w:t>
      </w:r>
    </w:p>
    <w:p>
      <w:pPr>
        <w:spacing w:line="400" w:lineRule="exact"/>
        <w:ind w:firstLine="480"/>
        <w:rPr>
          <w:rFonts w:ascii="宋体" w:hAnsi="宋体" w:cs="宋体"/>
          <w:sz w:val="22"/>
        </w:rPr>
      </w:pPr>
      <w:r>
        <w:rPr>
          <w:rFonts w:hint="eastAsia" w:ascii="宋体" w:hAnsi="宋体" w:cs="宋体"/>
          <w:sz w:val="22"/>
        </w:rPr>
        <w:t>10、建筑垃圾必须及时清运干净，工作过程中应采取必要的有效措施减少对工作现场区域内进出人员的生活、工作造成的影响，并确保各方人员的安全，工作现场区域内由于中标供应商的责任造成的一切人员的伤亡，均由中标供应商承担由此产生的一切赔偿等后果。</w:t>
      </w:r>
    </w:p>
    <w:p>
      <w:pPr>
        <w:spacing w:line="400" w:lineRule="exact"/>
        <w:ind w:firstLine="480"/>
        <w:rPr>
          <w:rFonts w:ascii="宋体" w:hAnsi="宋体" w:cs="宋体"/>
          <w:sz w:val="22"/>
        </w:rPr>
      </w:pPr>
      <w:r>
        <w:rPr>
          <w:rFonts w:hint="eastAsia" w:ascii="宋体" w:hAnsi="宋体" w:cs="宋体"/>
          <w:sz w:val="22"/>
        </w:rPr>
        <w:t>11、中标供应商必须主动接受行业主管部门的监督和指导。</w:t>
      </w:r>
    </w:p>
    <w:p>
      <w:pPr>
        <w:spacing w:line="400" w:lineRule="exact"/>
        <w:ind w:firstLine="480"/>
        <w:rPr>
          <w:rFonts w:ascii="宋体" w:hAnsi="宋体" w:cs="宋体"/>
          <w:sz w:val="22"/>
        </w:rPr>
      </w:pPr>
      <w:r>
        <w:rPr>
          <w:rFonts w:hint="eastAsia" w:ascii="宋体" w:hAnsi="宋体" w:cs="宋体"/>
          <w:sz w:val="22"/>
        </w:rPr>
        <w:t>12、中标供应商负责开展泥浆处理人员岗前培训，明确泥浆处理工作内容、工作流程、工作安全防范等相关知识，确保泥浆处理工作严格按操作规程要求执行，避免生产人员在工作中发生安全事故。</w:t>
      </w:r>
    </w:p>
    <w:p>
      <w:pPr>
        <w:spacing w:line="400" w:lineRule="exact"/>
        <w:rPr>
          <w:rFonts w:ascii="宋体" w:hAnsi="宋体" w:cs="宋体"/>
          <w:b/>
          <w:sz w:val="22"/>
        </w:rPr>
      </w:pPr>
      <w:r>
        <w:rPr>
          <w:rFonts w:hint="eastAsia" w:ascii="宋体" w:hAnsi="宋体" w:cs="宋体"/>
          <w:b/>
          <w:sz w:val="22"/>
        </w:rPr>
        <w:t>四、原位固化服务</w:t>
      </w:r>
    </w:p>
    <w:p>
      <w:pPr>
        <w:spacing w:line="400" w:lineRule="exact"/>
        <w:ind w:firstLine="480"/>
        <w:rPr>
          <w:rFonts w:ascii="宋体" w:hAnsi="宋体" w:cs="宋体"/>
          <w:sz w:val="22"/>
        </w:rPr>
      </w:pPr>
      <w:r>
        <w:rPr>
          <w:rFonts w:hint="eastAsia" w:ascii="宋体" w:hAnsi="宋体" w:cs="宋体"/>
          <w:sz w:val="22"/>
        </w:rPr>
        <w:t>1、主要内容</w:t>
      </w:r>
    </w:p>
    <w:p>
      <w:pPr>
        <w:spacing w:line="400" w:lineRule="exact"/>
        <w:ind w:firstLine="480"/>
        <w:rPr>
          <w:rFonts w:ascii="宋体" w:hAnsi="宋体" w:cs="宋体"/>
          <w:sz w:val="22"/>
        </w:rPr>
      </w:pPr>
      <w:r>
        <w:rPr>
          <w:rFonts w:hint="eastAsia" w:ascii="宋体" w:hAnsi="宋体" w:cs="宋体"/>
          <w:sz w:val="22"/>
        </w:rPr>
        <w:t>负责泥浆池内泥浆的处理，包括但不限于以下内容：</w:t>
      </w:r>
    </w:p>
    <w:p>
      <w:pPr>
        <w:spacing w:line="400" w:lineRule="exact"/>
        <w:ind w:firstLine="480"/>
        <w:rPr>
          <w:rFonts w:ascii="宋体" w:hAnsi="宋体" w:cs="宋体"/>
          <w:sz w:val="22"/>
        </w:rPr>
      </w:pPr>
      <w:r>
        <w:rPr>
          <w:rFonts w:hint="eastAsia" w:ascii="宋体" w:hAnsi="宋体" w:cs="宋体"/>
          <w:sz w:val="22"/>
        </w:rPr>
        <w:t>（1）根据公认的行业准则和惯例，按照国家、省、市、行业及有关标准和中标供应商制定的各项规章制度，对泥浆处置提供全面的服务，持续、有效、安全地进行生产加工。完成采购人下达的任务。设备的维修及更新更换（设备的所有权为中标供应商，相关维修更新费用由中标供应商承担）；记录的建立及保存等。</w:t>
      </w:r>
    </w:p>
    <w:p>
      <w:pPr>
        <w:spacing w:line="400" w:lineRule="exact"/>
        <w:ind w:firstLine="480"/>
        <w:rPr>
          <w:rFonts w:ascii="宋体" w:hAnsi="宋体" w:cs="宋体"/>
          <w:sz w:val="22"/>
        </w:rPr>
      </w:pPr>
      <w:r>
        <w:rPr>
          <w:rFonts w:hint="eastAsia" w:ascii="宋体" w:hAnsi="宋体" w:cs="宋体"/>
          <w:sz w:val="22"/>
        </w:rPr>
        <w:t>（2）▲负责处理和处置泥浆固化处理过程中产生的废气（泥浆外运处置不包含在内）。</w:t>
      </w:r>
    </w:p>
    <w:p>
      <w:pPr>
        <w:spacing w:line="400" w:lineRule="exact"/>
        <w:ind w:firstLine="480"/>
        <w:rPr>
          <w:rFonts w:ascii="宋体" w:hAnsi="宋体" w:cs="宋体"/>
          <w:sz w:val="22"/>
        </w:rPr>
      </w:pPr>
      <w:r>
        <w:rPr>
          <w:rFonts w:hint="eastAsia" w:ascii="宋体" w:hAnsi="宋体" w:cs="宋体"/>
          <w:sz w:val="22"/>
        </w:rPr>
        <w:t>（3）不断优化改善泥浆处置工艺，提高效率和效益。有关重要的技术改造或重要设备的变更须征得采购人的同意。</w:t>
      </w:r>
    </w:p>
    <w:p>
      <w:pPr>
        <w:spacing w:line="400" w:lineRule="exact"/>
        <w:ind w:firstLine="480"/>
        <w:rPr>
          <w:rFonts w:ascii="宋体" w:hAnsi="宋体" w:cs="宋体"/>
          <w:sz w:val="22"/>
        </w:rPr>
      </w:pPr>
      <w:r>
        <w:rPr>
          <w:rFonts w:hint="eastAsia" w:ascii="宋体" w:hAnsi="宋体" w:cs="宋体"/>
          <w:sz w:val="22"/>
        </w:rPr>
        <w:t>（4）泥浆池维护等工作。</w:t>
      </w:r>
    </w:p>
    <w:p>
      <w:pPr>
        <w:spacing w:line="400" w:lineRule="exact"/>
        <w:ind w:firstLine="440" w:firstLineChars="200"/>
        <w:rPr>
          <w:rFonts w:ascii="宋体" w:hAnsi="宋体" w:cs="宋体"/>
          <w:sz w:val="22"/>
        </w:rPr>
      </w:pPr>
      <w:r>
        <w:rPr>
          <w:rFonts w:hint="eastAsia" w:ascii="宋体" w:hAnsi="宋体" w:cs="宋体"/>
          <w:sz w:val="22"/>
        </w:rPr>
        <w:t>2、运行期间出泥要求和其他污染物排放要求</w:t>
      </w:r>
    </w:p>
    <w:p>
      <w:pPr>
        <w:spacing w:line="400" w:lineRule="exact"/>
        <w:ind w:firstLine="480"/>
        <w:rPr>
          <w:rFonts w:ascii="宋体" w:hAnsi="宋体" w:cs="宋体"/>
          <w:sz w:val="22"/>
        </w:rPr>
      </w:pPr>
      <w:r>
        <w:rPr>
          <w:rFonts w:hint="eastAsia" w:ascii="宋体" w:hAnsi="宋体" w:cs="宋体"/>
          <w:sz w:val="22"/>
        </w:rPr>
        <w:t>（1）出泥要求（以下要求仅为基本指标要求，可根据采购人增加或调整指标要求，但需符合相关环保要求）</w:t>
      </w:r>
    </w:p>
    <w:p>
      <w:pPr>
        <w:spacing w:line="400" w:lineRule="exact"/>
        <w:ind w:firstLine="480"/>
        <w:rPr>
          <w:rFonts w:ascii="宋体" w:hAnsi="宋体" w:cs="宋体"/>
          <w:sz w:val="22"/>
          <w:highlight w:val="none"/>
        </w:rPr>
      </w:pPr>
      <w:r>
        <w:rPr>
          <w:rFonts w:hint="eastAsia" w:ascii="宋体" w:hAnsi="宋体" w:cs="宋体"/>
          <w:sz w:val="22"/>
        </w:rPr>
        <w:t>（a）泥浆处理产品应符合《围填海工程填充</w:t>
      </w:r>
      <w:r>
        <w:rPr>
          <w:rFonts w:hint="eastAsia" w:ascii="宋体" w:hAnsi="宋体" w:cs="宋体"/>
          <w:sz w:val="22"/>
          <w:highlight w:val="none"/>
        </w:rPr>
        <w:t>物质成分限值GB 30736-2014》第二类围填海标准限值要求。</w:t>
      </w:r>
    </w:p>
    <w:p>
      <w:pPr>
        <w:spacing w:line="400" w:lineRule="exact"/>
        <w:ind w:firstLine="480"/>
        <w:rPr>
          <w:rFonts w:ascii="宋体" w:hAnsi="宋体" w:cs="宋体"/>
          <w:sz w:val="22"/>
          <w:highlight w:val="none"/>
        </w:rPr>
      </w:pPr>
      <w:r>
        <w:rPr>
          <w:rFonts w:hint="eastAsia" w:ascii="宋体" w:hAnsi="宋体" w:cs="宋体"/>
          <w:sz w:val="22"/>
          <w:highlight w:val="none"/>
        </w:rPr>
        <w:t>（b）泥浆进行原位固化处理的产品需达到50KPa承载力要求。（每5000m</w:t>
      </w:r>
      <w:r>
        <w:rPr>
          <w:rFonts w:hint="eastAsia" w:ascii="宋体" w:hAnsi="宋体" w:cs="宋体"/>
          <w:sz w:val="22"/>
          <w:highlight w:val="none"/>
          <w:vertAlign w:val="superscript"/>
        </w:rPr>
        <w:t>2</w:t>
      </w:r>
      <w:r>
        <w:rPr>
          <w:rFonts w:hint="eastAsia" w:ascii="宋体" w:hAnsi="宋体" w:cs="宋体"/>
          <w:sz w:val="22"/>
          <w:highlight w:val="none"/>
        </w:rPr>
        <w:t>检测点不少于一个，且单个项目或地块检测点不少于3个）</w:t>
      </w:r>
    </w:p>
    <w:p>
      <w:pPr>
        <w:spacing w:line="400" w:lineRule="exact"/>
        <w:ind w:firstLine="480"/>
        <w:rPr>
          <w:rFonts w:ascii="宋体" w:hAnsi="宋体" w:cs="宋体"/>
          <w:sz w:val="22"/>
          <w:highlight w:val="none"/>
        </w:rPr>
      </w:pPr>
      <w:r>
        <w:rPr>
          <w:rFonts w:hint="eastAsia" w:ascii="宋体" w:hAnsi="宋体" w:cs="宋体"/>
          <w:sz w:val="22"/>
          <w:highlight w:val="none"/>
        </w:rPr>
        <w:t>（c）围堰建设须在采购人指令下达后120天内完成，泥浆进行原位固化处理须在采购人指令下达后4个月内完成。</w:t>
      </w:r>
    </w:p>
    <w:p>
      <w:pPr>
        <w:spacing w:line="400" w:lineRule="exact"/>
        <w:ind w:firstLine="480"/>
        <w:rPr>
          <w:rFonts w:ascii="宋体" w:hAnsi="宋体" w:cs="宋体"/>
          <w:sz w:val="22"/>
          <w:highlight w:val="none"/>
        </w:rPr>
      </w:pPr>
      <w:r>
        <w:rPr>
          <w:rFonts w:hint="eastAsia" w:ascii="宋体" w:hAnsi="宋体" w:cs="宋体"/>
          <w:sz w:val="22"/>
          <w:highlight w:val="none"/>
        </w:rPr>
        <w:t>（2）污染物排放要求</w:t>
      </w:r>
    </w:p>
    <w:p>
      <w:pPr>
        <w:spacing w:line="400" w:lineRule="exact"/>
        <w:ind w:firstLine="480"/>
        <w:rPr>
          <w:rFonts w:ascii="宋体" w:hAnsi="宋体" w:cs="宋体"/>
          <w:sz w:val="22"/>
          <w:highlight w:val="none"/>
        </w:rPr>
      </w:pPr>
      <w:r>
        <w:rPr>
          <w:rFonts w:hint="eastAsia" w:ascii="宋体" w:hAnsi="宋体" w:cs="宋体"/>
          <w:sz w:val="22"/>
          <w:highlight w:val="none"/>
        </w:rPr>
        <w:t>废水排放须达到环保部门的要求。</w:t>
      </w:r>
    </w:p>
    <w:p>
      <w:pPr>
        <w:spacing w:line="400" w:lineRule="exact"/>
        <w:ind w:firstLine="480"/>
        <w:rPr>
          <w:rFonts w:ascii="宋体" w:hAnsi="宋体" w:cs="宋体"/>
          <w:sz w:val="22"/>
          <w:highlight w:val="none"/>
        </w:rPr>
      </w:pPr>
      <w:r>
        <w:rPr>
          <w:rFonts w:hint="eastAsia" w:ascii="宋体" w:hAnsi="宋体" w:cs="宋体"/>
          <w:sz w:val="22"/>
          <w:highlight w:val="none"/>
        </w:rPr>
        <w:t>本项目所在地大气排放标准依据《环境空气质量标准》二级标准和《恶臭污染物排放标准》（GB14554-93）的二级标准。具体执行标准以项目所在污水处理厂厂区环评为准。</w:t>
      </w:r>
    </w:p>
    <w:p>
      <w:pPr>
        <w:spacing w:line="400" w:lineRule="exact"/>
        <w:ind w:firstLine="480"/>
        <w:rPr>
          <w:rFonts w:ascii="宋体" w:hAnsi="宋体" w:cs="宋体"/>
          <w:sz w:val="22"/>
          <w:highlight w:val="none"/>
        </w:rPr>
      </w:pPr>
      <w:r>
        <w:rPr>
          <w:rFonts w:hint="eastAsia" w:ascii="宋体" w:hAnsi="宋体" w:cs="宋体"/>
          <w:sz w:val="22"/>
          <w:highlight w:val="none"/>
        </w:rPr>
        <w:t>本项目噪声排放执行《工业企业厂界噪声标准》（GB12348-90）Ⅲ类标准。</w:t>
      </w:r>
    </w:p>
    <w:p>
      <w:pPr>
        <w:spacing w:line="400" w:lineRule="exact"/>
        <w:ind w:firstLine="480"/>
        <w:rPr>
          <w:rFonts w:ascii="宋体" w:hAnsi="宋体" w:cs="宋体"/>
          <w:sz w:val="22"/>
          <w:highlight w:val="none"/>
        </w:rPr>
      </w:pPr>
      <w:r>
        <w:rPr>
          <w:rFonts w:hint="eastAsia" w:ascii="宋体" w:hAnsi="宋体" w:cs="宋体"/>
          <w:sz w:val="22"/>
          <w:highlight w:val="none"/>
        </w:rPr>
        <w:t>本项目所产生的非泥浆的固体废弃物应符合《浙江省固体废物污染环境防治条例》及《中华人民共和国固体废弃物环境污染防治法》的要求。</w:t>
      </w:r>
    </w:p>
    <w:p>
      <w:pPr>
        <w:spacing w:line="400" w:lineRule="exact"/>
        <w:ind w:firstLine="480"/>
        <w:rPr>
          <w:rFonts w:ascii="宋体" w:hAnsi="宋体" w:cs="宋体"/>
          <w:sz w:val="22"/>
        </w:rPr>
      </w:pPr>
      <w:r>
        <w:rPr>
          <w:rFonts w:hint="eastAsia" w:ascii="宋体" w:hAnsi="宋体" w:cs="宋体"/>
          <w:sz w:val="22"/>
          <w:highlight w:val="none"/>
        </w:rPr>
        <w:t>本节未尽的污染物排放指标须达到环保部门的要</w:t>
      </w:r>
      <w:r>
        <w:rPr>
          <w:rFonts w:hint="eastAsia" w:ascii="宋体" w:hAnsi="宋体" w:cs="宋体"/>
          <w:sz w:val="22"/>
        </w:rPr>
        <w:t>求。</w:t>
      </w:r>
    </w:p>
    <w:p>
      <w:pPr>
        <w:spacing w:line="400" w:lineRule="exact"/>
        <w:ind w:firstLine="480"/>
        <w:rPr>
          <w:rFonts w:ascii="宋体" w:hAnsi="宋体" w:cs="宋体"/>
          <w:sz w:val="22"/>
        </w:rPr>
      </w:pPr>
      <w:r>
        <w:rPr>
          <w:rFonts w:hint="eastAsia" w:ascii="宋体" w:hAnsi="宋体" w:cs="宋体"/>
          <w:sz w:val="22"/>
        </w:rPr>
        <w:t>（3）运行期间泥质检测要求</w:t>
      </w:r>
    </w:p>
    <w:p>
      <w:pPr>
        <w:spacing w:line="400" w:lineRule="exact"/>
        <w:ind w:firstLine="480"/>
        <w:rPr>
          <w:rFonts w:ascii="宋体" w:hAnsi="宋体" w:cs="宋体"/>
          <w:sz w:val="22"/>
        </w:rPr>
      </w:pPr>
      <w:r>
        <w:rPr>
          <w:rFonts w:hint="eastAsia" w:ascii="宋体" w:hAnsi="宋体" w:cs="宋体"/>
          <w:sz w:val="22"/>
        </w:rPr>
        <w:t>检测周期须包含但不限于以下内容：</w:t>
      </w:r>
    </w:p>
    <w:p>
      <w:pPr>
        <w:spacing w:line="400" w:lineRule="exact"/>
        <w:ind w:firstLine="480"/>
        <w:rPr>
          <w:rFonts w:ascii="宋体" w:hAnsi="宋体" w:cs="宋体"/>
          <w:sz w:val="22"/>
        </w:rPr>
      </w:pPr>
      <w:r>
        <w:rPr>
          <w:rFonts w:hint="eastAsia" w:ascii="宋体" w:hAnsi="宋体" w:cs="宋体"/>
          <w:sz w:val="22"/>
        </w:rPr>
        <w:t>（a）日常检测：主要检测项目为固化土及尾水的各项指标，如承载力等。</w:t>
      </w:r>
    </w:p>
    <w:p>
      <w:pPr>
        <w:spacing w:line="400" w:lineRule="exact"/>
        <w:ind w:firstLine="480"/>
        <w:rPr>
          <w:rFonts w:ascii="宋体" w:hAnsi="宋体" w:cs="宋体"/>
          <w:sz w:val="22"/>
        </w:rPr>
      </w:pPr>
      <w:r>
        <w:rPr>
          <w:rFonts w:hint="eastAsia" w:ascii="宋体" w:hAnsi="宋体" w:cs="宋体"/>
          <w:sz w:val="22"/>
        </w:rPr>
        <w:t>（b）定期抽检：根据环保部门要求定期检测固化土及尾水的各项指标，如重金属含量、含水率、PH等指标。</w:t>
      </w:r>
    </w:p>
    <w:p>
      <w:pPr>
        <w:spacing w:line="400" w:lineRule="exact"/>
        <w:ind w:firstLine="480"/>
        <w:rPr>
          <w:rFonts w:ascii="宋体" w:hAnsi="宋体" w:cs="宋体"/>
          <w:sz w:val="22"/>
        </w:rPr>
      </w:pPr>
      <w:r>
        <w:rPr>
          <w:rFonts w:hint="eastAsia" w:ascii="宋体" w:hAnsi="宋体" w:cs="宋体"/>
          <w:sz w:val="22"/>
        </w:rPr>
        <w:t>（c）不定期检测：检测固化土及尾水的各项指标，如重金属含量、含水率、PH等指标，检测的具体内容和具体时间由采购人安排。</w:t>
      </w:r>
    </w:p>
    <w:p>
      <w:pPr>
        <w:spacing w:line="400" w:lineRule="exact"/>
        <w:ind w:firstLine="480"/>
        <w:rPr>
          <w:rFonts w:ascii="宋体" w:hAnsi="宋体" w:cs="宋体"/>
          <w:sz w:val="22"/>
        </w:rPr>
      </w:pPr>
      <w:r>
        <w:rPr>
          <w:rFonts w:hint="eastAsia" w:ascii="宋体" w:hAnsi="宋体" w:cs="宋体"/>
          <w:sz w:val="22"/>
        </w:rPr>
        <w:t>（d）检测数据</w:t>
      </w:r>
    </w:p>
    <w:p>
      <w:pPr>
        <w:spacing w:line="400" w:lineRule="exact"/>
        <w:ind w:firstLine="480"/>
        <w:rPr>
          <w:rFonts w:ascii="宋体" w:hAnsi="宋体" w:cs="宋体"/>
          <w:sz w:val="22"/>
        </w:rPr>
      </w:pPr>
      <w:r>
        <w:rPr>
          <w:rFonts w:hint="eastAsia" w:ascii="宋体" w:hAnsi="宋体" w:cs="宋体"/>
          <w:sz w:val="22"/>
        </w:rPr>
        <w:t>日常检测、定期抽检、不定期监测的相关数据均可作为判断中标供应商是否达标处理依据，采购人可根据数据结果为不达标的数据决定对中标供应商采取限期整改通知、直接处罚等其他处理方式。</w:t>
      </w:r>
    </w:p>
    <w:p>
      <w:pPr>
        <w:spacing w:line="400" w:lineRule="exact"/>
        <w:ind w:firstLine="480"/>
        <w:rPr>
          <w:rFonts w:ascii="宋体" w:hAnsi="宋体" w:cs="宋体"/>
          <w:sz w:val="22"/>
        </w:rPr>
      </w:pPr>
      <w:r>
        <w:rPr>
          <w:rFonts w:hint="eastAsia" w:ascii="宋体" w:hAnsi="宋体" w:cs="宋体"/>
          <w:sz w:val="22"/>
        </w:rPr>
        <w:t>（e）检测费用的支付</w:t>
      </w:r>
    </w:p>
    <w:p>
      <w:pPr>
        <w:spacing w:line="400" w:lineRule="exact"/>
        <w:ind w:firstLine="480"/>
        <w:rPr>
          <w:rFonts w:ascii="宋体" w:hAnsi="宋体" w:cs="宋体"/>
          <w:sz w:val="22"/>
        </w:rPr>
      </w:pPr>
      <w:r>
        <w:rPr>
          <w:rFonts w:hint="eastAsia" w:ascii="宋体" w:hAnsi="宋体" w:cs="宋体"/>
          <w:sz w:val="22"/>
        </w:rPr>
        <w:t>中标供应商日常检测费用和定期抽检由中标供应商自行承担包含在运行成本单价的报价中。不定期检测的费用由采购人承担。</w:t>
      </w:r>
    </w:p>
    <w:p>
      <w:pPr>
        <w:spacing w:line="400" w:lineRule="exact"/>
        <w:ind w:firstLine="480"/>
        <w:rPr>
          <w:rFonts w:ascii="宋体" w:hAnsi="宋体" w:cs="宋体"/>
          <w:sz w:val="22"/>
        </w:rPr>
      </w:pPr>
      <w:r>
        <w:rPr>
          <w:rFonts w:hint="eastAsia" w:ascii="宋体" w:hAnsi="宋体" w:cs="宋体"/>
          <w:sz w:val="22"/>
        </w:rPr>
        <w:t>（4）质量要求</w:t>
      </w:r>
    </w:p>
    <w:p>
      <w:pPr>
        <w:spacing w:line="400" w:lineRule="exact"/>
        <w:ind w:firstLine="480"/>
        <w:rPr>
          <w:rFonts w:ascii="宋体" w:hAnsi="宋体" w:cs="宋体"/>
          <w:sz w:val="22"/>
        </w:rPr>
      </w:pPr>
      <w:r>
        <w:rPr>
          <w:rFonts w:hint="eastAsia" w:ascii="宋体" w:hAnsi="宋体" w:cs="宋体"/>
          <w:sz w:val="22"/>
        </w:rPr>
        <w:t>（1）运营服务质量目标：泥浆处理量和固化土及尾水的各项指标符合要求。</w:t>
      </w:r>
    </w:p>
    <w:p>
      <w:pPr>
        <w:spacing w:line="400" w:lineRule="exact"/>
        <w:ind w:firstLine="480"/>
        <w:rPr>
          <w:rFonts w:ascii="宋体" w:hAnsi="宋体" w:cs="宋体"/>
          <w:sz w:val="22"/>
        </w:rPr>
      </w:pPr>
      <w:r>
        <w:rPr>
          <w:rFonts w:hint="eastAsia" w:ascii="宋体" w:hAnsi="宋体" w:cs="宋体"/>
          <w:sz w:val="22"/>
        </w:rPr>
        <w:t>（2）质量要求：合格。</w:t>
      </w:r>
    </w:p>
    <w:p>
      <w:pPr>
        <w:widowControl/>
        <w:spacing w:line="400" w:lineRule="exact"/>
        <w:rPr>
          <w:rFonts w:ascii="宋体" w:hAnsi="宋体" w:cs="宋体"/>
          <w:b/>
          <w:bCs/>
          <w:sz w:val="22"/>
        </w:rPr>
      </w:pPr>
      <w:r>
        <w:rPr>
          <w:rFonts w:hint="eastAsia" w:ascii="宋体" w:hAnsi="宋体" w:cs="宋体"/>
          <w:b/>
          <w:bCs/>
          <w:sz w:val="22"/>
        </w:rPr>
        <w:t>五、报价要求</w:t>
      </w:r>
    </w:p>
    <w:p>
      <w:pPr>
        <w:spacing w:line="400" w:lineRule="exact"/>
        <w:ind w:firstLine="480"/>
        <w:rPr>
          <w:rFonts w:ascii="宋体" w:hAnsi="宋体" w:cs="宋体"/>
          <w:sz w:val="22"/>
          <w:highlight w:val="none"/>
        </w:rPr>
      </w:pPr>
      <w:r>
        <w:rPr>
          <w:rFonts w:hint="eastAsia" w:ascii="宋体" w:hAnsi="宋体" w:cs="宋体"/>
          <w:sz w:val="22"/>
        </w:rPr>
        <w:t>1、本项目的投标报价应包含为</w:t>
      </w:r>
      <w:r>
        <w:rPr>
          <w:rFonts w:hint="eastAsia" w:ascii="宋体" w:hAnsi="宋体" w:cs="宋体"/>
          <w:bCs/>
          <w:sz w:val="22"/>
        </w:rPr>
        <w:t>完成本项目所需的场地基础设施及生产用房建设、人员工资、社保、食宿费、设备费、折旧费、科研费、保险、利润、税金、代理服务费</w:t>
      </w:r>
      <w:r>
        <w:rPr>
          <w:rFonts w:hint="eastAsia" w:ascii="宋体" w:hAnsi="宋体" w:cs="宋体"/>
          <w:sz w:val="22"/>
        </w:rPr>
        <w:t>及所包含的所有风险、责任等完成招标内容的一切费用。</w:t>
      </w:r>
    </w:p>
    <w:p>
      <w:pPr>
        <w:spacing w:line="400" w:lineRule="exact"/>
        <w:ind w:firstLine="480"/>
        <w:rPr>
          <w:rFonts w:ascii="宋体" w:hAnsi="宋体" w:cs="宋体"/>
          <w:sz w:val="22"/>
          <w:highlight w:val="none"/>
        </w:rPr>
      </w:pPr>
      <w:r>
        <w:rPr>
          <w:rFonts w:hint="eastAsia" w:ascii="宋体" w:hAnsi="宋体" w:cs="宋体"/>
          <w:sz w:val="22"/>
          <w:highlight w:val="none"/>
        </w:rPr>
        <w:t>2、本项目实行综合单价报价方式，最终根据实际处理量及中标单价进行结算。</w:t>
      </w:r>
    </w:p>
    <w:p>
      <w:pPr>
        <w:spacing w:line="400" w:lineRule="exact"/>
        <w:rPr>
          <w:rFonts w:ascii="宋体" w:hAnsi="宋体" w:cs="宋体"/>
          <w:b/>
          <w:bCs/>
          <w:sz w:val="22"/>
          <w:highlight w:val="none"/>
        </w:rPr>
      </w:pPr>
      <w:r>
        <w:rPr>
          <w:rFonts w:hint="eastAsia" w:ascii="宋体" w:hAnsi="宋体" w:cs="宋体"/>
          <w:b/>
          <w:bCs/>
          <w:sz w:val="22"/>
          <w:highlight w:val="none"/>
        </w:rPr>
        <w:t>六、</w:t>
      </w:r>
      <w:r>
        <w:rPr>
          <w:rFonts w:hint="eastAsia" w:ascii="宋体" w:hAnsi="宋体" w:cs="宋体"/>
          <w:bCs/>
          <w:sz w:val="22"/>
          <w:highlight w:val="none"/>
        </w:rPr>
        <w:t>▲</w:t>
      </w:r>
      <w:r>
        <w:rPr>
          <w:rFonts w:hint="eastAsia" w:ascii="宋体" w:hAnsi="宋体" w:cs="宋体"/>
          <w:b/>
          <w:bCs/>
          <w:sz w:val="22"/>
          <w:highlight w:val="none"/>
        </w:rPr>
        <w:t>付款方式:见合同条款</w:t>
      </w:r>
    </w:p>
    <w:p>
      <w:pPr>
        <w:spacing w:line="400" w:lineRule="exact"/>
        <w:rPr>
          <w:rFonts w:ascii="宋体" w:hAnsi="宋体" w:cs="宋体"/>
          <w:b/>
          <w:bCs/>
          <w:sz w:val="22"/>
          <w:highlight w:val="none"/>
        </w:rPr>
      </w:pPr>
      <w:r>
        <w:rPr>
          <w:rFonts w:hint="eastAsia" w:ascii="宋体" w:hAnsi="宋体" w:cs="宋体"/>
          <w:b/>
          <w:bCs/>
          <w:sz w:val="22"/>
          <w:highlight w:val="none"/>
        </w:rPr>
        <w:t>七、其他要求</w:t>
      </w:r>
    </w:p>
    <w:p>
      <w:pPr>
        <w:spacing w:line="400" w:lineRule="exact"/>
        <w:ind w:firstLine="480"/>
        <w:rPr>
          <w:rFonts w:ascii="宋体" w:hAnsi="宋体" w:cs="宋体"/>
          <w:b/>
          <w:bCs/>
          <w:sz w:val="22"/>
          <w:highlight w:val="none"/>
        </w:rPr>
      </w:pPr>
      <w:r>
        <w:rPr>
          <w:rFonts w:hint="eastAsia" w:ascii="宋体" w:hAnsi="宋体" w:cs="宋体"/>
          <w:b/>
          <w:bCs/>
          <w:sz w:val="22"/>
          <w:highlight w:val="none"/>
        </w:rPr>
        <w:t>▲1、为了满足泥浆实际处理的要求，中标供应商须无条件增加处理设备，改进处理工艺，所发生的费用由供应商自行承担。</w:t>
      </w:r>
    </w:p>
    <w:p>
      <w:pPr>
        <w:pStyle w:val="22"/>
        <w:snapToGrid w:val="0"/>
        <w:spacing w:line="440" w:lineRule="atLeast"/>
        <w:ind w:left="421" w:hanging="421" w:hangingChars="131"/>
        <w:rPr>
          <w:rFonts w:ascii="宋体" w:hAnsi="宋体"/>
          <w:b/>
          <w:bCs/>
        </w:rPr>
      </w:pPr>
      <w:bookmarkStart w:id="4" w:name="_Toc91494374"/>
      <w:r>
        <w:rPr>
          <w:rFonts w:ascii="宋体" w:hAnsi="宋体"/>
          <w:b/>
          <w:bCs/>
        </w:rPr>
        <w:br w:type="page"/>
      </w:r>
      <w:bookmarkStart w:id="5" w:name="_Toc173317522"/>
      <w:r>
        <w:rPr>
          <w:rFonts w:hint="eastAsia" w:ascii="宋体" w:hAnsi="宋体"/>
          <w:b/>
          <w:bCs/>
        </w:rPr>
        <w:t>第三部分 供应商须知</w:t>
      </w:r>
      <w:bookmarkEnd w:id="4"/>
      <w:bookmarkEnd w:id="5"/>
    </w:p>
    <w:p>
      <w:pPr>
        <w:overflowPunct w:val="0"/>
        <w:spacing w:line="360" w:lineRule="auto"/>
        <w:jc w:val="left"/>
        <w:outlineLvl w:val="0"/>
        <w:rPr>
          <w:rFonts w:ascii="宋体" w:hAnsi="宋体" w:cs="宋体"/>
          <w:b/>
          <w:bCs/>
          <w:sz w:val="22"/>
        </w:rPr>
      </w:pPr>
      <w:bookmarkStart w:id="6" w:name="_Toc251592734"/>
      <w:bookmarkStart w:id="7" w:name="_Toc221374623"/>
      <w:bookmarkStart w:id="8" w:name="_Toc173317523"/>
      <w:bookmarkStart w:id="9" w:name="_Toc222114876"/>
      <w:bookmarkStart w:id="10" w:name="_Toc221423616"/>
      <w:bookmarkStart w:id="11" w:name="_Toc221356948"/>
      <w:bookmarkStart w:id="12" w:name="_Toc251325211"/>
      <w:bookmarkStart w:id="13" w:name="_Toc221356883"/>
      <w:bookmarkStart w:id="14" w:name="_Toc241404199"/>
      <w:bookmarkStart w:id="15" w:name="_Toc245722278"/>
      <w:bookmarkStart w:id="16" w:name="_Toc239145351"/>
      <w:bookmarkStart w:id="17" w:name="_Toc26159"/>
      <w:bookmarkStart w:id="18" w:name="_Toc173317400"/>
      <w:bookmarkStart w:id="19" w:name="_Toc246261262"/>
      <w:bookmarkStart w:id="20" w:name="_Toc223715995"/>
      <w:bookmarkStart w:id="21" w:name="_Toc522645672"/>
      <w:bookmarkStart w:id="22" w:name="_Toc252194849"/>
      <w:bookmarkStart w:id="23" w:name="_Toc245191311"/>
      <w:r>
        <w:rPr>
          <w:rFonts w:hint="eastAsia" w:ascii="宋体" w:hAnsi="宋体" w:cs="宋体"/>
          <w:b/>
          <w:bCs/>
          <w:sz w:val="22"/>
        </w:rPr>
        <w:t>一、说明</w:t>
      </w:r>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p>
    <w:p>
      <w:pPr>
        <w:numPr>
          <w:ilvl w:val="0"/>
          <w:numId w:val="1"/>
        </w:numPr>
        <w:tabs>
          <w:tab w:val="left" w:pos="420"/>
        </w:tabs>
        <w:spacing w:line="360" w:lineRule="auto"/>
        <w:jc w:val="left"/>
        <w:rPr>
          <w:rFonts w:ascii="宋体" w:hAnsi="宋体" w:cs="宋体"/>
          <w:sz w:val="22"/>
        </w:rPr>
      </w:pPr>
      <w:r>
        <w:rPr>
          <w:rFonts w:hint="eastAsia" w:ascii="宋体" w:hAnsi="宋体" w:cs="宋体"/>
          <w:sz w:val="22"/>
        </w:rPr>
        <w:t>本次采购是按照《浙江温州海洋经济示范区区属国有企业采购管理办法》等法律及有关法规组织和实施的。</w:t>
      </w:r>
    </w:p>
    <w:p>
      <w:pPr>
        <w:numPr>
          <w:ilvl w:val="0"/>
          <w:numId w:val="1"/>
        </w:numPr>
        <w:tabs>
          <w:tab w:val="left" w:pos="420"/>
        </w:tabs>
        <w:spacing w:line="360" w:lineRule="auto"/>
        <w:jc w:val="left"/>
        <w:rPr>
          <w:rFonts w:ascii="宋体" w:hAnsi="宋体" w:cs="宋体"/>
          <w:sz w:val="22"/>
        </w:rPr>
      </w:pPr>
      <w:r>
        <w:rPr>
          <w:rFonts w:hint="eastAsia" w:ascii="宋体" w:hAnsi="宋体" w:cs="宋体"/>
          <w:sz w:val="22"/>
        </w:rPr>
        <w:t>合格投标供应商要求，以本项目采购公告及投标供应商须知前附表表述为准。</w:t>
      </w:r>
    </w:p>
    <w:p>
      <w:pPr>
        <w:numPr>
          <w:ilvl w:val="0"/>
          <w:numId w:val="1"/>
        </w:numPr>
        <w:tabs>
          <w:tab w:val="left" w:pos="420"/>
        </w:tabs>
        <w:spacing w:line="360" w:lineRule="auto"/>
        <w:jc w:val="left"/>
        <w:rPr>
          <w:rFonts w:ascii="宋体" w:hAnsi="宋体" w:cs="宋体"/>
          <w:sz w:val="22"/>
        </w:rPr>
      </w:pPr>
      <w:r>
        <w:rPr>
          <w:rFonts w:hint="eastAsia" w:ascii="宋体" w:hAnsi="宋体" w:cs="宋体"/>
          <w:sz w:val="22"/>
        </w:rPr>
        <w:t>投标供应商代表</w:t>
      </w:r>
    </w:p>
    <w:p>
      <w:pPr>
        <w:overflowPunct w:val="0"/>
        <w:spacing w:line="360" w:lineRule="auto"/>
        <w:ind w:firstLine="440" w:firstLineChars="200"/>
        <w:jc w:val="left"/>
        <w:rPr>
          <w:rFonts w:ascii="宋体" w:hAnsi="宋体" w:cs="宋体"/>
          <w:sz w:val="22"/>
        </w:rPr>
      </w:pPr>
      <w:r>
        <w:rPr>
          <w:rFonts w:hint="eastAsia" w:ascii="宋体" w:hAnsi="宋体" w:cs="宋体"/>
          <w:sz w:val="22"/>
        </w:rPr>
        <w:t>指全权代表投标供应商参加投标活动并签署投标文件的人，如果投标供应商代表不是法定代表人（单位负责人），须持有《法定代表人（单位负责人）授权书》。</w:t>
      </w:r>
    </w:p>
    <w:p>
      <w:pPr>
        <w:numPr>
          <w:ilvl w:val="0"/>
          <w:numId w:val="1"/>
        </w:numPr>
        <w:tabs>
          <w:tab w:val="left" w:pos="420"/>
        </w:tabs>
        <w:spacing w:line="360" w:lineRule="auto"/>
        <w:jc w:val="left"/>
        <w:rPr>
          <w:rFonts w:ascii="宋体" w:hAnsi="宋体" w:cs="宋体"/>
          <w:sz w:val="22"/>
        </w:rPr>
      </w:pPr>
      <w:r>
        <w:rPr>
          <w:rFonts w:hint="eastAsia" w:ascii="宋体" w:hAnsi="宋体" w:cs="宋体"/>
          <w:sz w:val="22"/>
        </w:rPr>
        <w:t>投标费用</w:t>
      </w:r>
    </w:p>
    <w:p>
      <w:pPr>
        <w:tabs>
          <w:tab w:val="left" w:pos="540"/>
          <w:tab w:val="left" w:pos="900"/>
        </w:tabs>
        <w:overflowPunct w:val="0"/>
        <w:spacing w:line="360" w:lineRule="auto"/>
        <w:ind w:firstLine="440" w:firstLineChars="200"/>
        <w:jc w:val="left"/>
        <w:rPr>
          <w:rFonts w:ascii="宋体" w:hAnsi="宋体" w:cs="宋体"/>
          <w:sz w:val="22"/>
        </w:rPr>
      </w:pPr>
      <w:r>
        <w:rPr>
          <w:rFonts w:hint="eastAsia" w:ascii="宋体" w:hAnsi="宋体" w:cs="宋体"/>
          <w:sz w:val="22"/>
        </w:rPr>
        <w:t>投标供应商应承担所有与准备和参加投标有关费用，不论投标的结果如何，采购人和采购代理机构均无义务和责任承担这些费用。</w:t>
      </w:r>
    </w:p>
    <w:p>
      <w:pPr>
        <w:overflowPunct w:val="0"/>
        <w:spacing w:line="360" w:lineRule="auto"/>
        <w:jc w:val="left"/>
        <w:outlineLvl w:val="0"/>
        <w:rPr>
          <w:rFonts w:ascii="宋体" w:hAnsi="宋体" w:cs="宋体"/>
          <w:b/>
          <w:bCs/>
          <w:sz w:val="22"/>
        </w:rPr>
      </w:pPr>
      <w:bookmarkStart w:id="24" w:name="_Toc251592735"/>
      <w:bookmarkStart w:id="25" w:name="_Toc522645673"/>
      <w:bookmarkStart w:id="26" w:name="_Toc239145352"/>
      <w:bookmarkStart w:id="27" w:name="_Toc241404200"/>
      <w:bookmarkStart w:id="28" w:name="_Toc251325212"/>
      <w:bookmarkStart w:id="29" w:name="_Toc245191312"/>
      <w:bookmarkStart w:id="30" w:name="_Toc221374624"/>
      <w:bookmarkStart w:id="31" w:name="_Toc222114877"/>
      <w:bookmarkStart w:id="32" w:name="_Toc252194850"/>
      <w:bookmarkStart w:id="33" w:name="_Toc221356949"/>
      <w:bookmarkStart w:id="34" w:name="_Toc221356884"/>
      <w:bookmarkStart w:id="35" w:name="_Toc246261263"/>
      <w:bookmarkStart w:id="36" w:name="_Toc245722279"/>
      <w:bookmarkStart w:id="37" w:name="_Toc223715996"/>
      <w:bookmarkStart w:id="38" w:name="_Toc221423617"/>
      <w:bookmarkStart w:id="39" w:name="_Toc173317401"/>
      <w:bookmarkStart w:id="40" w:name="_Toc2400"/>
      <w:bookmarkStart w:id="41" w:name="_Toc173317524"/>
      <w:r>
        <w:rPr>
          <w:rFonts w:hint="eastAsia" w:ascii="宋体" w:hAnsi="宋体" w:cs="宋体"/>
          <w:b/>
          <w:bCs/>
          <w:sz w:val="22"/>
        </w:rPr>
        <w:t>二、</w:t>
      </w:r>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r>
        <w:rPr>
          <w:rFonts w:hint="eastAsia" w:ascii="宋体" w:hAnsi="宋体" w:cs="宋体"/>
          <w:b/>
          <w:bCs/>
          <w:sz w:val="22"/>
        </w:rPr>
        <w:t>采购文件</w:t>
      </w:r>
      <w:bookmarkEnd w:id="39"/>
      <w:bookmarkEnd w:id="40"/>
      <w:bookmarkEnd w:id="41"/>
    </w:p>
    <w:p>
      <w:pPr>
        <w:numPr>
          <w:ilvl w:val="0"/>
          <w:numId w:val="1"/>
        </w:numPr>
        <w:tabs>
          <w:tab w:val="left" w:pos="420"/>
        </w:tabs>
        <w:spacing w:line="360" w:lineRule="auto"/>
        <w:jc w:val="left"/>
        <w:rPr>
          <w:rFonts w:ascii="宋体" w:hAnsi="宋体" w:cs="宋体"/>
          <w:sz w:val="22"/>
        </w:rPr>
      </w:pPr>
      <w:r>
        <w:rPr>
          <w:rFonts w:hint="eastAsia" w:ascii="宋体" w:hAnsi="宋体" w:cs="宋体"/>
          <w:sz w:val="22"/>
        </w:rPr>
        <w:t>采购文件由采购文件目录所列内容及相关资料组成。</w:t>
      </w:r>
    </w:p>
    <w:p>
      <w:pPr>
        <w:numPr>
          <w:ilvl w:val="0"/>
          <w:numId w:val="1"/>
        </w:numPr>
        <w:tabs>
          <w:tab w:val="left" w:pos="420"/>
        </w:tabs>
        <w:spacing w:line="360" w:lineRule="auto"/>
        <w:jc w:val="left"/>
        <w:rPr>
          <w:rFonts w:ascii="宋体" w:hAnsi="宋体" w:cs="宋体"/>
          <w:sz w:val="22"/>
        </w:rPr>
      </w:pPr>
      <w:r>
        <w:rPr>
          <w:rFonts w:hint="eastAsia" w:ascii="宋体" w:hAnsi="宋体" w:cs="宋体"/>
          <w:sz w:val="22"/>
        </w:rPr>
        <w:t>采购文件的澄清</w:t>
      </w:r>
    </w:p>
    <w:p>
      <w:pPr>
        <w:tabs>
          <w:tab w:val="left" w:pos="540"/>
        </w:tabs>
        <w:spacing w:line="360" w:lineRule="auto"/>
        <w:ind w:firstLine="420"/>
        <w:jc w:val="left"/>
        <w:rPr>
          <w:rFonts w:ascii="宋体" w:hAnsi="宋体" w:cs="宋体"/>
          <w:sz w:val="22"/>
        </w:rPr>
      </w:pPr>
      <w:r>
        <w:rPr>
          <w:rFonts w:hint="eastAsia" w:ascii="宋体" w:hAnsi="宋体" w:cs="宋体"/>
          <w:sz w:val="22"/>
        </w:rPr>
        <w:t>投标供应商对采购文件如有疑点或未尽事宜要求澄清，或认为有必要进行说明或交流，投标供应商可以在知道或应知其权益受到损害之日起</w:t>
      </w:r>
      <w:r>
        <w:rPr>
          <w:rFonts w:ascii="宋体" w:hAnsi="宋体" w:cs="宋体"/>
          <w:sz w:val="22"/>
        </w:rPr>
        <w:t>7个工作日内，以书面形式（包括信函、传真、下同）向采购人提出质疑，采购人将用书面形式予以答复。如有必要，可将不说明问题来源的答复发给各有关投标供应商或召开答疑会。如果标书答疑期内未收到有关疑问，视为投标供应商完全同意采购文件所有条款，且对于采购文件相关表述以及未尽事宜如有争议，以采购人解释为准。</w:t>
      </w:r>
    </w:p>
    <w:p>
      <w:pPr>
        <w:numPr>
          <w:ilvl w:val="0"/>
          <w:numId w:val="1"/>
        </w:numPr>
        <w:tabs>
          <w:tab w:val="left" w:pos="420"/>
        </w:tabs>
        <w:spacing w:line="360" w:lineRule="auto"/>
        <w:jc w:val="left"/>
        <w:rPr>
          <w:rFonts w:ascii="宋体" w:hAnsi="宋体" w:cs="宋体"/>
          <w:sz w:val="22"/>
        </w:rPr>
      </w:pPr>
      <w:r>
        <w:rPr>
          <w:rFonts w:hint="eastAsia" w:ascii="宋体" w:hAnsi="宋体" w:cs="宋体"/>
          <w:sz w:val="22"/>
        </w:rPr>
        <w:t>采购文件的修改</w:t>
      </w:r>
    </w:p>
    <w:p>
      <w:pPr>
        <w:numPr>
          <w:ilvl w:val="1"/>
          <w:numId w:val="2"/>
        </w:numPr>
        <w:tabs>
          <w:tab w:val="left" w:pos="0"/>
          <w:tab w:val="left" w:pos="360"/>
          <w:tab w:val="left" w:pos="747"/>
        </w:tabs>
        <w:overflowPunct w:val="0"/>
        <w:spacing w:line="360" w:lineRule="auto"/>
        <w:ind w:left="0" w:firstLine="420" w:firstLineChars="191"/>
        <w:jc w:val="left"/>
        <w:rPr>
          <w:rFonts w:ascii="宋体" w:hAnsi="宋体" w:cs="宋体"/>
          <w:sz w:val="22"/>
        </w:rPr>
      </w:pPr>
      <w:r>
        <w:rPr>
          <w:rFonts w:hint="eastAsia" w:ascii="宋体" w:hAnsi="宋体" w:cs="宋体"/>
          <w:sz w:val="22"/>
        </w:rPr>
        <w:t>在投标截止期十五天前，采购人和采购代理机构无论是出于何种原因，均可对采购文件用补充文件的方式进行修改，并在采购公告信息发布媒体上发布更正公告。该澄清和修改的内容为采购文件的组成部分。采购人和采购代理机构可以视采购具体情况在采购文件要求提交截止时间三天前，作出延长投标截止时间和开标时间的决定，并将变更时间书面通知所有采购文件收受人，并在采购公告信息发布媒体上发布变更公告。</w:t>
      </w:r>
    </w:p>
    <w:p>
      <w:pPr>
        <w:numPr>
          <w:ilvl w:val="1"/>
          <w:numId w:val="2"/>
        </w:numPr>
        <w:tabs>
          <w:tab w:val="left" w:pos="360"/>
          <w:tab w:val="left" w:pos="747"/>
        </w:tabs>
        <w:overflowPunct w:val="0"/>
        <w:spacing w:line="360" w:lineRule="auto"/>
        <w:ind w:left="420" w:firstLine="0"/>
        <w:jc w:val="left"/>
        <w:rPr>
          <w:rFonts w:ascii="宋体" w:hAnsi="宋体" w:cs="宋体"/>
          <w:sz w:val="22"/>
        </w:rPr>
      </w:pPr>
      <w:r>
        <w:rPr>
          <w:rFonts w:hint="eastAsia" w:ascii="宋体" w:hAnsi="宋体" w:cs="宋体"/>
          <w:sz w:val="22"/>
        </w:rPr>
        <w:t>投标供应商收到澄清和修改的补充文件，应立即以书面形式回复确认已收到补充文件。</w:t>
      </w:r>
    </w:p>
    <w:p>
      <w:pPr>
        <w:overflowPunct w:val="0"/>
        <w:spacing w:line="360" w:lineRule="auto"/>
        <w:jc w:val="left"/>
        <w:outlineLvl w:val="0"/>
        <w:rPr>
          <w:rFonts w:ascii="宋体" w:hAnsi="宋体" w:cs="宋体"/>
          <w:b/>
          <w:bCs/>
          <w:sz w:val="22"/>
        </w:rPr>
      </w:pPr>
      <w:bookmarkStart w:id="42" w:name="_Toc221356950"/>
      <w:bookmarkStart w:id="43" w:name="_Toc173317402"/>
      <w:bookmarkStart w:id="44" w:name="_Toc245191313"/>
      <w:bookmarkStart w:id="45" w:name="_Toc251325213"/>
      <w:bookmarkStart w:id="46" w:name="_Toc221374625"/>
      <w:bookmarkStart w:id="47" w:name="_Toc241404201"/>
      <w:bookmarkStart w:id="48" w:name="_Toc5753"/>
      <w:bookmarkStart w:id="49" w:name="_Toc246261264"/>
      <w:bookmarkStart w:id="50" w:name="_Toc223715997"/>
      <w:bookmarkStart w:id="51" w:name="_Toc221423618"/>
      <w:bookmarkStart w:id="52" w:name="_Toc252194851"/>
      <w:bookmarkStart w:id="53" w:name="_Toc222114878"/>
      <w:bookmarkStart w:id="54" w:name="_Toc239145353"/>
      <w:bookmarkStart w:id="55" w:name="_Toc245722280"/>
      <w:bookmarkStart w:id="56" w:name="_Toc173317525"/>
      <w:bookmarkStart w:id="57" w:name="_Toc221356885"/>
      <w:bookmarkStart w:id="58" w:name="_Toc251592736"/>
      <w:bookmarkStart w:id="59" w:name="_Toc522645674"/>
      <w:r>
        <w:rPr>
          <w:rFonts w:hint="eastAsia" w:ascii="宋体" w:hAnsi="宋体" w:cs="宋体"/>
          <w:b/>
          <w:bCs/>
          <w:sz w:val="22"/>
        </w:rPr>
        <w:t>三、投标文件的编制</w:t>
      </w:r>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p>
    <w:p>
      <w:pPr>
        <w:numPr>
          <w:ilvl w:val="0"/>
          <w:numId w:val="1"/>
        </w:numPr>
        <w:tabs>
          <w:tab w:val="left" w:pos="426"/>
        </w:tabs>
        <w:spacing w:line="360" w:lineRule="auto"/>
        <w:jc w:val="left"/>
        <w:rPr>
          <w:rFonts w:ascii="宋体" w:hAnsi="宋体" w:cs="宋体"/>
          <w:sz w:val="22"/>
        </w:rPr>
      </w:pPr>
      <w:r>
        <w:rPr>
          <w:rFonts w:hint="eastAsia" w:ascii="宋体" w:hAnsi="宋体" w:cs="宋体"/>
          <w:sz w:val="22"/>
        </w:rPr>
        <w:t>投标供应商应认真阅读采购文件中所有事项格式、条款和技术规范等。投标供应商没有按照采购文件要求提交全部资料，或者没有对采购文件各个方面做出实质性响应，导致投标被拒绝的风险由投标供应商自行承担。</w:t>
      </w:r>
    </w:p>
    <w:p>
      <w:pPr>
        <w:numPr>
          <w:ilvl w:val="0"/>
          <w:numId w:val="1"/>
        </w:numPr>
        <w:tabs>
          <w:tab w:val="left" w:pos="420"/>
        </w:tabs>
        <w:spacing w:line="360" w:lineRule="auto"/>
        <w:jc w:val="left"/>
        <w:rPr>
          <w:rFonts w:ascii="宋体" w:hAnsi="宋体" w:cs="宋体"/>
          <w:sz w:val="22"/>
        </w:rPr>
      </w:pPr>
      <w:r>
        <w:rPr>
          <w:rFonts w:hint="eastAsia" w:ascii="宋体" w:hAnsi="宋体" w:cs="宋体"/>
          <w:sz w:val="22"/>
        </w:rPr>
        <w:t>投标供应商法律责任</w:t>
      </w:r>
    </w:p>
    <w:p>
      <w:pPr>
        <w:tabs>
          <w:tab w:val="left" w:pos="900"/>
        </w:tabs>
        <w:overflowPunct w:val="0"/>
        <w:spacing w:line="360" w:lineRule="auto"/>
        <w:ind w:firstLine="420"/>
        <w:jc w:val="left"/>
        <w:rPr>
          <w:rFonts w:ascii="宋体" w:hAnsi="宋体" w:cs="宋体"/>
          <w:sz w:val="22"/>
        </w:rPr>
      </w:pPr>
      <w:r>
        <w:rPr>
          <w:rFonts w:hint="eastAsia" w:ascii="宋体" w:hAnsi="宋体" w:cs="宋体"/>
          <w:sz w:val="22"/>
        </w:rPr>
        <w:t>投标供应商应保证所提供文件资料的真实性，所有文件资料必须是针对本次投标的。如发现投标供应商提供了虚假文件资料，其投标将被拒绝，并承担相应的法律责任。</w:t>
      </w:r>
    </w:p>
    <w:p>
      <w:pPr>
        <w:numPr>
          <w:ilvl w:val="0"/>
          <w:numId w:val="1"/>
        </w:numPr>
        <w:tabs>
          <w:tab w:val="left" w:pos="420"/>
        </w:tabs>
        <w:spacing w:line="360" w:lineRule="auto"/>
        <w:jc w:val="left"/>
        <w:rPr>
          <w:rFonts w:ascii="宋体" w:hAnsi="宋体" w:cs="宋体"/>
          <w:sz w:val="22"/>
        </w:rPr>
      </w:pPr>
      <w:r>
        <w:rPr>
          <w:rFonts w:hint="eastAsia" w:ascii="宋体" w:hAnsi="宋体" w:cs="宋体"/>
          <w:sz w:val="22"/>
        </w:rPr>
        <w:t>投标文件的构成：</w:t>
      </w:r>
    </w:p>
    <w:p>
      <w:pPr>
        <w:tabs>
          <w:tab w:val="left" w:pos="900"/>
        </w:tabs>
        <w:overflowPunct w:val="0"/>
        <w:spacing w:line="360" w:lineRule="auto"/>
        <w:ind w:firstLine="420"/>
        <w:jc w:val="left"/>
        <w:rPr>
          <w:rFonts w:ascii="宋体" w:hAnsi="宋体" w:cs="宋体"/>
          <w:b/>
          <w:bCs/>
          <w:sz w:val="22"/>
        </w:rPr>
      </w:pPr>
      <w:r>
        <w:rPr>
          <w:rFonts w:ascii="宋体" w:hAnsi="宋体" w:cs="宋体"/>
          <w:b/>
          <w:bCs/>
          <w:sz w:val="22"/>
        </w:rPr>
        <w:t>10.1投标文件由资格文件、商务技术文件和报价文件三部分组成，电子投标文件中所须加盖公章部分均采用CA签章。</w:t>
      </w:r>
    </w:p>
    <w:p>
      <w:pPr>
        <w:spacing w:line="360" w:lineRule="auto"/>
        <w:ind w:firstLine="420"/>
        <w:jc w:val="left"/>
        <w:rPr>
          <w:rFonts w:ascii="宋体" w:hAnsi="宋体" w:cs="宋体"/>
          <w:b/>
          <w:bCs/>
          <w:kern w:val="0"/>
          <w:sz w:val="22"/>
        </w:rPr>
      </w:pPr>
      <w:r>
        <w:rPr>
          <w:rFonts w:hint="eastAsia" w:ascii="宋体" w:hAnsi="宋体" w:cs="宋体"/>
          <w:b/>
          <w:bCs/>
          <w:kern w:val="0"/>
          <w:sz w:val="22"/>
          <w:lang w:val="zh-CN"/>
        </w:rPr>
        <w:t>（</w:t>
      </w:r>
      <w:r>
        <w:rPr>
          <w:rFonts w:ascii="宋体" w:hAnsi="宋体" w:cs="宋体"/>
          <w:b/>
          <w:bCs/>
          <w:kern w:val="0"/>
          <w:sz w:val="22"/>
          <w:lang w:val="zh-CN"/>
        </w:rPr>
        <w:t>1）</w:t>
      </w:r>
      <w:r>
        <w:rPr>
          <w:rFonts w:hint="eastAsia" w:ascii="宋体" w:hAnsi="宋体" w:cs="宋体"/>
          <w:b/>
          <w:bCs/>
          <w:sz w:val="22"/>
        </w:rPr>
        <w:t>▲</w:t>
      </w:r>
      <w:r>
        <w:rPr>
          <w:rFonts w:hint="eastAsia" w:ascii="宋体" w:hAnsi="宋体" w:cs="宋体"/>
          <w:b/>
          <w:bCs/>
          <w:kern w:val="0"/>
          <w:sz w:val="22"/>
          <w:lang w:val="zh-CN"/>
        </w:rPr>
        <w:t>资格文件部分</w:t>
      </w:r>
    </w:p>
    <w:tbl>
      <w:tblPr>
        <w:tblStyle w:val="24"/>
        <w:tblW w:w="9781"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4"/>
        <w:gridCol w:w="7230"/>
        <w:gridCol w:w="14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34"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line="400" w:lineRule="exact"/>
              <w:jc w:val="center"/>
              <w:rPr>
                <w:rFonts w:ascii="宋体" w:hAnsi="宋体" w:cs="宋体"/>
                <w:kern w:val="0"/>
                <w:sz w:val="22"/>
                <w:lang w:val="zh-CN"/>
              </w:rPr>
            </w:pPr>
            <w:r>
              <w:rPr>
                <w:rFonts w:hint="eastAsia" w:ascii="宋体" w:hAnsi="宋体" w:cs="宋体"/>
                <w:kern w:val="0"/>
                <w:sz w:val="22"/>
                <w:lang w:val="zh-CN"/>
              </w:rPr>
              <w:t>序号</w:t>
            </w:r>
          </w:p>
        </w:tc>
        <w:tc>
          <w:tcPr>
            <w:tcW w:w="7230"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line="400" w:lineRule="exact"/>
              <w:jc w:val="center"/>
              <w:rPr>
                <w:rFonts w:ascii="宋体" w:hAnsi="宋体" w:cs="宋体"/>
                <w:kern w:val="0"/>
                <w:sz w:val="22"/>
                <w:lang w:val="zh-CN"/>
              </w:rPr>
            </w:pPr>
            <w:r>
              <w:rPr>
                <w:rFonts w:hint="eastAsia" w:ascii="宋体" w:hAnsi="宋体" w:cs="宋体"/>
                <w:kern w:val="0"/>
                <w:sz w:val="22"/>
                <w:lang w:val="zh-CN"/>
              </w:rPr>
              <w:t>内容</w:t>
            </w:r>
          </w:p>
        </w:tc>
        <w:tc>
          <w:tcPr>
            <w:tcW w:w="1417"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line="400" w:lineRule="exact"/>
              <w:jc w:val="center"/>
              <w:rPr>
                <w:rFonts w:ascii="宋体" w:hAnsi="宋体" w:cs="宋体"/>
                <w:kern w:val="0"/>
                <w:sz w:val="22"/>
                <w:lang w:val="zh-CN"/>
              </w:rPr>
            </w:pPr>
            <w:r>
              <w:rPr>
                <w:rFonts w:hint="eastAsia" w:ascii="宋体" w:hAnsi="宋体" w:cs="宋体"/>
                <w:kern w:val="0"/>
                <w:sz w:val="22"/>
              </w:rPr>
              <w:t>附件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34"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line="400" w:lineRule="exact"/>
              <w:jc w:val="center"/>
              <w:rPr>
                <w:rFonts w:ascii="宋体" w:hAnsi="宋体" w:cs="宋体"/>
                <w:kern w:val="0"/>
                <w:sz w:val="22"/>
              </w:rPr>
            </w:pPr>
            <w:r>
              <w:rPr>
                <w:rFonts w:ascii="宋体" w:hAnsi="宋体" w:cs="宋体"/>
                <w:kern w:val="0"/>
                <w:sz w:val="22"/>
              </w:rPr>
              <w:t>1</w:t>
            </w:r>
          </w:p>
        </w:tc>
        <w:tc>
          <w:tcPr>
            <w:tcW w:w="7230"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line="400" w:lineRule="exact"/>
              <w:jc w:val="left"/>
              <w:textAlignment w:val="bottom"/>
              <w:rPr>
                <w:rFonts w:ascii="宋体" w:hAnsi="宋体" w:cs="宋体"/>
                <w:kern w:val="0"/>
                <w:sz w:val="22"/>
              </w:rPr>
            </w:pPr>
            <w:r>
              <w:rPr>
                <w:rFonts w:hint="eastAsia" w:ascii="宋体" w:hAnsi="宋体" w:cs="宋体"/>
                <w:b/>
                <w:sz w:val="22"/>
              </w:rPr>
              <w:t>具有独立承担民事责任能力的证明材料：企业法人营业执照</w:t>
            </w:r>
            <w:r>
              <w:rPr>
                <w:rFonts w:hint="eastAsia" w:ascii="宋体" w:hAnsi="宋体" w:cs="宋体"/>
                <w:sz w:val="22"/>
              </w:rPr>
              <w:t>（提供复制件加盖供应商公章）或供应商为依法允许经营的事业单位的，应提交事业单位法人证书（提供复制件加盖供应商公章）</w:t>
            </w:r>
          </w:p>
        </w:tc>
        <w:tc>
          <w:tcPr>
            <w:tcW w:w="1417"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宋体" w:hAnsi="宋体" w:cs="宋体"/>
                <w:kern w:val="0"/>
                <w:sz w:val="22"/>
              </w:rPr>
            </w:pPr>
            <w:r>
              <w:rPr>
                <w:rFonts w:hint="eastAsia" w:ascii="宋体" w:hAnsi="宋体" w:cs="宋体"/>
                <w:sz w:val="22"/>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134"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line="400" w:lineRule="exact"/>
              <w:jc w:val="center"/>
              <w:rPr>
                <w:rFonts w:ascii="宋体" w:hAnsi="宋体" w:cs="宋体"/>
                <w:kern w:val="0"/>
                <w:sz w:val="22"/>
                <w:lang w:val="zh-CN"/>
              </w:rPr>
            </w:pPr>
            <w:r>
              <w:rPr>
                <w:rFonts w:ascii="宋体" w:hAnsi="宋体" w:cs="宋体"/>
                <w:kern w:val="0"/>
                <w:sz w:val="22"/>
                <w:lang w:val="zh-CN"/>
              </w:rPr>
              <w:t>2</w:t>
            </w:r>
          </w:p>
        </w:tc>
        <w:tc>
          <w:tcPr>
            <w:tcW w:w="7230" w:type="dxa"/>
            <w:tcBorders>
              <w:top w:val="single" w:color="auto" w:sz="4" w:space="0"/>
              <w:left w:val="single" w:color="auto" w:sz="4" w:space="0"/>
              <w:bottom w:val="single" w:color="auto" w:sz="4" w:space="0"/>
              <w:right w:val="single" w:color="auto" w:sz="4" w:space="0"/>
            </w:tcBorders>
            <w:vAlign w:val="center"/>
          </w:tcPr>
          <w:p>
            <w:pPr>
              <w:spacing w:line="400" w:lineRule="exact"/>
              <w:jc w:val="left"/>
              <w:rPr>
                <w:rFonts w:ascii="宋体" w:hAnsi="宋体" w:cs="宋体"/>
                <w:b/>
                <w:sz w:val="22"/>
              </w:rPr>
            </w:pPr>
            <w:r>
              <w:rPr>
                <w:rFonts w:hint="eastAsia" w:ascii="宋体" w:hAnsi="宋体" w:cs="宋体"/>
                <w:b/>
                <w:sz w:val="22"/>
              </w:rPr>
              <w:t>供应商符合参与国企采购活动资格条件的声明函，格式见附件</w:t>
            </w:r>
          </w:p>
        </w:tc>
        <w:tc>
          <w:tcPr>
            <w:tcW w:w="1417"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宋体" w:hAnsi="宋体" w:cs="宋体"/>
                <w:kern w:val="0"/>
                <w:sz w:val="22"/>
              </w:rPr>
            </w:pPr>
            <w:r>
              <w:rPr>
                <w:rFonts w:hint="eastAsia" w:ascii="宋体" w:hAnsi="宋体" w:cs="宋体"/>
                <w:sz w:val="22"/>
              </w:rPr>
              <w:t>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34"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line="400" w:lineRule="exact"/>
              <w:jc w:val="center"/>
              <w:rPr>
                <w:rFonts w:ascii="宋体" w:hAnsi="宋体" w:cs="宋体"/>
                <w:kern w:val="0"/>
                <w:sz w:val="22"/>
              </w:rPr>
            </w:pPr>
            <w:r>
              <w:rPr>
                <w:rFonts w:ascii="宋体" w:hAnsi="宋体" w:cs="宋体"/>
                <w:kern w:val="0"/>
                <w:sz w:val="22"/>
              </w:rPr>
              <w:t>3</w:t>
            </w:r>
          </w:p>
        </w:tc>
        <w:tc>
          <w:tcPr>
            <w:tcW w:w="7230" w:type="dxa"/>
            <w:tcBorders>
              <w:top w:val="single" w:color="auto" w:sz="4" w:space="0"/>
              <w:left w:val="single" w:color="auto" w:sz="4" w:space="0"/>
              <w:bottom w:val="single" w:color="auto" w:sz="4" w:space="0"/>
              <w:right w:val="single" w:color="auto" w:sz="4" w:space="0"/>
            </w:tcBorders>
          </w:tcPr>
          <w:p>
            <w:pPr>
              <w:autoSpaceDE w:val="0"/>
              <w:autoSpaceDN w:val="0"/>
              <w:snapToGrid w:val="0"/>
              <w:spacing w:line="400" w:lineRule="exact"/>
              <w:jc w:val="left"/>
              <w:rPr>
                <w:rFonts w:ascii="宋体" w:hAnsi="宋体" w:cs="宋体"/>
                <w:b/>
                <w:sz w:val="22"/>
              </w:rPr>
            </w:pPr>
            <w:r>
              <w:rPr>
                <w:rFonts w:hint="eastAsia" w:ascii="宋体" w:hAnsi="宋体" w:cs="宋体"/>
                <w:b/>
                <w:sz w:val="22"/>
              </w:rPr>
              <w:t>供应商法定代表人授权书（非法定代表人参加投标时须提供）；如为法定代表人参与的只须提供法人身份证明。如为法人提供法人代表身份证明；</w:t>
            </w:r>
          </w:p>
          <w:p>
            <w:pPr>
              <w:autoSpaceDE w:val="0"/>
              <w:autoSpaceDN w:val="0"/>
              <w:snapToGrid w:val="0"/>
              <w:spacing w:line="400" w:lineRule="exact"/>
              <w:jc w:val="left"/>
              <w:rPr>
                <w:rFonts w:ascii="宋体" w:hAnsi="宋体" w:cs="宋体"/>
                <w:b/>
                <w:sz w:val="22"/>
              </w:rPr>
            </w:pPr>
            <w:r>
              <w:rPr>
                <w:rFonts w:hint="eastAsia" w:ascii="宋体" w:hAnsi="宋体" w:cs="宋体"/>
                <w:b/>
                <w:sz w:val="22"/>
              </w:rPr>
              <w:t>如为授权代表提供授权书；（格式见附件）</w:t>
            </w:r>
          </w:p>
        </w:tc>
        <w:tc>
          <w:tcPr>
            <w:tcW w:w="1417"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宋体" w:hAnsi="宋体" w:cs="宋体"/>
                <w:sz w:val="22"/>
              </w:rPr>
            </w:pPr>
            <w:r>
              <w:rPr>
                <w:rFonts w:hint="eastAsia" w:ascii="宋体" w:hAnsi="宋体" w:cs="宋体"/>
                <w:sz w:val="22"/>
              </w:rPr>
              <w:t>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34"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line="400" w:lineRule="exact"/>
              <w:jc w:val="center"/>
              <w:rPr>
                <w:rFonts w:ascii="宋体" w:hAnsi="宋体" w:cs="宋体"/>
                <w:kern w:val="0"/>
                <w:sz w:val="22"/>
                <w:lang w:val="zh-CN"/>
              </w:rPr>
            </w:pPr>
            <w:r>
              <w:rPr>
                <w:rFonts w:ascii="宋体" w:hAnsi="宋体" w:cs="宋体"/>
                <w:kern w:val="0"/>
                <w:sz w:val="22"/>
              </w:rPr>
              <w:t>4</w:t>
            </w:r>
          </w:p>
        </w:tc>
        <w:tc>
          <w:tcPr>
            <w:tcW w:w="7230" w:type="dxa"/>
            <w:tcBorders>
              <w:top w:val="single" w:color="auto" w:sz="4" w:space="0"/>
              <w:left w:val="single" w:color="auto" w:sz="4" w:space="0"/>
              <w:bottom w:val="single" w:color="auto" w:sz="4" w:space="0"/>
              <w:right w:val="single" w:color="auto" w:sz="4" w:space="0"/>
            </w:tcBorders>
          </w:tcPr>
          <w:p>
            <w:pPr>
              <w:autoSpaceDE w:val="0"/>
              <w:autoSpaceDN w:val="0"/>
              <w:snapToGrid w:val="0"/>
              <w:spacing w:line="400" w:lineRule="exact"/>
              <w:jc w:val="left"/>
              <w:rPr>
                <w:rFonts w:ascii="宋体" w:hAnsi="宋体" w:cs="宋体"/>
                <w:b/>
                <w:sz w:val="22"/>
              </w:rPr>
            </w:pPr>
            <w:r>
              <w:rPr>
                <w:rFonts w:hint="eastAsia" w:ascii="宋体" w:hAnsi="宋体" w:cs="宋体"/>
                <w:b/>
                <w:sz w:val="22"/>
              </w:rPr>
              <w:t>投标供应商履约及廉洁纪律承诺书</w:t>
            </w:r>
          </w:p>
        </w:tc>
        <w:tc>
          <w:tcPr>
            <w:tcW w:w="1417"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宋体" w:hAnsi="宋体" w:cs="宋体"/>
                <w:sz w:val="22"/>
              </w:rPr>
            </w:pPr>
            <w:r>
              <w:rPr>
                <w:rFonts w:hint="eastAsia" w:ascii="宋体" w:hAnsi="宋体" w:cs="宋体"/>
                <w:sz w:val="22"/>
              </w:rPr>
              <w:t>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34"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line="400" w:lineRule="exact"/>
              <w:jc w:val="center"/>
              <w:rPr>
                <w:rFonts w:ascii="宋体" w:hAnsi="宋体" w:cs="宋体"/>
                <w:kern w:val="0"/>
                <w:sz w:val="22"/>
              </w:rPr>
            </w:pPr>
            <w:r>
              <w:rPr>
                <w:rFonts w:ascii="宋体" w:hAnsi="宋体" w:cs="宋体"/>
                <w:kern w:val="0"/>
                <w:sz w:val="22"/>
              </w:rPr>
              <w:t>5</w:t>
            </w:r>
          </w:p>
        </w:tc>
        <w:tc>
          <w:tcPr>
            <w:tcW w:w="7230" w:type="dxa"/>
            <w:tcBorders>
              <w:top w:val="single" w:color="auto" w:sz="4" w:space="0"/>
              <w:left w:val="single" w:color="auto" w:sz="4" w:space="0"/>
              <w:bottom w:val="single" w:color="auto" w:sz="4" w:space="0"/>
              <w:right w:val="single" w:color="auto" w:sz="4" w:space="0"/>
            </w:tcBorders>
          </w:tcPr>
          <w:p>
            <w:pPr>
              <w:autoSpaceDE w:val="0"/>
              <w:autoSpaceDN w:val="0"/>
              <w:snapToGrid w:val="0"/>
              <w:spacing w:line="400" w:lineRule="exact"/>
              <w:jc w:val="left"/>
              <w:rPr>
                <w:rFonts w:ascii="宋体" w:hAnsi="宋体" w:cs="宋体"/>
                <w:b/>
                <w:sz w:val="22"/>
              </w:rPr>
            </w:pPr>
            <w:r>
              <w:rPr>
                <w:rFonts w:hint="eastAsia" w:ascii="宋体" w:hAnsi="宋体" w:cs="宋体"/>
                <w:b/>
                <w:sz w:val="22"/>
              </w:rPr>
              <w:t>国企采购活动现场确认声明书</w:t>
            </w:r>
          </w:p>
        </w:tc>
        <w:tc>
          <w:tcPr>
            <w:tcW w:w="1417"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宋体" w:hAnsi="宋体" w:cs="宋体"/>
                <w:sz w:val="22"/>
              </w:rPr>
            </w:pPr>
            <w:r>
              <w:rPr>
                <w:rFonts w:hint="eastAsia" w:ascii="宋体" w:hAnsi="宋体" w:cs="宋体"/>
                <w:sz w:val="22"/>
              </w:rPr>
              <w:t>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34"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line="400" w:lineRule="exact"/>
              <w:jc w:val="center"/>
              <w:rPr>
                <w:rFonts w:ascii="宋体" w:hAnsi="宋体" w:cs="宋体"/>
                <w:kern w:val="0"/>
                <w:sz w:val="22"/>
              </w:rPr>
            </w:pPr>
            <w:r>
              <w:rPr>
                <w:rFonts w:ascii="宋体" w:hAnsi="宋体" w:cs="宋体"/>
                <w:kern w:val="0"/>
                <w:sz w:val="22"/>
              </w:rPr>
              <w:t>6</w:t>
            </w:r>
          </w:p>
        </w:tc>
        <w:tc>
          <w:tcPr>
            <w:tcW w:w="7230" w:type="dxa"/>
            <w:tcBorders>
              <w:top w:val="single" w:color="auto" w:sz="4" w:space="0"/>
              <w:left w:val="single" w:color="auto" w:sz="4" w:space="0"/>
              <w:bottom w:val="single" w:color="auto" w:sz="4" w:space="0"/>
              <w:right w:val="single" w:color="auto" w:sz="4" w:space="0"/>
            </w:tcBorders>
          </w:tcPr>
          <w:p>
            <w:pPr>
              <w:autoSpaceDE w:val="0"/>
              <w:autoSpaceDN w:val="0"/>
              <w:snapToGrid w:val="0"/>
              <w:spacing w:line="400" w:lineRule="exact"/>
              <w:jc w:val="left"/>
              <w:rPr>
                <w:rFonts w:ascii="宋体" w:hAnsi="宋体" w:cs="宋体"/>
                <w:b/>
                <w:sz w:val="22"/>
              </w:rPr>
            </w:pPr>
            <w:r>
              <w:rPr>
                <w:rFonts w:hint="eastAsia" w:ascii="宋体" w:hAnsi="宋体" w:cs="宋体"/>
                <w:b/>
                <w:sz w:val="22"/>
              </w:rPr>
              <w:t>投标保证金缴纳证明材料</w:t>
            </w:r>
          </w:p>
        </w:tc>
        <w:tc>
          <w:tcPr>
            <w:tcW w:w="1417"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宋体" w:hAnsi="宋体" w:cs="宋体"/>
                <w:sz w:val="22"/>
              </w:rPr>
            </w:pPr>
            <w:r>
              <w:rPr>
                <w:rFonts w:hint="eastAsia" w:ascii="宋体" w:hAnsi="宋体" w:cs="宋体"/>
                <w:sz w:val="22"/>
              </w:rPr>
              <w:t>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34"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line="400" w:lineRule="exact"/>
              <w:jc w:val="center"/>
              <w:rPr>
                <w:rFonts w:ascii="宋体" w:hAnsi="宋体" w:cs="宋体"/>
                <w:kern w:val="0"/>
                <w:sz w:val="22"/>
                <w:highlight w:val="none"/>
              </w:rPr>
            </w:pPr>
            <w:r>
              <w:rPr>
                <w:rFonts w:hint="eastAsia" w:ascii="宋体" w:hAnsi="宋体" w:cs="宋体"/>
                <w:kern w:val="0"/>
                <w:sz w:val="22"/>
                <w:highlight w:val="none"/>
              </w:rPr>
              <w:t>7</w:t>
            </w:r>
          </w:p>
        </w:tc>
        <w:tc>
          <w:tcPr>
            <w:tcW w:w="7230" w:type="dxa"/>
            <w:tcBorders>
              <w:top w:val="single" w:color="auto" w:sz="4" w:space="0"/>
              <w:left w:val="single" w:color="auto" w:sz="4" w:space="0"/>
              <w:bottom w:val="single" w:color="auto" w:sz="4" w:space="0"/>
              <w:right w:val="single" w:color="auto" w:sz="4" w:space="0"/>
            </w:tcBorders>
          </w:tcPr>
          <w:p>
            <w:pPr>
              <w:autoSpaceDE w:val="0"/>
              <w:autoSpaceDN w:val="0"/>
              <w:snapToGrid w:val="0"/>
              <w:spacing w:line="400" w:lineRule="exact"/>
              <w:jc w:val="left"/>
              <w:rPr>
                <w:rFonts w:ascii="宋体" w:hAnsi="宋体" w:cs="宋体"/>
                <w:b/>
                <w:sz w:val="22"/>
                <w:highlight w:val="none"/>
              </w:rPr>
            </w:pPr>
            <w:r>
              <w:rPr>
                <w:rFonts w:hint="eastAsia" w:ascii="宋体" w:hAnsi="宋体" w:cs="宋体"/>
                <w:b/>
                <w:sz w:val="22"/>
                <w:highlight w:val="none"/>
              </w:rPr>
              <w:t>投标供应商的有效市政公用工程施工总承包三级及以上资质证书或地基基础工程专业承包三级及以上资质证书，和有效的安全生产许可证。</w:t>
            </w:r>
          </w:p>
        </w:tc>
        <w:tc>
          <w:tcPr>
            <w:tcW w:w="1417"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宋体" w:hAnsi="宋体" w:cs="宋体"/>
                <w:sz w:val="22"/>
                <w:highlight w:val="none"/>
              </w:rPr>
            </w:pPr>
            <w:r>
              <w:rPr>
                <w:rFonts w:hint="eastAsia" w:ascii="宋体" w:hAnsi="宋体" w:cs="宋体"/>
                <w:sz w:val="22"/>
                <w:highlight w:val="none"/>
              </w:rPr>
              <w:t>无</w:t>
            </w:r>
          </w:p>
        </w:tc>
      </w:tr>
    </w:tbl>
    <w:p>
      <w:pPr>
        <w:overflowPunct w:val="0"/>
        <w:spacing w:line="360" w:lineRule="auto"/>
        <w:jc w:val="left"/>
        <w:rPr>
          <w:rFonts w:ascii="宋体" w:hAnsi="宋体" w:cs="宋体"/>
          <w:b/>
          <w:sz w:val="22"/>
        </w:rPr>
      </w:pPr>
    </w:p>
    <w:p>
      <w:pPr>
        <w:overflowPunct w:val="0"/>
        <w:spacing w:line="360" w:lineRule="auto"/>
        <w:ind w:firstLine="420"/>
        <w:jc w:val="left"/>
        <w:rPr>
          <w:rFonts w:ascii="宋体" w:hAnsi="宋体" w:cs="宋体"/>
          <w:b/>
          <w:sz w:val="22"/>
        </w:rPr>
      </w:pPr>
      <w:r>
        <w:rPr>
          <w:rFonts w:hint="eastAsia" w:ascii="宋体" w:hAnsi="宋体" w:cs="宋体"/>
          <w:b/>
          <w:sz w:val="22"/>
        </w:rPr>
        <w:t>（</w:t>
      </w:r>
      <w:r>
        <w:rPr>
          <w:rFonts w:ascii="宋体" w:hAnsi="宋体" w:cs="宋体"/>
          <w:b/>
          <w:sz w:val="22"/>
        </w:rPr>
        <w:t>2）商务技术文件</w:t>
      </w:r>
    </w:p>
    <w:tbl>
      <w:tblPr>
        <w:tblStyle w:val="24"/>
        <w:tblW w:w="9746"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4"/>
        <w:gridCol w:w="7230"/>
        <w:gridCol w:w="138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134" w:type="dxa"/>
            <w:vAlign w:val="center"/>
          </w:tcPr>
          <w:p>
            <w:pPr>
              <w:spacing w:line="400" w:lineRule="exact"/>
              <w:jc w:val="center"/>
              <w:rPr>
                <w:rFonts w:ascii="宋体" w:hAnsi="宋体" w:cs="宋体"/>
                <w:b/>
                <w:sz w:val="22"/>
              </w:rPr>
            </w:pPr>
            <w:r>
              <w:rPr>
                <w:rFonts w:hint="eastAsia" w:ascii="宋体" w:hAnsi="宋体" w:cs="宋体"/>
                <w:b/>
                <w:sz w:val="22"/>
              </w:rPr>
              <w:t>序号</w:t>
            </w:r>
          </w:p>
        </w:tc>
        <w:tc>
          <w:tcPr>
            <w:tcW w:w="7230" w:type="dxa"/>
            <w:vAlign w:val="center"/>
          </w:tcPr>
          <w:p>
            <w:pPr>
              <w:spacing w:line="400" w:lineRule="exact"/>
              <w:jc w:val="center"/>
              <w:rPr>
                <w:rFonts w:ascii="宋体" w:hAnsi="宋体" w:cs="宋体"/>
                <w:b/>
                <w:sz w:val="22"/>
              </w:rPr>
            </w:pPr>
            <w:r>
              <w:rPr>
                <w:rFonts w:hint="eastAsia" w:ascii="宋体" w:hAnsi="宋体" w:cs="宋体"/>
                <w:b/>
                <w:sz w:val="22"/>
              </w:rPr>
              <w:t>内容</w:t>
            </w:r>
          </w:p>
        </w:tc>
        <w:tc>
          <w:tcPr>
            <w:tcW w:w="1382" w:type="dxa"/>
            <w:vAlign w:val="center"/>
          </w:tcPr>
          <w:p>
            <w:pPr>
              <w:spacing w:line="400" w:lineRule="exact"/>
              <w:jc w:val="center"/>
              <w:rPr>
                <w:rFonts w:ascii="宋体" w:hAnsi="宋体" w:cs="宋体"/>
                <w:b/>
                <w:sz w:val="22"/>
              </w:rPr>
            </w:pPr>
            <w:r>
              <w:rPr>
                <w:rFonts w:hint="eastAsia" w:ascii="宋体" w:hAnsi="宋体" w:cs="宋体"/>
                <w:kern w:val="0"/>
                <w:sz w:val="22"/>
              </w:rPr>
              <w:t>附件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746" w:type="dxa"/>
            <w:gridSpan w:val="3"/>
            <w:vAlign w:val="center"/>
          </w:tcPr>
          <w:p>
            <w:pPr>
              <w:spacing w:line="400" w:lineRule="exact"/>
              <w:jc w:val="left"/>
              <w:rPr>
                <w:rFonts w:ascii="宋体" w:hAnsi="宋体" w:cs="宋体"/>
                <w:sz w:val="22"/>
              </w:rPr>
            </w:pPr>
            <w:r>
              <w:rPr>
                <w:rFonts w:hint="eastAsia" w:ascii="宋体" w:hAnsi="宋体" w:cs="宋体"/>
                <w:b/>
                <w:sz w:val="22"/>
              </w:rPr>
              <w:t>商务技术标评审目录（评分索引）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134" w:type="dxa"/>
            <w:vAlign w:val="center"/>
          </w:tcPr>
          <w:p>
            <w:pPr>
              <w:spacing w:line="400" w:lineRule="exact"/>
              <w:jc w:val="center"/>
              <w:rPr>
                <w:rFonts w:ascii="宋体" w:hAnsi="宋体" w:cs="宋体"/>
                <w:sz w:val="22"/>
              </w:rPr>
            </w:pPr>
            <w:r>
              <w:rPr>
                <w:rFonts w:ascii="宋体" w:hAnsi="宋体" w:cs="宋体"/>
                <w:sz w:val="22"/>
              </w:rPr>
              <w:t>1</w:t>
            </w:r>
          </w:p>
        </w:tc>
        <w:tc>
          <w:tcPr>
            <w:tcW w:w="7230" w:type="dxa"/>
            <w:vAlign w:val="center"/>
          </w:tcPr>
          <w:p>
            <w:pPr>
              <w:spacing w:line="400" w:lineRule="exact"/>
              <w:jc w:val="left"/>
              <w:rPr>
                <w:rFonts w:ascii="宋体" w:hAnsi="宋体" w:cs="宋体"/>
                <w:b/>
                <w:sz w:val="22"/>
              </w:rPr>
            </w:pPr>
            <w:r>
              <w:rPr>
                <w:rFonts w:hint="eastAsia" w:ascii="宋体" w:hAnsi="宋体" w:cs="宋体"/>
                <w:sz w:val="22"/>
              </w:rPr>
              <w:t>投标函</w:t>
            </w:r>
          </w:p>
        </w:tc>
        <w:tc>
          <w:tcPr>
            <w:tcW w:w="1382" w:type="dxa"/>
            <w:vAlign w:val="center"/>
          </w:tcPr>
          <w:p>
            <w:pPr>
              <w:spacing w:line="400" w:lineRule="exact"/>
              <w:jc w:val="center"/>
              <w:rPr>
                <w:rFonts w:ascii="宋体" w:hAnsi="宋体" w:cs="宋体"/>
                <w:sz w:val="22"/>
              </w:rPr>
            </w:pPr>
            <w:r>
              <w:rPr>
                <w:rFonts w:hint="eastAsia" w:ascii="宋体" w:hAnsi="宋体" w:cs="宋体"/>
                <w:sz w:val="22"/>
              </w:rPr>
              <w:t>附件一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134" w:type="dxa"/>
            <w:vAlign w:val="center"/>
          </w:tcPr>
          <w:p>
            <w:pPr>
              <w:spacing w:line="400" w:lineRule="exact"/>
              <w:jc w:val="center"/>
              <w:rPr>
                <w:rFonts w:ascii="宋体" w:hAnsi="宋体" w:cs="宋体"/>
                <w:sz w:val="22"/>
              </w:rPr>
            </w:pPr>
            <w:r>
              <w:rPr>
                <w:rFonts w:ascii="宋体" w:hAnsi="宋体" w:cs="宋体"/>
                <w:sz w:val="22"/>
              </w:rPr>
              <w:t>2</w:t>
            </w:r>
          </w:p>
        </w:tc>
        <w:tc>
          <w:tcPr>
            <w:tcW w:w="7230" w:type="dxa"/>
            <w:vAlign w:val="center"/>
          </w:tcPr>
          <w:p>
            <w:pPr>
              <w:spacing w:line="400" w:lineRule="exact"/>
              <w:jc w:val="left"/>
              <w:rPr>
                <w:rFonts w:ascii="宋体" w:hAnsi="宋体" w:cs="宋体"/>
                <w:b/>
                <w:sz w:val="22"/>
              </w:rPr>
            </w:pPr>
            <w:r>
              <w:rPr>
                <w:rFonts w:hint="eastAsia" w:ascii="宋体" w:hAnsi="宋体" w:cs="宋体"/>
                <w:sz w:val="22"/>
              </w:rPr>
              <w:t>技术、商务条款偏离表</w:t>
            </w:r>
          </w:p>
        </w:tc>
        <w:tc>
          <w:tcPr>
            <w:tcW w:w="1382" w:type="dxa"/>
            <w:vAlign w:val="center"/>
          </w:tcPr>
          <w:p>
            <w:pPr>
              <w:spacing w:line="400" w:lineRule="exact"/>
              <w:jc w:val="center"/>
              <w:rPr>
                <w:rFonts w:ascii="宋体" w:hAnsi="宋体" w:cs="宋体"/>
                <w:sz w:val="22"/>
              </w:rPr>
            </w:pPr>
            <w:r>
              <w:rPr>
                <w:rFonts w:hint="eastAsia" w:ascii="宋体" w:hAnsi="宋体" w:cs="宋体"/>
                <w:sz w:val="22"/>
              </w:rPr>
              <w:t>附件三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134" w:type="dxa"/>
            <w:vAlign w:val="center"/>
          </w:tcPr>
          <w:p>
            <w:pPr>
              <w:spacing w:line="400" w:lineRule="exact"/>
              <w:jc w:val="center"/>
              <w:rPr>
                <w:rFonts w:ascii="宋体" w:hAnsi="宋体" w:cs="宋体"/>
                <w:sz w:val="22"/>
              </w:rPr>
            </w:pPr>
            <w:r>
              <w:rPr>
                <w:rFonts w:ascii="宋体" w:hAnsi="宋体" w:cs="宋体"/>
                <w:sz w:val="22"/>
              </w:rPr>
              <w:t>3</w:t>
            </w:r>
          </w:p>
        </w:tc>
        <w:tc>
          <w:tcPr>
            <w:tcW w:w="7230" w:type="dxa"/>
            <w:vAlign w:val="center"/>
          </w:tcPr>
          <w:p>
            <w:pPr>
              <w:spacing w:line="400" w:lineRule="exact"/>
              <w:jc w:val="left"/>
              <w:rPr>
                <w:rFonts w:ascii="宋体" w:hAnsi="宋体" w:cs="宋体"/>
                <w:sz w:val="22"/>
              </w:rPr>
            </w:pPr>
            <w:r>
              <w:rPr>
                <w:rFonts w:hint="eastAsia" w:ascii="宋体" w:hAnsi="宋体" w:cs="宋体"/>
                <w:sz w:val="22"/>
              </w:rPr>
              <w:t>技术部分（按“评标细则”相关评分内容逐项编制）</w:t>
            </w:r>
          </w:p>
        </w:tc>
        <w:tc>
          <w:tcPr>
            <w:tcW w:w="1382" w:type="dxa"/>
            <w:vAlign w:val="center"/>
          </w:tcPr>
          <w:p>
            <w:pPr>
              <w:spacing w:line="400" w:lineRule="exact"/>
              <w:jc w:val="center"/>
              <w:rPr>
                <w:rFonts w:ascii="宋体" w:hAnsi="宋体" w:cs="宋体"/>
                <w:sz w:val="22"/>
              </w:rPr>
            </w:pPr>
            <w:r>
              <w:rPr>
                <w:rFonts w:hint="eastAsia" w:ascii="宋体" w:hAnsi="宋体" w:cs="宋体"/>
                <w:sz w:val="22"/>
              </w:rPr>
              <w:t>格式自拟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134" w:type="dxa"/>
            <w:vAlign w:val="center"/>
          </w:tcPr>
          <w:p>
            <w:pPr>
              <w:spacing w:line="400" w:lineRule="exact"/>
              <w:jc w:val="center"/>
              <w:rPr>
                <w:rFonts w:ascii="宋体" w:hAnsi="宋体" w:cs="宋体"/>
                <w:sz w:val="22"/>
              </w:rPr>
            </w:pPr>
            <w:r>
              <w:rPr>
                <w:rFonts w:ascii="宋体" w:hAnsi="宋体" w:cs="宋体"/>
                <w:sz w:val="22"/>
              </w:rPr>
              <w:t>4</w:t>
            </w:r>
          </w:p>
        </w:tc>
        <w:tc>
          <w:tcPr>
            <w:tcW w:w="7230" w:type="dxa"/>
            <w:vAlign w:val="center"/>
          </w:tcPr>
          <w:p>
            <w:pPr>
              <w:spacing w:line="400" w:lineRule="exact"/>
              <w:jc w:val="left"/>
              <w:rPr>
                <w:rFonts w:ascii="宋体" w:hAnsi="宋体" w:cs="宋体"/>
                <w:b/>
                <w:sz w:val="22"/>
              </w:rPr>
            </w:pPr>
            <w:r>
              <w:rPr>
                <w:rFonts w:hint="eastAsia" w:ascii="宋体" w:hAnsi="宋体" w:cs="宋体"/>
                <w:sz w:val="22"/>
              </w:rPr>
              <w:t>供应商需要说明的其他文件和说明</w:t>
            </w:r>
          </w:p>
        </w:tc>
        <w:tc>
          <w:tcPr>
            <w:tcW w:w="1382" w:type="dxa"/>
            <w:vAlign w:val="center"/>
          </w:tcPr>
          <w:p>
            <w:pPr>
              <w:spacing w:line="400" w:lineRule="exact"/>
              <w:jc w:val="center"/>
              <w:rPr>
                <w:rFonts w:ascii="宋体" w:hAnsi="宋体" w:cs="宋体"/>
                <w:sz w:val="22"/>
              </w:rPr>
            </w:pPr>
            <w:r>
              <w:rPr>
                <w:rFonts w:hint="eastAsia" w:ascii="宋体" w:hAnsi="宋体" w:cs="宋体"/>
                <w:sz w:val="22"/>
              </w:rPr>
              <w:t>格式自拟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134" w:type="dxa"/>
            <w:vAlign w:val="center"/>
          </w:tcPr>
          <w:p>
            <w:pPr>
              <w:tabs>
                <w:tab w:val="center" w:pos="459"/>
              </w:tabs>
              <w:spacing w:line="400" w:lineRule="exact"/>
              <w:jc w:val="center"/>
              <w:rPr>
                <w:rFonts w:ascii="宋体" w:hAnsi="宋体" w:cs="宋体"/>
                <w:sz w:val="22"/>
              </w:rPr>
            </w:pPr>
            <w:r>
              <w:rPr>
                <w:rFonts w:ascii="宋体" w:hAnsi="宋体" w:cs="宋体"/>
                <w:sz w:val="22"/>
              </w:rPr>
              <w:t>5</w:t>
            </w:r>
          </w:p>
        </w:tc>
        <w:tc>
          <w:tcPr>
            <w:tcW w:w="7230" w:type="dxa"/>
            <w:vAlign w:val="center"/>
          </w:tcPr>
          <w:p>
            <w:pPr>
              <w:spacing w:line="400" w:lineRule="exact"/>
              <w:jc w:val="left"/>
              <w:rPr>
                <w:rFonts w:ascii="宋体" w:hAnsi="宋体" w:cs="宋体"/>
                <w:sz w:val="22"/>
              </w:rPr>
            </w:pPr>
            <w:r>
              <w:rPr>
                <w:rFonts w:hint="eastAsia" w:ascii="宋体" w:hAnsi="宋体" w:cs="宋体"/>
                <w:sz w:val="22"/>
              </w:rPr>
              <w:t>供应商公司简介以及认为需要提供的其他相关资料</w:t>
            </w:r>
          </w:p>
        </w:tc>
        <w:tc>
          <w:tcPr>
            <w:tcW w:w="1382" w:type="dxa"/>
            <w:vAlign w:val="center"/>
          </w:tcPr>
          <w:p>
            <w:pPr>
              <w:spacing w:line="400" w:lineRule="exact"/>
              <w:jc w:val="center"/>
              <w:rPr>
                <w:rFonts w:ascii="宋体" w:hAnsi="宋体" w:cs="宋体"/>
                <w:sz w:val="22"/>
              </w:rPr>
            </w:pPr>
            <w:r>
              <w:rPr>
                <w:rFonts w:hint="eastAsia" w:ascii="宋体" w:hAnsi="宋体" w:cs="宋体"/>
                <w:sz w:val="22"/>
              </w:rPr>
              <w:t>格式自拟</w:t>
            </w:r>
          </w:p>
        </w:tc>
      </w:tr>
    </w:tbl>
    <w:p>
      <w:pPr>
        <w:spacing w:line="360" w:lineRule="auto"/>
        <w:ind w:firstLine="420"/>
        <w:jc w:val="left"/>
        <w:rPr>
          <w:rFonts w:ascii="宋体" w:hAnsi="宋体" w:cs="宋体"/>
          <w:b/>
          <w:sz w:val="22"/>
        </w:rPr>
      </w:pPr>
      <w:r>
        <w:rPr>
          <w:rFonts w:ascii="宋体" w:hAnsi="宋体" w:cs="宋体"/>
          <w:b/>
          <w:vanish/>
          <w:sz w:val="22"/>
        </w:rPr>
        <w:t xml:space="preserve">                  、各方分工及承销费分配比例。</w:t>
      </w:r>
      <w:r>
        <w:rPr>
          <w:rFonts w:ascii="宋体" w:hAnsi="宋体" w:cs="宋体"/>
          <w:b/>
          <w:vanish/>
          <w:sz w:val="22"/>
        </w:rPr>
        <w:pgNum/>
      </w:r>
      <w:r>
        <w:rPr>
          <w:rFonts w:ascii="宋体" w:hAnsi="宋体" w:cs="宋体"/>
          <w:b/>
          <w:vanish/>
          <w:sz w:val="22"/>
        </w:rPr>
        <w:pgNum/>
      </w:r>
      <w:r>
        <w:rPr>
          <w:rFonts w:ascii="宋体" w:hAnsi="宋体" w:cs="宋体"/>
          <w:b/>
          <w:vanish/>
          <w:sz w:val="22"/>
        </w:rPr>
        <w:pgNum/>
      </w:r>
      <w:r>
        <w:rPr>
          <w:rFonts w:ascii="宋体" w:hAnsi="宋体" w:cs="宋体"/>
          <w:b/>
          <w:vanish/>
          <w:sz w:val="22"/>
        </w:rPr>
        <w:pgNum/>
      </w:r>
      <w:r>
        <w:rPr>
          <w:rFonts w:ascii="宋体" w:hAnsi="宋体" w:cs="宋体"/>
          <w:b/>
          <w:vanish/>
          <w:sz w:val="22"/>
        </w:rPr>
        <w:pgNum/>
      </w:r>
      <w:r>
        <w:rPr>
          <w:rFonts w:ascii="宋体" w:hAnsi="宋体" w:cs="宋体"/>
          <w:b/>
          <w:vanish/>
          <w:sz w:val="22"/>
        </w:rPr>
        <w:pgNum/>
      </w:r>
      <w:r>
        <w:rPr>
          <w:rFonts w:ascii="宋体" w:hAnsi="宋体" w:cs="宋体"/>
          <w:b/>
          <w:vanish/>
          <w:sz w:val="22"/>
        </w:rPr>
        <w:pgNum/>
      </w:r>
      <w:r>
        <w:rPr>
          <w:rFonts w:ascii="宋体" w:hAnsi="宋体" w:cs="宋体"/>
          <w:b/>
          <w:vanish/>
          <w:sz w:val="22"/>
        </w:rPr>
        <w:pgNum/>
      </w:r>
      <w:r>
        <w:rPr>
          <w:rFonts w:ascii="宋体" w:hAnsi="宋体" w:cs="宋体"/>
          <w:b/>
          <w:vanish/>
          <w:sz w:val="22"/>
        </w:rPr>
        <w:pgNum/>
      </w:r>
      <w:r>
        <w:rPr>
          <w:rFonts w:ascii="宋体" w:hAnsi="宋体" w:cs="宋体"/>
          <w:b/>
          <w:vanish/>
          <w:sz w:val="22"/>
        </w:rPr>
        <w:pgNum/>
      </w:r>
      <w:r>
        <w:rPr>
          <w:rFonts w:ascii="宋体" w:hAnsi="宋体" w:cs="宋体"/>
          <w:b/>
          <w:vanish/>
          <w:sz w:val="22"/>
        </w:rPr>
        <w:pgNum/>
      </w:r>
      <w:r>
        <w:rPr>
          <w:rFonts w:ascii="宋体" w:hAnsi="宋体" w:cs="宋体"/>
          <w:b/>
          <w:vanish/>
          <w:sz w:val="22"/>
        </w:rPr>
        <w:pgNum/>
      </w:r>
      <w:r>
        <w:rPr>
          <w:rFonts w:ascii="宋体" w:hAnsi="宋体" w:cs="宋体"/>
          <w:b/>
          <w:vanish/>
          <w:sz w:val="22"/>
        </w:rPr>
        <w:pgNum/>
      </w:r>
      <w:r>
        <w:rPr>
          <w:rFonts w:ascii="宋体" w:hAnsi="宋体" w:cs="宋体"/>
          <w:b/>
          <w:vanish/>
          <w:sz w:val="22"/>
        </w:rPr>
        <w:pgNum/>
      </w:r>
      <w:r>
        <w:rPr>
          <w:rFonts w:ascii="宋体" w:hAnsi="宋体" w:cs="宋体"/>
          <w:b/>
          <w:vanish/>
          <w:sz w:val="22"/>
        </w:rPr>
        <w:pgNum/>
      </w:r>
      <w:r>
        <w:rPr>
          <w:rFonts w:ascii="宋体" w:hAnsi="宋体" w:cs="宋体"/>
          <w:b/>
          <w:vanish/>
          <w:sz w:val="22"/>
        </w:rPr>
        <w:pgNum/>
      </w:r>
      <w:r>
        <w:rPr>
          <w:rFonts w:ascii="宋体" w:hAnsi="宋体" w:cs="宋体"/>
          <w:b/>
          <w:vanish/>
          <w:sz w:val="22"/>
        </w:rPr>
        <w:pgNum/>
      </w:r>
      <w:r>
        <w:rPr>
          <w:rFonts w:ascii="宋体" w:hAnsi="宋体" w:cs="宋体"/>
          <w:b/>
          <w:vanish/>
          <w:sz w:val="22"/>
        </w:rPr>
        <w:pgNum/>
      </w:r>
      <w:r>
        <w:rPr>
          <w:rFonts w:ascii="宋体" w:hAnsi="宋体" w:cs="宋体"/>
          <w:b/>
          <w:vanish/>
          <w:sz w:val="22"/>
        </w:rPr>
        <w:pgNum/>
      </w:r>
      <w:r>
        <w:rPr>
          <w:rFonts w:ascii="宋体" w:hAnsi="宋体" w:cs="宋体"/>
          <w:b/>
          <w:vanish/>
          <w:sz w:val="22"/>
        </w:rPr>
        <w:pgNum/>
      </w:r>
      <w:r>
        <w:rPr>
          <w:rFonts w:ascii="宋体" w:hAnsi="宋体" w:cs="宋体"/>
          <w:b/>
          <w:vanish/>
          <w:sz w:val="22"/>
        </w:rPr>
        <w:pgNum/>
      </w:r>
      <w:r>
        <w:rPr>
          <w:rFonts w:ascii="宋体" w:hAnsi="宋体" w:cs="宋体"/>
          <w:b/>
          <w:vanish/>
          <w:sz w:val="22"/>
        </w:rPr>
        <w:pgNum/>
      </w:r>
      <w:r>
        <w:rPr>
          <w:rFonts w:ascii="宋体" w:hAnsi="宋体" w:cs="宋体"/>
          <w:b/>
          <w:vanish/>
          <w:sz w:val="22"/>
        </w:rPr>
        <w:pgNum/>
      </w:r>
      <w:r>
        <w:rPr>
          <w:rFonts w:ascii="宋体" w:hAnsi="宋体" w:cs="宋体"/>
          <w:b/>
          <w:vanish/>
          <w:sz w:val="22"/>
        </w:rPr>
        <w:pgNum/>
      </w:r>
      <w:r>
        <w:rPr>
          <w:rFonts w:ascii="宋体" w:hAnsi="宋体" w:cs="宋体"/>
          <w:b/>
          <w:vanish/>
          <w:sz w:val="22"/>
        </w:rPr>
        <w:pgNum/>
      </w:r>
      <w:r>
        <w:rPr>
          <w:rFonts w:ascii="宋体" w:hAnsi="宋体" w:cs="宋体"/>
          <w:b/>
          <w:vanish/>
          <w:sz w:val="22"/>
        </w:rPr>
        <w:pgNum/>
      </w:r>
      <w:r>
        <w:rPr>
          <w:rFonts w:ascii="宋体" w:hAnsi="宋体" w:cs="宋体"/>
          <w:b/>
          <w:vanish/>
          <w:sz w:val="22"/>
        </w:rPr>
        <w:pgNum/>
      </w:r>
      <w:r>
        <w:rPr>
          <w:rFonts w:ascii="宋体" w:hAnsi="宋体" w:cs="宋体"/>
          <w:b/>
          <w:vanish/>
          <w:sz w:val="22"/>
        </w:rPr>
        <w:pgNum/>
      </w:r>
      <w:r>
        <w:rPr>
          <w:rFonts w:ascii="宋体" w:hAnsi="宋体" w:cs="宋体"/>
          <w:b/>
          <w:vanish/>
          <w:sz w:val="22"/>
        </w:rPr>
        <w:pgNum/>
      </w:r>
      <w:r>
        <w:rPr>
          <w:rFonts w:ascii="宋体" w:hAnsi="宋体" w:cs="宋体"/>
          <w:b/>
          <w:vanish/>
          <w:sz w:val="22"/>
        </w:rPr>
        <w:pgNum/>
      </w:r>
      <w:r>
        <w:rPr>
          <w:rFonts w:ascii="宋体" w:hAnsi="宋体" w:cs="宋体"/>
          <w:b/>
          <w:vanish/>
          <w:sz w:val="22"/>
        </w:rPr>
        <w:pgNum/>
      </w:r>
      <w:r>
        <w:rPr>
          <w:rFonts w:ascii="宋体" w:hAnsi="宋体" w:cs="宋体"/>
          <w:b/>
          <w:vanish/>
          <w:sz w:val="22"/>
        </w:rPr>
        <w:pgNum/>
      </w:r>
      <w:r>
        <w:rPr>
          <w:rFonts w:ascii="宋体" w:hAnsi="宋体" w:cs="宋体"/>
          <w:b/>
          <w:vanish/>
          <w:sz w:val="22"/>
        </w:rPr>
        <w:pgNum/>
      </w:r>
      <w:r>
        <w:rPr>
          <w:rFonts w:ascii="宋体" w:hAnsi="宋体" w:cs="宋体"/>
          <w:b/>
          <w:vanish/>
          <w:sz w:val="22"/>
        </w:rPr>
        <w:pgNum/>
      </w:r>
      <w:r>
        <w:rPr>
          <w:rFonts w:ascii="宋体" w:hAnsi="宋体" w:cs="宋体"/>
          <w:b/>
          <w:vanish/>
          <w:sz w:val="22"/>
        </w:rPr>
        <w:pgNum/>
      </w:r>
      <w:r>
        <w:rPr>
          <w:rFonts w:ascii="宋体" w:hAnsi="宋体" w:cs="宋体"/>
          <w:b/>
          <w:vanish/>
          <w:sz w:val="22"/>
        </w:rPr>
        <w:pgNum/>
      </w:r>
      <w:r>
        <w:rPr>
          <w:rFonts w:ascii="宋体" w:hAnsi="宋体" w:cs="宋体"/>
          <w:b/>
          <w:vanish/>
          <w:sz w:val="22"/>
        </w:rPr>
        <w:pgNum/>
      </w:r>
      <w:r>
        <w:rPr>
          <w:rFonts w:ascii="宋体" w:hAnsi="宋体" w:cs="宋体"/>
          <w:b/>
          <w:vanish/>
          <w:sz w:val="22"/>
        </w:rPr>
        <w:pgNum/>
      </w:r>
      <w:r>
        <w:rPr>
          <w:rFonts w:ascii="宋体" w:hAnsi="宋体" w:cs="宋体"/>
          <w:b/>
          <w:vanish/>
          <w:sz w:val="22"/>
        </w:rPr>
        <w:pgNum/>
      </w:r>
      <w:r>
        <w:rPr>
          <w:rFonts w:ascii="宋体" w:hAnsi="宋体" w:cs="宋体"/>
          <w:b/>
          <w:vanish/>
          <w:sz w:val="22"/>
        </w:rPr>
        <w:pgNum/>
      </w:r>
      <w:r>
        <w:rPr>
          <w:rFonts w:ascii="宋体" w:hAnsi="宋体" w:cs="宋体"/>
          <w:b/>
          <w:vanish/>
          <w:sz w:val="22"/>
        </w:rPr>
        <w:pgNum/>
      </w:r>
      <w:r>
        <w:rPr>
          <w:rFonts w:ascii="宋体" w:hAnsi="宋体" w:cs="宋体"/>
          <w:b/>
          <w:vanish/>
          <w:sz w:val="22"/>
        </w:rPr>
        <w:pgNum/>
      </w:r>
      <w:r>
        <w:rPr>
          <w:rFonts w:ascii="宋体" w:hAnsi="宋体" w:cs="宋体"/>
          <w:b/>
          <w:vanish/>
          <w:sz w:val="22"/>
        </w:rPr>
        <w:pgNum/>
      </w:r>
      <w:r>
        <w:rPr>
          <w:rFonts w:ascii="宋体" w:hAnsi="宋体" w:cs="宋体"/>
          <w:b/>
          <w:vanish/>
          <w:sz w:val="22"/>
        </w:rPr>
        <w:pgNum/>
      </w:r>
      <w:r>
        <w:rPr>
          <w:rFonts w:ascii="宋体" w:hAnsi="宋体" w:cs="宋体"/>
          <w:b/>
          <w:vanish/>
          <w:sz w:val="22"/>
        </w:rPr>
        <w:pgNum/>
      </w:r>
      <w:r>
        <w:rPr>
          <w:rFonts w:ascii="宋体" w:hAnsi="宋体" w:cs="宋体"/>
          <w:b/>
          <w:vanish/>
          <w:sz w:val="22"/>
        </w:rPr>
        <w:pgNum/>
      </w:r>
      <w:r>
        <w:rPr>
          <w:rFonts w:ascii="宋体" w:hAnsi="宋体" w:cs="宋体"/>
          <w:b/>
          <w:vanish/>
          <w:sz w:val="22"/>
        </w:rPr>
        <w:pgNum/>
      </w:r>
      <w:r>
        <w:rPr>
          <w:rFonts w:ascii="宋体" w:hAnsi="宋体" w:cs="宋体"/>
          <w:b/>
          <w:vanish/>
          <w:sz w:val="22"/>
        </w:rPr>
        <w:pgNum/>
      </w:r>
      <w:r>
        <w:rPr>
          <w:rFonts w:ascii="宋体" w:hAnsi="宋体" w:cs="宋体"/>
          <w:b/>
          <w:vanish/>
          <w:sz w:val="22"/>
        </w:rPr>
        <w:pgNum/>
      </w:r>
      <w:r>
        <w:rPr>
          <w:rFonts w:ascii="宋体" w:hAnsi="宋体" w:cs="宋体"/>
          <w:b/>
          <w:vanish/>
          <w:sz w:val="22"/>
        </w:rPr>
        <w:pgNum/>
      </w:r>
      <w:r>
        <w:rPr>
          <w:rFonts w:ascii="宋体" w:hAnsi="宋体" w:cs="宋体"/>
          <w:b/>
          <w:vanish/>
          <w:sz w:val="22"/>
        </w:rPr>
        <w:pgNum/>
      </w:r>
      <w:r>
        <w:rPr>
          <w:rFonts w:ascii="宋体" w:hAnsi="宋体" w:cs="宋体"/>
          <w:b/>
          <w:vanish/>
          <w:sz w:val="22"/>
        </w:rPr>
        <w:pgNum/>
      </w:r>
      <w:r>
        <w:rPr>
          <w:rFonts w:ascii="宋体" w:hAnsi="宋体" w:cs="宋体"/>
          <w:b/>
          <w:vanish/>
          <w:sz w:val="22"/>
        </w:rPr>
        <w:pgNum/>
      </w:r>
      <w:r>
        <w:rPr>
          <w:rFonts w:ascii="宋体" w:hAnsi="宋体" w:cs="宋体"/>
          <w:b/>
          <w:vanish/>
          <w:sz w:val="22"/>
        </w:rPr>
        <w:pgNum/>
      </w:r>
      <w:r>
        <w:rPr>
          <w:rFonts w:ascii="宋体" w:hAnsi="宋体" w:cs="宋体"/>
          <w:b/>
          <w:vanish/>
          <w:sz w:val="22"/>
        </w:rPr>
        <w:pgNum/>
      </w:r>
      <w:r>
        <w:rPr>
          <w:rFonts w:ascii="宋体" w:hAnsi="宋体" w:cs="宋体"/>
          <w:b/>
          <w:vanish/>
          <w:sz w:val="22"/>
        </w:rPr>
        <w:pgNum/>
      </w:r>
      <w:r>
        <w:rPr>
          <w:rFonts w:ascii="宋体" w:hAnsi="宋体" w:cs="宋体"/>
          <w:b/>
          <w:vanish/>
          <w:sz w:val="22"/>
        </w:rPr>
        <w:pgNum/>
      </w:r>
      <w:r>
        <w:rPr>
          <w:rFonts w:ascii="宋体" w:hAnsi="宋体" w:cs="宋体"/>
          <w:b/>
          <w:vanish/>
          <w:sz w:val="22"/>
        </w:rPr>
        <w:pgNum/>
      </w:r>
      <w:r>
        <w:rPr>
          <w:rFonts w:ascii="宋体" w:hAnsi="宋体" w:cs="宋体"/>
          <w:b/>
          <w:vanish/>
          <w:sz w:val="22"/>
        </w:rPr>
        <w:pgNum/>
      </w:r>
      <w:r>
        <w:rPr>
          <w:rFonts w:ascii="宋体" w:hAnsi="宋体" w:cs="宋体"/>
          <w:b/>
          <w:vanish/>
          <w:sz w:val="22"/>
        </w:rPr>
        <w:pgNum/>
      </w:r>
      <w:r>
        <w:rPr>
          <w:rFonts w:ascii="宋体" w:hAnsi="宋体" w:cs="宋体"/>
          <w:b/>
          <w:vanish/>
          <w:sz w:val="22"/>
        </w:rPr>
        <w:pgNum/>
      </w:r>
      <w:r>
        <w:rPr>
          <w:rFonts w:ascii="宋体" w:hAnsi="宋体" w:cs="宋体"/>
          <w:b/>
          <w:vanish/>
          <w:sz w:val="22"/>
        </w:rPr>
        <w:pgNum/>
      </w:r>
      <w:r>
        <w:rPr>
          <w:rFonts w:ascii="宋体" w:hAnsi="宋体" w:cs="宋体"/>
          <w:b/>
          <w:vanish/>
          <w:sz w:val="22"/>
        </w:rPr>
        <w:pgNum/>
      </w:r>
      <w:r>
        <w:rPr>
          <w:rFonts w:ascii="宋体" w:hAnsi="宋体" w:cs="宋体"/>
          <w:b/>
          <w:vanish/>
          <w:sz w:val="22"/>
        </w:rPr>
        <w:pgNum/>
      </w:r>
      <w:r>
        <w:rPr>
          <w:rFonts w:ascii="宋体" w:hAnsi="宋体" w:cs="宋体"/>
          <w:b/>
          <w:vanish/>
          <w:sz w:val="22"/>
        </w:rPr>
        <w:pgNum/>
      </w:r>
      <w:r>
        <w:rPr>
          <w:rFonts w:ascii="宋体" w:hAnsi="宋体" w:cs="宋体"/>
          <w:b/>
          <w:vanish/>
          <w:sz w:val="22"/>
        </w:rPr>
        <w:pgNum/>
      </w:r>
      <w:r>
        <w:rPr>
          <w:rFonts w:ascii="宋体" w:hAnsi="宋体" w:cs="宋体"/>
          <w:b/>
          <w:vanish/>
          <w:sz w:val="22"/>
        </w:rPr>
        <w:pgNum/>
      </w:r>
      <w:r>
        <w:rPr>
          <w:rFonts w:ascii="宋体" w:hAnsi="宋体" w:cs="宋体"/>
          <w:b/>
          <w:vanish/>
          <w:sz w:val="22"/>
        </w:rPr>
        <w:pgNum/>
      </w:r>
      <w:r>
        <w:rPr>
          <w:rFonts w:ascii="宋体" w:hAnsi="宋体" w:cs="宋体"/>
          <w:b/>
          <w:vanish/>
          <w:sz w:val="22"/>
        </w:rPr>
        <w:pgNum/>
      </w:r>
      <w:r>
        <w:rPr>
          <w:rFonts w:ascii="宋体" w:hAnsi="宋体" w:cs="宋体"/>
          <w:b/>
          <w:vanish/>
          <w:sz w:val="22"/>
        </w:rPr>
        <w:pgNum/>
      </w:r>
      <w:r>
        <w:rPr>
          <w:rFonts w:ascii="宋体" w:hAnsi="宋体" w:cs="宋体"/>
          <w:b/>
          <w:vanish/>
          <w:sz w:val="22"/>
        </w:rPr>
        <w:pgNum/>
      </w:r>
      <w:r>
        <w:rPr>
          <w:rFonts w:ascii="宋体" w:hAnsi="宋体" w:cs="宋体"/>
          <w:b/>
          <w:vanish/>
          <w:sz w:val="22"/>
        </w:rPr>
        <w:pgNum/>
      </w:r>
      <w:r>
        <w:rPr>
          <w:rFonts w:ascii="宋体" w:hAnsi="宋体" w:cs="宋体"/>
          <w:b/>
          <w:vanish/>
          <w:sz w:val="22"/>
        </w:rPr>
        <w:pgNum/>
      </w:r>
      <w:r>
        <w:rPr>
          <w:rFonts w:ascii="宋体" w:hAnsi="宋体" w:cs="宋体"/>
          <w:b/>
          <w:vanish/>
          <w:sz w:val="22"/>
        </w:rPr>
        <w:pgNum/>
      </w:r>
      <w:r>
        <w:rPr>
          <w:rFonts w:ascii="宋体" w:hAnsi="宋体" w:cs="宋体"/>
          <w:b/>
          <w:vanish/>
          <w:sz w:val="22"/>
        </w:rPr>
        <w:pgNum/>
      </w:r>
      <w:r>
        <w:rPr>
          <w:rFonts w:ascii="宋体" w:hAnsi="宋体" w:cs="宋体"/>
          <w:b/>
          <w:vanish/>
          <w:sz w:val="22"/>
        </w:rPr>
        <w:pgNum/>
      </w:r>
      <w:r>
        <w:rPr>
          <w:rFonts w:ascii="宋体" w:hAnsi="宋体" w:cs="宋体"/>
          <w:b/>
          <w:vanish/>
          <w:sz w:val="22"/>
        </w:rPr>
        <w:pgNum/>
      </w:r>
      <w:r>
        <w:rPr>
          <w:rFonts w:ascii="宋体" w:hAnsi="宋体" w:cs="宋体"/>
          <w:b/>
          <w:vanish/>
          <w:sz w:val="22"/>
        </w:rPr>
        <w:pgNum/>
      </w:r>
      <w:r>
        <w:rPr>
          <w:rFonts w:ascii="宋体" w:hAnsi="宋体" w:cs="宋体"/>
          <w:b/>
          <w:vanish/>
          <w:sz w:val="22"/>
        </w:rPr>
        <w:pgNum/>
      </w:r>
      <w:r>
        <w:rPr>
          <w:rFonts w:ascii="宋体" w:hAnsi="宋体" w:cs="宋体"/>
          <w:b/>
          <w:vanish/>
          <w:sz w:val="22"/>
        </w:rPr>
        <w:pgNum/>
      </w:r>
      <w:r>
        <w:rPr>
          <w:rFonts w:ascii="宋体" w:hAnsi="宋体" w:cs="宋体"/>
          <w:b/>
          <w:vanish/>
          <w:sz w:val="22"/>
        </w:rPr>
        <w:pgNum/>
      </w:r>
      <w:r>
        <w:rPr>
          <w:rFonts w:ascii="宋体" w:hAnsi="宋体" w:cs="宋体"/>
          <w:b/>
          <w:vanish/>
          <w:sz w:val="22"/>
        </w:rPr>
        <w:pgNum/>
      </w:r>
      <w:r>
        <w:rPr>
          <w:rFonts w:ascii="宋体" w:hAnsi="宋体" w:cs="宋体"/>
          <w:b/>
          <w:vanish/>
          <w:sz w:val="22"/>
        </w:rPr>
        <w:pgNum/>
      </w:r>
      <w:r>
        <w:rPr>
          <w:rFonts w:ascii="宋体" w:hAnsi="宋体" w:cs="宋体"/>
          <w:b/>
          <w:vanish/>
          <w:sz w:val="22"/>
        </w:rPr>
        <w:pgNum/>
      </w:r>
      <w:r>
        <w:rPr>
          <w:rFonts w:ascii="宋体" w:hAnsi="宋体" w:cs="宋体"/>
          <w:b/>
          <w:vanish/>
          <w:sz w:val="22"/>
        </w:rPr>
        <w:pgNum/>
      </w:r>
      <w:r>
        <w:rPr>
          <w:rFonts w:ascii="宋体" w:hAnsi="宋体" w:cs="宋体"/>
          <w:b/>
          <w:vanish/>
          <w:sz w:val="22"/>
        </w:rPr>
        <w:pgNum/>
      </w:r>
      <w:r>
        <w:rPr>
          <w:rFonts w:ascii="宋体" w:hAnsi="宋体" w:cs="宋体"/>
          <w:b/>
          <w:vanish/>
          <w:sz w:val="22"/>
        </w:rPr>
        <w:pgNum/>
      </w:r>
      <w:r>
        <w:rPr>
          <w:rFonts w:ascii="宋体" w:hAnsi="宋体" w:cs="宋体"/>
          <w:b/>
          <w:vanish/>
          <w:sz w:val="22"/>
        </w:rPr>
        <w:pgNum/>
      </w:r>
      <w:r>
        <w:rPr>
          <w:rFonts w:ascii="宋体" w:hAnsi="宋体" w:cs="宋体"/>
          <w:b/>
          <w:vanish/>
          <w:sz w:val="22"/>
        </w:rPr>
        <w:pgNum/>
      </w:r>
      <w:r>
        <w:rPr>
          <w:rFonts w:ascii="宋体" w:hAnsi="宋体" w:cs="宋体"/>
          <w:b/>
          <w:vanish/>
          <w:sz w:val="22"/>
        </w:rPr>
        <w:pgNum/>
      </w:r>
      <w:r>
        <w:rPr>
          <w:rFonts w:ascii="宋体" w:hAnsi="宋体" w:cs="宋体"/>
          <w:b/>
          <w:vanish/>
          <w:sz w:val="22"/>
        </w:rPr>
        <w:pgNum/>
      </w:r>
      <w:r>
        <w:rPr>
          <w:rFonts w:ascii="宋体" w:hAnsi="宋体" w:cs="宋体"/>
          <w:b/>
          <w:vanish/>
          <w:sz w:val="22"/>
        </w:rPr>
        <w:pgNum/>
      </w:r>
      <w:r>
        <w:rPr>
          <w:rFonts w:ascii="宋体" w:hAnsi="宋体" w:cs="宋体"/>
          <w:b/>
          <w:vanish/>
          <w:sz w:val="22"/>
        </w:rPr>
        <w:pgNum/>
      </w:r>
      <w:r>
        <w:rPr>
          <w:rFonts w:ascii="宋体" w:hAnsi="宋体" w:cs="宋体"/>
          <w:b/>
          <w:vanish/>
          <w:sz w:val="22"/>
        </w:rPr>
        <w:pgNum/>
      </w:r>
      <w:r>
        <w:rPr>
          <w:rFonts w:ascii="宋体" w:hAnsi="宋体" w:cs="宋体"/>
          <w:b/>
          <w:vanish/>
          <w:sz w:val="22"/>
        </w:rPr>
        <w:pgNum/>
      </w:r>
      <w:r>
        <w:rPr>
          <w:rFonts w:ascii="宋体" w:hAnsi="宋体" w:cs="宋体"/>
          <w:b/>
          <w:vanish/>
          <w:sz w:val="22"/>
        </w:rPr>
        <w:pgNum/>
      </w:r>
      <w:r>
        <w:rPr>
          <w:rFonts w:hint="eastAsia" w:ascii="宋体" w:hAnsi="宋体" w:cs="宋体"/>
          <w:b/>
          <w:sz w:val="22"/>
        </w:rPr>
        <w:t>说明：</w:t>
      </w:r>
    </w:p>
    <w:p>
      <w:pPr>
        <w:tabs>
          <w:tab w:val="left" w:pos="5355"/>
        </w:tabs>
        <w:spacing w:line="360" w:lineRule="auto"/>
        <w:ind w:firstLine="420"/>
        <w:jc w:val="left"/>
        <w:rPr>
          <w:rFonts w:ascii="宋体" w:hAnsi="宋体" w:cs="宋体"/>
          <w:sz w:val="22"/>
        </w:rPr>
      </w:pPr>
      <w:r>
        <w:rPr>
          <w:rFonts w:ascii="宋体" w:hAnsi="宋体" w:cs="宋体"/>
          <w:sz w:val="22"/>
        </w:rPr>
        <w:t>1）投标供应商可根据采购文件中的采购内容及要求和商务技术分评分表，提供投标供应商认为需要提供的文件和资料。</w:t>
      </w:r>
    </w:p>
    <w:p>
      <w:pPr>
        <w:tabs>
          <w:tab w:val="left" w:pos="5355"/>
        </w:tabs>
        <w:spacing w:line="360" w:lineRule="auto"/>
        <w:ind w:firstLine="420"/>
        <w:jc w:val="left"/>
        <w:rPr>
          <w:rFonts w:ascii="宋体" w:hAnsi="宋体" w:cs="宋体"/>
          <w:sz w:val="22"/>
        </w:rPr>
      </w:pPr>
      <w:r>
        <w:rPr>
          <w:rFonts w:ascii="宋体" w:hAnsi="宋体" w:cs="宋体"/>
          <w:sz w:val="22"/>
        </w:rPr>
        <w:t>2）以上所需的各种证书、证件、证明、执照加盖投标供应商有效的公章。</w:t>
      </w:r>
    </w:p>
    <w:p>
      <w:pPr>
        <w:overflowPunct w:val="0"/>
        <w:spacing w:line="360" w:lineRule="auto"/>
        <w:ind w:firstLine="420"/>
        <w:jc w:val="left"/>
        <w:rPr>
          <w:rFonts w:ascii="宋体" w:hAnsi="宋体" w:cs="宋体"/>
          <w:b/>
          <w:sz w:val="22"/>
        </w:rPr>
      </w:pPr>
      <w:bookmarkStart w:id="60" w:name="_Toc221356886"/>
      <w:r>
        <w:rPr>
          <w:rFonts w:hint="eastAsia" w:ascii="宋体" w:hAnsi="宋体" w:cs="宋体"/>
          <w:b/>
          <w:sz w:val="22"/>
        </w:rPr>
        <w:t>（</w:t>
      </w:r>
      <w:r>
        <w:rPr>
          <w:rFonts w:ascii="宋体" w:hAnsi="宋体" w:cs="宋体"/>
          <w:b/>
          <w:sz w:val="22"/>
        </w:rPr>
        <w:t xml:space="preserve">3） </w:t>
      </w:r>
      <w:r>
        <w:rPr>
          <w:rFonts w:hint="eastAsia" w:ascii="宋体" w:hAnsi="宋体" w:cs="宋体"/>
          <w:b/>
          <w:sz w:val="22"/>
        </w:rPr>
        <w:t>报价文件</w:t>
      </w:r>
      <w:bookmarkEnd w:id="60"/>
    </w:p>
    <w:tbl>
      <w:tblPr>
        <w:tblStyle w:val="24"/>
        <w:tblW w:w="9761" w:type="dxa"/>
        <w:tblInd w:w="10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5"/>
        <w:gridCol w:w="7224"/>
        <w:gridCol w:w="140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1135" w:type="dxa"/>
            <w:vAlign w:val="center"/>
          </w:tcPr>
          <w:p>
            <w:pPr>
              <w:spacing w:line="400" w:lineRule="exact"/>
              <w:jc w:val="center"/>
              <w:rPr>
                <w:rFonts w:ascii="宋体" w:hAnsi="宋体" w:cs="宋体"/>
                <w:b/>
                <w:sz w:val="22"/>
              </w:rPr>
            </w:pPr>
            <w:r>
              <w:rPr>
                <w:rFonts w:hint="eastAsia" w:ascii="宋体" w:hAnsi="宋体" w:cs="宋体"/>
                <w:b/>
                <w:sz w:val="22"/>
              </w:rPr>
              <w:t>序号</w:t>
            </w:r>
          </w:p>
        </w:tc>
        <w:tc>
          <w:tcPr>
            <w:tcW w:w="7224" w:type="dxa"/>
            <w:vAlign w:val="center"/>
          </w:tcPr>
          <w:p>
            <w:pPr>
              <w:spacing w:line="400" w:lineRule="exact"/>
              <w:jc w:val="center"/>
              <w:rPr>
                <w:rFonts w:ascii="宋体" w:hAnsi="宋体" w:cs="宋体"/>
                <w:b/>
                <w:sz w:val="22"/>
              </w:rPr>
            </w:pPr>
            <w:r>
              <w:rPr>
                <w:rFonts w:hint="eastAsia" w:ascii="宋体" w:hAnsi="宋体" w:cs="宋体"/>
                <w:b/>
                <w:sz w:val="22"/>
              </w:rPr>
              <w:t>内容</w:t>
            </w:r>
          </w:p>
        </w:tc>
        <w:tc>
          <w:tcPr>
            <w:tcW w:w="1402" w:type="dxa"/>
            <w:vAlign w:val="center"/>
          </w:tcPr>
          <w:p>
            <w:pPr>
              <w:spacing w:line="400" w:lineRule="exact"/>
              <w:jc w:val="center"/>
              <w:rPr>
                <w:rFonts w:ascii="宋体" w:hAnsi="宋体" w:cs="宋体"/>
                <w:b/>
                <w:sz w:val="22"/>
              </w:rPr>
            </w:pPr>
            <w:r>
              <w:rPr>
                <w:rFonts w:hint="eastAsia" w:ascii="宋体" w:hAnsi="宋体" w:cs="宋体"/>
                <w:b/>
                <w:sz w:val="22"/>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1135" w:type="dxa"/>
            <w:vAlign w:val="center"/>
          </w:tcPr>
          <w:p>
            <w:pPr>
              <w:spacing w:line="400" w:lineRule="exact"/>
              <w:jc w:val="center"/>
              <w:rPr>
                <w:rFonts w:ascii="宋体" w:hAnsi="宋体" w:cs="宋体"/>
                <w:sz w:val="22"/>
              </w:rPr>
            </w:pPr>
            <w:r>
              <w:rPr>
                <w:rFonts w:ascii="宋体" w:hAnsi="宋体" w:cs="宋体"/>
                <w:sz w:val="22"/>
              </w:rPr>
              <w:t>1</w:t>
            </w:r>
          </w:p>
        </w:tc>
        <w:tc>
          <w:tcPr>
            <w:tcW w:w="7224" w:type="dxa"/>
            <w:vAlign w:val="center"/>
          </w:tcPr>
          <w:p>
            <w:pPr>
              <w:spacing w:line="400" w:lineRule="exact"/>
              <w:jc w:val="left"/>
              <w:rPr>
                <w:rFonts w:ascii="宋体" w:hAnsi="宋体" w:cs="宋体"/>
                <w:b/>
                <w:sz w:val="22"/>
              </w:rPr>
            </w:pPr>
            <w:r>
              <w:rPr>
                <w:rFonts w:hint="eastAsia" w:ascii="宋体" w:hAnsi="宋体" w:cs="宋体"/>
                <w:sz w:val="22"/>
              </w:rPr>
              <w:t>报价一览表</w:t>
            </w:r>
          </w:p>
        </w:tc>
        <w:tc>
          <w:tcPr>
            <w:tcW w:w="1402" w:type="dxa"/>
            <w:vAlign w:val="center"/>
          </w:tcPr>
          <w:p>
            <w:pPr>
              <w:spacing w:line="400" w:lineRule="exact"/>
              <w:jc w:val="center"/>
              <w:rPr>
                <w:rFonts w:ascii="宋体" w:hAnsi="宋体" w:cs="宋体"/>
                <w:sz w:val="22"/>
              </w:rPr>
            </w:pPr>
            <w:r>
              <w:rPr>
                <w:rFonts w:hint="eastAsia" w:ascii="宋体" w:hAnsi="宋体" w:cs="宋体"/>
                <w:sz w:val="22"/>
              </w:rPr>
              <w:t>附件二</w:t>
            </w:r>
          </w:p>
        </w:tc>
      </w:tr>
    </w:tbl>
    <w:p>
      <w:pPr>
        <w:tabs>
          <w:tab w:val="left" w:pos="900"/>
        </w:tabs>
        <w:overflowPunct w:val="0"/>
        <w:spacing w:line="360" w:lineRule="auto"/>
        <w:ind w:firstLine="420"/>
        <w:jc w:val="left"/>
        <w:rPr>
          <w:rFonts w:ascii="宋体" w:hAnsi="宋体" w:cs="宋体"/>
          <w:sz w:val="22"/>
        </w:rPr>
      </w:pPr>
      <w:r>
        <w:rPr>
          <w:rFonts w:ascii="宋体" w:hAnsi="宋体" w:cs="宋体"/>
          <w:sz w:val="22"/>
        </w:rPr>
        <w:t>10.2投标文件格式</w:t>
      </w:r>
    </w:p>
    <w:p>
      <w:pPr>
        <w:tabs>
          <w:tab w:val="left" w:pos="360"/>
          <w:tab w:val="left" w:pos="426"/>
        </w:tabs>
        <w:overflowPunct w:val="0"/>
        <w:spacing w:line="360" w:lineRule="auto"/>
        <w:ind w:firstLine="420"/>
        <w:jc w:val="left"/>
        <w:rPr>
          <w:rFonts w:ascii="宋体" w:hAnsi="宋体" w:cs="宋体"/>
          <w:sz w:val="22"/>
        </w:rPr>
      </w:pPr>
      <w:r>
        <w:rPr>
          <w:rFonts w:ascii="宋体" w:hAnsi="宋体" w:cs="宋体"/>
          <w:sz w:val="22"/>
        </w:rPr>
        <w:t>10.2.1本项目通过“</w:t>
      </w:r>
      <w:r>
        <w:rPr>
          <w:rFonts w:hint="eastAsia" w:ascii="宋体" w:hAnsi="宋体" w:cs="宋体"/>
          <w:sz w:val="22"/>
        </w:rPr>
        <w:t>乐采云平台</w:t>
      </w:r>
      <w:r>
        <w:rPr>
          <w:rFonts w:ascii="宋体" w:hAnsi="宋体" w:cs="宋体"/>
          <w:sz w:val="22"/>
        </w:rPr>
        <w:t>（</w:t>
      </w:r>
      <w:r>
        <w:rPr>
          <w:rFonts w:hint="eastAsia" w:ascii="宋体" w:hAnsi="宋体" w:cs="宋体"/>
          <w:sz w:val="22"/>
        </w:rPr>
        <w:t>www.lecaiyun.com</w:t>
      </w:r>
      <w:r>
        <w:rPr>
          <w:rFonts w:ascii="宋体" w:hAnsi="宋体" w:cs="宋体"/>
          <w:sz w:val="22"/>
        </w:rPr>
        <w:t>）”实行在线投标响应（电子投标）。供应商应通过“</w:t>
      </w:r>
      <w:r>
        <w:rPr>
          <w:rFonts w:hint="eastAsia" w:ascii="宋体" w:hAnsi="宋体" w:cs="宋体"/>
          <w:sz w:val="22"/>
        </w:rPr>
        <w:t>乐采云投标客户端</w:t>
      </w:r>
      <w:r>
        <w:rPr>
          <w:rFonts w:ascii="宋体" w:hAnsi="宋体" w:cs="宋体"/>
          <w:sz w:val="22"/>
        </w:rPr>
        <w:t>”，并按照本采购文件和“</w:t>
      </w:r>
      <w:r>
        <w:rPr>
          <w:rFonts w:hint="eastAsia" w:ascii="宋体" w:hAnsi="宋体" w:cs="宋体"/>
          <w:sz w:val="22"/>
        </w:rPr>
        <w:t>乐采云平台</w:t>
      </w:r>
      <w:r>
        <w:rPr>
          <w:rFonts w:ascii="宋体" w:hAnsi="宋体" w:cs="宋体"/>
          <w:sz w:val="22"/>
        </w:rPr>
        <w:t>”的要求编制并加密投标文件。</w:t>
      </w:r>
    </w:p>
    <w:p>
      <w:pPr>
        <w:tabs>
          <w:tab w:val="left" w:pos="360"/>
          <w:tab w:val="left" w:pos="426"/>
        </w:tabs>
        <w:overflowPunct w:val="0"/>
        <w:spacing w:line="360" w:lineRule="auto"/>
        <w:ind w:firstLine="420"/>
        <w:jc w:val="left"/>
        <w:rPr>
          <w:rFonts w:ascii="宋体" w:hAnsi="宋体" w:cs="宋体"/>
          <w:sz w:val="22"/>
        </w:rPr>
      </w:pPr>
      <w:r>
        <w:rPr>
          <w:rFonts w:ascii="宋体" w:hAnsi="宋体" w:cs="宋体"/>
          <w:sz w:val="22"/>
        </w:rPr>
        <w:t xml:space="preserve">10.2.2投标供应商应当按照本章节 </w:t>
      </w:r>
      <w:r>
        <w:rPr>
          <w:rFonts w:hint="eastAsia" w:ascii="宋体" w:hAnsi="宋体" w:cs="宋体"/>
          <w:sz w:val="22"/>
        </w:rPr>
        <w:t>“投标文件组成”规定的内容及顺序在“乐采云投标客户端”编制投标文件。其中《资格文件》和《商务技术文件》中不得出现本项目投标报价，如因投标供应商原因提前泄露投标报价，是投标供应商的责任。</w:t>
      </w:r>
    </w:p>
    <w:p>
      <w:pPr>
        <w:tabs>
          <w:tab w:val="left" w:pos="426"/>
          <w:tab w:val="left" w:pos="562"/>
        </w:tabs>
        <w:spacing w:line="360" w:lineRule="auto"/>
        <w:ind w:firstLine="420"/>
        <w:jc w:val="left"/>
        <w:rPr>
          <w:rFonts w:ascii="宋体" w:hAnsi="宋体" w:cs="宋体"/>
          <w:sz w:val="22"/>
        </w:rPr>
      </w:pPr>
      <w:r>
        <w:rPr>
          <w:rFonts w:ascii="宋体" w:hAnsi="宋体" w:cs="宋体"/>
          <w:sz w:val="22"/>
        </w:rPr>
        <w:t>10.2.3本文件《第</w:t>
      </w:r>
      <w:r>
        <w:rPr>
          <w:rFonts w:hint="eastAsia" w:ascii="宋体" w:hAnsi="宋体" w:cs="宋体"/>
          <w:sz w:val="22"/>
        </w:rPr>
        <w:t>五部分投标文件格式》中有提供格式的，投标供应商须参照格式进行编制（格式中要求提供相关证明材料的还需后附相关证明材料），并按格式要求在指定位置根据要求进行签章；本文件《第五部分投标文件格式》未提供格式的，请各投标单位自行拟定格式，并加盖单位公章并由法定代表人或其授权代表签署（签字或盖章）。</w:t>
      </w:r>
    </w:p>
    <w:p>
      <w:pPr>
        <w:numPr>
          <w:ilvl w:val="0"/>
          <w:numId w:val="1"/>
        </w:numPr>
        <w:tabs>
          <w:tab w:val="left" w:pos="420"/>
        </w:tabs>
        <w:spacing w:line="360" w:lineRule="auto"/>
        <w:jc w:val="left"/>
        <w:rPr>
          <w:rFonts w:ascii="宋体" w:hAnsi="宋体" w:cs="宋体"/>
          <w:sz w:val="22"/>
        </w:rPr>
      </w:pPr>
      <w:r>
        <w:rPr>
          <w:rFonts w:hint="eastAsia" w:ascii="宋体" w:hAnsi="宋体" w:cs="宋体"/>
          <w:sz w:val="22"/>
        </w:rPr>
        <w:t>投标报价</w:t>
      </w:r>
    </w:p>
    <w:p>
      <w:pPr>
        <w:numPr>
          <w:ilvl w:val="1"/>
          <w:numId w:val="3"/>
        </w:numPr>
        <w:overflowPunct w:val="0"/>
        <w:spacing w:line="360" w:lineRule="auto"/>
        <w:ind w:left="0" w:firstLine="420" w:firstLineChars="191"/>
        <w:jc w:val="left"/>
        <w:rPr>
          <w:rFonts w:ascii="宋体" w:hAnsi="宋体" w:cs="宋体"/>
          <w:sz w:val="22"/>
        </w:rPr>
      </w:pPr>
      <w:r>
        <w:rPr>
          <w:rFonts w:hint="eastAsia" w:ascii="宋体" w:hAnsi="宋体" w:cs="宋体"/>
          <w:sz w:val="22"/>
        </w:rPr>
        <w:t>投标报价包含了为完成本项目所需的场地基础设施及生产用房建设、人员工资、社保、食宿费、设备费、折旧费、科研费、保险、利润、税金、代理服务费等所有为完成本项目所产生的费用。投标供应商需充分考虑相关的费用，在报价时综合考虑，采购人不再支付其他任何费用。</w:t>
      </w:r>
    </w:p>
    <w:p>
      <w:pPr>
        <w:numPr>
          <w:ilvl w:val="1"/>
          <w:numId w:val="3"/>
        </w:numPr>
        <w:tabs>
          <w:tab w:val="left" w:pos="540"/>
        </w:tabs>
        <w:overflowPunct w:val="0"/>
        <w:spacing w:line="360" w:lineRule="auto"/>
        <w:ind w:left="0" w:firstLine="420" w:firstLineChars="191"/>
        <w:jc w:val="left"/>
        <w:rPr>
          <w:rFonts w:ascii="宋体" w:hAnsi="宋体" w:cs="宋体"/>
          <w:sz w:val="22"/>
        </w:rPr>
      </w:pPr>
      <w:r>
        <w:rPr>
          <w:rFonts w:hint="eastAsia" w:ascii="宋体" w:hAnsi="宋体" w:cs="宋体"/>
          <w:sz w:val="22"/>
        </w:rPr>
        <w:t>供应商必须按附件中的报价一览表（统一格式）的内容填写报价，并由法定代表人（单位负责人）或授权代表签署。</w:t>
      </w:r>
    </w:p>
    <w:p>
      <w:pPr>
        <w:numPr>
          <w:ilvl w:val="1"/>
          <w:numId w:val="3"/>
        </w:numPr>
        <w:tabs>
          <w:tab w:val="left" w:pos="540"/>
        </w:tabs>
        <w:overflowPunct w:val="0"/>
        <w:spacing w:line="360" w:lineRule="auto"/>
        <w:ind w:left="420" w:firstLine="0"/>
        <w:jc w:val="left"/>
        <w:rPr>
          <w:rFonts w:ascii="宋体" w:hAnsi="宋体" w:cs="宋体"/>
          <w:sz w:val="22"/>
        </w:rPr>
      </w:pPr>
      <w:r>
        <w:rPr>
          <w:rFonts w:hint="eastAsia" w:ascii="宋体" w:hAnsi="宋体" w:cs="宋体"/>
          <w:b/>
          <w:sz w:val="22"/>
        </w:rPr>
        <w:t>采购人不接受任何选择报价，只允许一个报价。</w:t>
      </w:r>
    </w:p>
    <w:p>
      <w:pPr>
        <w:numPr>
          <w:ilvl w:val="1"/>
          <w:numId w:val="3"/>
        </w:numPr>
        <w:tabs>
          <w:tab w:val="left" w:pos="540"/>
        </w:tabs>
        <w:overflowPunct w:val="0"/>
        <w:spacing w:line="360" w:lineRule="auto"/>
        <w:ind w:left="420" w:firstLine="0"/>
        <w:jc w:val="left"/>
        <w:rPr>
          <w:rFonts w:ascii="宋体" w:hAnsi="宋体" w:cs="宋体"/>
          <w:b/>
          <w:sz w:val="22"/>
        </w:rPr>
      </w:pPr>
      <w:r>
        <w:rPr>
          <w:rFonts w:hint="eastAsia" w:ascii="宋体" w:hAnsi="宋体" w:cs="宋体"/>
          <w:b/>
          <w:sz w:val="22"/>
        </w:rPr>
        <w:t>最低报价不作为中标的保证。</w:t>
      </w:r>
    </w:p>
    <w:p>
      <w:pPr>
        <w:numPr>
          <w:ilvl w:val="0"/>
          <w:numId w:val="1"/>
        </w:numPr>
        <w:tabs>
          <w:tab w:val="left" w:pos="420"/>
        </w:tabs>
        <w:spacing w:line="360" w:lineRule="auto"/>
        <w:jc w:val="left"/>
        <w:rPr>
          <w:rFonts w:ascii="宋体" w:hAnsi="宋体" w:cs="宋体"/>
          <w:sz w:val="22"/>
        </w:rPr>
      </w:pPr>
      <w:r>
        <w:rPr>
          <w:rFonts w:hint="eastAsia" w:ascii="宋体" w:hAnsi="宋体" w:cs="宋体"/>
          <w:sz w:val="22"/>
        </w:rPr>
        <w:t>投标保证金</w:t>
      </w:r>
    </w:p>
    <w:p>
      <w:pPr>
        <w:widowControl/>
        <w:spacing w:line="360" w:lineRule="auto"/>
        <w:ind w:firstLine="442" w:firstLineChars="200"/>
        <w:jc w:val="left"/>
        <w:rPr>
          <w:rFonts w:ascii="宋体" w:hAnsi="宋体" w:cs="宋体"/>
          <w:b/>
          <w:bCs/>
          <w:kern w:val="0"/>
          <w:sz w:val="22"/>
        </w:rPr>
      </w:pPr>
      <w:r>
        <w:rPr>
          <w:rFonts w:ascii="宋体" w:hAnsi="宋体" w:cs="宋体"/>
          <w:b/>
          <w:bCs/>
          <w:kern w:val="0"/>
          <w:sz w:val="22"/>
        </w:rPr>
        <w:t xml:space="preserve">12.1 </w:t>
      </w:r>
      <w:r>
        <w:rPr>
          <w:rFonts w:hint="eastAsia" w:ascii="宋体" w:hAnsi="宋体" w:cs="宋体"/>
          <w:b/>
          <w:bCs/>
          <w:kern w:val="0"/>
          <w:sz w:val="22"/>
        </w:rPr>
        <w:t>投标供应商须按要求提供投标保证金（金额详见《投标供应商须知前附表》），否则采购人将不接受其投标。</w:t>
      </w:r>
    </w:p>
    <w:p>
      <w:pPr>
        <w:widowControl/>
        <w:spacing w:line="360" w:lineRule="auto"/>
        <w:ind w:firstLine="440" w:firstLineChars="200"/>
        <w:jc w:val="left"/>
        <w:rPr>
          <w:rFonts w:ascii="宋体" w:hAnsi="宋体" w:cs="宋体"/>
          <w:bCs/>
          <w:kern w:val="0"/>
          <w:sz w:val="22"/>
        </w:rPr>
      </w:pPr>
      <w:r>
        <w:rPr>
          <w:rFonts w:ascii="宋体" w:hAnsi="宋体" w:cs="宋体"/>
          <w:bCs/>
          <w:kern w:val="0"/>
          <w:sz w:val="22"/>
        </w:rPr>
        <w:t xml:space="preserve">12.2 </w:t>
      </w:r>
      <w:r>
        <w:rPr>
          <w:rFonts w:hint="eastAsia" w:ascii="宋体" w:hAnsi="宋体" w:cs="宋体"/>
          <w:bCs/>
          <w:kern w:val="0"/>
          <w:sz w:val="22"/>
        </w:rPr>
        <w:t>投标供应商的投标保证金在中标供应商与采购人签订了供货合同并经备案后</w:t>
      </w:r>
      <w:r>
        <w:rPr>
          <w:rFonts w:ascii="宋体" w:hAnsi="宋体" w:cs="宋体"/>
          <w:bCs/>
          <w:kern w:val="0"/>
          <w:sz w:val="22"/>
        </w:rPr>
        <w:t>3个工作日内无息退还，未中标</w:t>
      </w:r>
      <w:r>
        <w:rPr>
          <w:rFonts w:hint="eastAsia" w:ascii="宋体" w:hAnsi="宋体" w:cs="宋体"/>
          <w:bCs/>
          <w:kern w:val="0"/>
          <w:sz w:val="22"/>
        </w:rPr>
        <w:t>投标供应商的投标保证金将在确定中标供应商后无息退还。</w:t>
      </w:r>
    </w:p>
    <w:p>
      <w:pPr>
        <w:widowControl/>
        <w:spacing w:line="360" w:lineRule="auto"/>
        <w:ind w:firstLine="442" w:firstLineChars="200"/>
        <w:jc w:val="left"/>
        <w:rPr>
          <w:rFonts w:ascii="宋体" w:hAnsi="宋体" w:cs="宋体"/>
          <w:b/>
          <w:bCs/>
          <w:kern w:val="0"/>
          <w:sz w:val="22"/>
        </w:rPr>
      </w:pPr>
      <w:r>
        <w:rPr>
          <w:rFonts w:ascii="宋体" w:hAnsi="宋体" w:cs="宋体"/>
          <w:b/>
          <w:bCs/>
          <w:kern w:val="0"/>
          <w:sz w:val="22"/>
        </w:rPr>
        <w:t xml:space="preserve">12.3 </w:t>
      </w:r>
      <w:r>
        <w:rPr>
          <w:rFonts w:hint="eastAsia" w:ascii="宋体" w:hAnsi="宋体" w:cs="宋体"/>
          <w:b/>
          <w:bCs/>
          <w:kern w:val="0"/>
          <w:sz w:val="22"/>
        </w:rPr>
        <w:t>如发生下列情况之一，投标保证金将不予退还：</w:t>
      </w:r>
    </w:p>
    <w:p>
      <w:pPr>
        <w:widowControl/>
        <w:spacing w:line="360" w:lineRule="auto"/>
        <w:ind w:firstLine="440" w:firstLineChars="200"/>
        <w:jc w:val="left"/>
        <w:rPr>
          <w:rFonts w:ascii="宋体" w:hAnsi="宋体" w:cs="宋体"/>
          <w:bCs/>
          <w:kern w:val="0"/>
          <w:sz w:val="22"/>
        </w:rPr>
      </w:pPr>
      <w:r>
        <w:rPr>
          <w:rFonts w:hint="eastAsia" w:ascii="宋体" w:hAnsi="宋体" w:cs="宋体"/>
          <w:bCs/>
          <w:kern w:val="0"/>
          <w:sz w:val="22"/>
        </w:rPr>
        <w:t>投标供应商在采购文件规定的投标有效期内撤回投标；</w:t>
      </w:r>
    </w:p>
    <w:p>
      <w:pPr>
        <w:widowControl/>
        <w:spacing w:line="360" w:lineRule="auto"/>
        <w:ind w:firstLine="440" w:firstLineChars="200"/>
        <w:jc w:val="left"/>
        <w:rPr>
          <w:rFonts w:ascii="宋体" w:hAnsi="宋体" w:cs="宋体"/>
          <w:bCs/>
          <w:kern w:val="0"/>
          <w:sz w:val="22"/>
        </w:rPr>
      </w:pPr>
      <w:r>
        <w:rPr>
          <w:rFonts w:hint="eastAsia" w:ascii="宋体" w:hAnsi="宋体" w:cs="宋体"/>
          <w:bCs/>
          <w:kern w:val="0"/>
          <w:sz w:val="22"/>
        </w:rPr>
        <w:t>中标供应商未按中标通知书中规定的时间与采购人签订合同；</w:t>
      </w:r>
    </w:p>
    <w:p>
      <w:pPr>
        <w:widowControl/>
        <w:spacing w:line="360" w:lineRule="auto"/>
        <w:ind w:firstLine="440" w:firstLineChars="200"/>
        <w:jc w:val="left"/>
        <w:rPr>
          <w:rFonts w:ascii="宋体" w:hAnsi="宋体" w:cs="宋体"/>
          <w:bCs/>
          <w:kern w:val="0"/>
          <w:sz w:val="22"/>
        </w:rPr>
      </w:pPr>
      <w:r>
        <w:rPr>
          <w:rFonts w:hint="eastAsia" w:ascii="宋体" w:hAnsi="宋体" w:cs="宋体"/>
          <w:bCs/>
          <w:kern w:val="0"/>
          <w:sz w:val="22"/>
        </w:rPr>
        <w:t>投标供应商在采购文件中提供虚假信息，经评标委员会确认属实的。</w:t>
      </w:r>
    </w:p>
    <w:p>
      <w:pPr>
        <w:numPr>
          <w:ilvl w:val="255"/>
          <w:numId w:val="0"/>
        </w:numPr>
        <w:tabs>
          <w:tab w:val="left" w:pos="535"/>
        </w:tabs>
        <w:overflowPunct w:val="0"/>
        <w:spacing w:line="360" w:lineRule="auto"/>
        <w:ind w:left="420"/>
        <w:jc w:val="left"/>
        <w:rPr>
          <w:rFonts w:ascii="宋体" w:hAnsi="宋体" w:cs="宋体"/>
          <w:sz w:val="22"/>
        </w:rPr>
      </w:pPr>
      <w:r>
        <w:rPr>
          <w:rFonts w:hint="eastAsia" w:ascii="宋体" w:hAnsi="宋体" w:cs="宋体"/>
          <w:bCs/>
          <w:kern w:val="0"/>
          <w:sz w:val="22"/>
        </w:rPr>
        <w:t>经采购监督管理部门审查认定投标供应商有违反有关法律法规的行为。</w:t>
      </w:r>
    </w:p>
    <w:p>
      <w:pPr>
        <w:numPr>
          <w:ilvl w:val="0"/>
          <w:numId w:val="1"/>
        </w:numPr>
        <w:tabs>
          <w:tab w:val="left" w:pos="420"/>
        </w:tabs>
        <w:spacing w:line="360" w:lineRule="auto"/>
        <w:jc w:val="left"/>
        <w:rPr>
          <w:rFonts w:ascii="宋体" w:hAnsi="宋体" w:cs="宋体"/>
          <w:sz w:val="22"/>
        </w:rPr>
      </w:pPr>
      <w:r>
        <w:rPr>
          <w:rFonts w:hint="eastAsia" w:ascii="宋体" w:hAnsi="宋体" w:cs="宋体"/>
          <w:sz w:val="22"/>
        </w:rPr>
        <w:t>投标有效期</w:t>
      </w:r>
    </w:p>
    <w:p>
      <w:pPr>
        <w:numPr>
          <w:ilvl w:val="1"/>
          <w:numId w:val="4"/>
        </w:numPr>
        <w:tabs>
          <w:tab w:val="left" w:pos="642"/>
        </w:tabs>
        <w:overflowPunct w:val="0"/>
        <w:spacing w:line="360" w:lineRule="auto"/>
        <w:ind w:left="0" w:firstLine="422" w:firstLineChars="191"/>
        <w:jc w:val="left"/>
        <w:rPr>
          <w:rFonts w:ascii="宋体" w:hAnsi="宋体" w:cs="宋体"/>
          <w:sz w:val="22"/>
        </w:rPr>
      </w:pPr>
      <w:r>
        <w:rPr>
          <w:rFonts w:hint="eastAsia" w:ascii="宋体" w:hAnsi="宋体" w:cs="宋体"/>
          <w:b/>
          <w:sz w:val="22"/>
        </w:rPr>
        <w:t>自开标之日起</w:t>
      </w:r>
      <w:r>
        <w:rPr>
          <w:rFonts w:ascii="宋体" w:hAnsi="宋体" w:cs="宋体"/>
          <w:b/>
          <w:sz w:val="22"/>
          <w:u w:val="single"/>
        </w:rPr>
        <w:t xml:space="preserve"> 90</w:t>
      </w:r>
      <w:r>
        <w:rPr>
          <w:rFonts w:hint="eastAsia" w:ascii="宋体" w:hAnsi="宋体" w:cs="宋体"/>
          <w:b/>
          <w:sz w:val="22"/>
        </w:rPr>
        <w:t>天内投标应保持有效。投标有效期短于这个规定期限的投标将视为非响应性投标而予以拒绝。</w:t>
      </w:r>
    </w:p>
    <w:p>
      <w:pPr>
        <w:numPr>
          <w:ilvl w:val="1"/>
          <w:numId w:val="4"/>
        </w:numPr>
        <w:overflowPunct w:val="0"/>
        <w:spacing w:line="360" w:lineRule="auto"/>
        <w:ind w:left="0" w:firstLine="420" w:firstLineChars="191"/>
        <w:jc w:val="left"/>
        <w:rPr>
          <w:rFonts w:ascii="宋体" w:hAnsi="宋体" w:cs="宋体"/>
          <w:sz w:val="22"/>
        </w:rPr>
      </w:pPr>
      <w:r>
        <w:rPr>
          <w:rFonts w:ascii="宋体" w:hAnsi="宋体" w:cs="宋体"/>
          <w:sz w:val="22"/>
        </w:rPr>
        <w:t xml:space="preserve"> 特殊情况下，在原投标有效期截止前，采购人可与投标供应商协商延长投标有效期，这种要求和答复均以书面形式进行。投标供应商可拒绝接受延期要求，而不会导致投标保证金不予退还。同意延长投标有效期的投标供应商不得修改投标文件。有关退还和不予退还投标保证金的规定在投标有效期的延长期内继续有效。</w:t>
      </w:r>
    </w:p>
    <w:p>
      <w:pPr>
        <w:numPr>
          <w:ilvl w:val="0"/>
          <w:numId w:val="1"/>
        </w:numPr>
        <w:tabs>
          <w:tab w:val="left" w:pos="420"/>
        </w:tabs>
        <w:spacing w:line="360" w:lineRule="auto"/>
        <w:jc w:val="left"/>
        <w:rPr>
          <w:rFonts w:ascii="宋体" w:hAnsi="宋体" w:cs="宋体"/>
          <w:sz w:val="22"/>
        </w:rPr>
      </w:pPr>
      <w:r>
        <w:rPr>
          <w:rFonts w:hint="eastAsia" w:ascii="宋体" w:hAnsi="宋体" w:cs="宋体"/>
          <w:sz w:val="22"/>
        </w:rPr>
        <w:t>投标文件的签署和规定</w:t>
      </w:r>
    </w:p>
    <w:p>
      <w:pPr>
        <w:spacing w:line="360" w:lineRule="auto"/>
        <w:ind w:firstLine="420"/>
        <w:jc w:val="left"/>
        <w:rPr>
          <w:rFonts w:ascii="宋体" w:hAnsi="宋体" w:cs="宋体"/>
          <w:b/>
          <w:sz w:val="22"/>
        </w:rPr>
      </w:pPr>
      <w:r>
        <w:rPr>
          <w:rFonts w:ascii="宋体" w:hAnsi="宋体" w:cs="宋体"/>
          <w:sz w:val="22"/>
        </w:rPr>
        <w:t>14.1</w:t>
      </w:r>
      <w:r>
        <w:rPr>
          <w:rFonts w:hint="eastAsia" w:ascii="宋体" w:hAnsi="宋体" w:cs="宋体"/>
          <w:b/>
          <w:sz w:val="22"/>
        </w:rPr>
        <w:t>电子投标文件部分：供应商应根据“政采云供应商项目采购</w:t>
      </w:r>
      <w:r>
        <w:rPr>
          <w:rFonts w:ascii="宋体" w:hAnsi="宋体" w:cs="宋体"/>
          <w:b/>
          <w:sz w:val="22"/>
        </w:rPr>
        <w:t>-电子交易操作指南”及本采购文件规定的格式和顺序编制电子投标文件并进行关联定位。</w:t>
      </w:r>
    </w:p>
    <w:p>
      <w:pPr>
        <w:spacing w:line="360" w:lineRule="auto"/>
        <w:ind w:firstLine="420"/>
        <w:jc w:val="left"/>
        <w:rPr>
          <w:rFonts w:ascii="宋体" w:hAnsi="宋体" w:cs="宋体"/>
          <w:b/>
          <w:sz w:val="22"/>
        </w:rPr>
      </w:pPr>
      <w:r>
        <w:rPr>
          <w:rFonts w:ascii="宋体" w:hAnsi="宋体" w:cs="宋体"/>
          <w:sz w:val="22"/>
        </w:rPr>
        <w:t>14.2</w:t>
      </w:r>
      <w:r>
        <w:rPr>
          <w:rFonts w:hint="eastAsia" w:ascii="宋体" w:hAnsi="宋体" w:cs="宋体"/>
          <w:b/>
          <w:sz w:val="22"/>
        </w:rPr>
        <w:t>备份投标文件部分：可以（建议）在投标截止时间前将系统生成的备份标书（后缀格式为</w:t>
      </w:r>
      <w:r>
        <w:rPr>
          <w:rFonts w:ascii="宋体" w:hAnsi="宋体" w:cs="宋体"/>
          <w:b/>
          <w:sz w:val="22"/>
        </w:rPr>
        <w:t>.bfbs）以电子邮件形式传送至采购代理机构邮箱1589009783@qq.com，传送的备份标书需打包压缩并加密，加密密码由供应商自行保管。</w:t>
      </w:r>
    </w:p>
    <w:p>
      <w:pPr>
        <w:spacing w:line="360" w:lineRule="auto"/>
        <w:ind w:firstLine="420"/>
        <w:jc w:val="left"/>
        <w:rPr>
          <w:rFonts w:ascii="宋体" w:hAnsi="宋体" w:cs="宋体"/>
          <w:sz w:val="22"/>
        </w:rPr>
      </w:pPr>
      <w:r>
        <w:rPr>
          <w:rFonts w:ascii="宋体" w:hAnsi="宋体" w:cs="宋体"/>
          <w:sz w:val="22"/>
        </w:rPr>
        <w:t>14.3供应商线上制作投标文件并采用CA数字证书进行电子签章及加密。</w:t>
      </w:r>
    </w:p>
    <w:p>
      <w:pPr>
        <w:spacing w:line="360" w:lineRule="auto"/>
        <w:ind w:firstLine="420"/>
        <w:jc w:val="left"/>
        <w:rPr>
          <w:rFonts w:ascii="宋体" w:hAnsi="宋体" w:cs="宋体"/>
          <w:b/>
          <w:sz w:val="22"/>
        </w:rPr>
      </w:pPr>
      <w:r>
        <w:rPr>
          <w:rFonts w:ascii="宋体" w:hAnsi="宋体" w:cs="宋体"/>
          <w:sz w:val="22"/>
        </w:rPr>
        <w:t>14.4</w:t>
      </w:r>
      <w:r>
        <w:rPr>
          <w:rFonts w:hint="eastAsia" w:ascii="宋体" w:hAnsi="宋体" w:cs="宋体"/>
          <w:b/>
          <w:sz w:val="22"/>
        </w:rPr>
        <w:t>供应商应当在截止时间前完成电子版投标文件的传输递交，并可以补充、修改或者撤回投标文件。补充或者修改投标文件的，应当先行撤回原文件，补充、修改后重新传输递交。投标截止时间前未完成传输的，视为撤回投标文件。响应截止时间后送达的投标文件，将被乐采云平台拒收。</w:t>
      </w:r>
    </w:p>
    <w:p>
      <w:pPr>
        <w:spacing w:line="360" w:lineRule="auto"/>
        <w:ind w:firstLine="420"/>
        <w:jc w:val="left"/>
        <w:rPr>
          <w:rFonts w:ascii="宋体" w:hAnsi="宋体" w:cs="宋体"/>
          <w:sz w:val="22"/>
        </w:rPr>
      </w:pPr>
      <w:r>
        <w:rPr>
          <w:rFonts w:ascii="宋体" w:hAnsi="宋体" w:cs="宋体"/>
          <w:sz w:val="22"/>
        </w:rPr>
        <w:t xml:space="preserve">14.5  </w:t>
      </w:r>
      <w:r>
        <w:rPr>
          <w:rFonts w:hint="eastAsia" w:ascii="宋体" w:hAnsi="宋体" w:cs="宋体"/>
          <w:sz w:val="22"/>
        </w:rPr>
        <w:t>投标文件若字迹模糊无法辨认或在关键条款内容上表述不清楚，将可能导致其投标被拒绝。</w:t>
      </w:r>
    </w:p>
    <w:p>
      <w:pPr>
        <w:overflowPunct w:val="0"/>
        <w:spacing w:line="360" w:lineRule="auto"/>
        <w:jc w:val="left"/>
        <w:outlineLvl w:val="0"/>
        <w:rPr>
          <w:rFonts w:ascii="宋体" w:hAnsi="宋体" w:cs="宋体"/>
          <w:sz w:val="22"/>
        </w:rPr>
      </w:pPr>
      <w:bookmarkStart w:id="61" w:name="_Toc222114879"/>
      <w:bookmarkStart w:id="62" w:name="_Toc252194852"/>
      <w:bookmarkStart w:id="63" w:name="_Toc221356951"/>
      <w:bookmarkStart w:id="64" w:name="_Toc221356887"/>
      <w:bookmarkStart w:id="65" w:name="_Toc251325214"/>
      <w:bookmarkStart w:id="66" w:name="_Toc241404202"/>
      <w:bookmarkStart w:id="67" w:name="_Toc246261265"/>
      <w:bookmarkStart w:id="68" w:name="_Toc22493"/>
      <w:bookmarkStart w:id="69" w:name="_Toc221374626"/>
      <w:bookmarkStart w:id="70" w:name="_Toc173317526"/>
      <w:bookmarkStart w:id="71" w:name="_Toc522645675"/>
      <w:bookmarkStart w:id="72" w:name="_Toc239145354"/>
      <w:bookmarkStart w:id="73" w:name="_Toc251592737"/>
      <w:bookmarkStart w:id="74" w:name="_Toc223715998"/>
      <w:bookmarkStart w:id="75" w:name="_Toc245191314"/>
      <w:bookmarkStart w:id="76" w:name="_Toc221423619"/>
      <w:bookmarkStart w:id="77" w:name="_Toc245722281"/>
      <w:r>
        <w:rPr>
          <w:rFonts w:hint="eastAsia" w:ascii="宋体" w:hAnsi="宋体" w:cs="宋体"/>
          <w:b/>
          <w:bCs/>
          <w:sz w:val="22"/>
        </w:rPr>
        <w:t>四、投标文件的递交</w:t>
      </w:r>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p>
    <w:p>
      <w:pPr>
        <w:numPr>
          <w:ilvl w:val="0"/>
          <w:numId w:val="1"/>
        </w:numPr>
        <w:tabs>
          <w:tab w:val="left" w:pos="420"/>
        </w:tabs>
        <w:spacing w:line="360" w:lineRule="auto"/>
        <w:jc w:val="left"/>
        <w:rPr>
          <w:rFonts w:ascii="宋体" w:hAnsi="宋体" w:cs="宋体"/>
          <w:sz w:val="22"/>
        </w:rPr>
      </w:pPr>
      <w:r>
        <w:rPr>
          <w:rFonts w:hint="eastAsia" w:ascii="宋体" w:hAnsi="宋体" w:cs="宋体"/>
          <w:sz w:val="22"/>
        </w:rPr>
        <w:t>投标文件的递交</w:t>
      </w:r>
    </w:p>
    <w:p>
      <w:pPr>
        <w:tabs>
          <w:tab w:val="left" w:pos="425"/>
          <w:tab w:val="left" w:pos="535"/>
          <w:tab w:val="left" w:pos="562"/>
        </w:tabs>
        <w:overflowPunct w:val="0"/>
        <w:spacing w:line="360" w:lineRule="auto"/>
        <w:ind w:firstLine="420"/>
        <w:jc w:val="left"/>
        <w:rPr>
          <w:rFonts w:ascii="宋体" w:hAnsi="宋体" w:cs="宋体"/>
          <w:sz w:val="22"/>
        </w:rPr>
      </w:pPr>
      <w:r>
        <w:rPr>
          <w:rFonts w:ascii="宋体" w:hAnsi="宋体" w:cs="宋体"/>
          <w:bCs/>
          <w:sz w:val="22"/>
        </w:rPr>
        <w:t>15.1“投标文件”的上传、递交：见《前附表》</w:t>
      </w:r>
    </w:p>
    <w:p>
      <w:pPr>
        <w:numPr>
          <w:ilvl w:val="0"/>
          <w:numId w:val="1"/>
        </w:numPr>
        <w:tabs>
          <w:tab w:val="left" w:pos="420"/>
        </w:tabs>
        <w:spacing w:line="360" w:lineRule="auto"/>
        <w:jc w:val="left"/>
        <w:rPr>
          <w:rFonts w:ascii="宋体" w:hAnsi="宋体" w:cs="宋体"/>
          <w:sz w:val="22"/>
        </w:rPr>
      </w:pPr>
      <w:r>
        <w:rPr>
          <w:rFonts w:hint="eastAsia" w:ascii="宋体" w:hAnsi="宋体" w:cs="宋体"/>
          <w:sz w:val="22"/>
        </w:rPr>
        <w:t>投标文件的修改和撤回</w:t>
      </w:r>
    </w:p>
    <w:p>
      <w:pPr>
        <w:tabs>
          <w:tab w:val="left" w:pos="425"/>
          <w:tab w:val="left" w:pos="535"/>
        </w:tabs>
        <w:overflowPunct w:val="0"/>
        <w:spacing w:line="360" w:lineRule="auto"/>
        <w:ind w:firstLine="420"/>
        <w:jc w:val="left"/>
        <w:rPr>
          <w:rFonts w:ascii="宋体" w:hAnsi="宋体" w:cs="宋体"/>
          <w:bCs/>
          <w:sz w:val="22"/>
        </w:rPr>
      </w:pPr>
      <w:r>
        <w:rPr>
          <w:rFonts w:ascii="宋体" w:hAnsi="宋体" w:cs="宋体"/>
          <w:bCs/>
          <w:sz w:val="22"/>
        </w:rPr>
        <w:t>16.1供应商应当在投标截止时间前完成投标文件的上传、递交，并可以补充、修改或者撤回投标文件。补充或者修改投标文件的，应当先行撤回原文件，补充、修改后重新上传、递交。投标截止时间前未完成上传、递交的，视为撤回投标文件。投标截止时间后递交的投标文件，“</w:t>
      </w:r>
      <w:r>
        <w:rPr>
          <w:rFonts w:hint="eastAsia" w:ascii="宋体" w:hAnsi="宋体" w:cs="宋体"/>
          <w:bCs/>
          <w:sz w:val="22"/>
        </w:rPr>
        <w:t>乐采云平台</w:t>
      </w:r>
      <w:r>
        <w:rPr>
          <w:rFonts w:ascii="宋体" w:hAnsi="宋体" w:cs="宋体"/>
          <w:bCs/>
          <w:sz w:val="22"/>
        </w:rPr>
        <w:t>”将予以拒收。</w:t>
      </w:r>
    </w:p>
    <w:p>
      <w:pPr>
        <w:tabs>
          <w:tab w:val="left" w:pos="425"/>
          <w:tab w:val="left" w:pos="540"/>
        </w:tabs>
        <w:overflowPunct w:val="0"/>
        <w:spacing w:line="360" w:lineRule="auto"/>
        <w:ind w:firstLine="420"/>
        <w:jc w:val="left"/>
        <w:rPr>
          <w:rFonts w:ascii="宋体" w:hAnsi="宋体" w:cs="宋体"/>
          <w:sz w:val="22"/>
        </w:rPr>
      </w:pPr>
      <w:r>
        <w:rPr>
          <w:rFonts w:ascii="宋体" w:hAnsi="宋体" w:cs="宋体"/>
          <w:bCs/>
          <w:sz w:val="22"/>
        </w:rPr>
        <w:t>16.2从投标截止日期起至投标有效期满这段时间内，投标供应商不得撤回其投标</w:t>
      </w:r>
      <w:r>
        <w:rPr>
          <w:rFonts w:hint="eastAsia" w:ascii="宋体" w:hAnsi="宋体" w:cs="宋体"/>
          <w:sz w:val="22"/>
        </w:rPr>
        <w:t>。</w:t>
      </w:r>
    </w:p>
    <w:p>
      <w:pPr>
        <w:numPr>
          <w:ilvl w:val="0"/>
          <w:numId w:val="1"/>
        </w:numPr>
        <w:tabs>
          <w:tab w:val="left" w:pos="420"/>
        </w:tabs>
        <w:spacing w:line="360" w:lineRule="auto"/>
        <w:jc w:val="left"/>
        <w:rPr>
          <w:rFonts w:ascii="宋体" w:hAnsi="宋体" w:cs="宋体"/>
          <w:sz w:val="22"/>
        </w:rPr>
      </w:pPr>
      <w:r>
        <w:rPr>
          <w:rFonts w:hint="eastAsia" w:ascii="宋体" w:hAnsi="宋体" w:cs="宋体"/>
          <w:sz w:val="22"/>
        </w:rPr>
        <w:t>发生下列情况之一的投标文件将拒收：</w:t>
      </w:r>
    </w:p>
    <w:p>
      <w:pPr>
        <w:numPr>
          <w:ilvl w:val="1"/>
          <w:numId w:val="5"/>
        </w:numPr>
        <w:tabs>
          <w:tab w:val="left" w:pos="535"/>
        </w:tabs>
        <w:overflowPunct w:val="0"/>
        <w:spacing w:line="360" w:lineRule="auto"/>
        <w:ind w:left="420" w:firstLine="0"/>
        <w:jc w:val="left"/>
        <w:rPr>
          <w:rFonts w:ascii="宋体" w:hAnsi="宋体" w:cs="宋体"/>
          <w:bCs/>
          <w:sz w:val="22"/>
        </w:rPr>
      </w:pPr>
      <w:r>
        <w:rPr>
          <w:rFonts w:hint="eastAsia" w:ascii="宋体" w:hAnsi="宋体" w:cs="宋体"/>
          <w:bCs/>
          <w:sz w:val="22"/>
        </w:rPr>
        <w:t>在投标截止时间以后送达的投标文件；</w:t>
      </w:r>
    </w:p>
    <w:p>
      <w:pPr>
        <w:tabs>
          <w:tab w:val="left" w:pos="360"/>
          <w:tab w:val="left" w:pos="540"/>
          <w:tab w:val="left" w:pos="1260"/>
        </w:tabs>
        <w:overflowPunct w:val="0"/>
        <w:spacing w:line="360" w:lineRule="auto"/>
        <w:jc w:val="left"/>
        <w:outlineLvl w:val="0"/>
        <w:rPr>
          <w:rFonts w:ascii="宋体" w:hAnsi="宋体" w:cs="宋体"/>
          <w:sz w:val="22"/>
        </w:rPr>
      </w:pPr>
      <w:bookmarkStart w:id="78" w:name="_Toc245722282"/>
      <w:bookmarkStart w:id="79" w:name="_Toc13207"/>
      <w:bookmarkStart w:id="80" w:name="_Toc221356888"/>
      <w:bookmarkStart w:id="81" w:name="_Toc245191315"/>
      <w:bookmarkStart w:id="82" w:name="_Toc251592738"/>
      <w:bookmarkStart w:id="83" w:name="_Toc221374627"/>
      <w:bookmarkStart w:id="84" w:name="_Toc173317527"/>
      <w:bookmarkStart w:id="85" w:name="_Toc221356952"/>
      <w:bookmarkStart w:id="86" w:name="_Toc223715999"/>
      <w:bookmarkStart w:id="87" w:name="_Toc239145355"/>
      <w:bookmarkStart w:id="88" w:name="_Toc522645676"/>
      <w:bookmarkStart w:id="89" w:name="_Toc246261266"/>
      <w:bookmarkStart w:id="90" w:name="_Toc252194853"/>
      <w:bookmarkStart w:id="91" w:name="_Toc222114880"/>
      <w:bookmarkStart w:id="92" w:name="_Toc241404203"/>
      <w:bookmarkStart w:id="93" w:name="_Toc221423620"/>
      <w:bookmarkStart w:id="94" w:name="_Toc251325215"/>
      <w:r>
        <w:rPr>
          <w:rFonts w:hint="eastAsia" w:ascii="宋体" w:hAnsi="宋体" w:cs="宋体"/>
          <w:b/>
          <w:bCs/>
          <w:sz w:val="22"/>
        </w:rPr>
        <w:t>五、开标和评标</w:t>
      </w:r>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p>
    <w:p>
      <w:pPr>
        <w:numPr>
          <w:ilvl w:val="0"/>
          <w:numId w:val="1"/>
        </w:numPr>
        <w:tabs>
          <w:tab w:val="left" w:pos="420"/>
        </w:tabs>
        <w:spacing w:line="360" w:lineRule="auto"/>
        <w:jc w:val="left"/>
        <w:rPr>
          <w:rFonts w:ascii="宋体" w:hAnsi="宋体" w:cs="宋体"/>
          <w:sz w:val="22"/>
        </w:rPr>
      </w:pPr>
      <w:bookmarkStart w:id="95" w:name="_Toc251325216"/>
      <w:bookmarkStart w:id="96" w:name="_Toc222114881"/>
      <w:bookmarkStart w:id="97" w:name="_Toc245722283"/>
      <w:bookmarkStart w:id="98" w:name="_Toc246261267"/>
      <w:bookmarkStart w:id="99" w:name="_Toc221356953"/>
      <w:bookmarkStart w:id="100" w:name="_Toc221356889"/>
      <w:bookmarkStart w:id="101" w:name="_Toc223716000"/>
      <w:bookmarkStart w:id="102" w:name="_Toc221423621"/>
      <w:bookmarkStart w:id="103" w:name="_Toc239145356"/>
      <w:bookmarkStart w:id="104" w:name="_Toc252194854"/>
      <w:bookmarkStart w:id="105" w:name="_Toc241404204"/>
      <w:bookmarkStart w:id="106" w:name="_Toc251592739"/>
      <w:bookmarkStart w:id="107" w:name="_Toc245191316"/>
      <w:bookmarkStart w:id="108" w:name="_Toc221374628"/>
      <w:r>
        <w:rPr>
          <w:rFonts w:hint="eastAsia" w:ascii="宋体" w:hAnsi="宋体" w:cs="宋体"/>
          <w:sz w:val="22"/>
        </w:rPr>
        <w:t>评标委员会</w:t>
      </w:r>
    </w:p>
    <w:p>
      <w:pPr>
        <w:tabs>
          <w:tab w:val="left" w:pos="540"/>
        </w:tabs>
        <w:overflowPunct w:val="0"/>
        <w:spacing w:line="360" w:lineRule="auto"/>
        <w:ind w:firstLine="420"/>
        <w:jc w:val="left"/>
        <w:rPr>
          <w:rFonts w:ascii="宋体" w:hAnsi="宋体" w:cs="宋体"/>
          <w:sz w:val="22"/>
        </w:rPr>
      </w:pPr>
      <w:r>
        <w:rPr>
          <w:rFonts w:hint="eastAsia" w:ascii="宋体" w:hAnsi="宋体" w:cs="宋体"/>
          <w:kern w:val="0"/>
          <w:sz w:val="22"/>
        </w:rPr>
        <w:t>评标委员会成员由采购人依法组建。</w:t>
      </w:r>
    </w:p>
    <w:p>
      <w:pPr>
        <w:numPr>
          <w:ilvl w:val="0"/>
          <w:numId w:val="1"/>
        </w:numPr>
        <w:tabs>
          <w:tab w:val="left" w:pos="420"/>
        </w:tabs>
        <w:spacing w:line="360" w:lineRule="auto"/>
        <w:jc w:val="left"/>
        <w:rPr>
          <w:rFonts w:ascii="宋体" w:hAnsi="宋体" w:cs="宋体"/>
          <w:sz w:val="22"/>
        </w:rPr>
      </w:pPr>
      <w:r>
        <w:rPr>
          <w:rFonts w:hint="eastAsia" w:ascii="宋体" w:hAnsi="宋体" w:cs="宋体"/>
          <w:sz w:val="22"/>
        </w:rPr>
        <w:t>评标过程的保密性</w:t>
      </w:r>
    </w:p>
    <w:p>
      <w:pPr>
        <w:overflowPunct w:val="0"/>
        <w:spacing w:line="360" w:lineRule="auto"/>
        <w:ind w:firstLine="420"/>
        <w:jc w:val="left"/>
        <w:rPr>
          <w:rFonts w:ascii="宋体" w:hAnsi="宋体" w:cs="宋体"/>
          <w:b/>
          <w:bCs/>
          <w:sz w:val="22"/>
        </w:rPr>
      </w:pPr>
      <w:r>
        <w:rPr>
          <w:rFonts w:hint="eastAsia" w:ascii="宋体" w:hAnsi="宋体" w:cs="宋体"/>
          <w:b/>
          <w:bCs/>
          <w:sz w:val="22"/>
        </w:rPr>
        <w:t>凡与评审有关的资料均不得向投标供应商及与评标无关人员透露。如果投标供应商在评标过程中试图向采购人、采购代理机构或评标委员会成员施加影响，其投标将被拒绝。</w:t>
      </w:r>
    </w:p>
    <w:p>
      <w:pPr>
        <w:numPr>
          <w:ilvl w:val="0"/>
          <w:numId w:val="1"/>
        </w:numPr>
        <w:tabs>
          <w:tab w:val="left" w:pos="420"/>
        </w:tabs>
        <w:spacing w:line="360" w:lineRule="auto"/>
        <w:jc w:val="left"/>
        <w:rPr>
          <w:rFonts w:ascii="宋体" w:hAnsi="宋体" w:cs="宋体"/>
          <w:sz w:val="22"/>
        </w:rPr>
      </w:pPr>
      <w:r>
        <w:rPr>
          <w:rFonts w:hint="eastAsia" w:ascii="宋体" w:hAnsi="宋体" w:cs="宋体"/>
          <w:sz w:val="22"/>
        </w:rPr>
        <w:t>开标、评标</w:t>
      </w:r>
    </w:p>
    <w:p>
      <w:pPr>
        <w:tabs>
          <w:tab w:val="left" w:pos="425"/>
          <w:tab w:val="left" w:pos="535"/>
        </w:tabs>
        <w:overflowPunct w:val="0"/>
        <w:spacing w:line="360" w:lineRule="auto"/>
        <w:ind w:firstLine="420"/>
        <w:jc w:val="left"/>
        <w:rPr>
          <w:rFonts w:ascii="宋体" w:hAnsi="宋体" w:cs="宋体"/>
          <w:bCs/>
          <w:sz w:val="22"/>
        </w:rPr>
      </w:pPr>
      <w:r>
        <w:rPr>
          <w:rFonts w:ascii="宋体" w:hAnsi="宋体" w:cs="宋体"/>
          <w:bCs/>
          <w:sz w:val="22"/>
        </w:rPr>
        <w:t>20.1采购组织机构将按照采购文件规定的时间通过“</w:t>
      </w:r>
      <w:r>
        <w:rPr>
          <w:rFonts w:hint="eastAsia" w:ascii="宋体" w:hAnsi="宋体" w:cs="宋体"/>
          <w:bCs/>
          <w:sz w:val="22"/>
        </w:rPr>
        <w:t>乐采云平台</w:t>
      </w:r>
      <w:r>
        <w:rPr>
          <w:rFonts w:ascii="宋体" w:hAnsi="宋体" w:cs="宋体"/>
          <w:bCs/>
          <w:sz w:val="22"/>
        </w:rPr>
        <w:t>”组织开标、开启投标文件，所有供应商均应当准时在线参加。供应商如不参加开标大会的，视同认可开标结果，事后不得对采购相关人员、开标过程和开标结果提出异议，同时供应商因未在线参加开标而导致投标文件无法按时解密等一切后果由供应商自己承担。</w:t>
      </w:r>
    </w:p>
    <w:p>
      <w:pPr>
        <w:tabs>
          <w:tab w:val="left" w:pos="425"/>
          <w:tab w:val="left" w:pos="535"/>
        </w:tabs>
        <w:overflowPunct w:val="0"/>
        <w:spacing w:line="360" w:lineRule="auto"/>
        <w:ind w:firstLine="420"/>
        <w:jc w:val="left"/>
        <w:rPr>
          <w:rFonts w:ascii="宋体" w:hAnsi="宋体" w:cs="宋体"/>
          <w:bCs/>
          <w:sz w:val="22"/>
        </w:rPr>
      </w:pPr>
      <w:r>
        <w:rPr>
          <w:rFonts w:ascii="宋体" w:hAnsi="宋体" w:cs="宋体"/>
          <w:bCs/>
          <w:sz w:val="22"/>
        </w:rPr>
        <w:t>20.2开启</w:t>
      </w:r>
      <w:r>
        <w:rPr>
          <w:rFonts w:hint="eastAsia" w:ascii="宋体" w:hAnsi="宋体" w:cs="宋体"/>
          <w:kern w:val="0"/>
          <w:sz w:val="22"/>
          <w:lang w:val="zh-CN"/>
        </w:rPr>
        <w:t>资格</w:t>
      </w:r>
      <w:r>
        <w:rPr>
          <w:rFonts w:hint="eastAsia" w:ascii="宋体" w:hAnsi="宋体" w:cs="宋体"/>
          <w:kern w:val="0"/>
          <w:sz w:val="22"/>
        </w:rPr>
        <w:t>文件和</w:t>
      </w:r>
      <w:r>
        <w:rPr>
          <w:rFonts w:hint="eastAsia" w:ascii="宋体" w:hAnsi="宋体" w:cs="宋体"/>
          <w:bCs/>
          <w:sz w:val="22"/>
        </w:rPr>
        <w:t>商务技术文件</w:t>
      </w:r>
    </w:p>
    <w:p>
      <w:pPr>
        <w:tabs>
          <w:tab w:val="left" w:pos="426"/>
          <w:tab w:val="left" w:pos="535"/>
        </w:tabs>
        <w:overflowPunct w:val="0"/>
        <w:spacing w:line="360" w:lineRule="auto"/>
        <w:ind w:firstLine="420"/>
        <w:jc w:val="left"/>
        <w:rPr>
          <w:rFonts w:ascii="宋体" w:hAnsi="宋体" w:cs="宋体"/>
          <w:bCs/>
          <w:sz w:val="22"/>
        </w:rPr>
      </w:pPr>
      <w:r>
        <w:rPr>
          <w:rFonts w:hint="eastAsia" w:ascii="宋体" w:hAnsi="宋体" w:cs="宋体"/>
          <w:bCs/>
          <w:sz w:val="22"/>
        </w:rPr>
        <w:t>（</w:t>
      </w:r>
      <w:r>
        <w:rPr>
          <w:rFonts w:ascii="宋体" w:hAnsi="宋体" w:cs="宋体"/>
          <w:bCs/>
          <w:sz w:val="22"/>
        </w:rPr>
        <w:t>1）向各供应商发出电子加密投标文件【开始解密】通知，由供应商按采购文件规定的时间内自行进行投标文件解密。供应商在规定的时间内无法完成已递交的“电子加密投标文件”解密的，如已按规定递交了备份投标文件的，将由采购组织机构按“</w:t>
      </w:r>
      <w:r>
        <w:rPr>
          <w:rFonts w:hint="eastAsia" w:ascii="宋体" w:hAnsi="宋体" w:cs="宋体"/>
          <w:bCs/>
          <w:sz w:val="22"/>
        </w:rPr>
        <w:t>乐采云平台</w:t>
      </w:r>
      <w:r>
        <w:rPr>
          <w:rFonts w:ascii="宋体" w:hAnsi="宋体" w:cs="宋体"/>
          <w:bCs/>
          <w:sz w:val="22"/>
        </w:rPr>
        <w:t>”操作规范将备份投标文件上传至“</w:t>
      </w:r>
      <w:r>
        <w:rPr>
          <w:rFonts w:hint="eastAsia" w:ascii="宋体" w:hAnsi="宋体" w:cs="宋体"/>
          <w:bCs/>
          <w:sz w:val="22"/>
        </w:rPr>
        <w:t>乐采云平台</w:t>
      </w:r>
      <w:r>
        <w:rPr>
          <w:rFonts w:ascii="宋体" w:hAnsi="宋体" w:cs="宋体"/>
          <w:bCs/>
          <w:sz w:val="22"/>
        </w:rPr>
        <w:t>”，上传成功后，“电子加密投标文件”自动失效；</w:t>
      </w:r>
    </w:p>
    <w:p>
      <w:pPr>
        <w:tabs>
          <w:tab w:val="left" w:pos="426"/>
          <w:tab w:val="left" w:pos="535"/>
        </w:tabs>
        <w:overflowPunct w:val="0"/>
        <w:spacing w:line="360" w:lineRule="auto"/>
        <w:ind w:firstLine="420"/>
        <w:jc w:val="left"/>
        <w:rPr>
          <w:rFonts w:ascii="宋体" w:hAnsi="宋体" w:cs="宋体"/>
          <w:bCs/>
          <w:sz w:val="22"/>
        </w:rPr>
      </w:pPr>
      <w:r>
        <w:rPr>
          <w:rFonts w:hint="eastAsia" w:ascii="宋体" w:hAnsi="宋体" w:cs="宋体"/>
          <w:bCs/>
          <w:sz w:val="22"/>
        </w:rPr>
        <w:t>（</w:t>
      </w:r>
      <w:r>
        <w:rPr>
          <w:rFonts w:ascii="宋体" w:hAnsi="宋体" w:cs="宋体"/>
          <w:bCs/>
          <w:sz w:val="22"/>
        </w:rPr>
        <w:t>2）开启</w:t>
      </w:r>
      <w:r>
        <w:rPr>
          <w:rFonts w:hint="eastAsia" w:ascii="宋体" w:hAnsi="宋体" w:cs="宋体"/>
          <w:kern w:val="0"/>
          <w:sz w:val="22"/>
          <w:lang w:val="zh-CN"/>
        </w:rPr>
        <w:t>资格</w:t>
      </w:r>
      <w:r>
        <w:rPr>
          <w:rFonts w:hint="eastAsia" w:ascii="宋体" w:hAnsi="宋体" w:cs="宋体"/>
          <w:kern w:val="0"/>
          <w:sz w:val="22"/>
        </w:rPr>
        <w:t>文件和</w:t>
      </w:r>
      <w:r>
        <w:rPr>
          <w:rFonts w:hint="eastAsia" w:ascii="宋体" w:hAnsi="宋体" w:cs="宋体"/>
          <w:bCs/>
          <w:sz w:val="22"/>
        </w:rPr>
        <w:t>商务技术文件，进入资格审查；</w:t>
      </w:r>
    </w:p>
    <w:p>
      <w:pPr>
        <w:tabs>
          <w:tab w:val="left" w:pos="426"/>
          <w:tab w:val="left" w:pos="535"/>
        </w:tabs>
        <w:overflowPunct w:val="0"/>
        <w:spacing w:line="360" w:lineRule="auto"/>
        <w:ind w:firstLine="420"/>
        <w:jc w:val="left"/>
        <w:rPr>
          <w:rFonts w:ascii="宋体" w:hAnsi="宋体" w:cs="宋体"/>
          <w:bCs/>
          <w:sz w:val="22"/>
        </w:rPr>
      </w:pPr>
      <w:r>
        <w:rPr>
          <w:rFonts w:hint="eastAsia" w:ascii="宋体" w:hAnsi="宋体" w:cs="宋体"/>
          <w:bCs/>
          <w:sz w:val="22"/>
        </w:rPr>
        <w:t>（</w:t>
      </w:r>
      <w:r>
        <w:rPr>
          <w:rFonts w:ascii="宋体" w:hAnsi="宋体" w:cs="宋体"/>
          <w:bCs/>
          <w:sz w:val="22"/>
        </w:rPr>
        <w:t>3）开启资格审查通过的供应商的商务技术文件进入符合性审查、商务技术评审；</w:t>
      </w:r>
    </w:p>
    <w:p>
      <w:pPr>
        <w:tabs>
          <w:tab w:val="left" w:pos="426"/>
          <w:tab w:val="left" w:pos="535"/>
        </w:tabs>
        <w:overflowPunct w:val="0"/>
        <w:spacing w:line="360" w:lineRule="auto"/>
        <w:ind w:firstLine="420"/>
        <w:jc w:val="left"/>
        <w:rPr>
          <w:rFonts w:ascii="宋体" w:hAnsi="宋体" w:cs="宋体"/>
          <w:bCs/>
          <w:sz w:val="22"/>
        </w:rPr>
      </w:pPr>
      <w:r>
        <w:rPr>
          <w:rFonts w:hint="eastAsia" w:ascii="宋体" w:hAnsi="宋体" w:cs="宋体"/>
          <w:bCs/>
          <w:sz w:val="22"/>
        </w:rPr>
        <w:t>（</w:t>
      </w:r>
      <w:r>
        <w:rPr>
          <w:rFonts w:ascii="宋体" w:hAnsi="宋体" w:cs="宋体"/>
          <w:bCs/>
          <w:sz w:val="22"/>
        </w:rPr>
        <w:t>4）第一阶段开标结束。</w:t>
      </w:r>
    </w:p>
    <w:p>
      <w:pPr>
        <w:tabs>
          <w:tab w:val="left" w:pos="426"/>
          <w:tab w:val="left" w:pos="535"/>
        </w:tabs>
        <w:overflowPunct w:val="0"/>
        <w:spacing w:line="360" w:lineRule="auto"/>
        <w:ind w:firstLine="420"/>
        <w:jc w:val="left"/>
        <w:rPr>
          <w:rFonts w:ascii="宋体" w:hAnsi="宋体" w:cs="宋体"/>
          <w:bCs/>
          <w:sz w:val="22"/>
        </w:rPr>
      </w:pPr>
      <w:r>
        <w:rPr>
          <w:rFonts w:hint="eastAsia" w:ascii="宋体" w:hAnsi="宋体" w:cs="宋体"/>
          <w:bCs/>
          <w:sz w:val="22"/>
        </w:rPr>
        <w:t>备注：开标大会的第一阶段结束后，采购人或采购代理机构将对依法对供应商的资格进行审查，资格审查结束后进入符合性审查和商务技术的评审工作。</w:t>
      </w:r>
    </w:p>
    <w:p>
      <w:pPr>
        <w:tabs>
          <w:tab w:val="left" w:pos="425"/>
          <w:tab w:val="left" w:pos="535"/>
        </w:tabs>
        <w:overflowPunct w:val="0"/>
        <w:spacing w:line="360" w:lineRule="auto"/>
        <w:ind w:firstLine="420"/>
        <w:jc w:val="left"/>
        <w:rPr>
          <w:rFonts w:ascii="宋体" w:hAnsi="宋体" w:cs="宋体"/>
          <w:bCs/>
          <w:sz w:val="22"/>
        </w:rPr>
      </w:pPr>
      <w:r>
        <w:rPr>
          <w:rFonts w:ascii="宋体" w:hAnsi="宋体" w:cs="宋体"/>
          <w:bCs/>
          <w:sz w:val="22"/>
        </w:rPr>
        <w:t>20.3投标文件的初审。初审分为资格审查和符合性检查。</w:t>
      </w:r>
    </w:p>
    <w:p>
      <w:pPr>
        <w:overflowPunct w:val="0"/>
        <w:spacing w:line="360" w:lineRule="auto"/>
        <w:ind w:firstLine="420"/>
        <w:jc w:val="left"/>
        <w:rPr>
          <w:rFonts w:ascii="宋体" w:hAnsi="宋体" w:cs="宋体"/>
          <w:bCs/>
          <w:sz w:val="22"/>
        </w:rPr>
      </w:pPr>
      <w:r>
        <w:rPr>
          <w:rFonts w:ascii="宋体" w:hAnsi="宋体" w:cs="宋体"/>
          <w:bCs/>
          <w:sz w:val="22"/>
        </w:rPr>
        <w:t>1)</w:t>
      </w:r>
      <w:r>
        <w:rPr>
          <w:rFonts w:hint="eastAsia" w:ascii="宋体" w:hAnsi="宋体" w:cs="宋体"/>
          <w:bCs/>
          <w:sz w:val="22"/>
        </w:rPr>
        <w:t>资格审查。依据法律、法规和采购文件的规定，采购人或采购代理机构进行资格审查，资格审查内容包括但不仅限于采购响应文件所提交证明材料是否能证明符合本项目对合格投标供应商的实质性要求。通过资格审查视作具备投标资格，审查不合格的采购响应文件将不进入后续详细评审。</w:t>
      </w:r>
    </w:p>
    <w:p>
      <w:pPr>
        <w:overflowPunct w:val="0"/>
        <w:spacing w:line="360" w:lineRule="auto"/>
        <w:ind w:firstLine="420"/>
        <w:jc w:val="left"/>
        <w:rPr>
          <w:rFonts w:ascii="宋体" w:hAnsi="宋体" w:cs="宋体"/>
          <w:bCs/>
          <w:sz w:val="22"/>
        </w:rPr>
      </w:pPr>
      <w:r>
        <w:rPr>
          <w:rFonts w:ascii="宋体" w:hAnsi="宋体" w:cs="宋体"/>
          <w:bCs/>
          <w:sz w:val="22"/>
        </w:rPr>
        <w:t>2)</w:t>
      </w:r>
      <w:r>
        <w:rPr>
          <w:rFonts w:ascii="宋体" w:hAnsi="宋体" w:cs="宋体"/>
          <w:bCs/>
          <w:sz w:val="22"/>
        </w:rPr>
        <w:tab/>
      </w:r>
      <w:r>
        <w:rPr>
          <w:rFonts w:hint="eastAsia" w:ascii="宋体" w:hAnsi="宋体" w:cs="宋体"/>
          <w:bCs/>
          <w:sz w:val="22"/>
        </w:rPr>
        <w:t>符合性检查。依据采购文件的规定，从投标文件中的有效性、完整性和对采购文件的响应程度进行审查，以确定是否对采购文件的实质性要求作出响应。</w:t>
      </w:r>
    </w:p>
    <w:p>
      <w:pPr>
        <w:tabs>
          <w:tab w:val="left" w:pos="425"/>
          <w:tab w:val="left" w:pos="540"/>
        </w:tabs>
        <w:overflowPunct w:val="0"/>
        <w:spacing w:line="360" w:lineRule="auto"/>
        <w:ind w:firstLine="420"/>
        <w:jc w:val="left"/>
        <w:rPr>
          <w:rFonts w:ascii="宋体" w:hAnsi="宋体" w:cs="宋体"/>
          <w:b/>
          <w:bCs/>
          <w:sz w:val="22"/>
        </w:rPr>
      </w:pPr>
      <w:r>
        <w:rPr>
          <w:rFonts w:ascii="宋体" w:hAnsi="宋体" w:cs="宋体"/>
          <w:b/>
          <w:bCs/>
          <w:sz w:val="22"/>
          <w:u w:val="single"/>
        </w:rPr>
        <w:t>20.4▲在对各投标供应商的投标文件进行综合评审时，投标文件有下列情况之一的，经评标委员会认定后按无效标处理</w:t>
      </w:r>
      <w:r>
        <w:rPr>
          <w:rFonts w:hint="eastAsia" w:ascii="宋体" w:hAnsi="宋体" w:cs="宋体"/>
          <w:b/>
          <w:bCs/>
          <w:sz w:val="22"/>
        </w:rPr>
        <w:t>：</w:t>
      </w:r>
    </w:p>
    <w:p>
      <w:pPr>
        <w:numPr>
          <w:ilvl w:val="0"/>
          <w:numId w:val="6"/>
        </w:numPr>
        <w:overflowPunct w:val="0"/>
        <w:spacing w:line="360" w:lineRule="auto"/>
        <w:ind w:left="0" w:firstLine="422" w:firstLineChars="191"/>
        <w:jc w:val="left"/>
        <w:rPr>
          <w:rFonts w:ascii="宋体" w:hAnsi="宋体" w:cs="宋体"/>
          <w:b/>
          <w:sz w:val="22"/>
          <w:u w:val="single"/>
        </w:rPr>
      </w:pPr>
      <w:r>
        <w:rPr>
          <w:rFonts w:hint="eastAsia" w:ascii="宋体" w:hAnsi="宋体" w:cs="宋体"/>
          <w:b/>
          <w:sz w:val="22"/>
          <w:u w:val="single"/>
        </w:rPr>
        <w:t>投标文件未加盖单位公章、无法定代表人（单位负责人）签字（或盖章）或其授权代表签字（或盖章）的；</w:t>
      </w:r>
    </w:p>
    <w:p>
      <w:pPr>
        <w:numPr>
          <w:ilvl w:val="0"/>
          <w:numId w:val="6"/>
        </w:numPr>
        <w:overflowPunct w:val="0"/>
        <w:spacing w:line="360" w:lineRule="auto"/>
        <w:ind w:firstLine="0"/>
        <w:jc w:val="left"/>
        <w:rPr>
          <w:rFonts w:ascii="宋体" w:hAnsi="宋体" w:cs="宋体"/>
          <w:b/>
          <w:sz w:val="22"/>
          <w:u w:val="single"/>
        </w:rPr>
      </w:pPr>
      <w:r>
        <w:rPr>
          <w:rFonts w:hint="eastAsia" w:ascii="宋体" w:hAnsi="宋体" w:cs="宋体"/>
          <w:b/>
          <w:sz w:val="22"/>
          <w:u w:val="single"/>
        </w:rPr>
        <w:t>明显不符合采购文件中主要技术规格、商务技术标准或服务要求的或未按采购文件要求提供资格审查资料；</w:t>
      </w:r>
    </w:p>
    <w:p>
      <w:pPr>
        <w:numPr>
          <w:ilvl w:val="0"/>
          <w:numId w:val="6"/>
        </w:numPr>
        <w:overflowPunct w:val="0"/>
        <w:spacing w:line="360" w:lineRule="auto"/>
        <w:ind w:firstLine="0"/>
        <w:jc w:val="left"/>
        <w:rPr>
          <w:rFonts w:ascii="宋体" w:hAnsi="宋体" w:cs="宋体"/>
          <w:b/>
          <w:sz w:val="22"/>
          <w:u w:val="single"/>
        </w:rPr>
      </w:pPr>
      <w:r>
        <w:rPr>
          <w:rFonts w:hint="eastAsia" w:ascii="宋体" w:hAnsi="宋体" w:cs="宋体"/>
          <w:b/>
          <w:sz w:val="22"/>
          <w:u w:val="single"/>
        </w:rPr>
        <w:t>投标文件内容不全或关键字迹模糊无法辨认的；</w:t>
      </w:r>
    </w:p>
    <w:p>
      <w:pPr>
        <w:numPr>
          <w:ilvl w:val="0"/>
          <w:numId w:val="6"/>
        </w:numPr>
        <w:overflowPunct w:val="0"/>
        <w:spacing w:line="360" w:lineRule="auto"/>
        <w:ind w:firstLine="0"/>
        <w:jc w:val="left"/>
        <w:rPr>
          <w:rFonts w:ascii="宋体" w:hAnsi="宋体" w:cs="宋体"/>
          <w:b/>
          <w:sz w:val="22"/>
          <w:u w:val="single"/>
        </w:rPr>
      </w:pPr>
      <w:r>
        <w:rPr>
          <w:rFonts w:hint="eastAsia" w:ascii="宋体" w:hAnsi="宋体" w:cs="宋体"/>
          <w:b/>
          <w:sz w:val="22"/>
          <w:u w:val="single"/>
        </w:rPr>
        <w:t>投标供应商投标报价超过采购预算单价；</w:t>
      </w:r>
    </w:p>
    <w:p>
      <w:pPr>
        <w:numPr>
          <w:ilvl w:val="0"/>
          <w:numId w:val="6"/>
        </w:numPr>
        <w:overflowPunct w:val="0"/>
        <w:spacing w:line="360" w:lineRule="auto"/>
        <w:ind w:firstLine="0"/>
        <w:jc w:val="left"/>
        <w:rPr>
          <w:rFonts w:ascii="宋体" w:hAnsi="宋体" w:cs="宋体"/>
          <w:b/>
          <w:sz w:val="22"/>
          <w:u w:val="single"/>
        </w:rPr>
      </w:pPr>
      <w:r>
        <w:rPr>
          <w:rFonts w:hint="eastAsia" w:ascii="宋体" w:hAnsi="宋体" w:cs="宋体"/>
          <w:b/>
          <w:sz w:val="22"/>
          <w:u w:val="single"/>
        </w:rPr>
        <w:t>投标供应商商务技术部分中出现报价的；</w:t>
      </w:r>
    </w:p>
    <w:p>
      <w:pPr>
        <w:numPr>
          <w:ilvl w:val="0"/>
          <w:numId w:val="6"/>
        </w:numPr>
        <w:overflowPunct w:val="0"/>
        <w:spacing w:line="360" w:lineRule="auto"/>
        <w:ind w:firstLine="0"/>
        <w:jc w:val="left"/>
        <w:rPr>
          <w:rFonts w:ascii="宋体" w:hAnsi="宋体" w:cs="宋体"/>
          <w:b/>
          <w:sz w:val="22"/>
          <w:u w:val="single"/>
        </w:rPr>
      </w:pPr>
      <w:r>
        <w:rPr>
          <w:rFonts w:hint="eastAsia" w:ascii="宋体" w:hAnsi="宋体" w:cs="宋体"/>
          <w:b/>
          <w:sz w:val="22"/>
          <w:u w:val="single"/>
        </w:rPr>
        <w:t>投标文件附有采购人不能接受的条件；</w:t>
      </w:r>
    </w:p>
    <w:p>
      <w:pPr>
        <w:numPr>
          <w:ilvl w:val="0"/>
          <w:numId w:val="6"/>
        </w:numPr>
        <w:overflowPunct w:val="0"/>
        <w:spacing w:line="360" w:lineRule="auto"/>
        <w:ind w:firstLine="0"/>
        <w:jc w:val="left"/>
        <w:rPr>
          <w:rFonts w:ascii="宋体" w:hAnsi="宋体" w:cs="宋体"/>
          <w:b/>
          <w:sz w:val="22"/>
          <w:u w:val="single"/>
        </w:rPr>
      </w:pPr>
      <w:r>
        <w:rPr>
          <w:rFonts w:hint="eastAsia" w:ascii="宋体" w:hAnsi="宋体" w:cs="宋体"/>
          <w:b/>
          <w:sz w:val="22"/>
          <w:u w:val="single"/>
        </w:rPr>
        <w:t>授权代表没有法定代表人（单位负责人）合法、有效委托的；</w:t>
      </w:r>
    </w:p>
    <w:p>
      <w:pPr>
        <w:numPr>
          <w:ilvl w:val="0"/>
          <w:numId w:val="6"/>
        </w:numPr>
        <w:overflowPunct w:val="0"/>
        <w:spacing w:line="360" w:lineRule="auto"/>
        <w:ind w:firstLine="0"/>
        <w:jc w:val="left"/>
        <w:rPr>
          <w:rFonts w:ascii="宋体" w:hAnsi="宋体" w:cs="宋体"/>
          <w:b/>
          <w:sz w:val="22"/>
          <w:u w:val="single"/>
        </w:rPr>
      </w:pPr>
      <w:r>
        <w:rPr>
          <w:rFonts w:hint="eastAsia" w:ascii="宋体" w:hAnsi="宋体" w:cs="宋体"/>
          <w:b/>
          <w:sz w:val="22"/>
          <w:u w:val="single"/>
        </w:rPr>
        <w:t>投标供应商提交的投标文件相关证书、材料经评标委员会认定有弄虚作假情况的；</w:t>
      </w:r>
    </w:p>
    <w:p>
      <w:pPr>
        <w:numPr>
          <w:ilvl w:val="0"/>
          <w:numId w:val="6"/>
        </w:numPr>
        <w:overflowPunct w:val="0"/>
        <w:spacing w:line="360" w:lineRule="auto"/>
        <w:ind w:firstLine="0"/>
        <w:jc w:val="left"/>
        <w:rPr>
          <w:rFonts w:ascii="宋体" w:hAnsi="宋体" w:cs="宋体"/>
          <w:b/>
          <w:bCs/>
          <w:sz w:val="22"/>
          <w:u w:val="single"/>
        </w:rPr>
      </w:pPr>
      <w:r>
        <w:rPr>
          <w:rFonts w:hint="eastAsia" w:ascii="宋体" w:hAnsi="宋体" w:cs="宋体"/>
          <w:b/>
          <w:bCs/>
          <w:sz w:val="22"/>
          <w:u w:val="single"/>
        </w:rPr>
        <w:t>未按采购文件要求递交投标保证金的；</w:t>
      </w:r>
    </w:p>
    <w:p>
      <w:pPr>
        <w:numPr>
          <w:ilvl w:val="0"/>
          <w:numId w:val="6"/>
        </w:numPr>
        <w:overflowPunct w:val="0"/>
        <w:spacing w:line="360" w:lineRule="auto"/>
        <w:ind w:firstLine="0"/>
        <w:jc w:val="left"/>
        <w:rPr>
          <w:rFonts w:ascii="宋体" w:hAnsi="宋体" w:cs="宋体"/>
          <w:sz w:val="22"/>
          <w:u w:val="single"/>
        </w:rPr>
      </w:pPr>
      <w:r>
        <w:rPr>
          <w:rFonts w:hint="eastAsia" w:ascii="宋体" w:hAnsi="宋体" w:cs="宋体"/>
          <w:b/>
          <w:sz w:val="22"/>
          <w:u w:val="single"/>
        </w:rPr>
        <w:t>评标委员会认定不符合法律、法规和采购文件中规定的其他实质性要求的</w:t>
      </w:r>
      <w:r>
        <w:rPr>
          <w:rFonts w:hint="eastAsia" w:ascii="宋体" w:hAnsi="宋体" w:cs="宋体"/>
          <w:sz w:val="22"/>
          <w:u w:val="single"/>
        </w:rPr>
        <w:t>。</w:t>
      </w:r>
    </w:p>
    <w:p>
      <w:pPr>
        <w:numPr>
          <w:ilvl w:val="1"/>
          <w:numId w:val="7"/>
        </w:numPr>
        <w:tabs>
          <w:tab w:val="left" w:pos="425"/>
          <w:tab w:val="left" w:pos="540"/>
        </w:tabs>
        <w:overflowPunct w:val="0"/>
        <w:spacing w:line="360" w:lineRule="auto"/>
        <w:ind w:left="420" w:firstLine="0"/>
        <w:jc w:val="left"/>
        <w:rPr>
          <w:rFonts w:ascii="宋体" w:hAnsi="宋体" w:cs="宋体"/>
          <w:bCs/>
          <w:sz w:val="22"/>
        </w:rPr>
      </w:pPr>
      <w:r>
        <w:rPr>
          <w:rFonts w:ascii="宋体" w:hAnsi="宋体" w:cs="宋体"/>
          <w:bCs/>
          <w:sz w:val="22"/>
        </w:rPr>
        <w:t xml:space="preserve"> 开启报价文件</w:t>
      </w:r>
    </w:p>
    <w:p>
      <w:pPr>
        <w:numPr>
          <w:ilvl w:val="0"/>
          <w:numId w:val="8"/>
        </w:numPr>
        <w:overflowPunct w:val="0"/>
        <w:spacing w:line="360" w:lineRule="auto"/>
        <w:ind w:firstLine="0"/>
        <w:jc w:val="left"/>
        <w:rPr>
          <w:rFonts w:ascii="宋体" w:hAnsi="宋体" w:cs="宋体"/>
          <w:sz w:val="22"/>
        </w:rPr>
      </w:pPr>
      <w:r>
        <w:rPr>
          <w:rFonts w:hint="eastAsia" w:ascii="宋体" w:hAnsi="宋体" w:cs="宋体"/>
          <w:sz w:val="22"/>
        </w:rPr>
        <w:t>首先公布符合性审查、商务技术评审无效供应商名称及理由；公布经商务技术评审后有效供应商的名单，同时公布其商务技术得分情况。</w:t>
      </w:r>
    </w:p>
    <w:p>
      <w:pPr>
        <w:numPr>
          <w:ilvl w:val="0"/>
          <w:numId w:val="8"/>
        </w:numPr>
        <w:overflowPunct w:val="0"/>
        <w:spacing w:line="360" w:lineRule="auto"/>
        <w:ind w:firstLine="0"/>
        <w:jc w:val="left"/>
        <w:rPr>
          <w:rFonts w:ascii="宋体" w:hAnsi="宋体" w:cs="宋体"/>
          <w:sz w:val="22"/>
        </w:rPr>
      </w:pPr>
      <w:r>
        <w:rPr>
          <w:rFonts w:hint="eastAsia" w:ascii="宋体" w:hAnsi="宋体" w:cs="宋体"/>
          <w:sz w:val="22"/>
        </w:rPr>
        <w:t>开启“报价文件”，宣读“报价一览表”全部内容。公布报价一览表有关内容，同时当场制作开标记录表，供应商通过乐采云确认。开标结束后由评标委员会对报价的合理性、准确性等进行审查核实。</w:t>
      </w:r>
    </w:p>
    <w:p>
      <w:pPr>
        <w:numPr>
          <w:ilvl w:val="0"/>
          <w:numId w:val="8"/>
        </w:numPr>
        <w:overflowPunct w:val="0"/>
        <w:spacing w:line="360" w:lineRule="auto"/>
        <w:ind w:firstLine="0"/>
        <w:jc w:val="left"/>
        <w:rPr>
          <w:rFonts w:ascii="宋体" w:hAnsi="宋体" w:cs="宋体"/>
          <w:sz w:val="22"/>
        </w:rPr>
      </w:pPr>
      <w:r>
        <w:rPr>
          <w:rFonts w:hint="eastAsia" w:ascii="宋体" w:hAnsi="宋体" w:cs="宋体"/>
          <w:sz w:val="22"/>
        </w:rPr>
        <w:t>评审结束后，通过发送邮件形式公布中标（成交）候选供应商名单，及采购人最终确定中标或成交供应商名单的时间和公告方式等。</w:t>
      </w:r>
    </w:p>
    <w:p>
      <w:pPr>
        <w:tabs>
          <w:tab w:val="left" w:pos="426"/>
        </w:tabs>
        <w:overflowPunct w:val="0"/>
        <w:spacing w:line="360" w:lineRule="auto"/>
        <w:ind w:firstLine="420"/>
        <w:jc w:val="left"/>
        <w:rPr>
          <w:rFonts w:ascii="宋体" w:hAnsi="宋体" w:cs="宋体"/>
          <w:sz w:val="22"/>
        </w:rPr>
      </w:pPr>
      <w:r>
        <w:rPr>
          <w:rFonts w:hint="eastAsia" w:ascii="宋体" w:hAnsi="宋体" w:cs="宋体"/>
          <w:sz w:val="22"/>
        </w:rPr>
        <w:t>特别说明：如遇“乐采云平台”电子化开标或评审程序调整的，按调整后程序执行。</w:t>
      </w:r>
    </w:p>
    <w:p>
      <w:pPr>
        <w:tabs>
          <w:tab w:val="left" w:pos="425"/>
          <w:tab w:val="left" w:pos="540"/>
        </w:tabs>
        <w:overflowPunct w:val="0"/>
        <w:spacing w:line="360" w:lineRule="auto"/>
        <w:ind w:firstLine="420"/>
        <w:jc w:val="left"/>
        <w:rPr>
          <w:rFonts w:ascii="宋体" w:hAnsi="宋体" w:cs="宋体"/>
          <w:b/>
          <w:bCs/>
          <w:sz w:val="22"/>
        </w:rPr>
      </w:pPr>
      <w:r>
        <w:rPr>
          <w:rFonts w:ascii="宋体" w:hAnsi="宋体" w:cs="宋体"/>
          <w:bCs/>
          <w:sz w:val="22"/>
        </w:rPr>
        <w:t>20.6在详细评标之前，评标委员会要审查每份投标文件是否实质上响应了采购文件的要求。实质上响应的投标应该是与采购文件要求的全部条款、条件和规格基本相符。没有重大偏离。</w:t>
      </w:r>
      <w:r>
        <w:rPr>
          <w:rFonts w:hint="eastAsia" w:ascii="宋体" w:hAnsi="宋体" w:cs="宋体"/>
          <w:b/>
          <w:bCs/>
          <w:sz w:val="22"/>
        </w:rPr>
        <w:t>评标委员会决定投标的响应性只根据投标文件本身的内容，而不寻求外部的证据。</w:t>
      </w:r>
    </w:p>
    <w:p>
      <w:pPr>
        <w:tabs>
          <w:tab w:val="left" w:pos="425"/>
          <w:tab w:val="left" w:pos="540"/>
        </w:tabs>
        <w:overflowPunct w:val="0"/>
        <w:spacing w:line="360" w:lineRule="auto"/>
        <w:ind w:firstLine="420"/>
        <w:jc w:val="left"/>
        <w:rPr>
          <w:rFonts w:ascii="宋体" w:hAnsi="宋体" w:cs="宋体"/>
          <w:bCs/>
          <w:sz w:val="22"/>
        </w:rPr>
      </w:pPr>
      <w:r>
        <w:rPr>
          <w:rFonts w:ascii="宋体" w:hAnsi="宋体" w:cs="宋体"/>
          <w:b/>
          <w:bCs/>
          <w:sz w:val="22"/>
        </w:rPr>
        <w:t>20.7实质上没有响应采购文件要求的投标将被拒绝</w:t>
      </w:r>
      <w:r>
        <w:rPr>
          <w:rFonts w:hint="eastAsia" w:ascii="宋体" w:hAnsi="宋体" w:cs="宋体"/>
          <w:bCs/>
          <w:sz w:val="22"/>
        </w:rPr>
        <w:t>，投标供应商不得通过修正或撤消不合要求的偏离或保留从而使其投标成为实质上响应的投标。</w:t>
      </w:r>
    </w:p>
    <w:p>
      <w:pPr>
        <w:tabs>
          <w:tab w:val="left" w:pos="425"/>
          <w:tab w:val="left" w:pos="540"/>
        </w:tabs>
        <w:overflowPunct w:val="0"/>
        <w:spacing w:line="360" w:lineRule="auto"/>
        <w:ind w:firstLine="420"/>
        <w:jc w:val="left"/>
        <w:rPr>
          <w:rFonts w:ascii="宋体" w:hAnsi="宋体" w:cs="宋体"/>
          <w:bCs/>
          <w:sz w:val="22"/>
        </w:rPr>
      </w:pPr>
      <w:r>
        <w:rPr>
          <w:rFonts w:ascii="宋体" w:hAnsi="宋体" w:cs="宋体"/>
          <w:bCs/>
          <w:sz w:val="22"/>
        </w:rPr>
        <w:t>20.8</w:t>
      </w:r>
      <w:r>
        <w:rPr>
          <w:rFonts w:hint="eastAsia" w:ascii="宋体" w:hAnsi="宋体" w:cs="宋体"/>
          <w:bCs/>
          <w:sz w:val="22"/>
        </w:rPr>
        <w:t>评标委员会认为投标供应商的报价明显低于其他有效投标供应商的报价，有可能影响服务质量或不能诚信履约的，应要求其在评标现场合理的时间内提供书面说明（或通过“乐采云平台”提供线上说明），必要时还应要求其一并提交有关证明材料；投标供应商代表不能在规定的合理时间内证明其报价合理性的，评标委员会将其作为投标无效处理。</w:t>
      </w:r>
    </w:p>
    <w:p>
      <w:pPr>
        <w:tabs>
          <w:tab w:val="left" w:pos="425"/>
          <w:tab w:val="left" w:pos="540"/>
        </w:tabs>
        <w:overflowPunct w:val="0"/>
        <w:spacing w:line="360" w:lineRule="auto"/>
        <w:ind w:firstLine="420"/>
        <w:jc w:val="left"/>
        <w:rPr>
          <w:rFonts w:ascii="宋体" w:hAnsi="宋体" w:cs="宋体"/>
          <w:bCs/>
          <w:sz w:val="22"/>
        </w:rPr>
      </w:pPr>
      <w:r>
        <w:rPr>
          <w:rFonts w:hint="eastAsia" w:ascii="宋体" w:hAnsi="宋体" w:cs="宋体"/>
          <w:bCs/>
          <w:sz w:val="22"/>
        </w:rPr>
        <w:t>20.9</w:t>
      </w:r>
      <w:r>
        <w:rPr>
          <w:rFonts w:ascii="宋体" w:hAnsi="宋体" w:cs="宋体"/>
          <w:bCs/>
          <w:sz w:val="22"/>
        </w:rPr>
        <w:t>评标委员会对审查合格的投标文件按照采购文件中制订的评标方法进行综合评定打分。</w:t>
      </w:r>
    </w:p>
    <w:p>
      <w:pPr>
        <w:tabs>
          <w:tab w:val="left" w:pos="425"/>
          <w:tab w:val="left" w:pos="540"/>
        </w:tabs>
        <w:overflowPunct w:val="0"/>
        <w:spacing w:line="360" w:lineRule="auto"/>
        <w:ind w:firstLine="420"/>
        <w:jc w:val="left"/>
        <w:rPr>
          <w:rFonts w:ascii="宋体" w:hAnsi="宋体" w:cs="宋体"/>
          <w:bCs/>
          <w:sz w:val="22"/>
        </w:rPr>
      </w:pPr>
      <w:r>
        <w:rPr>
          <w:rFonts w:ascii="宋体" w:hAnsi="宋体" w:cs="宋体"/>
          <w:bCs/>
          <w:sz w:val="22"/>
        </w:rPr>
        <w:t>20.</w:t>
      </w:r>
      <w:r>
        <w:rPr>
          <w:rFonts w:hint="eastAsia" w:ascii="宋体" w:hAnsi="宋体" w:cs="宋体"/>
          <w:bCs/>
          <w:sz w:val="22"/>
        </w:rPr>
        <w:t>10</w:t>
      </w:r>
      <w:r>
        <w:rPr>
          <w:rFonts w:ascii="宋体" w:hAnsi="宋体" w:cs="宋体"/>
          <w:bCs/>
          <w:sz w:val="22"/>
        </w:rPr>
        <w:t>评标过程中遇到特殊情况，由评标委员会遵循公开、公正原则，采取投票方式按照少数服从多数原则决定。</w:t>
      </w:r>
    </w:p>
    <w:p>
      <w:pPr>
        <w:tabs>
          <w:tab w:val="left" w:pos="420"/>
          <w:tab w:val="left" w:pos="562"/>
          <w:tab w:val="left" w:pos="900"/>
        </w:tabs>
        <w:overflowPunct w:val="0"/>
        <w:spacing w:line="360" w:lineRule="auto"/>
        <w:ind w:firstLine="420"/>
        <w:jc w:val="left"/>
        <w:rPr>
          <w:rFonts w:ascii="宋体" w:hAnsi="宋体" w:cs="宋体"/>
          <w:sz w:val="22"/>
        </w:rPr>
      </w:pPr>
      <w:r>
        <w:rPr>
          <w:rFonts w:ascii="宋体" w:hAnsi="宋体" w:cs="宋体"/>
          <w:sz w:val="22"/>
        </w:rPr>
        <w:t>20.1</w:t>
      </w:r>
      <w:r>
        <w:rPr>
          <w:rFonts w:hint="eastAsia" w:ascii="宋体" w:hAnsi="宋体" w:cs="宋体"/>
          <w:sz w:val="22"/>
        </w:rPr>
        <w:t>1</w:t>
      </w:r>
      <w:r>
        <w:rPr>
          <w:rFonts w:hint="eastAsia" w:ascii="宋体" w:hAnsi="宋体" w:cs="宋体"/>
          <w:bCs/>
          <w:sz w:val="22"/>
        </w:rPr>
        <w:t>采购投标截止时间止及评审期间有效投标供应商少于</w:t>
      </w:r>
      <w:r>
        <w:rPr>
          <w:rFonts w:ascii="宋体" w:hAnsi="宋体" w:cs="宋体"/>
          <w:bCs/>
          <w:sz w:val="22"/>
        </w:rPr>
        <w:t>3家，重新组织采购。</w:t>
      </w:r>
    </w:p>
    <w:p>
      <w:pPr>
        <w:numPr>
          <w:ilvl w:val="0"/>
          <w:numId w:val="7"/>
        </w:numPr>
        <w:tabs>
          <w:tab w:val="left" w:pos="425"/>
          <w:tab w:val="left" w:pos="562"/>
          <w:tab w:val="left" w:pos="900"/>
        </w:tabs>
        <w:overflowPunct w:val="0"/>
        <w:spacing w:line="360" w:lineRule="auto"/>
        <w:ind w:left="420" w:firstLine="0"/>
        <w:jc w:val="left"/>
        <w:rPr>
          <w:rFonts w:ascii="宋体" w:hAnsi="宋体" w:cs="宋体"/>
          <w:sz w:val="22"/>
        </w:rPr>
      </w:pPr>
      <w:r>
        <w:rPr>
          <w:rFonts w:ascii="宋体" w:hAnsi="宋体" w:cs="宋体"/>
          <w:sz w:val="22"/>
        </w:rPr>
        <w:t xml:space="preserve"> 投标文件的澄清</w:t>
      </w:r>
    </w:p>
    <w:p>
      <w:pPr>
        <w:overflowPunct w:val="0"/>
        <w:spacing w:line="360" w:lineRule="auto"/>
        <w:ind w:firstLine="420"/>
        <w:jc w:val="left"/>
        <w:rPr>
          <w:rFonts w:ascii="宋体" w:hAnsi="宋体" w:cs="宋体"/>
          <w:sz w:val="22"/>
        </w:rPr>
      </w:pPr>
      <w:r>
        <w:rPr>
          <w:rFonts w:ascii="宋体" w:hAnsi="宋体" w:cs="宋体"/>
          <w:bCs/>
          <w:sz w:val="22"/>
        </w:rPr>
        <w:t>21.1在评标期间，评标委员会可以书面方式要求投标供应商对投标文件中含义不明确、对同类问题表述不一致或者有明显文字和计算错误的内容作必要的澄清、说明或补正。澄清、说明或补正应以书面形式并由法人代表人（单位负责人）或授权代表签署，但澄清内容不得超出投标文件的范围或者改变投标文件的实质性内容。拒不按要求对其投标文件进行澄清，说明或补正的投标供应商，评标委员会可以否决其投标。</w:t>
      </w:r>
    </w:p>
    <w:p>
      <w:pPr>
        <w:overflowPunct w:val="0"/>
        <w:spacing w:line="360" w:lineRule="auto"/>
        <w:ind w:firstLine="420"/>
        <w:jc w:val="left"/>
        <w:rPr>
          <w:rFonts w:ascii="宋体" w:hAnsi="宋体" w:cs="宋体"/>
          <w:bCs/>
          <w:sz w:val="22"/>
        </w:rPr>
      </w:pPr>
      <w:r>
        <w:rPr>
          <w:rFonts w:ascii="宋体" w:hAnsi="宋体" w:cs="宋体"/>
          <w:bCs/>
          <w:sz w:val="22"/>
        </w:rPr>
        <w:t>21.2经澄清后，若偏差仍存在，且不可接</w:t>
      </w:r>
      <w:r>
        <w:rPr>
          <w:rFonts w:hint="eastAsia" w:ascii="宋体" w:hAnsi="宋体" w:cs="宋体"/>
          <w:bCs/>
          <w:sz w:val="22"/>
        </w:rPr>
        <w:t>受，投标供应商则被认为是“没有实质性响应采购文件要求”，其投标不进入下一步评审。</w:t>
      </w:r>
    </w:p>
    <w:p>
      <w:pPr>
        <w:numPr>
          <w:ilvl w:val="0"/>
          <w:numId w:val="7"/>
        </w:numPr>
        <w:tabs>
          <w:tab w:val="left" w:pos="562"/>
          <w:tab w:val="left" w:pos="900"/>
        </w:tabs>
        <w:overflowPunct w:val="0"/>
        <w:spacing w:line="360" w:lineRule="auto"/>
        <w:ind w:left="420" w:firstLine="0"/>
        <w:jc w:val="left"/>
        <w:rPr>
          <w:rFonts w:ascii="宋体" w:hAnsi="宋体" w:cs="宋体"/>
          <w:sz w:val="22"/>
        </w:rPr>
      </w:pPr>
      <w:r>
        <w:rPr>
          <w:rFonts w:hint="eastAsia" w:ascii="宋体" w:hAnsi="宋体" w:cs="宋体"/>
          <w:sz w:val="22"/>
        </w:rPr>
        <w:t>确定中标候选人</w:t>
      </w:r>
    </w:p>
    <w:p>
      <w:pPr>
        <w:overflowPunct w:val="0"/>
        <w:spacing w:line="360" w:lineRule="auto"/>
        <w:ind w:firstLine="420"/>
        <w:jc w:val="left"/>
        <w:rPr>
          <w:rFonts w:ascii="宋体" w:hAnsi="宋体" w:cs="宋体"/>
          <w:sz w:val="22"/>
        </w:rPr>
      </w:pPr>
      <w:r>
        <w:rPr>
          <w:rFonts w:hint="eastAsia" w:ascii="宋体" w:hAnsi="宋体" w:cs="宋体"/>
          <w:sz w:val="22"/>
        </w:rPr>
        <w:t>22.1本次采购由评标委员会根据评标原则及办法推荐综合得分前二名供应商为第一、第二中标候选人，采购人根据评标委员会的推荐结果进行最终确认，选取综合得分第一的供应商为中标供应商</w:t>
      </w:r>
      <w:r>
        <w:rPr>
          <w:rFonts w:hint="eastAsia" w:ascii="宋体" w:hAnsi="宋体" w:cs="宋体"/>
          <w:bCs/>
          <w:sz w:val="22"/>
        </w:rPr>
        <w:t>（综合得分相同投标报价低的排序前位；综合得分相同且投标报价也相同的，由评标委员会抽签确定）</w:t>
      </w:r>
      <w:r>
        <w:rPr>
          <w:rFonts w:hint="eastAsia" w:ascii="宋体" w:hAnsi="宋体" w:cs="宋体"/>
          <w:sz w:val="22"/>
        </w:rPr>
        <w:t>。</w:t>
      </w:r>
    </w:p>
    <w:p>
      <w:pPr>
        <w:overflowPunct w:val="0"/>
        <w:spacing w:line="360" w:lineRule="auto"/>
        <w:ind w:firstLine="420"/>
        <w:jc w:val="left"/>
        <w:rPr>
          <w:rFonts w:ascii="宋体" w:hAnsi="宋体" w:cs="宋体"/>
          <w:bCs/>
          <w:sz w:val="22"/>
        </w:rPr>
      </w:pPr>
      <w:r>
        <w:rPr>
          <w:rFonts w:hint="eastAsia" w:ascii="宋体" w:hAnsi="宋体" w:cs="宋体"/>
          <w:sz w:val="22"/>
        </w:rPr>
        <w:t>22.2排名第一的中标候选人放弃中标；因不可抗力提出不能履行合同；或未能在规定时间内与采购人签订合同的；或未能在规定时间内提交履约保证金的；或者经质疑，采购人审查后，确因排名第一的中标候选人在本次采购活动中存在违法违规行为或其他原因使质疑成立的；或经查询存在行贿犯罪记录的，采购人有权视具体情况由后续排名靠前的中标候选人确定为中标供应商或重新采购。</w:t>
      </w:r>
    </w:p>
    <w:p>
      <w:pPr>
        <w:overflowPunct w:val="0"/>
        <w:spacing w:line="420" w:lineRule="exact"/>
        <w:ind w:firstLine="420"/>
        <w:jc w:val="left"/>
        <w:rPr>
          <w:rFonts w:ascii="宋体" w:hAnsi="宋体" w:cs="宋体"/>
          <w:bCs/>
          <w:sz w:val="22"/>
        </w:rPr>
      </w:pPr>
      <w:r>
        <w:rPr>
          <w:rFonts w:hint="eastAsia" w:ascii="宋体" w:hAnsi="宋体" w:cs="宋体"/>
          <w:bCs/>
          <w:sz w:val="22"/>
        </w:rPr>
        <w:t>22.4采购人、采购代理机构及评标委员会无须向落标的投标供应商解释落标原因，也不公布评标过程中的相关细节。</w:t>
      </w:r>
    </w:p>
    <w:p>
      <w:pPr>
        <w:numPr>
          <w:ilvl w:val="0"/>
          <w:numId w:val="7"/>
        </w:numPr>
        <w:tabs>
          <w:tab w:val="left" w:pos="562"/>
          <w:tab w:val="left" w:pos="900"/>
        </w:tabs>
        <w:overflowPunct w:val="0"/>
        <w:spacing w:line="420" w:lineRule="exact"/>
        <w:ind w:left="420" w:firstLine="0"/>
        <w:jc w:val="left"/>
        <w:rPr>
          <w:rFonts w:ascii="宋体" w:hAnsi="宋体" w:cs="宋体"/>
          <w:sz w:val="22"/>
        </w:rPr>
      </w:pPr>
      <w:r>
        <w:rPr>
          <w:rFonts w:hint="eastAsia" w:ascii="宋体" w:hAnsi="宋体" w:cs="宋体"/>
          <w:sz w:val="22"/>
        </w:rPr>
        <w:t>评标细则详见“评标原则及方法”。</w:t>
      </w:r>
    </w:p>
    <w:p>
      <w:pPr>
        <w:overflowPunct w:val="0"/>
        <w:spacing w:line="420" w:lineRule="exact"/>
        <w:jc w:val="left"/>
        <w:outlineLvl w:val="0"/>
        <w:rPr>
          <w:rFonts w:ascii="宋体" w:hAnsi="宋体" w:cs="宋体"/>
          <w:b/>
          <w:bCs/>
          <w:sz w:val="22"/>
        </w:rPr>
      </w:pPr>
      <w:bookmarkStart w:id="109" w:name="_Toc173317528"/>
      <w:bookmarkStart w:id="110" w:name="_Toc76747288"/>
      <w:bookmarkStart w:id="111" w:name="_Toc76659176"/>
      <w:bookmarkStart w:id="112" w:name="_Toc29413"/>
      <w:r>
        <w:rPr>
          <w:rFonts w:hint="eastAsia" w:ascii="宋体" w:hAnsi="宋体" w:cs="宋体"/>
          <w:b/>
          <w:bCs/>
          <w:sz w:val="22"/>
        </w:rPr>
        <w:t>六、授予合同</w:t>
      </w:r>
      <w:bookmarkEnd w:id="109"/>
      <w:bookmarkEnd w:id="110"/>
      <w:bookmarkEnd w:id="111"/>
      <w:bookmarkEnd w:id="112"/>
    </w:p>
    <w:p>
      <w:pPr>
        <w:numPr>
          <w:ilvl w:val="0"/>
          <w:numId w:val="7"/>
        </w:numPr>
        <w:tabs>
          <w:tab w:val="left" w:pos="562"/>
          <w:tab w:val="left" w:pos="900"/>
        </w:tabs>
        <w:overflowPunct w:val="0"/>
        <w:spacing w:line="420" w:lineRule="exact"/>
        <w:ind w:left="420" w:firstLine="0"/>
        <w:jc w:val="left"/>
        <w:rPr>
          <w:rFonts w:ascii="宋体" w:hAnsi="宋体" w:cs="宋体"/>
          <w:sz w:val="22"/>
        </w:rPr>
      </w:pPr>
      <w:r>
        <w:rPr>
          <w:rFonts w:hint="eastAsia" w:ascii="宋体" w:hAnsi="宋体" w:cs="宋体"/>
          <w:sz w:val="22"/>
        </w:rPr>
        <w:t>评标委员会推荐的中标候选人经采购人确认后在浙江政府采购网上公示，各投标供应商对评标结果如有异议，可在规定时间内以书面形式向采购人进行署名投诉或提出质疑，但需对投诉或质疑内容的真实性承担法律责任。</w:t>
      </w:r>
    </w:p>
    <w:p>
      <w:pPr>
        <w:numPr>
          <w:ilvl w:val="0"/>
          <w:numId w:val="7"/>
        </w:numPr>
        <w:tabs>
          <w:tab w:val="left" w:pos="425"/>
          <w:tab w:val="left" w:pos="562"/>
          <w:tab w:val="left" w:pos="900"/>
        </w:tabs>
        <w:overflowPunct w:val="0"/>
        <w:spacing w:line="420" w:lineRule="exact"/>
        <w:ind w:left="420" w:firstLine="0"/>
        <w:jc w:val="left"/>
        <w:rPr>
          <w:rFonts w:ascii="宋体" w:hAnsi="宋体" w:cs="宋体"/>
          <w:sz w:val="22"/>
        </w:rPr>
      </w:pPr>
      <w:r>
        <w:rPr>
          <w:rFonts w:hint="eastAsia" w:ascii="宋体" w:hAnsi="宋体" w:cs="宋体"/>
          <w:sz w:val="22"/>
        </w:rPr>
        <w:t>中标（成交）通知书</w:t>
      </w:r>
    </w:p>
    <w:p>
      <w:pPr>
        <w:numPr>
          <w:ilvl w:val="255"/>
          <w:numId w:val="0"/>
        </w:numPr>
        <w:overflowPunct w:val="0"/>
        <w:spacing w:line="420" w:lineRule="exact"/>
        <w:ind w:firstLine="420"/>
        <w:jc w:val="left"/>
        <w:rPr>
          <w:rFonts w:ascii="宋体" w:hAnsi="宋体" w:cs="宋体"/>
          <w:sz w:val="22"/>
        </w:rPr>
      </w:pPr>
      <w:r>
        <w:rPr>
          <w:rFonts w:hint="eastAsia" w:ascii="宋体" w:hAnsi="宋体" w:cs="宋体"/>
          <w:sz w:val="22"/>
        </w:rPr>
        <w:t>中标供应商须在中标结果公告发布后主动联系采购机构领取中标（成交）通知书，中标（成交）通知书对采购人和中标供应商具有法律约束力。中标（成交）通知书发出后，采购人改变中标结果或者中标供应商放弃中标的，应当承担法律责任。</w:t>
      </w:r>
    </w:p>
    <w:p>
      <w:pPr>
        <w:numPr>
          <w:ilvl w:val="0"/>
          <w:numId w:val="7"/>
        </w:numPr>
        <w:tabs>
          <w:tab w:val="left" w:pos="562"/>
          <w:tab w:val="left" w:pos="900"/>
        </w:tabs>
        <w:overflowPunct w:val="0"/>
        <w:spacing w:line="420" w:lineRule="exact"/>
        <w:ind w:left="420" w:firstLine="0"/>
        <w:jc w:val="left"/>
        <w:rPr>
          <w:rFonts w:ascii="宋体" w:hAnsi="宋体" w:cs="宋体"/>
          <w:sz w:val="22"/>
        </w:rPr>
      </w:pPr>
      <w:r>
        <w:rPr>
          <w:rFonts w:hint="eastAsia" w:ascii="宋体" w:hAnsi="宋体" w:cs="宋体"/>
          <w:sz w:val="22"/>
        </w:rPr>
        <w:t>签订合同</w:t>
      </w:r>
    </w:p>
    <w:p>
      <w:pPr>
        <w:tabs>
          <w:tab w:val="left" w:pos="540"/>
        </w:tabs>
        <w:overflowPunct w:val="0"/>
        <w:spacing w:line="420" w:lineRule="exact"/>
        <w:ind w:firstLine="420"/>
        <w:jc w:val="left"/>
        <w:rPr>
          <w:rFonts w:ascii="宋体" w:hAnsi="宋体" w:cs="宋体"/>
          <w:sz w:val="22"/>
        </w:rPr>
      </w:pPr>
      <w:r>
        <w:rPr>
          <w:rFonts w:ascii="宋体" w:hAnsi="宋体" w:cs="宋体"/>
          <w:sz w:val="22"/>
        </w:rPr>
        <w:t>26.1中标供应商领取中标（成交）通知书后到采购人处与采购人签订合同。中标供应商未经采购人许可，在规定时间内（中标（成交）通知书发出之日后30日内）未到采购人处与采购人签订合同，则视为拒签合同，应当承担法律责任。</w:t>
      </w:r>
    </w:p>
    <w:p>
      <w:pPr>
        <w:tabs>
          <w:tab w:val="left" w:pos="540"/>
        </w:tabs>
        <w:overflowPunct w:val="0"/>
        <w:spacing w:line="420" w:lineRule="exact"/>
        <w:ind w:firstLine="420"/>
        <w:jc w:val="left"/>
        <w:rPr>
          <w:rFonts w:ascii="宋体" w:hAnsi="宋体" w:cs="宋体"/>
          <w:sz w:val="22"/>
        </w:rPr>
      </w:pPr>
      <w:r>
        <w:rPr>
          <w:rFonts w:ascii="宋体" w:hAnsi="宋体" w:cs="宋体"/>
          <w:sz w:val="22"/>
        </w:rPr>
        <w:t>26.2采购文件、中标供应商的投标文件及投标修改文件、评标过程中有关澄清文件及经双方签字的询标纪要（承诺）和中标（成交）通知书均作为合同附件。</w:t>
      </w:r>
    </w:p>
    <w:p>
      <w:pPr>
        <w:tabs>
          <w:tab w:val="left" w:pos="540"/>
        </w:tabs>
        <w:overflowPunct w:val="0"/>
        <w:spacing w:line="420" w:lineRule="exact"/>
        <w:ind w:firstLine="420"/>
        <w:jc w:val="left"/>
        <w:rPr>
          <w:rFonts w:ascii="宋体" w:hAnsi="宋体" w:cs="宋体"/>
          <w:b/>
          <w:bCs/>
          <w:sz w:val="22"/>
        </w:rPr>
      </w:pPr>
      <w:r>
        <w:rPr>
          <w:rFonts w:ascii="宋体" w:hAnsi="宋体" w:cs="宋体"/>
          <w:b/>
          <w:bCs/>
          <w:sz w:val="22"/>
        </w:rPr>
        <w:t>26.3拒签合同的责任</w:t>
      </w:r>
    </w:p>
    <w:p>
      <w:pPr>
        <w:tabs>
          <w:tab w:val="left" w:pos="540"/>
        </w:tabs>
        <w:overflowPunct w:val="0"/>
        <w:spacing w:line="420" w:lineRule="exact"/>
        <w:ind w:firstLine="420"/>
        <w:jc w:val="left"/>
        <w:rPr>
          <w:rFonts w:ascii="宋体" w:hAnsi="宋体" w:cs="宋体"/>
          <w:b/>
          <w:bCs/>
          <w:sz w:val="22"/>
        </w:rPr>
      </w:pPr>
      <w:r>
        <w:rPr>
          <w:rFonts w:hint="eastAsia" w:ascii="宋体" w:hAnsi="宋体" w:cs="宋体"/>
          <w:b/>
          <w:bCs/>
          <w:sz w:val="22"/>
        </w:rPr>
        <w:t>中标人非因不可抗力原因放弃中标，导致招标人从其他中标候选人中重新确定中标人或重新组织招标的，应向招标人赔偿中标差价损失。本次招标报价以单价形式呈现，且方量尚未确定，中标差价损失应基于最终确定的方量，按照放弃中标的中标人原投标报价和最终确定的中标人报价分别计算各自的结算金额，两者之间的差额即为中标差价损失。</w:t>
      </w:r>
    </w:p>
    <w:p>
      <w:pPr>
        <w:tabs>
          <w:tab w:val="left" w:pos="540"/>
        </w:tabs>
        <w:overflowPunct w:val="0"/>
        <w:spacing w:line="420" w:lineRule="exact"/>
        <w:ind w:firstLine="420"/>
        <w:jc w:val="left"/>
        <w:rPr>
          <w:rFonts w:ascii="宋体" w:hAnsi="宋体" w:cs="宋体"/>
          <w:sz w:val="22"/>
        </w:rPr>
      </w:pPr>
      <w:r>
        <w:rPr>
          <w:rFonts w:hint="eastAsia" w:ascii="宋体" w:hAnsi="宋体" w:cs="宋体"/>
          <w:sz w:val="22"/>
        </w:rPr>
        <w:t>2</w:t>
      </w:r>
      <w:r>
        <w:rPr>
          <w:rFonts w:ascii="宋体" w:hAnsi="宋体" w:cs="宋体"/>
          <w:sz w:val="22"/>
        </w:rPr>
        <w:t>6</w:t>
      </w:r>
      <w:r>
        <w:rPr>
          <w:rFonts w:hint="eastAsia" w:ascii="宋体" w:hAnsi="宋体" w:cs="宋体"/>
          <w:sz w:val="22"/>
        </w:rPr>
        <w:t>.</w:t>
      </w:r>
      <w:r>
        <w:rPr>
          <w:rFonts w:ascii="宋体" w:hAnsi="宋体" w:cs="宋体"/>
          <w:sz w:val="22"/>
        </w:rPr>
        <w:t>4</w:t>
      </w:r>
      <w:r>
        <w:rPr>
          <w:rFonts w:hint="eastAsia" w:ascii="宋体" w:hAnsi="宋体" w:cs="宋体"/>
          <w:sz w:val="22"/>
        </w:rPr>
        <w:t>中标供应商应在合同签订后五个工作日内提交一份合同文本原件报采购代理机构备案。</w:t>
      </w:r>
    </w:p>
    <w:p>
      <w:pPr>
        <w:tabs>
          <w:tab w:val="left" w:pos="540"/>
        </w:tabs>
        <w:overflowPunct w:val="0"/>
        <w:spacing w:line="420" w:lineRule="exact"/>
        <w:ind w:firstLine="420"/>
        <w:jc w:val="left"/>
        <w:rPr>
          <w:rFonts w:ascii="宋体" w:hAnsi="宋体" w:cs="宋体"/>
          <w:sz w:val="22"/>
        </w:rPr>
      </w:pPr>
      <w:r>
        <w:rPr>
          <w:rFonts w:hint="eastAsia" w:ascii="宋体" w:hAnsi="宋体" w:cs="宋体"/>
          <w:sz w:val="22"/>
        </w:rPr>
        <w:t>27采购代理服务费及政采云服务费</w:t>
      </w:r>
      <w:bookmarkEnd w:id="95"/>
      <w:bookmarkEnd w:id="96"/>
      <w:bookmarkEnd w:id="97"/>
      <w:bookmarkEnd w:id="98"/>
      <w:bookmarkEnd w:id="99"/>
      <w:bookmarkEnd w:id="100"/>
      <w:bookmarkEnd w:id="101"/>
      <w:bookmarkEnd w:id="102"/>
      <w:bookmarkEnd w:id="103"/>
      <w:bookmarkEnd w:id="104"/>
      <w:bookmarkEnd w:id="105"/>
      <w:bookmarkEnd w:id="106"/>
      <w:bookmarkEnd w:id="107"/>
      <w:bookmarkEnd w:id="108"/>
    </w:p>
    <w:p>
      <w:pPr>
        <w:numPr>
          <w:ilvl w:val="0"/>
          <w:numId w:val="9"/>
        </w:numPr>
        <w:tabs>
          <w:tab w:val="left" w:pos="540"/>
          <w:tab w:val="clear" w:pos="312"/>
        </w:tabs>
        <w:overflowPunct w:val="0"/>
        <w:spacing w:line="420" w:lineRule="exact"/>
        <w:ind w:firstLine="420"/>
        <w:jc w:val="left"/>
        <w:rPr>
          <w:rFonts w:ascii="宋体" w:hAnsi="宋体" w:cs="宋体"/>
          <w:sz w:val="22"/>
        </w:rPr>
      </w:pPr>
      <w:r>
        <w:rPr>
          <w:rFonts w:hint="eastAsia" w:ascii="宋体" w:hAnsi="宋体" w:cs="宋体"/>
          <w:sz w:val="22"/>
        </w:rPr>
        <w:t>1采购代理服务费按</w:t>
      </w:r>
      <w:r>
        <w:rPr>
          <w:rFonts w:hint="eastAsia" w:ascii="宋体" w:hAnsi="宋体" w:cs="宋体"/>
          <w:sz w:val="22"/>
          <w:u w:val="single"/>
        </w:rPr>
        <w:t>叁万</w:t>
      </w:r>
      <w:r>
        <w:rPr>
          <w:rFonts w:hint="eastAsia" w:ascii="宋体" w:hAnsi="宋体" w:cs="宋体"/>
          <w:sz w:val="22"/>
        </w:rPr>
        <w:t>元计取，由中标供应商在领取成交通知书之前向采购代理机构支付。</w:t>
      </w:r>
    </w:p>
    <w:p>
      <w:pPr>
        <w:pStyle w:val="2"/>
        <w:ind w:firstLine="412"/>
      </w:pPr>
      <w:r>
        <w:t>27.2政采云服务费</w:t>
      </w:r>
    </w:p>
    <w:p>
      <w:pPr>
        <w:pStyle w:val="2"/>
        <w:spacing w:line="360" w:lineRule="auto"/>
        <w:ind w:firstLine="411" w:firstLineChars="196"/>
      </w:pPr>
      <w:r>
        <w:rPr>
          <w:rFonts w:hint="eastAsia"/>
        </w:rPr>
        <w:t>如需支付政采云服务费，由中标供应商在领取中标通知书时按同等比例支付给采购代理机构。</w:t>
      </w:r>
    </w:p>
    <w:p>
      <w:pPr>
        <w:pStyle w:val="2"/>
        <w:spacing w:line="360" w:lineRule="auto"/>
        <w:ind w:firstLine="411" w:firstLineChars="196"/>
      </w:pPr>
      <w:r>
        <w:t>27.3</w:t>
      </w:r>
      <w:r>
        <w:rPr>
          <w:rFonts w:hint="eastAsia"/>
        </w:rPr>
        <w:t>采购代理服务费可以是现金、支票或汇票。</w:t>
      </w:r>
    </w:p>
    <w:p>
      <w:pPr>
        <w:pStyle w:val="2"/>
        <w:spacing w:line="360" w:lineRule="auto"/>
        <w:ind w:firstLine="411" w:firstLineChars="196"/>
      </w:pPr>
      <w:r>
        <w:rPr>
          <w:rFonts w:hint="eastAsia"/>
        </w:rPr>
        <w:t>开户银行：兴业银行股份有限公司温州鹿城支行</w:t>
      </w:r>
    </w:p>
    <w:p>
      <w:pPr>
        <w:pStyle w:val="2"/>
        <w:spacing w:line="360" w:lineRule="auto"/>
        <w:ind w:firstLine="411" w:firstLineChars="196"/>
      </w:pPr>
      <w:r>
        <w:rPr>
          <w:rFonts w:hint="eastAsia"/>
        </w:rPr>
        <w:t>开户名称：温州市兴城工程造价审计咨询事务所（普通合伙）</w:t>
      </w:r>
    </w:p>
    <w:p>
      <w:pPr>
        <w:autoSpaceDE w:val="0"/>
        <w:autoSpaceDN w:val="0"/>
        <w:adjustRightInd w:val="0"/>
        <w:snapToGrid w:val="0"/>
        <w:spacing w:line="410" w:lineRule="atLeast"/>
        <w:ind w:firstLine="433" w:firstLineChars="197"/>
        <w:textAlignment w:val="bottom"/>
        <w:rPr>
          <w:rFonts w:ascii="宋体"/>
          <w:sz w:val="22"/>
          <w:u w:val="single"/>
        </w:rPr>
      </w:pPr>
      <w:r>
        <w:rPr>
          <w:rFonts w:hint="eastAsia" w:ascii="宋体" w:hAnsi="宋体" w:cs="宋体"/>
          <w:sz w:val="22"/>
        </w:rPr>
        <w:t>开户账号：</w:t>
      </w:r>
      <w:r>
        <w:rPr>
          <w:rFonts w:ascii="宋体" w:hAnsi="宋体" w:cs="宋体"/>
          <w:sz w:val="22"/>
        </w:rPr>
        <w:t>355 860 100 1000 51218</w:t>
      </w:r>
    </w:p>
    <w:p>
      <w:pPr>
        <w:pStyle w:val="22"/>
        <w:snapToGrid w:val="0"/>
        <w:spacing w:line="440" w:lineRule="atLeast"/>
        <w:ind w:left="421" w:hanging="421" w:hangingChars="131"/>
        <w:rPr>
          <w:rFonts w:ascii="宋体" w:hAnsi="宋体"/>
          <w:b/>
          <w:bCs/>
        </w:rPr>
      </w:pPr>
      <w:bookmarkStart w:id="113" w:name="_Toc7082"/>
      <w:bookmarkStart w:id="114" w:name="_Toc91494375"/>
      <w:r>
        <w:rPr>
          <w:rFonts w:ascii="宋体" w:hAnsi="宋体"/>
          <w:b/>
          <w:bCs/>
        </w:rPr>
        <w:br w:type="page"/>
      </w:r>
      <w:bookmarkStart w:id="115" w:name="_Toc173317529"/>
      <w:r>
        <w:rPr>
          <w:rFonts w:hint="eastAsia" w:ascii="宋体" w:hAnsi="宋体"/>
          <w:b/>
          <w:bCs/>
        </w:rPr>
        <w:t>第四部分 合同格式（参考格式）</w:t>
      </w:r>
      <w:bookmarkEnd w:id="113"/>
      <w:bookmarkEnd w:id="114"/>
      <w:bookmarkEnd w:id="115"/>
    </w:p>
    <w:p>
      <w:pPr>
        <w:pStyle w:val="22"/>
        <w:snapToGrid w:val="0"/>
        <w:spacing w:line="440" w:lineRule="atLeast"/>
        <w:ind w:left="289" w:hanging="289" w:hangingChars="131"/>
        <w:rPr>
          <w:rFonts w:hAnsi="宋体"/>
          <w:b/>
          <w:bCs/>
          <w:sz w:val="22"/>
          <w:u w:val="wave"/>
        </w:rPr>
      </w:pPr>
      <w:bookmarkStart w:id="116" w:name="_Toc173317530"/>
      <w:bookmarkStart w:id="117" w:name="_Toc91494376"/>
      <w:bookmarkStart w:id="118" w:name="_Toc173317407"/>
      <w:bookmarkStart w:id="119" w:name="_Toc99542447"/>
      <w:bookmarkStart w:id="120" w:name="_Toc84583507"/>
      <w:bookmarkStart w:id="121" w:name="_Toc32167"/>
      <w:r>
        <w:rPr>
          <w:rFonts w:hint="eastAsia" w:hAnsi="宋体"/>
          <w:b/>
          <w:bCs/>
          <w:sz w:val="22"/>
          <w:u w:val="wave"/>
        </w:rPr>
        <w:t>（以下格式为参考，</w:t>
      </w:r>
      <w:r>
        <w:rPr>
          <w:rFonts w:hAnsi="宋体"/>
          <w:b/>
          <w:bCs/>
          <w:sz w:val="22"/>
          <w:u w:val="wave"/>
        </w:rPr>
        <w:t>如需求方、承包方双方同意，合同格式也可以按照其他形式。</w:t>
      </w:r>
      <w:r>
        <w:rPr>
          <w:rFonts w:hint="eastAsia" w:hAnsi="宋体"/>
          <w:b/>
          <w:bCs/>
          <w:sz w:val="22"/>
          <w:u w:val="wave"/>
        </w:rPr>
        <w:t>）</w:t>
      </w:r>
      <w:bookmarkEnd w:id="116"/>
      <w:bookmarkEnd w:id="117"/>
      <w:bookmarkEnd w:id="118"/>
      <w:bookmarkEnd w:id="119"/>
      <w:bookmarkEnd w:id="120"/>
      <w:bookmarkEnd w:id="121"/>
    </w:p>
    <w:p>
      <w:pPr>
        <w:pStyle w:val="12"/>
        <w:spacing w:line="360" w:lineRule="auto"/>
        <w:jc w:val="left"/>
        <w:rPr>
          <w:rFonts w:hAnsi="宋体" w:eastAsia="宋体"/>
          <w:b w:val="0"/>
          <w:color w:val="auto"/>
          <w:szCs w:val="21"/>
        </w:rPr>
      </w:pPr>
      <w:r>
        <w:rPr>
          <w:rFonts w:hint="eastAsia" w:hAnsi="宋体" w:eastAsia="宋体"/>
          <w:b w:val="0"/>
          <w:color w:val="auto"/>
          <w:szCs w:val="21"/>
        </w:rPr>
        <w:t xml:space="preserve"> 编号  ：</w:t>
      </w:r>
    </w:p>
    <w:p>
      <w:pPr>
        <w:spacing w:line="360" w:lineRule="auto"/>
        <w:ind w:firstLine="200"/>
        <w:rPr>
          <w:rFonts w:ascii="宋体" w:hAnsi="宋体" w:cs="宋体"/>
          <w:sz w:val="22"/>
        </w:rPr>
      </w:pPr>
      <w:r>
        <w:rPr>
          <w:rFonts w:hint="eastAsia" w:ascii="宋体" w:hAnsi="宋体" w:cs="宋体"/>
          <w:sz w:val="22"/>
        </w:rPr>
        <w:t>招标人（采购人）：</w:t>
      </w:r>
      <w:r>
        <w:rPr>
          <w:rFonts w:hint="eastAsia" w:ascii="宋体" w:hAnsi="宋体" w:cs="宋体"/>
          <w:sz w:val="22"/>
          <w:u w:val="single"/>
        </w:rPr>
        <w:t xml:space="preserve">                                 （以下简称“甲方”）</w:t>
      </w:r>
    </w:p>
    <w:p>
      <w:pPr>
        <w:spacing w:line="360" w:lineRule="auto"/>
        <w:ind w:firstLine="200"/>
        <w:rPr>
          <w:rFonts w:ascii="宋体" w:hAnsi="宋体" w:cs="宋体"/>
          <w:sz w:val="22"/>
        </w:rPr>
      </w:pPr>
      <w:r>
        <w:rPr>
          <w:rFonts w:hint="eastAsia" w:ascii="宋体" w:hAnsi="宋体" w:cs="宋体"/>
          <w:sz w:val="22"/>
        </w:rPr>
        <w:t>中标供应商：</w:t>
      </w:r>
      <w:r>
        <w:rPr>
          <w:rFonts w:hint="eastAsia" w:ascii="宋体" w:hAnsi="宋体" w:cs="宋体"/>
          <w:sz w:val="22"/>
          <w:u w:val="single"/>
        </w:rPr>
        <w:t xml:space="preserve"> （以下简称“乙方”）</w:t>
      </w:r>
    </w:p>
    <w:p>
      <w:pPr>
        <w:spacing w:line="360" w:lineRule="auto"/>
        <w:ind w:firstLine="440" w:firstLineChars="200"/>
        <w:rPr>
          <w:rFonts w:ascii="宋体" w:hAnsi="宋体" w:cs="宋体"/>
          <w:bCs/>
          <w:sz w:val="22"/>
        </w:rPr>
      </w:pPr>
      <w:r>
        <w:rPr>
          <w:rFonts w:hint="eastAsia" w:ascii="宋体" w:hAnsi="宋体" w:cs="宋体"/>
          <w:bCs/>
          <w:sz w:val="22"/>
        </w:rPr>
        <w:t>双方根据  年  月   日关于</w:t>
      </w:r>
      <w:r>
        <w:rPr>
          <w:rFonts w:hint="eastAsia" w:ascii="宋体" w:hAnsi="宋体" w:cs="宋体"/>
          <w:bCs/>
          <w:sz w:val="22"/>
          <w:u w:val="single"/>
        </w:rPr>
        <w:t>温州瓯江口建筑泥浆资源化利用项目（原位固化含软基处理泥浆）</w:t>
      </w:r>
      <w:r>
        <w:rPr>
          <w:rFonts w:hint="eastAsia" w:ascii="宋体" w:hAnsi="宋体" w:cs="宋体"/>
          <w:bCs/>
          <w:sz w:val="22"/>
        </w:rPr>
        <w:t>（项目编号：XC-GC20241003）的采购结果和招标文件的要求，双方协商一致，签订本合同。</w:t>
      </w:r>
    </w:p>
    <w:p>
      <w:pPr>
        <w:spacing w:line="360" w:lineRule="auto"/>
        <w:ind w:firstLine="440" w:firstLineChars="200"/>
        <w:rPr>
          <w:rFonts w:ascii="宋体" w:hAnsi="宋体" w:cs="宋体"/>
          <w:bCs/>
          <w:sz w:val="22"/>
        </w:rPr>
      </w:pPr>
      <w:r>
        <w:rPr>
          <w:rFonts w:hint="eastAsia" w:ascii="宋体" w:hAnsi="宋体" w:cs="宋体"/>
          <w:bCs/>
          <w:sz w:val="22"/>
        </w:rPr>
        <w:t>1、本合同是根据《中华人民共和国民法典》有关规定。</w:t>
      </w:r>
    </w:p>
    <w:p>
      <w:pPr>
        <w:spacing w:line="360" w:lineRule="auto"/>
        <w:ind w:firstLine="440" w:firstLineChars="200"/>
        <w:rPr>
          <w:rFonts w:ascii="宋体" w:hAnsi="宋体" w:cs="宋体"/>
          <w:bCs/>
          <w:sz w:val="22"/>
        </w:rPr>
      </w:pPr>
      <w:r>
        <w:rPr>
          <w:rFonts w:hint="eastAsia" w:ascii="宋体" w:hAnsi="宋体" w:cs="宋体"/>
          <w:bCs/>
          <w:sz w:val="22"/>
        </w:rPr>
        <w:t>2、下列文件均为本合同的组成部分，若彼此表述有抵触，按以下顺序适用：</w:t>
      </w:r>
    </w:p>
    <w:p>
      <w:pPr>
        <w:spacing w:line="360" w:lineRule="auto"/>
        <w:ind w:firstLine="440" w:firstLineChars="200"/>
        <w:rPr>
          <w:rFonts w:ascii="宋体" w:hAnsi="宋体" w:cs="宋体"/>
          <w:bCs/>
          <w:sz w:val="22"/>
        </w:rPr>
      </w:pPr>
      <w:r>
        <w:rPr>
          <w:rFonts w:hint="eastAsia" w:ascii="宋体" w:hAnsi="宋体" w:cs="宋体"/>
          <w:bCs/>
          <w:sz w:val="22"/>
        </w:rPr>
        <w:t>（1）在本合同执行过程中双方共同签署的补充与修正文件；</w:t>
      </w:r>
    </w:p>
    <w:p>
      <w:pPr>
        <w:spacing w:line="360" w:lineRule="auto"/>
        <w:ind w:firstLine="440" w:firstLineChars="200"/>
        <w:rPr>
          <w:rFonts w:ascii="宋体" w:hAnsi="宋体" w:cs="宋体"/>
          <w:bCs/>
          <w:sz w:val="22"/>
        </w:rPr>
      </w:pPr>
      <w:r>
        <w:rPr>
          <w:rFonts w:hint="eastAsia" w:ascii="宋体" w:hAnsi="宋体" w:cs="宋体"/>
          <w:bCs/>
          <w:sz w:val="22"/>
        </w:rPr>
        <w:t>（2）中标通知书；</w:t>
      </w:r>
    </w:p>
    <w:p>
      <w:pPr>
        <w:spacing w:line="360" w:lineRule="auto"/>
        <w:ind w:firstLine="440" w:firstLineChars="200"/>
        <w:rPr>
          <w:rFonts w:ascii="宋体" w:hAnsi="宋体" w:cs="宋体"/>
          <w:bCs/>
          <w:sz w:val="22"/>
        </w:rPr>
      </w:pPr>
      <w:r>
        <w:rPr>
          <w:rFonts w:hint="eastAsia" w:ascii="宋体" w:hAnsi="宋体" w:cs="宋体"/>
          <w:bCs/>
          <w:sz w:val="22"/>
        </w:rPr>
        <w:t>（3）技术规格、要求；</w:t>
      </w:r>
    </w:p>
    <w:p>
      <w:pPr>
        <w:spacing w:line="360" w:lineRule="auto"/>
        <w:ind w:firstLine="440" w:firstLineChars="200"/>
        <w:rPr>
          <w:rFonts w:ascii="宋体" w:hAnsi="宋体" w:cs="宋体"/>
          <w:bCs/>
          <w:sz w:val="22"/>
        </w:rPr>
      </w:pPr>
      <w:r>
        <w:rPr>
          <w:rFonts w:hint="eastAsia" w:ascii="宋体" w:hAnsi="宋体" w:cs="宋体"/>
          <w:bCs/>
          <w:sz w:val="22"/>
        </w:rPr>
        <w:t>（4）本合同主要条款；</w:t>
      </w:r>
    </w:p>
    <w:p>
      <w:pPr>
        <w:spacing w:line="360" w:lineRule="auto"/>
        <w:ind w:firstLine="440" w:firstLineChars="200"/>
        <w:rPr>
          <w:rFonts w:ascii="宋体" w:hAnsi="宋体" w:cs="宋体"/>
          <w:bCs/>
          <w:sz w:val="22"/>
        </w:rPr>
      </w:pPr>
      <w:r>
        <w:rPr>
          <w:rFonts w:hint="eastAsia" w:ascii="宋体" w:hAnsi="宋体" w:cs="宋体"/>
          <w:bCs/>
          <w:sz w:val="22"/>
        </w:rPr>
        <w:t>（5）经委托人确认的本合同乙方于年月日递交的投标文件；</w:t>
      </w:r>
    </w:p>
    <w:p>
      <w:pPr>
        <w:spacing w:line="360" w:lineRule="auto"/>
        <w:ind w:firstLine="440" w:firstLineChars="200"/>
        <w:rPr>
          <w:rFonts w:ascii="宋体" w:hAnsi="宋体" w:cs="宋体"/>
          <w:bCs/>
          <w:sz w:val="22"/>
        </w:rPr>
      </w:pPr>
      <w:r>
        <w:rPr>
          <w:rFonts w:hint="eastAsia" w:ascii="宋体" w:hAnsi="宋体" w:cs="宋体"/>
          <w:bCs/>
          <w:sz w:val="22"/>
        </w:rPr>
        <w:t>（6）本项目甲方于年月日发布的招标文件（项目编号：）及其补充文件。</w:t>
      </w:r>
    </w:p>
    <w:p>
      <w:pPr>
        <w:spacing w:line="360" w:lineRule="auto"/>
        <w:ind w:firstLine="440" w:firstLineChars="200"/>
        <w:rPr>
          <w:rFonts w:ascii="宋体" w:hAnsi="宋体" w:cs="宋体"/>
          <w:bCs/>
          <w:sz w:val="22"/>
        </w:rPr>
      </w:pPr>
      <w:r>
        <w:rPr>
          <w:rFonts w:hint="eastAsia" w:ascii="宋体" w:hAnsi="宋体" w:cs="宋体"/>
          <w:bCs/>
          <w:sz w:val="22"/>
        </w:rPr>
        <w:t>3、上述文件互相补充和解释，如有不明确或不一致之处，以合同约定次序在先者为准。</w:t>
      </w:r>
    </w:p>
    <w:p>
      <w:pPr>
        <w:spacing w:line="360" w:lineRule="auto"/>
        <w:ind w:firstLine="440" w:firstLineChars="200"/>
        <w:rPr>
          <w:rFonts w:ascii="宋体" w:hAnsi="宋体" w:cs="宋体"/>
          <w:bCs/>
          <w:sz w:val="22"/>
        </w:rPr>
      </w:pPr>
      <w:r>
        <w:rPr>
          <w:rFonts w:hint="eastAsia" w:ascii="宋体" w:hAnsi="宋体" w:cs="宋体"/>
          <w:bCs/>
          <w:sz w:val="22"/>
        </w:rPr>
        <w:t>4、签约合同价：原位固化含软基处理泥浆</w:t>
      </w:r>
      <w:r>
        <w:rPr>
          <w:rFonts w:ascii="宋体" w:hAnsi="宋体" w:cs="宋体"/>
          <w:bCs/>
          <w:sz w:val="22"/>
        </w:rPr>
        <w:t xml:space="preserve">价格：    </w:t>
      </w:r>
      <w:r>
        <w:rPr>
          <w:rFonts w:hint="eastAsia" w:ascii="宋体" w:hAnsi="宋体" w:cs="宋体"/>
          <w:bCs/>
          <w:sz w:val="22"/>
        </w:rPr>
        <w:t>元</w:t>
      </w:r>
      <w:r>
        <w:rPr>
          <w:rFonts w:ascii="宋体" w:hAnsi="宋体" w:cs="宋体"/>
          <w:bCs/>
          <w:sz w:val="22"/>
        </w:rPr>
        <w:t>/湿方；合同结算金额按实际</w:t>
      </w:r>
      <w:r>
        <w:rPr>
          <w:rFonts w:hint="eastAsia" w:ascii="宋体" w:hAnsi="宋体" w:cs="宋体"/>
          <w:bCs/>
          <w:sz w:val="22"/>
        </w:rPr>
        <w:t>处理</w:t>
      </w:r>
      <w:r>
        <w:rPr>
          <w:rFonts w:ascii="宋体" w:hAnsi="宋体" w:cs="宋体"/>
          <w:bCs/>
          <w:sz w:val="22"/>
        </w:rPr>
        <w:t>量</w:t>
      </w:r>
      <w:r>
        <w:rPr>
          <w:rFonts w:hint="eastAsia" w:ascii="宋体" w:hAnsi="宋体" w:cs="宋体"/>
          <w:bCs/>
          <w:sz w:val="22"/>
        </w:rPr>
        <w:t>与中标单价</w:t>
      </w:r>
      <w:r>
        <w:rPr>
          <w:rFonts w:ascii="宋体" w:hAnsi="宋体" w:cs="宋体"/>
          <w:bCs/>
          <w:sz w:val="22"/>
        </w:rPr>
        <w:t>进行</w:t>
      </w:r>
      <w:r>
        <w:rPr>
          <w:rFonts w:hint="eastAsia" w:ascii="宋体" w:hAnsi="宋体" w:cs="宋体"/>
          <w:bCs/>
          <w:sz w:val="22"/>
        </w:rPr>
        <w:t>计算</w:t>
      </w:r>
      <w:r>
        <w:rPr>
          <w:rFonts w:ascii="宋体" w:hAnsi="宋体" w:cs="宋体"/>
          <w:bCs/>
          <w:sz w:val="22"/>
        </w:rPr>
        <w:t>。</w:t>
      </w:r>
    </w:p>
    <w:p>
      <w:pPr>
        <w:spacing w:line="360" w:lineRule="auto"/>
        <w:ind w:firstLine="440" w:firstLineChars="200"/>
        <w:rPr>
          <w:rFonts w:ascii="宋体" w:hAnsi="宋体" w:cs="宋体"/>
          <w:bCs/>
          <w:sz w:val="22"/>
        </w:rPr>
      </w:pPr>
      <w:r>
        <w:rPr>
          <w:rFonts w:hint="eastAsia" w:ascii="宋体" w:hAnsi="宋体" w:cs="宋体"/>
          <w:bCs/>
          <w:sz w:val="22"/>
        </w:rPr>
        <w:t>5、计量方式：乙方加工的泥浆量按实际的入场方量进行计算，由甲方根据票据系统、泥浆流量计或其他有效的计量方式进行统计。</w:t>
      </w:r>
    </w:p>
    <w:p>
      <w:pPr>
        <w:spacing w:line="360" w:lineRule="auto"/>
        <w:ind w:firstLine="440" w:firstLineChars="200"/>
        <w:rPr>
          <w:rFonts w:ascii="宋体" w:hAnsi="宋体" w:cs="宋体"/>
          <w:bCs/>
          <w:sz w:val="22"/>
          <w:highlight w:val="none"/>
        </w:rPr>
      </w:pPr>
      <w:r>
        <w:rPr>
          <w:rFonts w:hint="eastAsia" w:ascii="宋体" w:hAnsi="宋体" w:cs="宋体"/>
          <w:bCs/>
          <w:sz w:val="22"/>
        </w:rPr>
        <w:t>泥浆处置后产成品，统一按照湿方计量单</w:t>
      </w:r>
      <w:r>
        <w:rPr>
          <w:rFonts w:hint="eastAsia" w:ascii="宋体" w:hAnsi="宋体" w:cs="宋体"/>
          <w:bCs/>
          <w:sz w:val="22"/>
          <w:highlight w:val="none"/>
        </w:rPr>
        <w:t>位进行计价。计量数据由甲、乙双方签单确认。</w:t>
      </w:r>
    </w:p>
    <w:p>
      <w:pPr>
        <w:spacing w:line="360" w:lineRule="auto"/>
        <w:ind w:firstLine="440" w:firstLineChars="200"/>
        <w:rPr>
          <w:rFonts w:ascii="宋体" w:hAnsi="宋体" w:cs="宋体"/>
          <w:bCs/>
          <w:sz w:val="22"/>
          <w:highlight w:val="none"/>
        </w:rPr>
      </w:pPr>
      <w:r>
        <w:rPr>
          <w:rFonts w:hint="eastAsia" w:ascii="宋体" w:hAnsi="宋体" w:cs="宋体"/>
          <w:bCs/>
          <w:sz w:val="22"/>
          <w:highlight w:val="none"/>
        </w:rPr>
        <w:t>合同执行过程中出现干、湿方及重量转换的，折算公式为：1干方泥浆约为3湿方泥浆，1干方泥浆=1.7吨，最终以实际结算方量为准。</w:t>
      </w:r>
    </w:p>
    <w:p>
      <w:pPr>
        <w:spacing w:line="360" w:lineRule="auto"/>
        <w:ind w:firstLine="440" w:firstLineChars="200"/>
        <w:rPr>
          <w:rFonts w:ascii="宋体"/>
          <w:sz w:val="22"/>
          <w:highlight w:val="none"/>
        </w:rPr>
      </w:pPr>
      <w:r>
        <w:rPr>
          <w:rFonts w:hint="eastAsia" w:ascii="宋体" w:hAnsi="宋体" w:cs="宋体"/>
          <w:sz w:val="22"/>
          <w:highlight w:val="none"/>
        </w:rPr>
        <w:t>6</w:t>
      </w:r>
      <w:r>
        <w:rPr>
          <w:rFonts w:hint="eastAsia" w:ascii="宋体" w:hAnsi="宋体" w:cs="宋体"/>
          <w:bCs/>
          <w:sz w:val="22"/>
          <w:highlight w:val="none"/>
        </w:rPr>
        <w:t>、</w:t>
      </w:r>
      <w:r>
        <w:rPr>
          <w:rFonts w:hint="eastAsia" w:ascii="宋体" w:hAnsi="宋体" w:cs="宋体"/>
          <w:b/>
          <w:sz w:val="22"/>
          <w:highlight w:val="none"/>
        </w:rPr>
        <w:t>泥浆固化服务</w:t>
      </w:r>
      <w:r>
        <w:rPr>
          <w:rFonts w:hint="eastAsia" w:ascii="宋体" w:hAnsi="宋体" w:cs="宋体"/>
          <w:sz w:val="22"/>
          <w:highlight w:val="none"/>
        </w:rPr>
        <w:t>按项目由采购人进行任务下发，</w:t>
      </w:r>
      <w:r>
        <w:rPr>
          <w:rFonts w:hint="eastAsia" w:ascii="宋体"/>
          <w:sz w:val="22"/>
          <w:highlight w:val="none"/>
        </w:rPr>
        <w:t>下发围堰任务后120天内完成围堰工作，</w:t>
      </w:r>
      <w:r>
        <w:rPr>
          <w:rFonts w:hint="eastAsia" w:ascii="宋体" w:hAnsi="宋体" w:cs="宋体"/>
          <w:sz w:val="22"/>
          <w:highlight w:val="none"/>
        </w:rPr>
        <w:t>下发固化处理任务后4个月内完成固化处理工作</w:t>
      </w:r>
      <w:r>
        <w:rPr>
          <w:rFonts w:hint="eastAsia" w:ascii="宋体"/>
          <w:sz w:val="22"/>
          <w:highlight w:val="none"/>
        </w:rPr>
        <w:t>，</w:t>
      </w:r>
      <w:r>
        <w:rPr>
          <w:rFonts w:hint="eastAsia" w:ascii="宋体" w:hAnsi="宋体" w:cs="宋体"/>
          <w:spacing w:val="6"/>
          <w:sz w:val="22"/>
          <w:highlight w:val="none"/>
        </w:rPr>
        <w:t>因不可抗力造成无法正常工作的，可以顺延</w:t>
      </w:r>
      <w:r>
        <w:rPr>
          <w:rFonts w:hint="eastAsia" w:ascii="宋体" w:hAnsi="宋体" w:cs="宋体"/>
          <w:sz w:val="22"/>
          <w:highlight w:val="none"/>
        </w:rPr>
        <w:t>。服务期限：采用1+1+1模式(1年期满或提前达到年预估总量，考核合格，双方同意，且政策允许的情况下，可以延续一年，续签最多不超过2次）。</w:t>
      </w:r>
      <w:r>
        <w:rPr>
          <w:rFonts w:hint="eastAsia" w:ascii="宋体"/>
          <w:sz w:val="22"/>
          <w:highlight w:val="none"/>
        </w:rPr>
        <w:t>。</w:t>
      </w:r>
    </w:p>
    <w:p>
      <w:pPr>
        <w:pStyle w:val="3"/>
        <w:ind w:firstLine="440" w:firstLineChars="200"/>
        <w:rPr>
          <w:highlight w:val="none"/>
        </w:rPr>
      </w:pPr>
      <w:r>
        <w:rPr>
          <w:rFonts w:hint="eastAsia" w:ascii="宋体" w:hAnsi="宋体" w:cs="宋体"/>
          <w:bCs/>
          <w:sz w:val="22"/>
          <w:highlight w:val="none"/>
        </w:rPr>
        <w:t>履约过程中，甲方有权根据自身业务的运营需要，单方面终止合同并不承担违约、赔偿责任。</w:t>
      </w:r>
    </w:p>
    <w:p>
      <w:pPr>
        <w:spacing w:line="360" w:lineRule="auto"/>
        <w:ind w:firstLine="440" w:firstLineChars="200"/>
        <w:rPr>
          <w:rFonts w:ascii="宋体" w:hAnsi="宋体" w:cs="宋体"/>
          <w:bCs/>
          <w:sz w:val="22"/>
          <w:highlight w:val="none"/>
        </w:rPr>
      </w:pPr>
      <w:r>
        <w:rPr>
          <w:rFonts w:hint="eastAsia" w:ascii="宋体" w:hAnsi="宋体" w:cs="宋体"/>
          <w:bCs/>
          <w:sz w:val="22"/>
          <w:highlight w:val="none"/>
        </w:rPr>
        <w:t>7、乙方项目负责人：。</w:t>
      </w:r>
    </w:p>
    <w:p>
      <w:pPr>
        <w:spacing w:line="360" w:lineRule="auto"/>
        <w:ind w:firstLine="440" w:firstLineChars="200"/>
        <w:rPr>
          <w:rFonts w:ascii="宋体" w:hAnsi="宋体" w:cs="宋体"/>
          <w:bCs/>
          <w:sz w:val="22"/>
          <w:highlight w:val="none"/>
        </w:rPr>
      </w:pPr>
      <w:r>
        <w:rPr>
          <w:rFonts w:hint="eastAsia" w:ascii="宋体" w:hAnsi="宋体" w:cs="宋体"/>
          <w:bCs/>
          <w:sz w:val="22"/>
          <w:highlight w:val="none"/>
        </w:rPr>
        <w:t>8、甲方承诺按合同约定的条件、时间和方式向乙方支付合同价款。</w:t>
      </w:r>
    </w:p>
    <w:p>
      <w:pPr>
        <w:spacing w:line="360" w:lineRule="auto"/>
        <w:ind w:firstLine="440" w:firstLineChars="200"/>
        <w:rPr>
          <w:rFonts w:ascii="宋体" w:hAnsi="宋体" w:cs="宋体"/>
          <w:b/>
          <w:sz w:val="22"/>
          <w:highlight w:val="none"/>
        </w:rPr>
      </w:pPr>
      <w:r>
        <w:rPr>
          <w:rFonts w:hint="eastAsia" w:ascii="宋体" w:hAnsi="宋体" w:cs="宋体"/>
          <w:bCs/>
          <w:sz w:val="22"/>
          <w:highlight w:val="none"/>
        </w:rPr>
        <w:t>9</w:t>
      </w:r>
      <w:r>
        <w:rPr>
          <w:rFonts w:hint="eastAsia" w:ascii="宋体" w:hAnsi="宋体" w:cs="宋体"/>
          <w:b/>
          <w:sz w:val="22"/>
          <w:highlight w:val="none"/>
        </w:rPr>
        <w:t>、付款方式：</w:t>
      </w:r>
    </w:p>
    <w:p>
      <w:pPr>
        <w:spacing w:line="360" w:lineRule="auto"/>
        <w:ind w:firstLine="440" w:firstLineChars="200"/>
        <w:rPr>
          <w:rFonts w:ascii="宋体" w:hAnsi="宋体" w:cs="宋体"/>
          <w:bCs/>
          <w:sz w:val="22"/>
          <w:highlight w:val="none"/>
        </w:rPr>
      </w:pPr>
      <w:r>
        <w:rPr>
          <w:rFonts w:hint="eastAsia" w:ascii="宋体" w:hAnsi="宋体" w:cs="宋体"/>
          <w:bCs/>
          <w:sz w:val="22"/>
          <w:highlight w:val="none"/>
        </w:rPr>
        <w:t>（1）当期原位固化含软基处理泥浆</w:t>
      </w:r>
      <w:r>
        <w:rPr>
          <w:rFonts w:ascii="宋体" w:hAnsi="宋体" w:cs="宋体"/>
          <w:bCs/>
          <w:sz w:val="22"/>
          <w:highlight w:val="none"/>
        </w:rPr>
        <w:t>费用=</w:t>
      </w:r>
      <w:r>
        <w:rPr>
          <w:rFonts w:hint="eastAsia" w:ascii="宋体" w:hAnsi="宋体" w:cs="宋体"/>
          <w:bCs/>
          <w:sz w:val="22"/>
          <w:highlight w:val="none"/>
        </w:rPr>
        <w:t>原位固化含软基处理泥浆</w:t>
      </w:r>
      <w:r>
        <w:rPr>
          <w:rFonts w:ascii="宋体" w:hAnsi="宋体" w:cs="宋体"/>
          <w:bCs/>
          <w:sz w:val="22"/>
          <w:highlight w:val="none"/>
        </w:rPr>
        <w:t>的当</w:t>
      </w:r>
      <w:r>
        <w:rPr>
          <w:rFonts w:hint="eastAsia" w:ascii="宋体" w:hAnsi="宋体" w:cs="宋体"/>
          <w:bCs/>
          <w:sz w:val="22"/>
          <w:highlight w:val="none"/>
        </w:rPr>
        <w:t>期方</w:t>
      </w:r>
      <w:r>
        <w:rPr>
          <w:rFonts w:ascii="宋体" w:hAnsi="宋体" w:cs="宋体"/>
          <w:bCs/>
          <w:sz w:val="22"/>
          <w:highlight w:val="none"/>
        </w:rPr>
        <w:t>量(经</w:t>
      </w:r>
      <w:r>
        <w:rPr>
          <w:rFonts w:hint="eastAsia" w:ascii="宋体" w:hAnsi="宋体" w:cs="宋体"/>
          <w:bCs/>
          <w:sz w:val="22"/>
          <w:highlight w:val="none"/>
        </w:rPr>
        <w:t>双方</w:t>
      </w:r>
      <w:r>
        <w:rPr>
          <w:rFonts w:ascii="宋体" w:hAnsi="宋体" w:cs="宋体"/>
          <w:bCs/>
          <w:sz w:val="22"/>
          <w:highlight w:val="none"/>
        </w:rPr>
        <w:t>确认)x</w:t>
      </w:r>
      <w:r>
        <w:rPr>
          <w:rFonts w:hint="eastAsia" w:ascii="宋体" w:hAnsi="宋体" w:cs="宋体"/>
          <w:bCs/>
          <w:sz w:val="22"/>
          <w:highlight w:val="none"/>
        </w:rPr>
        <w:t>原位固化含软基处理泥浆中标</w:t>
      </w:r>
      <w:r>
        <w:rPr>
          <w:rFonts w:ascii="宋体" w:hAnsi="宋体" w:cs="宋体"/>
          <w:bCs/>
          <w:sz w:val="22"/>
          <w:highlight w:val="none"/>
        </w:rPr>
        <w:t>单价。</w:t>
      </w:r>
    </w:p>
    <w:p>
      <w:pPr>
        <w:spacing w:line="360" w:lineRule="auto"/>
        <w:ind w:firstLine="440" w:firstLineChars="200"/>
        <w:rPr>
          <w:rFonts w:ascii="宋体" w:hAnsi="宋体" w:cs="宋体"/>
          <w:bCs/>
          <w:sz w:val="22"/>
          <w:highlight w:val="none"/>
        </w:rPr>
      </w:pPr>
      <w:r>
        <w:rPr>
          <w:rFonts w:hint="eastAsia" w:ascii="宋体" w:hAnsi="宋体" w:cs="宋体"/>
          <w:bCs/>
          <w:sz w:val="22"/>
          <w:highlight w:val="none"/>
        </w:rPr>
        <w:t>当期泥浆处理总费用</w:t>
      </w:r>
      <w:r>
        <w:rPr>
          <w:rFonts w:ascii="宋体" w:hAnsi="宋体" w:cs="宋体"/>
          <w:bCs/>
          <w:sz w:val="22"/>
          <w:highlight w:val="none"/>
        </w:rPr>
        <w:t>=</w:t>
      </w:r>
      <w:r>
        <w:rPr>
          <w:rFonts w:hint="eastAsia" w:ascii="宋体" w:hAnsi="宋体" w:cs="宋体"/>
          <w:bCs/>
          <w:sz w:val="22"/>
          <w:highlight w:val="none"/>
        </w:rPr>
        <w:t>当</w:t>
      </w:r>
      <w:r>
        <w:rPr>
          <w:rFonts w:ascii="宋体" w:hAnsi="宋体" w:cs="宋体"/>
          <w:bCs/>
          <w:sz w:val="22"/>
          <w:highlight w:val="none"/>
        </w:rPr>
        <w:t>期</w:t>
      </w:r>
      <w:r>
        <w:rPr>
          <w:rFonts w:hint="eastAsia" w:ascii="宋体" w:hAnsi="宋体" w:cs="宋体"/>
          <w:bCs/>
          <w:sz w:val="22"/>
          <w:highlight w:val="none"/>
        </w:rPr>
        <w:t>原位固化含软基处理泥浆</w:t>
      </w:r>
      <w:r>
        <w:rPr>
          <w:rFonts w:ascii="宋体" w:hAnsi="宋体" w:cs="宋体"/>
          <w:bCs/>
          <w:sz w:val="22"/>
          <w:highlight w:val="none"/>
        </w:rPr>
        <w:t>费用-当</w:t>
      </w:r>
      <w:r>
        <w:rPr>
          <w:rFonts w:hint="eastAsia" w:ascii="宋体" w:hAnsi="宋体" w:cs="宋体"/>
          <w:bCs/>
          <w:sz w:val="22"/>
          <w:highlight w:val="none"/>
        </w:rPr>
        <w:t>期</w:t>
      </w:r>
      <w:r>
        <w:rPr>
          <w:rFonts w:ascii="宋体" w:hAnsi="宋体" w:cs="宋体"/>
          <w:bCs/>
          <w:sz w:val="22"/>
          <w:highlight w:val="none"/>
        </w:rPr>
        <w:t>发生的违约金。</w:t>
      </w:r>
    </w:p>
    <w:p>
      <w:pPr>
        <w:spacing w:line="360" w:lineRule="auto"/>
        <w:ind w:firstLine="440" w:firstLineChars="200"/>
        <w:rPr>
          <w:rFonts w:ascii="宋体" w:hAnsi="宋体" w:cs="宋体"/>
          <w:bCs/>
          <w:sz w:val="22"/>
          <w:highlight w:val="none"/>
        </w:rPr>
      </w:pPr>
      <w:r>
        <w:rPr>
          <w:rFonts w:hint="eastAsia" w:ascii="宋体" w:hAnsi="宋体" w:cs="宋体"/>
          <w:bCs/>
          <w:sz w:val="22"/>
          <w:highlight w:val="none"/>
        </w:rPr>
        <w:t>泥浆加工费按采购人指定项目支付，乙方完成的项目</w:t>
      </w:r>
      <w:r>
        <w:rPr>
          <w:rFonts w:ascii="宋体" w:hAnsi="宋体" w:cs="宋体"/>
          <w:bCs/>
          <w:sz w:val="22"/>
          <w:highlight w:val="none"/>
        </w:rPr>
        <w:t>上报</w:t>
      </w:r>
      <w:r>
        <w:rPr>
          <w:rFonts w:hint="eastAsia" w:ascii="宋体" w:hAnsi="宋体" w:cs="宋体"/>
          <w:bCs/>
          <w:sz w:val="22"/>
          <w:highlight w:val="none"/>
        </w:rPr>
        <w:t>当</w:t>
      </w:r>
      <w:r>
        <w:rPr>
          <w:rFonts w:ascii="宋体" w:hAnsi="宋体" w:cs="宋体"/>
          <w:bCs/>
          <w:sz w:val="22"/>
          <w:highlight w:val="none"/>
        </w:rPr>
        <w:t>期产量，申报的产量须检测合格后，合格部分</w:t>
      </w:r>
      <w:r>
        <w:rPr>
          <w:rFonts w:hint="eastAsia" w:ascii="宋体" w:hAnsi="宋体" w:cs="宋体"/>
          <w:bCs/>
          <w:sz w:val="22"/>
          <w:highlight w:val="none"/>
        </w:rPr>
        <w:t>按项目</w:t>
      </w:r>
      <w:r>
        <w:rPr>
          <w:rFonts w:ascii="宋体" w:hAnsi="宋体" w:cs="宋体"/>
          <w:bCs/>
          <w:sz w:val="22"/>
          <w:highlight w:val="none"/>
        </w:rPr>
        <w:t>开具增值税专用发票交予甲方；甲方收到乙方增值税专用发票后，应于10个工作日向乙方支付</w:t>
      </w:r>
      <w:r>
        <w:rPr>
          <w:rFonts w:hint="eastAsia" w:ascii="宋体" w:hAnsi="宋体" w:cs="宋体"/>
          <w:bCs/>
          <w:sz w:val="22"/>
          <w:highlight w:val="none"/>
        </w:rPr>
        <w:t>项目</w:t>
      </w:r>
      <w:r>
        <w:rPr>
          <w:rFonts w:ascii="宋体" w:hAnsi="宋体" w:cs="宋体"/>
          <w:bCs/>
          <w:sz w:val="22"/>
          <w:highlight w:val="none"/>
        </w:rPr>
        <w:t>泥浆加工费，检测不合格的批次将不予支付。</w:t>
      </w:r>
    </w:p>
    <w:p>
      <w:pPr>
        <w:spacing w:line="360" w:lineRule="auto"/>
        <w:ind w:firstLine="440" w:firstLineChars="200"/>
        <w:rPr>
          <w:rFonts w:ascii="宋体" w:hAnsi="宋体" w:cs="宋体"/>
          <w:bCs/>
          <w:sz w:val="22"/>
          <w:highlight w:val="none"/>
        </w:rPr>
      </w:pPr>
      <w:r>
        <w:rPr>
          <w:rFonts w:hint="eastAsia" w:ascii="宋体" w:hAnsi="宋体" w:cs="宋体"/>
          <w:bCs/>
          <w:sz w:val="22"/>
          <w:highlight w:val="none"/>
        </w:rPr>
        <w:t>（2）乙方凭以下有效文件与甲方结算：</w:t>
      </w:r>
    </w:p>
    <w:p>
      <w:pPr>
        <w:spacing w:line="360" w:lineRule="auto"/>
        <w:ind w:firstLine="440" w:firstLineChars="200"/>
        <w:rPr>
          <w:rFonts w:ascii="宋体" w:hAnsi="宋体" w:cs="宋体"/>
          <w:bCs/>
          <w:sz w:val="22"/>
          <w:highlight w:val="none"/>
        </w:rPr>
      </w:pPr>
      <w:r>
        <w:rPr>
          <w:rFonts w:hint="eastAsia" w:ascii="宋体" w:hAnsi="宋体" w:cs="宋体"/>
          <w:bCs/>
          <w:sz w:val="22"/>
          <w:highlight w:val="none"/>
        </w:rPr>
        <w:t>合同、中标通知书、结算单；</w:t>
      </w:r>
    </w:p>
    <w:p>
      <w:pPr>
        <w:spacing w:line="360" w:lineRule="auto"/>
        <w:ind w:firstLine="440" w:firstLineChars="200"/>
        <w:rPr>
          <w:rFonts w:ascii="宋体" w:hAnsi="宋体" w:cs="宋体"/>
          <w:bCs/>
          <w:sz w:val="22"/>
          <w:highlight w:val="none"/>
        </w:rPr>
      </w:pPr>
      <w:r>
        <w:rPr>
          <w:rFonts w:hint="eastAsia" w:ascii="宋体" w:hAnsi="宋体" w:cs="宋体"/>
          <w:bCs/>
          <w:sz w:val="22"/>
          <w:highlight w:val="none"/>
        </w:rPr>
        <w:t>产品检查报告；</w:t>
      </w:r>
    </w:p>
    <w:p>
      <w:pPr>
        <w:spacing w:line="360" w:lineRule="auto"/>
        <w:ind w:firstLine="440" w:firstLineChars="200"/>
        <w:rPr>
          <w:rFonts w:ascii="宋体" w:hAnsi="宋体" w:cs="宋体"/>
          <w:bCs/>
          <w:sz w:val="22"/>
          <w:highlight w:val="none"/>
        </w:rPr>
      </w:pPr>
      <w:r>
        <w:rPr>
          <w:rFonts w:hint="eastAsia" w:ascii="宋体" w:hAnsi="宋体" w:cs="宋体"/>
          <w:bCs/>
          <w:sz w:val="22"/>
          <w:highlight w:val="none"/>
        </w:rPr>
        <w:t>乙方开具的增值税专用发票；</w:t>
      </w:r>
    </w:p>
    <w:p>
      <w:pPr>
        <w:spacing w:line="360" w:lineRule="auto"/>
        <w:ind w:firstLine="440" w:firstLineChars="200"/>
        <w:rPr>
          <w:rFonts w:ascii="宋体" w:hAnsi="宋体" w:cs="宋体"/>
          <w:bCs/>
          <w:sz w:val="22"/>
        </w:rPr>
      </w:pPr>
      <w:r>
        <w:rPr>
          <w:rFonts w:hint="eastAsia" w:ascii="宋体" w:hAnsi="宋体" w:cs="宋体"/>
          <w:bCs/>
          <w:sz w:val="22"/>
        </w:rPr>
        <w:t>（3）在服务期限内，</w:t>
      </w:r>
      <w:r>
        <w:rPr>
          <w:rFonts w:hint="eastAsia" w:ascii="宋体" w:hAnsi="宋体" w:cs="宋体"/>
          <w:sz w:val="22"/>
        </w:rPr>
        <w:t>乙方</w:t>
      </w:r>
      <w:r>
        <w:rPr>
          <w:rFonts w:hint="eastAsia" w:ascii="宋体" w:hAnsi="宋体" w:cs="宋体"/>
          <w:bCs/>
          <w:sz w:val="22"/>
        </w:rPr>
        <w:t>须自行承担服务项目发生的各项管理费用、设备中小维修费用、设备日常维护保养费、工具机械费、燃料、人员工资、加班费、教育培训费、突发性作业费、劳保费、福利费、保险费、配合费、风险金、规费、一切保险费及税金、不可预见费等一切相关费用。</w:t>
      </w:r>
    </w:p>
    <w:p>
      <w:pPr>
        <w:spacing w:line="360" w:lineRule="auto"/>
        <w:ind w:firstLine="442" w:firstLineChars="200"/>
        <w:rPr>
          <w:rFonts w:ascii="宋体" w:hAnsi="宋体" w:cs="宋体"/>
          <w:bCs/>
          <w:sz w:val="22"/>
          <w:highlight w:val="none"/>
        </w:rPr>
      </w:pPr>
      <w:r>
        <w:rPr>
          <w:rFonts w:hint="eastAsia" w:ascii="宋体" w:hAnsi="宋体" w:cs="宋体"/>
          <w:b/>
          <w:sz w:val="22"/>
        </w:rPr>
        <w:t>9、履约保证金：</w:t>
      </w:r>
      <w:r>
        <w:rPr>
          <w:rFonts w:hint="eastAsia" w:ascii="宋体" w:hAnsi="宋体" w:cs="宋体"/>
          <w:bCs/>
          <w:sz w:val="22"/>
        </w:rPr>
        <w:t>乙方须向甲方交纳200万元的履约保证金（银行转账或保函，履约保证金用于补偿甲方因乙方不能完成其合同义务而蒙受的损失）；退履约保证金时间：服务期结束，乙方将所有设备设施清理完毕后10个工作日内退还。</w:t>
      </w:r>
    </w:p>
    <w:p>
      <w:pPr>
        <w:spacing w:line="360" w:lineRule="auto"/>
        <w:ind w:firstLine="442" w:firstLineChars="200"/>
        <w:rPr>
          <w:rFonts w:ascii="宋体" w:hAnsi="宋体" w:cs="宋体"/>
          <w:b/>
          <w:sz w:val="22"/>
          <w:highlight w:val="none"/>
        </w:rPr>
      </w:pPr>
      <w:r>
        <w:rPr>
          <w:rFonts w:hint="eastAsia" w:ascii="宋体" w:hAnsi="宋体" w:cs="宋体"/>
          <w:b/>
          <w:sz w:val="22"/>
          <w:highlight w:val="none"/>
        </w:rPr>
        <w:t>10、人员要求</w:t>
      </w:r>
    </w:p>
    <w:p>
      <w:pPr>
        <w:spacing w:line="360" w:lineRule="auto"/>
        <w:ind w:firstLine="480"/>
        <w:rPr>
          <w:rFonts w:ascii="宋体" w:hAnsi="宋体" w:cs="宋体"/>
          <w:sz w:val="22"/>
          <w:highlight w:val="none"/>
        </w:rPr>
      </w:pPr>
      <w:r>
        <w:rPr>
          <w:rFonts w:hint="eastAsia" w:ascii="宋体" w:hAnsi="宋体" w:cs="宋体"/>
          <w:sz w:val="22"/>
          <w:highlight w:val="none"/>
        </w:rPr>
        <w:t>（1）乙方应根据本项目特点配备相应的项目实施人员，要求配备管理及经营团队（至少配备项目负责人1名，作为本项目的总体负责人；安全员不少于1人），管理人员应有一定的管理经验，具备一定沟通能力，能确保本项目工作的顺利开展；其他人员需具有相关工作经验。</w:t>
      </w:r>
    </w:p>
    <w:p>
      <w:pPr>
        <w:spacing w:line="360" w:lineRule="auto"/>
        <w:ind w:firstLine="480"/>
        <w:rPr>
          <w:rFonts w:ascii="宋体" w:hAnsi="宋体" w:cs="宋体"/>
          <w:sz w:val="22"/>
          <w:highlight w:val="none"/>
        </w:rPr>
      </w:pPr>
      <w:r>
        <w:rPr>
          <w:rFonts w:hint="eastAsia" w:ascii="宋体" w:hAnsi="宋体" w:cs="宋体"/>
          <w:sz w:val="22"/>
          <w:highlight w:val="none"/>
        </w:rPr>
        <w:t>（2）乙方应对全部人员定期进行环保、安全等方面的培训。</w:t>
      </w:r>
    </w:p>
    <w:p>
      <w:pPr>
        <w:spacing w:line="360" w:lineRule="auto"/>
        <w:ind w:firstLine="480"/>
        <w:rPr>
          <w:rFonts w:ascii="宋体" w:hAnsi="宋体" w:cs="宋体"/>
          <w:sz w:val="22"/>
          <w:highlight w:val="none"/>
        </w:rPr>
      </w:pPr>
      <w:r>
        <w:rPr>
          <w:rFonts w:hint="eastAsia" w:ascii="宋体" w:hAnsi="宋体" w:cs="宋体"/>
          <w:sz w:val="22"/>
          <w:highlight w:val="none"/>
        </w:rPr>
        <w:t>（3）泥浆处置设备操作人员应熟悉掌握设备操作方法和流程，严格按照设备操作说明书或操作手册来操作设备。</w:t>
      </w:r>
    </w:p>
    <w:p>
      <w:pPr>
        <w:spacing w:line="360" w:lineRule="auto"/>
        <w:ind w:firstLine="480"/>
        <w:rPr>
          <w:rFonts w:ascii="宋体" w:hAnsi="宋体" w:cs="宋体"/>
          <w:sz w:val="22"/>
          <w:highlight w:val="none"/>
        </w:rPr>
      </w:pPr>
      <w:r>
        <w:rPr>
          <w:rFonts w:hint="eastAsia" w:ascii="宋体" w:hAnsi="宋体" w:cs="宋体"/>
          <w:sz w:val="22"/>
          <w:highlight w:val="none"/>
        </w:rPr>
        <w:t>（4）泥浆处置设备操作人员应熟知泥浆固化处置应急预案，能正确有效处理在泥浆处置过程中出现的突发情况</w:t>
      </w:r>
    </w:p>
    <w:p>
      <w:pPr>
        <w:spacing w:line="360" w:lineRule="auto"/>
        <w:ind w:firstLine="480"/>
        <w:rPr>
          <w:rFonts w:ascii="宋体" w:hAnsi="宋体" w:cs="宋体"/>
          <w:sz w:val="22"/>
        </w:rPr>
      </w:pPr>
      <w:r>
        <w:rPr>
          <w:rFonts w:hint="eastAsia" w:ascii="宋体" w:hAnsi="宋体" w:cs="宋体"/>
          <w:sz w:val="22"/>
        </w:rPr>
        <w:t>（5）项目负责人及技术人员应具有相关经验，有泥浆处理运行管理经验，经相应的岗位技术培训合格后上岗。</w:t>
      </w:r>
    </w:p>
    <w:p>
      <w:pPr>
        <w:spacing w:line="360" w:lineRule="auto"/>
        <w:ind w:firstLine="480"/>
        <w:rPr>
          <w:rFonts w:ascii="宋体" w:hAnsi="宋体" w:cs="宋体"/>
          <w:sz w:val="22"/>
        </w:rPr>
      </w:pPr>
      <w:r>
        <w:rPr>
          <w:rFonts w:hint="eastAsia" w:ascii="宋体" w:hAnsi="宋体" w:cs="宋体"/>
          <w:sz w:val="22"/>
        </w:rPr>
        <w:t>1）乙方自行负责其人员的食宿及各种生活设施，采取合理的卫生、劳动保护和安全防护措施，保证雇员的健康和安全。</w:t>
      </w:r>
    </w:p>
    <w:p>
      <w:pPr>
        <w:spacing w:line="360" w:lineRule="auto"/>
        <w:ind w:firstLine="480"/>
        <w:rPr>
          <w:rFonts w:ascii="宋体" w:hAnsi="宋体" w:cs="宋体"/>
          <w:sz w:val="22"/>
        </w:rPr>
      </w:pPr>
      <w:r>
        <w:rPr>
          <w:rFonts w:hint="eastAsia" w:ascii="宋体" w:hAnsi="宋体" w:cs="宋体"/>
          <w:sz w:val="22"/>
        </w:rPr>
        <w:t>2）乙方人员应按照招标文件及法律法规的规定，满足有关岗位资格的要求，持证上岗。</w:t>
      </w:r>
    </w:p>
    <w:p>
      <w:pPr>
        <w:spacing w:line="360" w:lineRule="auto"/>
        <w:ind w:firstLine="480"/>
        <w:rPr>
          <w:rFonts w:ascii="宋体" w:hAnsi="宋体" w:cs="宋体"/>
          <w:sz w:val="22"/>
        </w:rPr>
      </w:pPr>
      <w:r>
        <w:rPr>
          <w:rFonts w:hint="eastAsia" w:ascii="宋体" w:hAnsi="宋体" w:cs="宋体"/>
          <w:sz w:val="22"/>
        </w:rPr>
        <w:t>3）乙方自行为其雇员办理意外伤害等一切保险，处理雇员因工伤亡事故的善后事宜。</w:t>
      </w:r>
    </w:p>
    <w:p>
      <w:pPr>
        <w:spacing w:line="360" w:lineRule="auto"/>
        <w:ind w:firstLine="480"/>
        <w:rPr>
          <w:rFonts w:ascii="宋体" w:hAnsi="宋体" w:cs="宋体"/>
          <w:sz w:val="22"/>
        </w:rPr>
      </w:pPr>
      <w:r>
        <w:rPr>
          <w:rFonts w:hint="eastAsia" w:ascii="宋体" w:hAnsi="宋体" w:cs="宋体"/>
          <w:sz w:val="22"/>
        </w:rPr>
        <w:t>4）乙方人员应服从甲方的场区的有关管理制度。</w:t>
      </w:r>
    </w:p>
    <w:p>
      <w:pPr>
        <w:spacing w:line="360" w:lineRule="auto"/>
        <w:ind w:firstLine="440" w:firstLineChars="200"/>
        <w:rPr>
          <w:rFonts w:ascii="宋体" w:hAnsi="宋体" w:cs="宋体"/>
          <w:bCs/>
          <w:sz w:val="22"/>
          <w:highlight w:val="none"/>
        </w:rPr>
      </w:pPr>
      <w:r>
        <w:rPr>
          <w:rFonts w:hint="eastAsia" w:ascii="宋体" w:hAnsi="宋体" w:cs="宋体"/>
          <w:bCs/>
          <w:sz w:val="22"/>
        </w:rPr>
        <w:t>5）</w:t>
      </w:r>
      <w:r>
        <w:rPr>
          <w:rFonts w:hint="eastAsia" w:ascii="宋体" w:hAnsi="宋体" w:cs="宋体"/>
          <w:sz w:val="22"/>
        </w:rPr>
        <w:t>乙方</w:t>
      </w:r>
      <w:r>
        <w:rPr>
          <w:rFonts w:hint="eastAsia" w:ascii="宋体" w:hAnsi="宋体" w:cs="宋体"/>
          <w:bCs/>
          <w:sz w:val="22"/>
        </w:rPr>
        <w:t>不得以任何理由拖欠</w:t>
      </w:r>
      <w:r>
        <w:rPr>
          <w:rFonts w:hint="eastAsia" w:ascii="宋体" w:hAnsi="宋体" w:cs="宋体"/>
          <w:bCs/>
          <w:sz w:val="22"/>
          <w:highlight w:val="none"/>
        </w:rPr>
        <w:t>雇员工资，如因欠薪问题导致围堵甲方场地或其他事件的，甲方有权没收履约保证金。</w:t>
      </w:r>
    </w:p>
    <w:p>
      <w:pPr>
        <w:spacing w:line="360" w:lineRule="auto"/>
        <w:ind w:firstLine="442" w:firstLineChars="200"/>
        <w:rPr>
          <w:rFonts w:ascii="宋体" w:hAnsi="宋体" w:cs="宋体"/>
          <w:b/>
          <w:bCs/>
          <w:sz w:val="22"/>
          <w:highlight w:val="none"/>
        </w:rPr>
      </w:pPr>
      <w:r>
        <w:rPr>
          <w:rFonts w:hint="eastAsia" w:ascii="宋体" w:hAnsi="宋体" w:cs="宋体"/>
          <w:b/>
          <w:bCs/>
          <w:sz w:val="22"/>
          <w:highlight w:val="none"/>
        </w:rPr>
        <w:t>11、违约责任及违约赔偿</w:t>
      </w:r>
    </w:p>
    <w:p>
      <w:pPr>
        <w:spacing w:line="360" w:lineRule="auto"/>
        <w:ind w:firstLine="442" w:firstLineChars="200"/>
        <w:rPr>
          <w:rFonts w:hint="eastAsia" w:ascii="宋体" w:hAnsi="宋体" w:cs="宋体"/>
          <w:b/>
          <w:bCs/>
          <w:sz w:val="22"/>
          <w:highlight w:val="none"/>
        </w:rPr>
      </w:pPr>
      <w:r>
        <w:rPr>
          <w:rFonts w:hint="eastAsia" w:ascii="宋体" w:hAnsi="宋体" w:cs="宋体"/>
          <w:b/>
          <w:bCs/>
          <w:sz w:val="22"/>
          <w:highlight w:val="none"/>
        </w:rPr>
        <w:t>（1） 泥浆固化处理及运行期间处罚</w:t>
      </w:r>
    </w:p>
    <w:p>
      <w:pPr>
        <w:pStyle w:val="2"/>
        <w:rPr>
          <w:rFonts w:ascii="宋体" w:hAnsi="宋体" w:cs="宋体"/>
          <w:b/>
          <w:bCs/>
          <w:sz w:val="22"/>
          <w:highlight w:val="none"/>
        </w:rPr>
      </w:pPr>
      <w:r>
        <w:rPr>
          <w:rFonts w:hint="eastAsia" w:ascii="宋体" w:hAnsi="宋体" w:cs="宋体"/>
          <w:b/>
          <w:bCs/>
          <w:sz w:val="22"/>
          <w:highlight w:val="none"/>
        </w:rPr>
        <w:t>1）中标供应商须在采购人指令下达后规定的时间内完成相应工作，因不可抗力造成无法正常工作的，可以顺延，否则每延期一天需支付</w:t>
      </w:r>
      <w:r>
        <w:rPr>
          <w:rFonts w:hint="eastAsia" w:ascii="宋体" w:hAnsi="宋体" w:cs="宋体"/>
          <w:b/>
          <w:bCs/>
          <w:sz w:val="22"/>
          <w:highlight w:val="none"/>
          <w:lang w:val="en-US" w:eastAsia="zh-CN"/>
        </w:rPr>
        <w:t>1</w:t>
      </w:r>
      <w:r>
        <w:rPr>
          <w:rFonts w:hint="eastAsia" w:ascii="宋体" w:hAnsi="宋体" w:cs="宋体"/>
          <w:b/>
          <w:bCs/>
          <w:sz w:val="22"/>
          <w:highlight w:val="none"/>
        </w:rPr>
        <w:t>000元违约金给采购人，且采购人有权保留单方面解除合同的权利。</w:t>
      </w:r>
    </w:p>
    <w:p>
      <w:pPr>
        <w:spacing w:line="360" w:lineRule="auto"/>
        <w:ind w:firstLine="442" w:firstLineChars="200"/>
        <w:rPr>
          <w:rFonts w:ascii="宋体" w:hAnsi="宋体" w:cs="宋体"/>
          <w:b/>
          <w:sz w:val="22"/>
          <w:highlight w:val="none"/>
        </w:rPr>
      </w:pPr>
      <w:r>
        <w:rPr>
          <w:rFonts w:hint="eastAsia" w:ascii="宋体" w:hAnsi="宋体" w:cs="宋体"/>
          <w:b/>
          <w:bCs/>
          <w:sz w:val="22"/>
          <w:highlight w:val="none"/>
        </w:rPr>
        <w:t>2）</w:t>
      </w:r>
      <w:r>
        <w:rPr>
          <w:rFonts w:hint="eastAsia" w:ascii="宋体" w:hAnsi="宋体" w:cs="宋体"/>
          <w:b/>
          <w:sz w:val="22"/>
          <w:highlight w:val="none"/>
        </w:rPr>
        <w:t>泥浆通过</w:t>
      </w:r>
      <w:r>
        <w:rPr>
          <w:rFonts w:hint="eastAsia" w:ascii="宋体" w:hAnsi="宋体" w:cs="宋体"/>
          <w:b/>
          <w:bCs/>
          <w:sz w:val="22"/>
          <w:highlight w:val="none"/>
        </w:rPr>
        <w:t>原位固化处理</w:t>
      </w:r>
      <w:r>
        <w:rPr>
          <w:rFonts w:hint="eastAsia" w:ascii="宋体" w:hAnsi="宋体" w:cs="宋体"/>
          <w:b/>
          <w:sz w:val="22"/>
          <w:highlight w:val="none"/>
        </w:rPr>
        <w:t>后的地基承载力小于50KPa的（每5000m</w:t>
      </w:r>
      <w:r>
        <w:rPr>
          <w:rFonts w:hint="eastAsia" w:ascii="宋体" w:hAnsi="宋体" w:cs="宋体"/>
          <w:b/>
          <w:sz w:val="22"/>
          <w:highlight w:val="none"/>
          <w:vertAlign w:val="superscript"/>
        </w:rPr>
        <w:t>2</w:t>
      </w:r>
      <w:r>
        <w:rPr>
          <w:rFonts w:hint="eastAsia" w:ascii="宋体" w:hAnsi="宋体" w:cs="宋体"/>
          <w:b/>
          <w:sz w:val="22"/>
          <w:highlight w:val="none"/>
        </w:rPr>
        <w:t>检测点不少于一个，且单个项目或地块测试点不少于3个），视为不合格，需返工处理，每抽查到一次罚款2000元；</w:t>
      </w:r>
    </w:p>
    <w:p>
      <w:pPr>
        <w:spacing w:line="360" w:lineRule="auto"/>
        <w:ind w:firstLine="442" w:firstLineChars="200"/>
        <w:rPr>
          <w:rFonts w:ascii="宋体" w:hAnsi="宋体" w:cs="宋体"/>
          <w:sz w:val="22"/>
          <w:highlight w:val="none"/>
        </w:rPr>
      </w:pPr>
      <w:r>
        <w:rPr>
          <w:rFonts w:hint="eastAsia" w:ascii="宋体" w:hAnsi="宋体" w:cs="宋体"/>
          <w:b/>
          <w:sz w:val="22"/>
          <w:highlight w:val="none"/>
        </w:rPr>
        <w:t>3）</w:t>
      </w:r>
      <w:r>
        <w:rPr>
          <w:rFonts w:hint="eastAsia" w:ascii="宋体" w:hAnsi="宋体" w:cs="宋体"/>
          <w:sz w:val="22"/>
          <w:highlight w:val="none"/>
        </w:rPr>
        <w:t>泥浆处理后的产品未达到《围填海工程填充物质成分限值GB 30736-2014》第二类围填海标准限值要求的，</w:t>
      </w:r>
      <w:r>
        <w:rPr>
          <w:rFonts w:hint="eastAsia" w:ascii="宋体" w:hAnsi="宋体" w:cs="宋体"/>
          <w:b/>
          <w:sz w:val="22"/>
          <w:highlight w:val="none"/>
        </w:rPr>
        <w:t>每抽查到一次罚款3000元；</w:t>
      </w:r>
    </w:p>
    <w:p>
      <w:pPr>
        <w:spacing w:line="360" w:lineRule="auto"/>
        <w:ind w:firstLine="442" w:firstLineChars="200"/>
        <w:rPr>
          <w:rFonts w:ascii="宋体" w:hAnsi="宋体" w:cs="宋体"/>
          <w:b/>
          <w:sz w:val="22"/>
          <w:highlight w:val="none"/>
        </w:rPr>
      </w:pPr>
      <w:r>
        <w:rPr>
          <w:rFonts w:hint="eastAsia" w:ascii="宋体" w:hAnsi="宋体" w:cs="宋体"/>
          <w:b/>
          <w:sz w:val="22"/>
          <w:highlight w:val="none"/>
        </w:rPr>
        <w:t>4）设备运行期间未采取有效措施造成周边环境污染、扰民的，乙方应及时改正，如引起投诉或遭到有关部门处罚的，应接收相关部门的处罚与监督，同时要接受甲方每次5000元的处罚；</w:t>
      </w:r>
    </w:p>
    <w:p>
      <w:pPr>
        <w:spacing w:line="360" w:lineRule="auto"/>
        <w:ind w:firstLine="442" w:firstLineChars="200"/>
        <w:rPr>
          <w:rFonts w:ascii="宋体" w:hAnsi="宋体" w:cs="宋体"/>
          <w:b/>
          <w:sz w:val="22"/>
          <w:highlight w:val="none"/>
        </w:rPr>
      </w:pPr>
      <w:r>
        <w:rPr>
          <w:rFonts w:hint="eastAsia" w:ascii="宋体" w:hAnsi="宋体" w:cs="宋体"/>
          <w:b/>
          <w:sz w:val="22"/>
          <w:highlight w:val="none"/>
        </w:rPr>
        <w:t>5）人员配置人数达不到要求，每少1人予以1000元处罚；</w:t>
      </w:r>
    </w:p>
    <w:p>
      <w:pPr>
        <w:spacing w:line="360" w:lineRule="auto"/>
        <w:ind w:firstLine="442" w:firstLineChars="200"/>
        <w:rPr>
          <w:rFonts w:ascii="宋体" w:hAnsi="宋体" w:cs="宋体"/>
          <w:b/>
          <w:sz w:val="22"/>
          <w:highlight w:val="none"/>
        </w:rPr>
      </w:pPr>
      <w:r>
        <w:rPr>
          <w:rFonts w:hint="eastAsia" w:ascii="宋体" w:hAnsi="宋体" w:cs="宋体"/>
          <w:b/>
          <w:sz w:val="22"/>
          <w:highlight w:val="none"/>
        </w:rPr>
        <w:t>（2）未经甲方同意，或未向甲方通报，擅自停运或检修的，情节严重的甲方有权终止或暂停本合同。</w:t>
      </w:r>
    </w:p>
    <w:p>
      <w:pPr>
        <w:spacing w:line="360" w:lineRule="auto"/>
        <w:ind w:firstLine="442" w:firstLineChars="200"/>
        <w:rPr>
          <w:rFonts w:ascii="宋体" w:hAnsi="宋体" w:cs="宋体"/>
          <w:b/>
          <w:sz w:val="22"/>
        </w:rPr>
      </w:pPr>
      <w:r>
        <w:rPr>
          <w:rFonts w:hint="eastAsia" w:ascii="宋体" w:hAnsi="宋体" w:cs="宋体"/>
          <w:b/>
          <w:sz w:val="22"/>
        </w:rPr>
        <w:t>（3）乙方处置泥浆不达标或未达到招标文件要求的，甲方有权终止并解除合同。</w:t>
      </w:r>
    </w:p>
    <w:p>
      <w:pPr>
        <w:spacing w:line="360" w:lineRule="auto"/>
        <w:ind w:firstLine="442" w:firstLineChars="200"/>
        <w:rPr>
          <w:rFonts w:ascii="宋体" w:hAnsi="宋体" w:cs="宋体"/>
          <w:b/>
          <w:sz w:val="22"/>
        </w:rPr>
      </w:pPr>
      <w:r>
        <w:rPr>
          <w:rFonts w:hint="eastAsia" w:ascii="宋体" w:hAnsi="宋体" w:cs="宋体"/>
          <w:b/>
          <w:sz w:val="22"/>
        </w:rPr>
        <w:t>（4）乙方提供的服务须和投标响应文件中所承诺的相符（合同中另有规定除外），若经验收不符合要求，乙方必须无条件返工达到符合要求为止，并由乙方支付赔偿金。</w:t>
      </w:r>
    </w:p>
    <w:p>
      <w:pPr>
        <w:spacing w:line="360" w:lineRule="auto"/>
        <w:ind w:firstLine="442" w:firstLineChars="200"/>
        <w:rPr>
          <w:rFonts w:ascii="宋体" w:hAnsi="宋体" w:cs="宋体"/>
          <w:b/>
          <w:sz w:val="22"/>
        </w:rPr>
      </w:pPr>
      <w:r>
        <w:rPr>
          <w:rFonts w:hint="eastAsia" w:ascii="宋体" w:hAnsi="宋体" w:cs="宋体"/>
          <w:b/>
          <w:sz w:val="22"/>
        </w:rPr>
        <w:t>（5）除不可抗力外，乙方发生不能继续提供服务的，除履约保证金外，还应赔偿对甲方造成的一切损失。</w:t>
      </w:r>
    </w:p>
    <w:p>
      <w:pPr>
        <w:spacing w:line="360" w:lineRule="auto"/>
        <w:ind w:firstLine="442" w:firstLineChars="200"/>
        <w:rPr>
          <w:rFonts w:ascii="宋体" w:hAnsi="宋体" w:cs="宋体"/>
          <w:b/>
          <w:sz w:val="22"/>
        </w:rPr>
      </w:pPr>
      <w:r>
        <w:rPr>
          <w:rFonts w:hint="eastAsia" w:ascii="宋体" w:hAnsi="宋体" w:cs="宋体"/>
          <w:b/>
          <w:sz w:val="22"/>
        </w:rPr>
        <w:t>（6）乙方如出现违法违规等行为的，甲方有权终止合同并没收履约保证金；</w:t>
      </w:r>
    </w:p>
    <w:p>
      <w:pPr>
        <w:spacing w:line="360" w:lineRule="auto"/>
        <w:ind w:firstLine="442" w:firstLineChars="200"/>
        <w:rPr>
          <w:rFonts w:ascii="宋体" w:hAnsi="宋体" w:cs="宋体"/>
          <w:b/>
          <w:sz w:val="22"/>
          <w:highlight w:val="none"/>
        </w:rPr>
      </w:pPr>
      <w:r>
        <w:rPr>
          <w:rFonts w:hint="eastAsia" w:ascii="宋体" w:hAnsi="宋体" w:cs="宋体"/>
          <w:b/>
          <w:sz w:val="22"/>
        </w:rPr>
        <w:t>（7）如出现包括但不限于以</w:t>
      </w:r>
      <w:r>
        <w:rPr>
          <w:rFonts w:hint="eastAsia" w:ascii="宋体" w:hAnsi="宋体" w:cs="宋体"/>
          <w:b/>
          <w:sz w:val="22"/>
          <w:highlight w:val="none"/>
        </w:rPr>
        <w:t>上的行为，引起恶劣社会影响的，甲方有权终止合同并没收履约保证金。</w:t>
      </w:r>
    </w:p>
    <w:p>
      <w:pPr>
        <w:spacing w:line="360" w:lineRule="auto"/>
        <w:ind w:firstLine="442" w:firstLineChars="200"/>
        <w:rPr>
          <w:rFonts w:ascii="Times New Roman" w:hAnsi="Times New Roman"/>
          <w:szCs w:val="24"/>
          <w:highlight w:val="none"/>
        </w:rPr>
      </w:pPr>
      <w:r>
        <w:rPr>
          <w:rFonts w:hint="eastAsia" w:ascii="宋体" w:hAnsi="宋体" w:cs="宋体"/>
          <w:b/>
          <w:sz w:val="22"/>
          <w:highlight w:val="none"/>
        </w:rPr>
        <w:t>以上各项条款除了罚没处罚金外，乙方还需弥补因违约造成的一切不良后果，处罚金均在当月的进度款中扣除。</w:t>
      </w:r>
    </w:p>
    <w:p>
      <w:pPr>
        <w:spacing w:line="360" w:lineRule="auto"/>
        <w:ind w:firstLine="442" w:firstLineChars="200"/>
        <w:rPr>
          <w:rFonts w:ascii="宋体" w:hAnsi="宋体" w:cs="宋体"/>
          <w:b/>
          <w:bCs/>
          <w:sz w:val="22"/>
          <w:highlight w:val="none"/>
        </w:rPr>
      </w:pPr>
      <w:r>
        <w:rPr>
          <w:rFonts w:hint="eastAsia" w:ascii="宋体" w:hAnsi="宋体" w:cs="宋体"/>
          <w:b/>
          <w:sz w:val="22"/>
          <w:highlight w:val="none"/>
        </w:rPr>
        <w:t>12、其他要求</w:t>
      </w:r>
    </w:p>
    <w:p>
      <w:pPr>
        <w:spacing w:line="360" w:lineRule="auto"/>
        <w:ind w:firstLine="480"/>
        <w:rPr>
          <w:rFonts w:ascii="宋体" w:hAnsi="宋体" w:cs="宋体"/>
          <w:b/>
          <w:bCs/>
          <w:sz w:val="22"/>
          <w:highlight w:val="none"/>
        </w:rPr>
      </w:pPr>
      <w:r>
        <w:rPr>
          <w:rFonts w:hint="eastAsia" w:ascii="宋体" w:hAnsi="宋体" w:cs="宋体"/>
          <w:b/>
          <w:bCs/>
          <w:sz w:val="22"/>
          <w:highlight w:val="none"/>
        </w:rPr>
        <w:t>（1）为了满足泥浆实际处理的要求，乙方须无条件增加处理设备，改进处理工艺，所发生的费用由乙方自行承担。</w:t>
      </w:r>
    </w:p>
    <w:p>
      <w:pPr>
        <w:spacing w:line="360" w:lineRule="auto"/>
        <w:ind w:firstLine="480"/>
        <w:rPr>
          <w:rFonts w:ascii="宋体" w:hAnsi="宋体" w:cs="宋体"/>
          <w:b/>
          <w:bCs/>
          <w:sz w:val="22"/>
          <w:highlight w:val="none"/>
        </w:rPr>
      </w:pPr>
      <w:r>
        <w:rPr>
          <w:rFonts w:hint="eastAsia" w:ascii="宋体" w:hAnsi="宋体" w:cs="宋体"/>
          <w:b/>
          <w:bCs/>
          <w:sz w:val="22"/>
          <w:highlight w:val="none"/>
        </w:rPr>
        <w:t>13、权利和义务</w:t>
      </w:r>
    </w:p>
    <w:p>
      <w:pPr>
        <w:spacing w:line="360" w:lineRule="auto"/>
        <w:ind w:firstLine="480"/>
        <w:rPr>
          <w:rFonts w:ascii="宋体" w:hAnsi="宋体" w:cs="宋体"/>
          <w:sz w:val="22"/>
          <w:highlight w:val="none"/>
        </w:rPr>
      </w:pPr>
      <w:r>
        <w:rPr>
          <w:rFonts w:hint="eastAsia" w:ascii="宋体" w:hAnsi="宋体" w:cs="宋体"/>
          <w:sz w:val="22"/>
          <w:highlight w:val="none"/>
        </w:rPr>
        <w:t>（1）甲方权利与义务</w:t>
      </w:r>
    </w:p>
    <w:p>
      <w:pPr>
        <w:spacing w:line="360" w:lineRule="auto"/>
        <w:ind w:firstLine="480"/>
        <w:rPr>
          <w:rFonts w:ascii="宋体" w:hAnsi="宋体" w:cs="宋体"/>
          <w:sz w:val="22"/>
        </w:rPr>
      </w:pPr>
      <w:r>
        <w:rPr>
          <w:rFonts w:hint="eastAsia" w:ascii="宋体" w:hAnsi="宋体" w:cs="宋体"/>
          <w:sz w:val="22"/>
          <w:highlight w:val="none"/>
        </w:rPr>
        <w:t>1）甲方对乙方的工作进行全面</w:t>
      </w:r>
      <w:r>
        <w:rPr>
          <w:rFonts w:hint="eastAsia" w:ascii="宋体" w:hAnsi="宋体" w:cs="宋体"/>
          <w:sz w:val="22"/>
        </w:rPr>
        <w:t>的技术指导、检查、管理和监督，对检查中发现的质量问题及时向乙方提出书面或口头改进意见，直至终止本合同。</w:t>
      </w:r>
    </w:p>
    <w:p>
      <w:pPr>
        <w:spacing w:line="360" w:lineRule="auto"/>
        <w:ind w:firstLine="480"/>
        <w:rPr>
          <w:rFonts w:ascii="宋体" w:hAnsi="宋体" w:cs="宋体"/>
          <w:sz w:val="22"/>
        </w:rPr>
      </w:pPr>
      <w:r>
        <w:rPr>
          <w:rFonts w:hint="eastAsia" w:ascii="宋体" w:hAnsi="宋体" w:cs="宋体"/>
          <w:sz w:val="22"/>
        </w:rPr>
        <w:t>2）甲方监督检查乙方落实安全和安全生产措施。</w:t>
      </w:r>
    </w:p>
    <w:p>
      <w:pPr>
        <w:spacing w:line="360" w:lineRule="auto"/>
        <w:ind w:firstLine="480"/>
        <w:rPr>
          <w:rFonts w:ascii="宋体" w:hAnsi="宋体" w:cs="宋体"/>
          <w:sz w:val="22"/>
        </w:rPr>
      </w:pPr>
      <w:r>
        <w:rPr>
          <w:rFonts w:hint="eastAsia" w:ascii="宋体" w:hAnsi="宋体" w:cs="宋体"/>
          <w:sz w:val="22"/>
        </w:rPr>
        <w:t>3）甲方可要求乙方调整不合格员工。</w:t>
      </w:r>
    </w:p>
    <w:p>
      <w:pPr>
        <w:spacing w:line="360" w:lineRule="auto"/>
        <w:ind w:firstLine="480"/>
        <w:rPr>
          <w:rFonts w:ascii="宋体" w:hAnsi="宋体" w:cs="宋体"/>
          <w:sz w:val="22"/>
        </w:rPr>
      </w:pPr>
      <w:r>
        <w:rPr>
          <w:rFonts w:hint="eastAsia" w:ascii="宋体" w:hAnsi="宋体" w:cs="宋体"/>
          <w:sz w:val="22"/>
        </w:rPr>
        <w:t>4）甲方应按时支付款项。</w:t>
      </w:r>
    </w:p>
    <w:p>
      <w:pPr>
        <w:spacing w:line="360" w:lineRule="auto"/>
        <w:ind w:firstLine="480"/>
        <w:rPr>
          <w:rFonts w:ascii="宋体" w:hAnsi="宋体" w:cs="宋体"/>
          <w:sz w:val="22"/>
        </w:rPr>
      </w:pPr>
      <w:r>
        <w:rPr>
          <w:rFonts w:hint="eastAsia" w:ascii="宋体" w:hAnsi="宋体" w:cs="宋体"/>
          <w:sz w:val="22"/>
        </w:rPr>
        <w:t>（2）乙方权利和义务</w:t>
      </w:r>
    </w:p>
    <w:p>
      <w:pPr>
        <w:spacing w:line="360" w:lineRule="auto"/>
        <w:ind w:firstLine="480"/>
        <w:rPr>
          <w:rFonts w:ascii="宋体" w:hAnsi="宋体" w:cs="宋体"/>
          <w:sz w:val="22"/>
        </w:rPr>
      </w:pPr>
      <w:r>
        <w:rPr>
          <w:rFonts w:hint="eastAsia" w:ascii="宋体" w:hAnsi="宋体" w:cs="宋体"/>
          <w:sz w:val="22"/>
        </w:rPr>
        <w:t>1）乙方有权根据合同按期获取服务经费。</w:t>
      </w:r>
    </w:p>
    <w:p>
      <w:pPr>
        <w:spacing w:line="360" w:lineRule="auto"/>
        <w:ind w:firstLine="480"/>
        <w:rPr>
          <w:rFonts w:ascii="宋体" w:hAnsi="宋体" w:cs="宋体"/>
          <w:sz w:val="22"/>
        </w:rPr>
      </w:pPr>
      <w:r>
        <w:rPr>
          <w:rFonts w:hint="eastAsia" w:ascii="宋体" w:hAnsi="宋体" w:cs="宋体"/>
          <w:sz w:val="22"/>
        </w:rPr>
        <w:t>2）乙方履行承诺的义务，并参加由甲方组织的检查和综合考评。</w:t>
      </w:r>
    </w:p>
    <w:p>
      <w:pPr>
        <w:spacing w:line="360" w:lineRule="auto"/>
        <w:ind w:firstLine="480"/>
        <w:rPr>
          <w:rFonts w:ascii="宋体" w:hAnsi="宋体" w:cs="宋体"/>
          <w:sz w:val="22"/>
        </w:rPr>
      </w:pPr>
      <w:r>
        <w:rPr>
          <w:rFonts w:hint="eastAsia" w:ascii="宋体" w:hAnsi="宋体" w:cs="宋体"/>
          <w:sz w:val="22"/>
        </w:rPr>
        <w:t>3）乙方应接受甲方的检查监督及指导。</w:t>
      </w:r>
    </w:p>
    <w:p>
      <w:pPr>
        <w:spacing w:line="360" w:lineRule="auto"/>
        <w:ind w:firstLine="480"/>
        <w:rPr>
          <w:rFonts w:ascii="宋体" w:hAnsi="宋体" w:cs="宋体"/>
          <w:sz w:val="22"/>
        </w:rPr>
      </w:pPr>
      <w:r>
        <w:rPr>
          <w:rFonts w:hint="eastAsia" w:ascii="宋体" w:hAnsi="宋体" w:cs="宋体"/>
          <w:sz w:val="22"/>
        </w:rPr>
        <w:t>4）按甲方的要求开展工作，如有改变，乙方应提出书面申请，并征得甲方的书面同意。</w:t>
      </w:r>
    </w:p>
    <w:p>
      <w:pPr>
        <w:spacing w:line="360" w:lineRule="auto"/>
        <w:ind w:firstLine="480"/>
        <w:rPr>
          <w:rFonts w:ascii="宋体" w:hAnsi="宋体" w:cs="宋体"/>
          <w:sz w:val="22"/>
        </w:rPr>
      </w:pPr>
      <w:r>
        <w:rPr>
          <w:rFonts w:hint="eastAsia" w:ascii="宋体" w:hAnsi="宋体" w:cs="宋体"/>
          <w:sz w:val="22"/>
        </w:rPr>
        <w:t>5）乙方负责生产过程中员工安全及事故处理和一切费用。</w:t>
      </w:r>
    </w:p>
    <w:p>
      <w:pPr>
        <w:spacing w:line="360" w:lineRule="auto"/>
        <w:ind w:left="437" w:leftChars="208" w:firstLine="59" w:firstLineChars="27"/>
        <w:rPr>
          <w:rFonts w:ascii="宋体" w:hAnsi="宋体" w:cs="宋体"/>
          <w:sz w:val="22"/>
        </w:rPr>
      </w:pPr>
      <w:r>
        <w:rPr>
          <w:rFonts w:hint="eastAsia" w:ascii="宋体" w:hAnsi="宋体" w:cs="宋体"/>
          <w:sz w:val="22"/>
        </w:rPr>
        <w:t>6）乙方不得有弄虚作假及其不正当行为。</w:t>
      </w:r>
    </w:p>
    <w:p>
      <w:pPr>
        <w:spacing w:line="360" w:lineRule="auto"/>
        <w:ind w:left="437" w:leftChars="208" w:firstLine="59" w:firstLineChars="27"/>
        <w:rPr>
          <w:rFonts w:ascii="宋体" w:hAnsi="宋体" w:cs="宋体"/>
          <w:sz w:val="22"/>
        </w:rPr>
      </w:pPr>
      <w:r>
        <w:rPr>
          <w:rFonts w:hint="eastAsia" w:ascii="宋体" w:hAnsi="宋体" w:cs="宋体"/>
          <w:sz w:val="22"/>
        </w:rPr>
        <w:t>7）乙方应严格遵守国家法律、法规的规定，做好泥浆处理等工作，不得违反国家法律、法规和温州市的有关规定。</w:t>
      </w:r>
    </w:p>
    <w:p>
      <w:pPr>
        <w:spacing w:line="360" w:lineRule="auto"/>
        <w:ind w:firstLine="480"/>
        <w:rPr>
          <w:rFonts w:ascii="宋体" w:hAnsi="宋体" w:cs="宋体"/>
          <w:sz w:val="22"/>
        </w:rPr>
      </w:pPr>
      <w:r>
        <w:rPr>
          <w:rFonts w:hint="eastAsia" w:ascii="宋体" w:hAnsi="宋体" w:cs="宋体"/>
          <w:sz w:val="22"/>
        </w:rPr>
        <w:t>8）乙方承诺在服务期内，在服务过程中，加强消除现场风险隐患，全力确保现场安全，并做好保密工作，如因工作人员工作失误，造成损失或不良社会后果的，甲方有权根据情节轻重追究其责任。</w:t>
      </w:r>
    </w:p>
    <w:p>
      <w:pPr>
        <w:spacing w:line="360" w:lineRule="auto"/>
        <w:ind w:firstLine="480"/>
        <w:rPr>
          <w:rFonts w:ascii="宋体" w:hAnsi="宋体" w:cs="宋体"/>
          <w:sz w:val="22"/>
        </w:rPr>
      </w:pPr>
      <w:r>
        <w:rPr>
          <w:rFonts w:hint="eastAsia" w:ascii="宋体" w:hAnsi="宋体" w:cs="宋体"/>
          <w:sz w:val="22"/>
        </w:rPr>
        <w:t>9）响应时间：接到甲方通知后及时作出响应，并在指定时间到达指定地点；</w:t>
      </w:r>
    </w:p>
    <w:p>
      <w:pPr>
        <w:spacing w:line="360" w:lineRule="auto"/>
        <w:ind w:firstLine="480"/>
        <w:rPr>
          <w:rFonts w:ascii="宋体" w:hAnsi="宋体" w:cs="宋体"/>
          <w:sz w:val="22"/>
        </w:rPr>
      </w:pPr>
      <w:r>
        <w:rPr>
          <w:rFonts w:hint="eastAsia" w:ascii="宋体" w:hAnsi="宋体" w:cs="宋体"/>
          <w:sz w:val="22"/>
        </w:rPr>
        <w:t>10）乙方应遵守法律、法规和政策的规定，因以上原因使合同性质发生改变，甲方不负赔偿责任。</w:t>
      </w:r>
    </w:p>
    <w:p>
      <w:pPr>
        <w:spacing w:line="360" w:lineRule="auto"/>
        <w:ind w:firstLine="442" w:firstLineChars="200"/>
        <w:rPr>
          <w:rFonts w:ascii="宋体" w:hAnsi="宋体" w:cs="宋体"/>
          <w:b/>
          <w:sz w:val="22"/>
        </w:rPr>
      </w:pPr>
      <w:r>
        <w:rPr>
          <w:rFonts w:hint="eastAsia" w:ascii="宋体" w:hAnsi="宋体" w:cs="宋体"/>
          <w:b/>
          <w:sz w:val="22"/>
        </w:rPr>
        <w:t>13、争端的解决</w:t>
      </w:r>
    </w:p>
    <w:p>
      <w:pPr>
        <w:spacing w:line="360" w:lineRule="auto"/>
        <w:ind w:firstLine="440" w:firstLineChars="200"/>
        <w:rPr>
          <w:rFonts w:ascii="宋体" w:hAnsi="宋体" w:cs="宋体"/>
          <w:bCs/>
          <w:sz w:val="22"/>
        </w:rPr>
      </w:pPr>
      <w:r>
        <w:rPr>
          <w:rFonts w:hint="eastAsia" w:ascii="宋体" w:hAnsi="宋体" w:cs="宋体"/>
          <w:bCs/>
          <w:sz w:val="22"/>
        </w:rPr>
        <w:t>（1）</w:t>
      </w:r>
      <w:r>
        <w:rPr>
          <w:rFonts w:hint="eastAsia" w:ascii="宋体" w:hAnsi="宋体"/>
          <w:sz w:val="22"/>
        </w:rPr>
        <w:t>凡有关本合同实施或与执行本合同中发生的一切争端，双方应通过友好协商，妥善解决。如通过协商还不能解决，直接向项目所在地人民法院提起诉讼</w:t>
      </w:r>
      <w:r>
        <w:rPr>
          <w:rFonts w:hint="eastAsia" w:ascii="宋体" w:hAnsi="宋体" w:cs="宋体"/>
          <w:bCs/>
          <w:sz w:val="22"/>
        </w:rPr>
        <w:t>。</w:t>
      </w:r>
    </w:p>
    <w:p>
      <w:pPr>
        <w:spacing w:line="360" w:lineRule="auto"/>
        <w:ind w:firstLine="440" w:firstLineChars="200"/>
        <w:rPr>
          <w:rFonts w:ascii="宋体" w:hAnsi="宋体" w:cs="宋体"/>
          <w:bCs/>
          <w:sz w:val="22"/>
        </w:rPr>
      </w:pPr>
      <w:r>
        <w:rPr>
          <w:rFonts w:hint="eastAsia" w:ascii="宋体" w:hAnsi="宋体" w:cs="宋体"/>
          <w:bCs/>
          <w:sz w:val="22"/>
        </w:rPr>
        <w:t>（2）适用法律：本合同应按照中华人民共和国的法律进行解释。</w:t>
      </w:r>
    </w:p>
    <w:p>
      <w:pPr>
        <w:spacing w:line="360" w:lineRule="auto"/>
        <w:ind w:firstLine="440" w:firstLineChars="200"/>
        <w:rPr>
          <w:rFonts w:ascii="宋体" w:hAnsi="宋体" w:cs="宋体"/>
          <w:bCs/>
          <w:sz w:val="22"/>
        </w:rPr>
      </w:pPr>
      <w:r>
        <w:rPr>
          <w:rFonts w:hint="eastAsia" w:ascii="宋体" w:hAnsi="宋体" w:cs="宋体"/>
          <w:bCs/>
          <w:sz w:val="22"/>
        </w:rPr>
        <w:t>（3）诉讼文书的送达地址的约定：</w:t>
      </w:r>
    </w:p>
    <w:p>
      <w:pPr>
        <w:spacing w:line="360" w:lineRule="auto"/>
        <w:ind w:firstLine="880" w:firstLineChars="400"/>
        <w:rPr>
          <w:rFonts w:ascii="宋体" w:hAnsi="宋体" w:cs="宋体"/>
          <w:bCs/>
          <w:sz w:val="22"/>
        </w:rPr>
      </w:pPr>
      <w:r>
        <w:rPr>
          <w:rFonts w:hint="eastAsia" w:ascii="宋体" w:hAnsi="宋体" w:cs="宋体"/>
          <w:bCs/>
          <w:sz w:val="22"/>
        </w:rPr>
        <w:t>甲方联系地址：；</w:t>
      </w:r>
    </w:p>
    <w:p>
      <w:pPr>
        <w:spacing w:line="360" w:lineRule="auto"/>
        <w:ind w:firstLine="880" w:firstLineChars="400"/>
        <w:rPr>
          <w:rFonts w:ascii="宋体" w:hAnsi="宋体" w:cs="宋体"/>
          <w:bCs/>
          <w:sz w:val="22"/>
        </w:rPr>
      </w:pPr>
      <w:r>
        <w:rPr>
          <w:rFonts w:hint="eastAsia" w:ascii="宋体" w:hAnsi="宋体" w:cs="宋体"/>
          <w:bCs/>
          <w:sz w:val="22"/>
        </w:rPr>
        <w:t>联系人：；</w:t>
      </w:r>
    </w:p>
    <w:p>
      <w:pPr>
        <w:spacing w:line="360" w:lineRule="auto"/>
        <w:ind w:firstLine="880" w:firstLineChars="400"/>
        <w:rPr>
          <w:rFonts w:ascii="宋体" w:hAnsi="宋体" w:cs="宋体"/>
          <w:bCs/>
          <w:sz w:val="22"/>
        </w:rPr>
      </w:pPr>
      <w:r>
        <w:rPr>
          <w:rFonts w:hint="eastAsia" w:ascii="宋体" w:hAnsi="宋体" w:cs="宋体"/>
          <w:bCs/>
          <w:sz w:val="22"/>
        </w:rPr>
        <w:t>联系电话：；</w:t>
      </w:r>
    </w:p>
    <w:p>
      <w:pPr>
        <w:spacing w:line="360" w:lineRule="auto"/>
        <w:ind w:firstLine="880" w:firstLineChars="400"/>
        <w:rPr>
          <w:rFonts w:ascii="宋体" w:hAnsi="宋体" w:cs="宋体"/>
          <w:bCs/>
          <w:sz w:val="22"/>
        </w:rPr>
      </w:pPr>
      <w:r>
        <w:rPr>
          <w:rFonts w:hint="eastAsia" w:ascii="宋体" w:hAnsi="宋体" w:cs="宋体"/>
          <w:bCs/>
          <w:sz w:val="22"/>
        </w:rPr>
        <w:t>邮箱：；</w:t>
      </w:r>
    </w:p>
    <w:p>
      <w:pPr>
        <w:spacing w:line="360" w:lineRule="auto"/>
        <w:ind w:firstLine="880" w:firstLineChars="400"/>
        <w:rPr>
          <w:rFonts w:ascii="宋体" w:hAnsi="宋体" w:cs="宋体"/>
          <w:bCs/>
          <w:sz w:val="22"/>
        </w:rPr>
      </w:pPr>
      <w:r>
        <w:rPr>
          <w:rFonts w:hint="eastAsia" w:ascii="宋体" w:hAnsi="宋体" w:cs="宋体"/>
          <w:bCs/>
          <w:sz w:val="22"/>
        </w:rPr>
        <w:t>乙方联系地址：</w:t>
      </w:r>
      <w:r>
        <w:rPr>
          <w:rFonts w:hint="eastAsia" w:ascii="宋体" w:hAnsi="宋体" w:cs="宋体"/>
          <w:bCs/>
          <w:sz w:val="22"/>
          <w:u w:val="single"/>
        </w:rPr>
        <w:t xml:space="preserve">                      ；</w:t>
      </w:r>
    </w:p>
    <w:p>
      <w:pPr>
        <w:spacing w:line="360" w:lineRule="auto"/>
        <w:ind w:firstLine="880" w:firstLineChars="400"/>
        <w:rPr>
          <w:rFonts w:ascii="宋体" w:hAnsi="宋体" w:cs="宋体"/>
          <w:bCs/>
          <w:sz w:val="22"/>
        </w:rPr>
      </w:pPr>
      <w:r>
        <w:rPr>
          <w:rFonts w:hint="eastAsia" w:ascii="宋体" w:hAnsi="宋体" w:cs="宋体"/>
          <w:bCs/>
          <w:sz w:val="22"/>
        </w:rPr>
        <w:t>联系人：；</w:t>
      </w:r>
    </w:p>
    <w:p>
      <w:pPr>
        <w:spacing w:line="360" w:lineRule="auto"/>
        <w:ind w:firstLine="880" w:firstLineChars="400"/>
        <w:rPr>
          <w:rFonts w:ascii="宋体" w:hAnsi="宋体" w:cs="宋体"/>
          <w:bCs/>
          <w:sz w:val="22"/>
        </w:rPr>
      </w:pPr>
      <w:r>
        <w:rPr>
          <w:rFonts w:hint="eastAsia" w:ascii="宋体" w:hAnsi="宋体" w:cs="宋体"/>
          <w:bCs/>
          <w:sz w:val="22"/>
        </w:rPr>
        <w:t>联系电话：；</w:t>
      </w:r>
    </w:p>
    <w:p>
      <w:pPr>
        <w:spacing w:line="360" w:lineRule="auto"/>
        <w:ind w:firstLine="880" w:firstLineChars="400"/>
        <w:rPr>
          <w:rFonts w:ascii="宋体" w:hAnsi="宋体" w:cs="宋体"/>
          <w:bCs/>
          <w:sz w:val="22"/>
        </w:rPr>
      </w:pPr>
      <w:r>
        <w:rPr>
          <w:rFonts w:hint="eastAsia" w:ascii="宋体" w:hAnsi="宋体" w:cs="宋体"/>
          <w:bCs/>
          <w:sz w:val="22"/>
        </w:rPr>
        <w:t>邮箱：；</w:t>
      </w:r>
    </w:p>
    <w:p>
      <w:pPr>
        <w:spacing w:line="360" w:lineRule="auto"/>
        <w:ind w:firstLine="440" w:firstLineChars="200"/>
        <w:rPr>
          <w:rFonts w:ascii="宋体" w:hAnsi="宋体" w:cs="宋体"/>
          <w:bCs/>
          <w:sz w:val="22"/>
        </w:rPr>
      </w:pPr>
      <w:r>
        <w:rPr>
          <w:rFonts w:hint="eastAsia" w:ascii="宋体" w:hAnsi="宋体" w:cs="宋体"/>
          <w:bCs/>
          <w:sz w:val="22"/>
        </w:rPr>
        <w:t>各方一致确认前述地址及联系方式真实有效，作为本协议项下各方送达通知等文件资料，以及司法机关、仲裁委送达各类诉讼文书、法律文书的有效送达地址。任一方变更前述地址、联系方式的，均应在变更发生后的30个工作日内以书面形式通知对方。变更一方未发出变更通知，或另一方在实际收到变更通知前已发出通知的，如另一方系按照原联系方式发出通知，即视为已履行通知义务。采用直接送达的，送达人当场在送达回证上记明情况之日为送达之日；采用邮寄送达的，任一方或司法机关、仲裁委按前述地址交邮，实际签收（含代收）之日为送达之日，如无人签收或拒收，则邮件被退回之日视为送达之日。</w:t>
      </w:r>
    </w:p>
    <w:p>
      <w:pPr>
        <w:spacing w:line="360" w:lineRule="auto"/>
        <w:ind w:firstLine="440" w:firstLineChars="200"/>
        <w:rPr>
          <w:rFonts w:ascii="宋体" w:hAnsi="宋体" w:cs="宋体"/>
          <w:bCs/>
          <w:sz w:val="22"/>
        </w:rPr>
      </w:pPr>
      <w:r>
        <w:rPr>
          <w:rFonts w:hint="eastAsia" w:ascii="宋体" w:hAnsi="宋体" w:cs="宋体"/>
          <w:bCs/>
          <w:sz w:val="22"/>
        </w:rPr>
        <w:t>14、本协议书正本一式贰份，合同双方各执壹份，副本肆份，双方各执贰份。</w:t>
      </w:r>
    </w:p>
    <w:p>
      <w:pPr>
        <w:spacing w:line="360" w:lineRule="auto"/>
        <w:ind w:firstLine="440" w:firstLineChars="200"/>
        <w:rPr>
          <w:rFonts w:ascii="宋体" w:hAnsi="宋体" w:cs="宋体"/>
          <w:bCs/>
          <w:sz w:val="22"/>
        </w:rPr>
      </w:pPr>
      <w:r>
        <w:rPr>
          <w:rFonts w:hint="eastAsia" w:ascii="宋体" w:hAnsi="宋体" w:cs="宋体"/>
          <w:bCs/>
          <w:sz w:val="22"/>
        </w:rPr>
        <w:t>15、本合同未尽事宜，另行协商。</w:t>
      </w:r>
    </w:p>
    <w:p>
      <w:pPr>
        <w:spacing w:line="360" w:lineRule="auto"/>
        <w:ind w:firstLine="440" w:firstLineChars="200"/>
        <w:rPr>
          <w:rFonts w:ascii="宋体" w:hAnsi="宋体" w:cs="宋体"/>
          <w:bCs/>
          <w:sz w:val="22"/>
        </w:rPr>
      </w:pPr>
      <w:r>
        <w:rPr>
          <w:rFonts w:hint="eastAsia" w:ascii="宋体" w:hAnsi="宋体" w:cs="宋体"/>
          <w:bCs/>
          <w:sz w:val="22"/>
        </w:rPr>
        <w:t>甲  方：(盖章)　　　　　　　　　                乙  方：(盖章)</w:t>
      </w:r>
    </w:p>
    <w:p>
      <w:pPr>
        <w:spacing w:line="360" w:lineRule="auto"/>
        <w:ind w:firstLine="440" w:firstLineChars="200"/>
        <w:rPr>
          <w:rFonts w:ascii="宋体" w:hAnsi="宋体" w:cs="宋体"/>
          <w:bCs/>
          <w:sz w:val="22"/>
        </w:rPr>
      </w:pPr>
      <w:r>
        <w:rPr>
          <w:rFonts w:hint="eastAsia" w:ascii="宋体" w:hAnsi="宋体" w:cs="宋体"/>
          <w:bCs/>
          <w:sz w:val="22"/>
        </w:rPr>
        <w:t>法定代表人：(签字)　　　　　　　                法定代表人：(签字)</w:t>
      </w:r>
    </w:p>
    <w:p>
      <w:pPr>
        <w:spacing w:line="360" w:lineRule="auto"/>
        <w:ind w:firstLine="440" w:firstLineChars="200"/>
        <w:rPr>
          <w:rFonts w:ascii="宋体" w:hAnsi="宋体" w:cs="宋体"/>
          <w:bCs/>
          <w:sz w:val="22"/>
        </w:rPr>
      </w:pPr>
      <w:r>
        <w:rPr>
          <w:rFonts w:hint="eastAsia" w:ascii="宋体" w:hAnsi="宋体" w:cs="宋体"/>
          <w:bCs/>
          <w:sz w:val="22"/>
        </w:rPr>
        <w:t>委托代理人：(签字)　　　　　　　                委托代理人：(签字)</w:t>
      </w:r>
    </w:p>
    <w:p>
      <w:pPr>
        <w:spacing w:line="360" w:lineRule="auto"/>
        <w:ind w:firstLine="440" w:firstLineChars="200"/>
        <w:rPr>
          <w:rFonts w:ascii="宋体" w:hAnsi="宋体" w:cs="宋体"/>
          <w:bCs/>
          <w:sz w:val="22"/>
        </w:rPr>
      </w:pPr>
      <w:r>
        <w:rPr>
          <w:rFonts w:hint="eastAsia" w:ascii="宋体" w:hAnsi="宋体" w:cs="宋体"/>
          <w:bCs/>
          <w:sz w:val="22"/>
        </w:rPr>
        <w:t>住所：                                          住所：</w:t>
      </w:r>
    </w:p>
    <w:p>
      <w:pPr>
        <w:spacing w:line="360" w:lineRule="auto"/>
        <w:ind w:firstLine="440" w:firstLineChars="200"/>
        <w:rPr>
          <w:rFonts w:ascii="宋体" w:hAnsi="宋体" w:cs="宋体"/>
          <w:bCs/>
          <w:sz w:val="22"/>
        </w:rPr>
      </w:pPr>
      <w:r>
        <w:rPr>
          <w:rFonts w:hint="eastAsia" w:ascii="宋体" w:hAnsi="宋体" w:cs="宋体"/>
          <w:bCs/>
          <w:sz w:val="22"/>
        </w:rPr>
        <w:t>开户银行：                                      开户银行：</w:t>
      </w:r>
    </w:p>
    <w:p>
      <w:pPr>
        <w:pStyle w:val="22"/>
        <w:snapToGrid w:val="0"/>
        <w:spacing w:line="440" w:lineRule="atLeast"/>
        <w:ind w:left="421" w:hanging="421" w:hangingChars="131"/>
        <w:rPr>
          <w:rFonts w:ascii="宋体" w:hAnsi="宋体"/>
          <w:b/>
          <w:bCs/>
        </w:rPr>
        <w:sectPr>
          <w:pgSz w:w="11906" w:h="16838"/>
          <w:pgMar w:top="1440" w:right="1191" w:bottom="1440" w:left="1191" w:header="851" w:footer="992" w:gutter="0"/>
          <w:cols w:space="720" w:num="1"/>
          <w:docGrid w:linePitch="312" w:charSpace="0"/>
        </w:sectPr>
      </w:pPr>
    </w:p>
    <w:p>
      <w:pPr>
        <w:widowControl/>
        <w:spacing w:line="450" w:lineRule="atLeast"/>
        <w:ind w:firstLine="602" w:firstLineChars="200"/>
        <w:jc w:val="center"/>
        <w:rPr>
          <w:rFonts w:ascii="宋体" w:hAnsi="宋体" w:cs="宋体"/>
          <w:b/>
          <w:sz w:val="30"/>
          <w:szCs w:val="30"/>
        </w:rPr>
      </w:pPr>
      <w:bookmarkStart w:id="122" w:name="_Toc91494377"/>
      <w:r>
        <w:rPr>
          <w:rFonts w:hint="eastAsia" w:ascii="宋体" w:hAnsi="宋体" w:cs="宋体"/>
          <w:b/>
          <w:sz w:val="30"/>
          <w:szCs w:val="30"/>
        </w:rPr>
        <w:t>泥浆</w:t>
      </w:r>
      <w:r>
        <w:rPr>
          <w:rFonts w:ascii="宋体" w:hAnsi="宋体" w:cs="宋体"/>
          <w:b/>
          <w:sz w:val="30"/>
          <w:szCs w:val="30"/>
        </w:rPr>
        <w:t>处理</w:t>
      </w:r>
      <w:r>
        <w:rPr>
          <w:rFonts w:hint="eastAsia" w:ascii="宋体" w:hAnsi="宋体" w:cs="宋体"/>
          <w:b/>
          <w:sz w:val="30"/>
          <w:szCs w:val="30"/>
        </w:rPr>
        <w:t>服务项目年度考核标准</w:t>
      </w:r>
    </w:p>
    <w:tbl>
      <w:tblPr>
        <w:tblStyle w:val="24"/>
        <w:tblW w:w="0" w:type="auto"/>
        <w:tblInd w:w="93" w:type="dxa"/>
        <w:tblLayout w:type="fixed"/>
        <w:tblCellMar>
          <w:top w:w="0" w:type="dxa"/>
          <w:left w:w="108" w:type="dxa"/>
          <w:bottom w:w="0" w:type="dxa"/>
          <w:right w:w="108" w:type="dxa"/>
        </w:tblCellMar>
      </w:tblPr>
      <w:tblGrid>
        <w:gridCol w:w="1200"/>
        <w:gridCol w:w="1080"/>
        <w:gridCol w:w="4681"/>
        <w:gridCol w:w="709"/>
        <w:gridCol w:w="5143"/>
        <w:gridCol w:w="669"/>
        <w:gridCol w:w="1134"/>
      </w:tblGrid>
      <w:tr>
        <w:tblPrEx>
          <w:tblCellMar>
            <w:top w:w="0" w:type="dxa"/>
            <w:left w:w="108" w:type="dxa"/>
            <w:bottom w:w="0" w:type="dxa"/>
            <w:right w:w="108" w:type="dxa"/>
          </w:tblCellMar>
        </w:tblPrEx>
        <w:trPr>
          <w:trHeight w:val="390" w:hRule="atLeast"/>
          <w:tblHeader/>
        </w:trPr>
        <w:tc>
          <w:tcPr>
            <w:tcW w:w="2280" w:type="dxa"/>
            <w:gridSpan w:val="2"/>
            <w:tcBorders>
              <w:top w:val="single" w:color="auto" w:sz="4" w:space="0"/>
              <w:left w:val="single" w:color="auto" w:sz="4" w:space="0"/>
              <w:bottom w:val="single" w:color="auto" w:sz="4" w:space="0"/>
              <w:right w:val="single" w:color="auto" w:sz="4" w:space="0"/>
            </w:tcBorders>
            <w:vAlign w:val="center"/>
          </w:tcPr>
          <w:p>
            <w:pPr>
              <w:widowControl/>
              <w:spacing w:line="280" w:lineRule="exact"/>
              <w:jc w:val="center"/>
              <w:rPr>
                <w:rFonts w:ascii="宋体" w:hAnsi="宋体" w:cs="宋体"/>
                <w:b/>
                <w:sz w:val="18"/>
                <w:szCs w:val="18"/>
              </w:rPr>
            </w:pPr>
            <w:r>
              <w:rPr>
                <w:rFonts w:hint="eastAsia" w:ascii="宋体" w:hAnsi="宋体" w:cs="宋体"/>
                <w:b/>
                <w:sz w:val="18"/>
                <w:szCs w:val="18"/>
              </w:rPr>
              <w:t>考核项目</w:t>
            </w:r>
          </w:p>
        </w:tc>
        <w:tc>
          <w:tcPr>
            <w:tcW w:w="4681" w:type="dxa"/>
            <w:tcBorders>
              <w:top w:val="single" w:color="auto" w:sz="4" w:space="0"/>
              <w:left w:val="nil"/>
              <w:bottom w:val="single" w:color="auto" w:sz="4" w:space="0"/>
              <w:right w:val="single" w:color="auto" w:sz="4" w:space="0"/>
            </w:tcBorders>
            <w:vAlign w:val="center"/>
          </w:tcPr>
          <w:p>
            <w:pPr>
              <w:widowControl/>
              <w:spacing w:line="280" w:lineRule="exact"/>
              <w:jc w:val="center"/>
              <w:rPr>
                <w:rFonts w:ascii="宋体" w:hAnsi="宋体" w:cs="宋体"/>
                <w:b/>
                <w:sz w:val="18"/>
                <w:szCs w:val="18"/>
              </w:rPr>
            </w:pPr>
            <w:r>
              <w:rPr>
                <w:rFonts w:hint="eastAsia" w:ascii="宋体" w:hAnsi="宋体" w:cs="宋体"/>
                <w:b/>
                <w:sz w:val="18"/>
                <w:szCs w:val="18"/>
              </w:rPr>
              <w:t>考  核  标 准</w:t>
            </w:r>
          </w:p>
        </w:tc>
        <w:tc>
          <w:tcPr>
            <w:tcW w:w="709" w:type="dxa"/>
            <w:tcBorders>
              <w:top w:val="single" w:color="auto" w:sz="4" w:space="0"/>
              <w:left w:val="nil"/>
              <w:bottom w:val="single" w:color="auto" w:sz="4" w:space="0"/>
              <w:right w:val="single" w:color="auto" w:sz="4" w:space="0"/>
            </w:tcBorders>
            <w:vAlign w:val="center"/>
          </w:tcPr>
          <w:p>
            <w:pPr>
              <w:widowControl/>
              <w:spacing w:line="280" w:lineRule="exact"/>
              <w:jc w:val="center"/>
              <w:rPr>
                <w:rFonts w:ascii="宋体" w:hAnsi="宋体" w:cs="宋体"/>
                <w:b/>
                <w:sz w:val="18"/>
                <w:szCs w:val="18"/>
              </w:rPr>
            </w:pPr>
            <w:r>
              <w:rPr>
                <w:rFonts w:hint="eastAsia" w:ascii="宋体" w:hAnsi="宋体" w:cs="宋体"/>
                <w:b/>
                <w:sz w:val="18"/>
                <w:szCs w:val="18"/>
              </w:rPr>
              <w:t>分数</w:t>
            </w:r>
          </w:p>
        </w:tc>
        <w:tc>
          <w:tcPr>
            <w:tcW w:w="5143" w:type="dxa"/>
            <w:tcBorders>
              <w:top w:val="single" w:color="auto" w:sz="4" w:space="0"/>
              <w:left w:val="nil"/>
              <w:bottom w:val="single" w:color="auto" w:sz="4" w:space="0"/>
              <w:right w:val="single" w:color="auto" w:sz="4" w:space="0"/>
            </w:tcBorders>
            <w:vAlign w:val="center"/>
          </w:tcPr>
          <w:p>
            <w:pPr>
              <w:widowControl/>
              <w:spacing w:line="280" w:lineRule="exact"/>
              <w:jc w:val="center"/>
              <w:rPr>
                <w:rFonts w:ascii="宋体" w:hAnsi="宋体" w:cs="宋体"/>
                <w:b/>
                <w:sz w:val="18"/>
                <w:szCs w:val="18"/>
              </w:rPr>
            </w:pPr>
            <w:r>
              <w:rPr>
                <w:rFonts w:hint="eastAsia" w:ascii="宋体" w:hAnsi="宋体" w:cs="宋体"/>
                <w:b/>
                <w:sz w:val="18"/>
                <w:szCs w:val="18"/>
              </w:rPr>
              <w:t>赋分原则</w:t>
            </w:r>
          </w:p>
        </w:tc>
        <w:tc>
          <w:tcPr>
            <w:tcW w:w="669" w:type="dxa"/>
            <w:tcBorders>
              <w:top w:val="single" w:color="auto" w:sz="4" w:space="0"/>
              <w:left w:val="nil"/>
              <w:bottom w:val="single" w:color="auto" w:sz="4" w:space="0"/>
              <w:right w:val="single" w:color="auto" w:sz="4" w:space="0"/>
            </w:tcBorders>
            <w:vAlign w:val="center"/>
          </w:tcPr>
          <w:p>
            <w:pPr>
              <w:widowControl/>
              <w:spacing w:line="280" w:lineRule="exact"/>
              <w:jc w:val="center"/>
              <w:rPr>
                <w:rFonts w:ascii="宋体" w:hAnsi="宋体" w:cs="宋体"/>
                <w:b/>
                <w:sz w:val="18"/>
                <w:szCs w:val="18"/>
              </w:rPr>
            </w:pPr>
            <w:r>
              <w:rPr>
                <w:rFonts w:hint="eastAsia" w:ascii="宋体" w:hAnsi="宋体" w:cs="宋体"/>
                <w:b/>
                <w:sz w:val="18"/>
                <w:szCs w:val="18"/>
              </w:rPr>
              <w:t>自评分</w:t>
            </w:r>
          </w:p>
        </w:tc>
        <w:tc>
          <w:tcPr>
            <w:tcW w:w="1134" w:type="dxa"/>
            <w:tcBorders>
              <w:top w:val="single" w:color="auto" w:sz="4" w:space="0"/>
              <w:left w:val="nil"/>
              <w:bottom w:val="single" w:color="auto" w:sz="4" w:space="0"/>
              <w:right w:val="single" w:color="auto" w:sz="4" w:space="0"/>
            </w:tcBorders>
            <w:vAlign w:val="center"/>
          </w:tcPr>
          <w:p>
            <w:pPr>
              <w:widowControl/>
              <w:spacing w:line="280" w:lineRule="exact"/>
              <w:jc w:val="center"/>
              <w:rPr>
                <w:rFonts w:ascii="宋体" w:hAnsi="宋体" w:cs="宋体"/>
                <w:b/>
                <w:sz w:val="18"/>
                <w:szCs w:val="18"/>
              </w:rPr>
            </w:pPr>
            <w:r>
              <w:rPr>
                <w:rFonts w:hint="eastAsia" w:ascii="宋体" w:hAnsi="宋体" w:cs="宋体"/>
                <w:b/>
                <w:sz w:val="18"/>
                <w:szCs w:val="18"/>
              </w:rPr>
              <w:t>考核分</w:t>
            </w:r>
          </w:p>
        </w:tc>
      </w:tr>
      <w:tr>
        <w:tblPrEx>
          <w:tblCellMar>
            <w:top w:w="0" w:type="dxa"/>
            <w:left w:w="108" w:type="dxa"/>
            <w:bottom w:w="0" w:type="dxa"/>
            <w:right w:w="108" w:type="dxa"/>
          </w:tblCellMar>
        </w:tblPrEx>
        <w:trPr>
          <w:trHeight w:val="284" w:hRule="atLeast"/>
        </w:trPr>
        <w:tc>
          <w:tcPr>
            <w:tcW w:w="1200" w:type="dxa"/>
            <w:vMerge w:val="restart"/>
            <w:tcBorders>
              <w:top w:val="single" w:color="auto" w:sz="4" w:space="0"/>
              <w:left w:val="single" w:color="auto" w:sz="4" w:space="0"/>
              <w:bottom w:val="single" w:color="auto" w:sz="4" w:space="0"/>
              <w:right w:val="single" w:color="auto" w:sz="4" w:space="0"/>
            </w:tcBorders>
            <w:vAlign w:val="center"/>
          </w:tcPr>
          <w:p>
            <w:pPr>
              <w:widowControl/>
              <w:spacing w:line="280" w:lineRule="exact"/>
              <w:jc w:val="center"/>
              <w:rPr>
                <w:rFonts w:ascii="宋体" w:hAnsi="宋体" w:cs="宋体"/>
                <w:sz w:val="18"/>
                <w:szCs w:val="18"/>
              </w:rPr>
            </w:pPr>
            <w:r>
              <w:rPr>
                <w:rFonts w:hint="eastAsia" w:ascii="宋体" w:hAnsi="宋体" w:cs="宋体"/>
                <w:sz w:val="18"/>
                <w:szCs w:val="18"/>
              </w:rPr>
              <w:t>一、组织管理（100分）</w:t>
            </w:r>
          </w:p>
        </w:tc>
        <w:tc>
          <w:tcPr>
            <w:tcW w:w="1080" w:type="dxa"/>
            <w:vMerge w:val="restart"/>
            <w:tcBorders>
              <w:top w:val="single" w:color="auto" w:sz="4" w:space="0"/>
              <w:left w:val="single" w:color="auto" w:sz="4" w:space="0"/>
              <w:bottom w:val="single" w:color="auto" w:sz="4" w:space="0"/>
              <w:right w:val="single" w:color="auto" w:sz="4" w:space="0"/>
            </w:tcBorders>
            <w:vAlign w:val="center"/>
          </w:tcPr>
          <w:p>
            <w:pPr>
              <w:widowControl/>
              <w:spacing w:line="280" w:lineRule="exact"/>
              <w:jc w:val="center"/>
              <w:rPr>
                <w:rFonts w:ascii="宋体" w:hAnsi="宋体" w:cs="宋体"/>
                <w:sz w:val="18"/>
                <w:szCs w:val="18"/>
              </w:rPr>
            </w:pPr>
            <w:r>
              <w:rPr>
                <w:rFonts w:hint="eastAsia" w:ascii="宋体" w:hAnsi="宋体" w:cs="宋体"/>
                <w:sz w:val="18"/>
                <w:szCs w:val="18"/>
              </w:rPr>
              <w:t>管理人员</w:t>
            </w:r>
          </w:p>
        </w:tc>
        <w:tc>
          <w:tcPr>
            <w:tcW w:w="4681" w:type="dxa"/>
            <w:vMerge w:val="restart"/>
            <w:tcBorders>
              <w:top w:val="single" w:color="auto" w:sz="4" w:space="0"/>
              <w:left w:val="single" w:color="auto" w:sz="4" w:space="0"/>
              <w:bottom w:val="single" w:color="auto" w:sz="4" w:space="0"/>
              <w:right w:val="single" w:color="auto" w:sz="4" w:space="0"/>
            </w:tcBorders>
            <w:vAlign w:val="center"/>
          </w:tcPr>
          <w:p>
            <w:pPr>
              <w:widowControl/>
              <w:spacing w:line="280" w:lineRule="exact"/>
              <w:jc w:val="left"/>
              <w:rPr>
                <w:rFonts w:ascii="宋体" w:hAnsi="宋体" w:cs="宋体"/>
                <w:sz w:val="18"/>
                <w:szCs w:val="18"/>
              </w:rPr>
            </w:pPr>
            <w:r>
              <w:rPr>
                <w:rFonts w:hint="eastAsia" w:ascii="宋体" w:hAnsi="宋体" w:cs="宋体"/>
                <w:sz w:val="18"/>
                <w:szCs w:val="18"/>
              </w:rPr>
              <w:t>有专职管理人员，管理人员需签订劳动合同；技术工人经培训上岗，关键岗位要持证上岗；单位有职工年度培训计划，并按计划实施。</w:t>
            </w:r>
          </w:p>
        </w:tc>
        <w:tc>
          <w:tcPr>
            <w:tcW w:w="709" w:type="dxa"/>
            <w:vMerge w:val="restart"/>
            <w:tcBorders>
              <w:top w:val="single" w:color="auto" w:sz="4" w:space="0"/>
              <w:left w:val="single" w:color="auto" w:sz="4" w:space="0"/>
              <w:bottom w:val="single" w:color="auto" w:sz="4" w:space="0"/>
              <w:right w:val="single" w:color="auto" w:sz="4" w:space="0"/>
            </w:tcBorders>
            <w:vAlign w:val="center"/>
          </w:tcPr>
          <w:p>
            <w:pPr>
              <w:widowControl/>
              <w:spacing w:line="280" w:lineRule="exact"/>
              <w:jc w:val="center"/>
              <w:rPr>
                <w:rFonts w:ascii="宋体" w:hAnsi="宋体" w:cs="宋体"/>
                <w:sz w:val="18"/>
                <w:szCs w:val="18"/>
              </w:rPr>
            </w:pPr>
            <w:r>
              <w:rPr>
                <w:rFonts w:hint="eastAsia" w:ascii="宋体" w:hAnsi="宋体" w:cs="宋体"/>
                <w:sz w:val="18"/>
                <w:szCs w:val="18"/>
              </w:rPr>
              <w:t>25</w:t>
            </w:r>
          </w:p>
        </w:tc>
        <w:tc>
          <w:tcPr>
            <w:tcW w:w="5143" w:type="dxa"/>
            <w:tcBorders>
              <w:top w:val="single" w:color="auto" w:sz="4" w:space="0"/>
              <w:left w:val="nil"/>
              <w:bottom w:val="single" w:color="auto" w:sz="4" w:space="0"/>
              <w:right w:val="single" w:color="auto" w:sz="4" w:space="0"/>
            </w:tcBorders>
            <w:vAlign w:val="center"/>
          </w:tcPr>
          <w:p>
            <w:pPr>
              <w:widowControl/>
              <w:spacing w:line="280" w:lineRule="exact"/>
              <w:jc w:val="left"/>
              <w:rPr>
                <w:rFonts w:ascii="宋体" w:hAnsi="宋体" w:cs="宋体"/>
                <w:sz w:val="18"/>
                <w:szCs w:val="18"/>
              </w:rPr>
            </w:pPr>
            <w:bookmarkStart w:id="123" w:name="_Toc347328915"/>
            <w:r>
              <w:rPr>
                <w:rFonts w:hint="eastAsia" w:ascii="宋体" w:hAnsi="宋体" w:cs="宋体"/>
                <w:sz w:val="18"/>
                <w:szCs w:val="18"/>
              </w:rPr>
              <w:t>无专职管理人员，未签订劳动合同，扣10分；</w:t>
            </w:r>
            <w:bookmarkEnd w:id="123"/>
          </w:p>
        </w:tc>
        <w:tc>
          <w:tcPr>
            <w:tcW w:w="669" w:type="dxa"/>
            <w:tcBorders>
              <w:top w:val="single" w:color="auto" w:sz="4" w:space="0"/>
              <w:left w:val="nil"/>
              <w:bottom w:val="single" w:color="auto" w:sz="4" w:space="0"/>
              <w:right w:val="single" w:color="auto" w:sz="4" w:space="0"/>
            </w:tcBorders>
            <w:vAlign w:val="center"/>
          </w:tcPr>
          <w:p>
            <w:pPr>
              <w:widowControl/>
              <w:spacing w:line="280" w:lineRule="exact"/>
              <w:jc w:val="center"/>
              <w:rPr>
                <w:rFonts w:ascii="宋体" w:hAnsi="宋体" w:cs="宋体"/>
                <w:sz w:val="18"/>
                <w:szCs w:val="18"/>
              </w:rPr>
            </w:pPr>
            <w:r>
              <w:rPr>
                <w:rFonts w:hint="eastAsia" w:ascii="宋体" w:hAnsi="宋体" w:cs="宋体"/>
                <w:sz w:val="18"/>
                <w:szCs w:val="18"/>
              </w:rPr>
              <w:t>　</w:t>
            </w:r>
          </w:p>
        </w:tc>
        <w:tc>
          <w:tcPr>
            <w:tcW w:w="1134" w:type="dxa"/>
            <w:tcBorders>
              <w:top w:val="single" w:color="auto" w:sz="4" w:space="0"/>
              <w:left w:val="nil"/>
              <w:bottom w:val="single" w:color="auto" w:sz="4" w:space="0"/>
              <w:right w:val="single" w:color="auto" w:sz="4" w:space="0"/>
            </w:tcBorders>
            <w:vAlign w:val="center"/>
          </w:tcPr>
          <w:p>
            <w:pPr>
              <w:widowControl/>
              <w:spacing w:line="280" w:lineRule="exact"/>
              <w:jc w:val="center"/>
              <w:rPr>
                <w:rFonts w:ascii="宋体" w:hAnsi="宋体" w:cs="宋体"/>
                <w:sz w:val="18"/>
                <w:szCs w:val="18"/>
              </w:rPr>
            </w:pPr>
            <w:r>
              <w:rPr>
                <w:rFonts w:hint="eastAsia" w:ascii="宋体" w:hAnsi="宋体" w:cs="宋体"/>
                <w:sz w:val="18"/>
                <w:szCs w:val="18"/>
              </w:rPr>
              <w:t>　</w:t>
            </w:r>
          </w:p>
        </w:tc>
      </w:tr>
      <w:tr>
        <w:tblPrEx>
          <w:tblCellMar>
            <w:top w:w="0" w:type="dxa"/>
            <w:left w:w="108" w:type="dxa"/>
            <w:bottom w:w="0" w:type="dxa"/>
            <w:right w:w="108" w:type="dxa"/>
          </w:tblCellMar>
        </w:tblPrEx>
        <w:trPr>
          <w:trHeight w:val="270" w:hRule="atLeast"/>
        </w:trPr>
        <w:tc>
          <w:tcPr>
            <w:tcW w:w="1200"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80" w:lineRule="exact"/>
              <w:jc w:val="left"/>
              <w:rPr>
                <w:rFonts w:ascii="宋体" w:hAnsi="宋体" w:cs="宋体"/>
                <w:sz w:val="18"/>
                <w:szCs w:val="18"/>
              </w:rPr>
            </w:pPr>
          </w:p>
        </w:tc>
        <w:tc>
          <w:tcPr>
            <w:tcW w:w="1080"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80" w:lineRule="exact"/>
              <w:jc w:val="left"/>
              <w:rPr>
                <w:rFonts w:ascii="宋体" w:hAnsi="宋体" w:cs="宋体"/>
                <w:sz w:val="18"/>
                <w:szCs w:val="18"/>
              </w:rPr>
            </w:pPr>
          </w:p>
        </w:tc>
        <w:tc>
          <w:tcPr>
            <w:tcW w:w="4681"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80" w:lineRule="exact"/>
              <w:jc w:val="left"/>
              <w:rPr>
                <w:rFonts w:ascii="宋体" w:hAnsi="宋体" w:cs="宋体"/>
                <w:sz w:val="18"/>
                <w:szCs w:val="18"/>
              </w:rPr>
            </w:pPr>
          </w:p>
        </w:tc>
        <w:tc>
          <w:tcPr>
            <w:tcW w:w="709"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80" w:lineRule="exact"/>
              <w:jc w:val="left"/>
              <w:rPr>
                <w:rFonts w:ascii="宋体" w:hAnsi="宋体" w:cs="宋体"/>
                <w:sz w:val="18"/>
                <w:szCs w:val="18"/>
              </w:rPr>
            </w:pPr>
          </w:p>
        </w:tc>
        <w:tc>
          <w:tcPr>
            <w:tcW w:w="5143" w:type="dxa"/>
            <w:tcBorders>
              <w:top w:val="single" w:color="auto" w:sz="4" w:space="0"/>
              <w:left w:val="nil"/>
              <w:bottom w:val="single" w:color="auto" w:sz="4" w:space="0"/>
              <w:right w:val="single" w:color="auto" w:sz="4" w:space="0"/>
            </w:tcBorders>
            <w:vAlign w:val="center"/>
          </w:tcPr>
          <w:p>
            <w:pPr>
              <w:widowControl/>
              <w:spacing w:line="280" w:lineRule="exact"/>
              <w:jc w:val="left"/>
              <w:rPr>
                <w:rFonts w:ascii="宋体" w:hAnsi="宋体" w:cs="宋体"/>
                <w:sz w:val="18"/>
                <w:szCs w:val="18"/>
              </w:rPr>
            </w:pPr>
            <w:bookmarkStart w:id="124" w:name="_Toc347328916"/>
            <w:r>
              <w:rPr>
                <w:rFonts w:hint="eastAsia" w:ascii="宋体" w:hAnsi="宋体" w:cs="宋体"/>
                <w:sz w:val="18"/>
                <w:szCs w:val="18"/>
              </w:rPr>
              <w:t>技术工人不具备岗位技能要求，关键岗位未持证上岗，扣10分；</w:t>
            </w:r>
            <w:bookmarkEnd w:id="124"/>
          </w:p>
        </w:tc>
        <w:tc>
          <w:tcPr>
            <w:tcW w:w="669" w:type="dxa"/>
            <w:tcBorders>
              <w:top w:val="single" w:color="auto" w:sz="4" w:space="0"/>
              <w:left w:val="nil"/>
              <w:bottom w:val="single" w:color="auto" w:sz="4" w:space="0"/>
              <w:right w:val="single" w:color="auto" w:sz="4" w:space="0"/>
            </w:tcBorders>
            <w:vAlign w:val="center"/>
          </w:tcPr>
          <w:p>
            <w:pPr>
              <w:widowControl/>
              <w:spacing w:line="280" w:lineRule="exact"/>
              <w:jc w:val="center"/>
              <w:rPr>
                <w:rFonts w:ascii="宋体" w:hAnsi="宋体" w:cs="宋体"/>
                <w:sz w:val="18"/>
                <w:szCs w:val="18"/>
              </w:rPr>
            </w:pPr>
            <w:r>
              <w:rPr>
                <w:rFonts w:hint="eastAsia" w:ascii="宋体" w:hAnsi="宋体" w:cs="宋体"/>
                <w:sz w:val="18"/>
                <w:szCs w:val="18"/>
              </w:rPr>
              <w:t>　</w:t>
            </w:r>
          </w:p>
        </w:tc>
        <w:tc>
          <w:tcPr>
            <w:tcW w:w="1134" w:type="dxa"/>
            <w:tcBorders>
              <w:top w:val="single" w:color="auto" w:sz="4" w:space="0"/>
              <w:left w:val="nil"/>
              <w:bottom w:val="single" w:color="auto" w:sz="4" w:space="0"/>
              <w:right w:val="single" w:color="auto" w:sz="4" w:space="0"/>
            </w:tcBorders>
            <w:vAlign w:val="center"/>
          </w:tcPr>
          <w:p>
            <w:pPr>
              <w:widowControl/>
              <w:spacing w:line="280" w:lineRule="exact"/>
              <w:jc w:val="center"/>
              <w:rPr>
                <w:rFonts w:ascii="宋体" w:hAnsi="宋体" w:cs="宋体"/>
                <w:sz w:val="18"/>
                <w:szCs w:val="18"/>
              </w:rPr>
            </w:pPr>
            <w:r>
              <w:rPr>
                <w:rFonts w:hint="eastAsia" w:ascii="宋体" w:hAnsi="宋体" w:cs="宋体"/>
                <w:sz w:val="18"/>
                <w:szCs w:val="18"/>
              </w:rPr>
              <w:t>　</w:t>
            </w:r>
          </w:p>
        </w:tc>
      </w:tr>
      <w:tr>
        <w:tblPrEx>
          <w:tblCellMar>
            <w:top w:w="0" w:type="dxa"/>
            <w:left w:w="108" w:type="dxa"/>
            <w:bottom w:w="0" w:type="dxa"/>
            <w:right w:w="108" w:type="dxa"/>
          </w:tblCellMar>
        </w:tblPrEx>
        <w:trPr>
          <w:trHeight w:val="267" w:hRule="atLeast"/>
        </w:trPr>
        <w:tc>
          <w:tcPr>
            <w:tcW w:w="1200"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80" w:lineRule="exact"/>
              <w:jc w:val="left"/>
              <w:rPr>
                <w:rFonts w:ascii="宋体" w:hAnsi="宋体" w:cs="宋体"/>
                <w:sz w:val="18"/>
                <w:szCs w:val="18"/>
              </w:rPr>
            </w:pPr>
          </w:p>
        </w:tc>
        <w:tc>
          <w:tcPr>
            <w:tcW w:w="1080"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80" w:lineRule="exact"/>
              <w:jc w:val="left"/>
              <w:rPr>
                <w:rFonts w:ascii="宋体" w:hAnsi="宋体" w:cs="宋体"/>
                <w:sz w:val="18"/>
                <w:szCs w:val="18"/>
              </w:rPr>
            </w:pPr>
          </w:p>
        </w:tc>
        <w:tc>
          <w:tcPr>
            <w:tcW w:w="4681"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80" w:lineRule="exact"/>
              <w:jc w:val="left"/>
              <w:rPr>
                <w:rFonts w:ascii="宋体" w:hAnsi="宋体" w:cs="宋体"/>
                <w:sz w:val="18"/>
                <w:szCs w:val="18"/>
              </w:rPr>
            </w:pPr>
          </w:p>
        </w:tc>
        <w:tc>
          <w:tcPr>
            <w:tcW w:w="709"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80" w:lineRule="exact"/>
              <w:jc w:val="left"/>
              <w:rPr>
                <w:rFonts w:ascii="宋体" w:hAnsi="宋体" w:cs="宋体"/>
                <w:sz w:val="18"/>
                <w:szCs w:val="18"/>
              </w:rPr>
            </w:pPr>
          </w:p>
        </w:tc>
        <w:tc>
          <w:tcPr>
            <w:tcW w:w="5143" w:type="dxa"/>
            <w:tcBorders>
              <w:top w:val="single" w:color="auto" w:sz="4" w:space="0"/>
              <w:left w:val="nil"/>
              <w:bottom w:val="single" w:color="auto" w:sz="4" w:space="0"/>
              <w:right w:val="single" w:color="auto" w:sz="4" w:space="0"/>
            </w:tcBorders>
            <w:vAlign w:val="center"/>
          </w:tcPr>
          <w:p>
            <w:pPr>
              <w:widowControl/>
              <w:spacing w:line="280" w:lineRule="exact"/>
              <w:jc w:val="left"/>
              <w:rPr>
                <w:rFonts w:ascii="宋体" w:hAnsi="宋体" w:cs="宋体"/>
                <w:sz w:val="18"/>
                <w:szCs w:val="18"/>
              </w:rPr>
            </w:pPr>
            <w:bookmarkStart w:id="125" w:name="_Toc347328917"/>
            <w:r>
              <w:rPr>
                <w:rFonts w:hint="eastAsia" w:ascii="宋体" w:hAnsi="宋体" w:cs="宋体"/>
                <w:sz w:val="18"/>
                <w:szCs w:val="18"/>
              </w:rPr>
              <w:t>无职工培训年度计划或未按计划实施，扣5分；</w:t>
            </w:r>
            <w:bookmarkEnd w:id="125"/>
          </w:p>
        </w:tc>
        <w:tc>
          <w:tcPr>
            <w:tcW w:w="669" w:type="dxa"/>
            <w:tcBorders>
              <w:top w:val="single" w:color="auto" w:sz="4" w:space="0"/>
              <w:left w:val="nil"/>
              <w:bottom w:val="single" w:color="auto" w:sz="4" w:space="0"/>
              <w:right w:val="single" w:color="auto" w:sz="4" w:space="0"/>
            </w:tcBorders>
            <w:vAlign w:val="center"/>
          </w:tcPr>
          <w:p>
            <w:pPr>
              <w:widowControl/>
              <w:spacing w:line="280" w:lineRule="exact"/>
              <w:jc w:val="center"/>
              <w:rPr>
                <w:rFonts w:ascii="宋体" w:hAnsi="宋体" w:cs="宋体"/>
                <w:sz w:val="18"/>
                <w:szCs w:val="18"/>
              </w:rPr>
            </w:pPr>
            <w:r>
              <w:rPr>
                <w:rFonts w:hint="eastAsia" w:ascii="宋体" w:hAnsi="宋体" w:cs="宋体"/>
                <w:sz w:val="18"/>
                <w:szCs w:val="18"/>
              </w:rPr>
              <w:t>　</w:t>
            </w:r>
          </w:p>
        </w:tc>
        <w:tc>
          <w:tcPr>
            <w:tcW w:w="1134" w:type="dxa"/>
            <w:tcBorders>
              <w:top w:val="single" w:color="auto" w:sz="4" w:space="0"/>
              <w:left w:val="nil"/>
              <w:bottom w:val="single" w:color="auto" w:sz="4" w:space="0"/>
              <w:right w:val="single" w:color="auto" w:sz="4" w:space="0"/>
            </w:tcBorders>
            <w:vAlign w:val="center"/>
          </w:tcPr>
          <w:p>
            <w:pPr>
              <w:widowControl/>
              <w:spacing w:line="280" w:lineRule="exact"/>
              <w:jc w:val="center"/>
              <w:rPr>
                <w:rFonts w:ascii="宋体" w:hAnsi="宋体" w:cs="宋体"/>
                <w:sz w:val="18"/>
                <w:szCs w:val="18"/>
              </w:rPr>
            </w:pPr>
            <w:r>
              <w:rPr>
                <w:rFonts w:hint="eastAsia" w:ascii="宋体" w:hAnsi="宋体" w:cs="宋体"/>
                <w:sz w:val="18"/>
                <w:szCs w:val="18"/>
              </w:rPr>
              <w:t>　</w:t>
            </w:r>
          </w:p>
        </w:tc>
      </w:tr>
      <w:tr>
        <w:tblPrEx>
          <w:tblCellMar>
            <w:top w:w="0" w:type="dxa"/>
            <w:left w:w="108" w:type="dxa"/>
            <w:bottom w:w="0" w:type="dxa"/>
            <w:right w:w="108" w:type="dxa"/>
          </w:tblCellMar>
        </w:tblPrEx>
        <w:trPr>
          <w:trHeight w:val="413" w:hRule="atLeast"/>
        </w:trPr>
        <w:tc>
          <w:tcPr>
            <w:tcW w:w="1200"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80" w:lineRule="exact"/>
              <w:jc w:val="left"/>
              <w:rPr>
                <w:rFonts w:ascii="宋体" w:hAnsi="宋体" w:cs="宋体"/>
                <w:sz w:val="18"/>
                <w:szCs w:val="18"/>
              </w:rPr>
            </w:pPr>
          </w:p>
        </w:tc>
        <w:tc>
          <w:tcPr>
            <w:tcW w:w="1080" w:type="dxa"/>
            <w:vMerge w:val="restart"/>
            <w:tcBorders>
              <w:top w:val="single" w:color="auto" w:sz="4" w:space="0"/>
              <w:left w:val="single" w:color="auto" w:sz="4" w:space="0"/>
              <w:bottom w:val="single" w:color="auto" w:sz="4" w:space="0"/>
              <w:right w:val="single" w:color="auto" w:sz="4" w:space="0"/>
            </w:tcBorders>
            <w:vAlign w:val="center"/>
          </w:tcPr>
          <w:p>
            <w:pPr>
              <w:widowControl/>
              <w:spacing w:line="280" w:lineRule="exact"/>
              <w:jc w:val="center"/>
              <w:rPr>
                <w:rFonts w:ascii="宋体" w:hAnsi="宋体" w:cs="宋体"/>
                <w:sz w:val="18"/>
                <w:szCs w:val="18"/>
              </w:rPr>
            </w:pPr>
            <w:r>
              <w:rPr>
                <w:rFonts w:hint="eastAsia" w:ascii="宋体" w:hAnsi="宋体" w:cs="宋体"/>
                <w:sz w:val="18"/>
                <w:szCs w:val="18"/>
              </w:rPr>
              <w:t>规章制度</w:t>
            </w:r>
          </w:p>
        </w:tc>
        <w:tc>
          <w:tcPr>
            <w:tcW w:w="4681" w:type="dxa"/>
            <w:vMerge w:val="restart"/>
            <w:tcBorders>
              <w:top w:val="single" w:color="auto" w:sz="4" w:space="0"/>
              <w:left w:val="single" w:color="auto" w:sz="4" w:space="0"/>
              <w:bottom w:val="single" w:color="auto" w:sz="4" w:space="0"/>
              <w:right w:val="single" w:color="auto" w:sz="4" w:space="0"/>
            </w:tcBorders>
            <w:vAlign w:val="center"/>
          </w:tcPr>
          <w:p>
            <w:pPr>
              <w:widowControl/>
              <w:spacing w:line="280" w:lineRule="exact"/>
              <w:jc w:val="left"/>
              <w:rPr>
                <w:rFonts w:ascii="宋体" w:hAnsi="宋体" w:cs="宋体"/>
                <w:sz w:val="18"/>
                <w:szCs w:val="18"/>
              </w:rPr>
            </w:pPr>
            <w:r>
              <w:rPr>
                <w:rFonts w:hint="eastAsia" w:ascii="宋体" w:hAnsi="宋体" w:cs="宋体"/>
                <w:sz w:val="18"/>
                <w:szCs w:val="18"/>
              </w:rPr>
              <w:t>建立、健全各项管理规章制度，包括学习培训制度、岗位责任制度、设备操作制度、事故处理报告制度、工作总结制度、工作大事记制度等；管理制度全部上墙明示；各项制度落实，执行效果好。</w:t>
            </w:r>
          </w:p>
        </w:tc>
        <w:tc>
          <w:tcPr>
            <w:tcW w:w="709" w:type="dxa"/>
            <w:vMerge w:val="restart"/>
            <w:tcBorders>
              <w:top w:val="single" w:color="auto" w:sz="4" w:space="0"/>
              <w:left w:val="single" w:color="auto" w:sz="4" w:space="0"/>
              <w:bottom w:val="single" w:color="auto" w:sz="4" w:space="0"/>
              <w:right w:val="single" w:color="auto" w:sz="4" w:space="0"/>
            </w:tcBorders>
            <w:vAlign w:val="center"/>
          </w:tcPr>
          <w:p>
            <w:pPr>
              <w:widowControl/>
              <w:spacing w:line="280" w:lineRule="exact"/>
              <w:jc w:val="center"/>
              <w:rPr>
                <w:rFonts w:ascii="宋体" w:hAnsi="宋体" w:cs="宋体"/>
                <w:sz w:val="18"/>
                <w:szCs w:val="18"/>
              </w:rPr>
            </w:pPr>
            <w:r>
              <w:rPr>
                <w:rFonts w:hint="eastAsia" w:ascii="宋体" w:hAnsi="宋体" w:cs="宋体"/>
                <w:sz w:val="18"/>
                <w:szCs w:val="18"/>
              </w:rPr>
              <w:t>25</w:t>
            </w:r>
          </w:p>
        </w:tc>
        <w:tc>
          <w:tcPr>
            <w:tcW w:w="5143" w:type="dxa"/>
            <w:tcBorders>
              <w:top w:val="single" w:color="auto" w:sz="4" w:space="0"/>
              <w:left w:val="nil"/>
              <w:bottom w:val="single" w:color="auto" w:sz="4" w:space="0"/>
              <w:right w:val="single" w:color="auto" w:sz="4" w:space="0"/>
            </w:tcBorders>
            <w:vAlign w:val="center"/>
          </w:tcPr>
          <w:p>
            <w:pPr>
              <w:widowControl/>
              <w:spacing w:line="280" w:lineRule="exact"/>
              <w:jc w:val="left"/>
              <w:rPr>
                <w:rFonts w:ascii="宋体" w:hAnsi="宋体" w:cs="宋体"/>
                <w:sz w:val="18"/>
                <w:szCs w:val="18"/>
              </w:rPr>
            </w:pPr>
            <w:bookmarkStart w:id="126" w:name="_Toc347328921"/>
            <w:r>
              <w:rPr>
                <w:rFonts w:hint="eastAsia" w:ascii="宋体" w:hAnsi="宋体" w:cs="宋体"/>
                <w:sz w:val="18"/>
                <w:szCs w:val="18"/>
              </w:rPr>
              <w:t>规章制度不健全，每缺1项扣2.5分；</w:t>
            </w:r>
            <w:bookmarkEnd w:id="126"/>
          </w:p>
        </w:tc>
        <w:tc>
          <w:tcPr>
            <w:tcW w:w="669" w:type="dxa"/>
            <w:tcBorders>
              <w:top w:val="single" w:color="auto" w:sz="4" w:space="0"/>
              <w:left w:val="nil"/>
              <w:bottom w:val="single" w:color="auto" w:sz="4" w:space="0"/>
              <w:right w:val="single" w:color="auto" w:sz="4" w:space="0"/>
            </w:tcBorders>
            <w:vAlign w:val="center"/>
          </w:tcPr>
          <w:p>
            <w:pPr>
              <w:widowControl/>
              <w:spacing w:line="280" w:lineRule="exact"/>
              <w:jc w:val="center"/>
              <w:rPr>
                <w:rFonts w:ascii="宋体" w:hAnsi="宋体" w:cs="宋体"/>
                <w:sz w:val="18"/>
                <w:szCs w:val="18"/>
              </w:rPr>
            </w:pPr>
            <w:r>
              <w:rPr>
                <w:rFonts w:hint="eastAsia" w:ascii="宋体" w:hAnsi="宋体" w:cs="宋体"/>
                <w:sz w:val="18"/>
                <w:szCs w:val="18"/>
              </w:rPr>
              <w:t>　</w:t>
            </w:r>
          </w:p>
        </w:tc>
        <w:tc>
          <w:tcPr>
            <w:tcW w:w="1134" w:type="dxa"/>
            <w:tcBorders>
              <w:top w:val="single" w:color="auto" w:sz="4" w:space="0"/>
              <w:left w:val="nil"/>
              <w:bottom w:val="single" w:color="auto" w:sz="4" w:space="0"/>
              <w:right w:val="single" w:color="auto" w:sz="4" w:space="0"/>
            </w:tcBorders>
            <w:vAlign w:val="center"/>
          </w:tcPr>
          <w:p>
            <w:pPr>
              <w:widowControl/>
              <w:spacing w:line="280" w:lineRule="exact"/>
              <w:jc w:val="center"/>
              <w:rPr>
                <w:rFonts w:ascii="宋体" w:hAnsi="宋体" w:cs="宋体"/>
                <w:sz w:val="18"/>
                <w:szCs w:val="18"/>
              </w:rPr>
            </w:pPr>
            <w:r>
              <w:rPr>
                <w:rFonts w:hint="eastAsia" w:ascii="宋体" w:hAnsi="宋体" w:cs="宋体"/>
                <w:sz w:val="18"/>
                <w:szCs w:val="18"/>
              </w:rPr>
              <w:t>　</w:t>
            </w:r>
          </w:p>
        </w:tc>
      </w:tr>
      <w:tr>
        <w:tblPrEx>
          <w:tblCellMar>
            <w:top w:w="0" w:type="dxa"/>
            <w:left w:w="108" w:type="dxa"/>
            <w:bottom w:w="0" w:type="dxa"/>
            <w:right w:w="108" w:type="dxa"/>
          </w:tblCellMar>
        </w:tblPrEx>
        <w:trPr>
          <w:trHeight w:val="261" w:hRule="atLeast"/>
        </w:trPr>
        <w:tc>
          <w:tcPr>
            <w:tcW w:w="1200"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80" w:lineRule="exact"/>
              <w:jc w:val="left"/>
              <w:rPr>
                <w:rFonts w:ascii="宋体" w:hAnsi="宋体" w:cs="宋体"/>
                <w:sz w:val="18"/>
                <w:szCs w:val="18"/>
              </w:rPr>
            </w:pPr>
          </w:p>
        </w:tc>
        <w:tc>
          <w:tcPr>
            <w:tcW w:w="1080"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80" w:lineRule="exact"/>
              <w:jc w:val="left"/>
              <w:rPr>
                <w:rFonts w:ascii="宋体" w:hAnsi="宋体" w:cs="宋体"/>
                <w:sz w:val="18"/>
                <w:szCs w:val="18"/>
              </w:rPr>
            </w:pPr>
          </w:p>
        </w:tc>
        <w:tc>
          <w:tcPr>
            <w:tcW w:w="4681"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80" w:lineRule="exact"/>
              <w:jc w:val="left"/>
              <w:rPr>
                <w:rFonts w:ascii="宋体" w:hAnsi="宋体" w:cs="宋体"/>
                <w:sz w:val="18"/>
                <w:szCs w:val="18"/>
              </w:rPr>
            </w:pPr>
          </w:p>
        </w:tc>
        <w:tc>
          <w:tcPr>
            <w:tcW w:w="709"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80" w:lineRule="exact"/>
              <w:jc w:val="left"/>
              <w:rPr>
                <w:rFonts w:ascii="宋体" w:hAnsi="宋体" w:cs="宋体"/>
                <w:sz w:val="18"/>
                <w:szCs w:val="18"/>
              </w:rPr>
            </w:pPr>
          </w:p>
        </w:tc>
        <w:tc>
          <w:tcPr>
            <w:tcW w:w="5143" w:type="dxa"/>
            <w:tcBorders>
              <w:top w:val="single" w:color="auto" w:sz="4" w:space="0"/>
              <w:left w:val="nil"/>
              <w:bottom w:val="single" w:color="auto" w:sz="4" w:space="0"/>
              <w:right w:val="single" w:color="auto" w:sz="4" w:space="0"/>
            </w:tcBorders>
            <w:vAlign w:val="center"/>
          </w:tcPr>
          <w:p>
            <w:pPr>
              <w:widowControl/>
              <w:spacing w:line="280" w:lineRule="exact"/>
              <w:jc w:val="left"/>
              <w:rPr>
                <w:rFonts w:ascii="宋体" w:hAnsi="宋体" w:cs="宋体"/>
                <w:sz w:val="18"/>
                <w:szCs w:val="18"/>
              </w:rPr>
            </w:pPr>
            <w:bookmarkStart w:id="127" w:name="_Toc347328922"/>
            <w:r>
              <w:rPr>
                <w:rFonts w:hint="eastAsia" w:ascii="宋体" w:hAnsi="宋体" w:cs="宋体"/>
                <w:sz w:val="18"/>
                <w:szCs w:val="18"/>
              </w:rPr>
              <w:t>管理制度未上墙明示，扣5分；</w:t>
            </w:r>
            <w:bookmarkEnd w:id="127"/>
          </w:p>
        </w:tc>
        <w:tc>
          <w:tcPr>
            <w:tcW w:w="669" w:type="dxa"/>
            <w:tcBorders>
              <w:top w:val="single" w:color="auto" w:sz="4" w:space="0"/>
              <w:left w:val="nil"/>
              <w:bottom w:val="single" w:color="auto" w:sz="4" w:space="0"/>
              <w:right w:val="single" w:color="auto" w:sz="4" w:space="0"/>
            </w:tcBorders>
            <w:vAlign w:val="center"/>
          </w:tcPr>
          <w:p>
            <w:pPr>
              <w:widowControl/>
              <w:spacing w:line="280" w:lineRule="exact"/>
              <w:jc w:val="center"/>
              <w:rPr>
                <w:rFonts w:ascii="宋体" w:hAnsi="宋体" w:cs="宋体"/>
                <w:sz w:val="18"/>
                <w:szCs w:val="18"/>
              </w:rPr>
            </w:pPr>
            <w:r>
              <w:rPr>
                <w:rFonts w:hint="eastAsia" w:ascii="宋体" w:hAnsi="宋体" w:cs="宋体"/>
                <w:sz w:val="18"/>
                <w:szCs w:val="18"/>
              </w:rPr>
              <w:t>　</w:t>
            </w:r>
          </w:p>
        </w:tc>
        <w:tc>
          <w:tcPr>
            <w:tcW w:w="1134" w:type="dxa"/>
            <w:tcBorders>
              <w:top w:val="single" w:color="auto" w:sz="4" w:space="0"/>
              <w:left w:val="nil"/>
              <w:bottom w:val="single" w:color="auto" w:sz="4" w:space="0"/>
              <w:right w:val="single" w:color="auto" w:sz="4" w:space="0"/>
            </w:tcBorders>
            <w:vAlign w:val="center"/>
          </w:tcPr>
          <w:p>
            <w:pPr>
              <w:widowControl/>
              <w:spacing w:line="280" w:lineRule="exact"/>
              <w:jc w:val="center"/>
              <w:rPr>
                <w:rFonts w:ascii="宋体" w:hAnsi="宋体" w:cs="宋体"/>
                <w:sz w:val="18"/>
                <w:szCs w:val="18"/>
              </w:rPr>
            </w:pPr>
            <w:r>
              <w:rPr>
                <w:rFonts w:hint="eastAsia" w:ascii="宋体" w:hAnsi="宋体" w:cs="宋体"/>
                <w:sz w:val="18"/>
                <w:szCs w:val="18"/>
              </w:rPr>
              <w:t>　</w:t>
            </w:r>
          </w:p>
        </w:tc>
      </w:tr>
      <w:tr>
        <w:tblPrEx>
          <w:tblCellMar>
            <w:top w:w="0" w:type="dxa"/>
            <w:left w:w="108" w:type="dxa"/>
            <w:bottom w:w="0" w:type="dxa"/>
            <w:right w:w="108" w:type="dxa"/>
          </w:tblCellMar>
        </w:tblPrEx>
        <w:trPr>
          <w:trHeight w:val="267" w:hRule="atLeast"/>
        </w:trPr>
        <w:tc>
          <w:tcPr>
            <w:tcW w:w="1200"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80" w:lineRule="exact"/>
              <w:jc w:val="left"/>
              <w:rPr>
                <w:rFonts w:ascii="宋体" w:hAnsi="宋体" w:cs="宋体"/>
                <w:sz w:val="18"/>
                <w:szCs w:val="18"/>
              </w:rPr>
            </w:pPr>
          </w:p>
        </w:tc>
        <w:tc>
          <w:tcPr>
            <w:tcW w:w="1080"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80" w:lineRule="exact"/>
              <w:jc w:val="left"/>
              <w:rPr>
                <w:rFonts w:ascii="宋体" w:hAnsi="宋体" w:cs="宋体"/>
                <w:sz w:val="18"/>
                <w:szCs w:val="18"/>
              </w:rPr>
            </w:pPr>
          </w:p>
        </w:tc>
        <w:tc>
          <w:tcPr>
            <w:tcW w:w="4681"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80" w:lineRule="exact"/>
              <w:jc w:val="left"/>
              <w:rPr>
                <w:rFonts w:ascii="宋体" w:hAnsi="宋体" w:cs="宋体"/>
                <w:sz w:val="18"/>
                <w:szCs w:val="18"/>
              </w:rPr>
            </w:pPr>
          </w:p>
        </w:tc>
        <w:tc>
          <w:tcPr>
            <w:tcW w:w="709"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80" w:lineRule="exact"/>
              <w:jc w:val="left"/>
              <w:rPr>
                <w:rFonts w:ascii="宋体" w:hAnsi="宋体" w:cs="宋体"/>
                <w:sz w:val="18"/>
                <w:szCs w:val="18"/>
              </w:rPr>
            </w:pPr>
          </w:p>
        </w:tc>
        <w:tc>
          <w:tcPr>
            <w:tcW w:w="5143" w:type="dxa"/>
            <w:tcBorders>
              <w:top w:val="single" w:color="auto" w:sz="4" w:space="0"/>
              <w:left w:val="nil"/>
              <w:bottom w:val="single" w:color="auto" w:sz="4" w:space="0"/>
              <w:right w:val="single" w:color="auto" w:sz="4" w:space="0"/>
            </w:tcBorders>
            <w:vAlign w:val="center"/>
          </w:tcPr>
          <w:p>
            <w:pPr>
              <w:widowControl/>
              <w:spacing w:line="280" w:lineRule="exact"/>
              <w:jc w:val="left"/>
              <w:rPr>
                <w:rFonts w:ascii="宋体" w:hAnsi="宋体" w:cs="宋体"/>
                <w:sz w:val="18"/>
                <w:szCs w:val="18"/>
              </w:rPr>
            </w:pPr>
            <w:bookmarkStart w:id="128" w:name="_Toc347328923"/>
            <w:r>
              <w:rPr>
                <w:rFonts w:hint="eastAsia" w:ascii="宋体" w:hAnsi="宋体" w:cs="宋体"/>
                <w:sz w:val="18"/>
                <w:szCs w:val="18"/>
              </w:rPr>
              <w:t>制度执行效果，扣5-10分；</w:t>
            </w:r>
            <w:bookmarkEnd w:id="128"/>
          </w:p>
        </w:tc>
        <w:tc>
          <w:tcPr>
            <w:tcW w:w="669" w:type="dxa"/>
            <w:tcBorders>
              <w:top w:val="single" w:color="auto" w:sz="4" w:space="0"/>
              <w:left w:val="nil"/>
              <w:bottom w:val="single" w:color="auto" w:sz="4" w:space="0"/>
              <w:right w:val="single" w:color="auto" w:sz="4" w:space="0"/>
            </w:tcBorders>
            <w:vAlign w:val="center"/>
          </w:tcPr>
          <w:p>
            <w:pPr>
              <w:widowControl/>
              <w:spacing w:line="280" w:lineRule="exact"/>
              <w:jc w:val="center"/>
              <w:rPr>
                <w:rFonts w:ascii="宋体" w:hAnsi="宋体" w:cs="宋体"/>
                <w:sz w:val="18"/>
                <w:szCs w:val="18"/>
              </w:rPr>
            </w:pPr>
            <w:r>
              <w:rPr>
                <w:rFonts w:hint="eastAsia" w:ascii="宋体" w:hAnsi="宋体" w:cs="宋体"/>
                <w:sz w:val="18"/>
                <w:szCs w:val="18"/>
              </w:rPr>
              <w:t>　</w:t>
            </w:r>
          </w:p>
        </w:tc>
        <w:tc>
          <w:tcPr>
            <w:tcW w:w="1134" w:type="dxa"/>
            <w:tcBorders>
              <w:top w:val="single" w:color="auto" w:sz="4" w:space="0"/>
              <w:left w:val="nil"/>
              <w:bottom w:val="single" w:color="auto" w:sz="4" w:space="0"/>
              <w:right w:val="single" w:color="auto" w:sz="4" w:space="0"/>
            </w:tcBorders>
            <w:vAlign w:val="center"/>
          </w:tcPr>
          <w:p>
            <w:pPr>
              <w:widowControl/>
              <w:spacing w:line="280" w:lineRule="exact"/>
              <w:jc w:val="center"/>
              <w:rPr>
                <w:rFonts w:ascii="宋体" w:hAnsi="宋体" w:cs="宋体"/>
                <w:sz w:val="18"/>
                <w:szCs w:val="18"/>
              </w:rPr>
            </w:pPr>
            <w:r>
              <w:rPr>
                <w:rFonts w:hint="eastAsia" w:ascii="宋体" w:hAnsi="宋体" w:cs="宋体"/>
                <w:sz w:val="18"/>
                <w:szCs w:val="18"/>
              </w:rPr>
              <w:t>　</w:t>
            </w:r>
          </w:p>
        </w:tc>
      </w:tr>
      <w:tr>
        <w:tblPrEx>
          <w:tblCellMar>
            <w:top w:w="0" w:type="dxa"/>
            <w:left w:w="108" w:type="dxa"/>
            <w:bottom w:w="0" w:type="dxa"/>
            <w:right w:w="108" w:type="dxa"/>
          </w:tblCellMar>
        </w:tblPrEx>
        <w:trPr>
          <w:trHeight w:val="186" w:hRule="atLeast"/>
        </w:trPr>
        <w:tc>
          <w:tcPr>
            <w:tcW w:w="1200"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80" w:lineRule="exact"/>
              <w:jc w:val="left"/>
              <w:rPr>
                <w:rFonts w:ascii="宋体" w:hAnsi="宋体" w:cs="宋体"/>
                <w:sz w:val="18"/>
                <w:szCs w:val="18"/>
              </w:rPr>
            </w:pPr>
          </w:p>
        </w:tc>
        <w:tc>
          <w:tcPr>
            <w:tcW w:w="1080" w:type="dxa"/>
            <w:vMerge w:val="restart"/>
            <w:tcBorders>
              <w:top w:val="single" w:color="auto" w:sz="4" w:space="0"/>
              <w:left w:val="single" w:color="auto" w:sz="4" w:space="0"/>
              <w:bottom w:val="single" w:color="auto" w:sz="4" w:space="0"/>
              <w:right w:val="single" w:color="auto" w:sz="4" w:space="0"/>
            </w:tcBorders>
            <w:vAlign w:val="center"/>
          </w:tcPr>
          <w:p>
            <w:pPr>
              <w:widowControl/>
              <w:spacing w:line="280" w:lineRule="exact"/>
              <w:jc w:val="center"/>
              <w:rPr>
                <w:rFonts w:ascii="宋体" w:hAnsi="宋体" w:cs="宋体"/>
                <w:sz w:val="18"/>
                <w:szCs w:val="18"/>
              </w:rPr>
            </w:pPr>
            <w:r>
              <w:rPr>
                <w:rFonts w:hint="eastAsia" w:ascii="宋体" w:hAnsi="宋体" w:cs="宋体"/>
                <w:sz w:val="18"/>
                <w:szCs w:val="18"/>
              </w:rPr>
              <w:t>档案管理</w:t>
            </w:r>
          </w:p>
        </w:tc>
        <w:tc>
          <w:tcPr>
            <w:tcW w:w="4681" w:type="dxa"/>
            <w:vMerge w:val="restart"/>
            <w:tcBorders>
              <w:top w:val="single" w:color="auto" w:sz="4" w:space="0"/>
              <w:left w:val="single" w:color="auto" w:sz="4" w:space="0"/>
              <w:bottom w:val="single" w:color="auto" w:sz="4" w:space="0"/>
              <w:right w:val="single" w:color="auto" w:sz="4" w:space="0"/>
            </w:tcBorders>
            <w:vAlign w:val="center"/>
          </w:tcPr>
          <w:p>
            <w:pPr>
              <w:widowControl/>
              <w:spacing w:line="280" w:lineRule="exact"/>
              <w:jc w:val="left"/>
              <w:rPr>
                <w:rFonts w:ascii="宋体" w:hAnsi="宋体" w:cs="宋体"/>
                <w:sz w:val="18"/>
                <w:szCs w:val="18"/>
              </w:rPr>
            </w:pPr>
            <w:r>
              <w:rPr>
                <w:rFonts w:hint="eastAsia" w:ascii="宋体" w:hAnsi="宋体" w:cs="宋体"/>
                <w:sz w:val="18"/>
                <w:szCs w:val="18"/>
              </w:rPr>
              <w:t>档案管理制度健全，档案保存完好；各类工程建档立卡，图表资料等规范齐全，分类清楚，存放有序；工程资料全部按时归档；</w:t>
            </w:r>
          </w:p>
        </w:tc>
        <w:tc>
          <w:tcPr>
            <w:tcW w:w="709" w:type="dxa"/>
            <w:vMerge w:val="restart"/>
            <w:tcBorders>
              <w:top w:val="single" w:color="auto" w:sz="4" w:space="0"/>
              <w:left w:val="single" w:color="auto" w:sz="4" w:space="0"/>
              <w:bottom w:val="single" w:color="auto" w:sz="4" w:space="0"/>
              <w:right w:val="single" w:color="auto" w:sz="4" w:space="0"/>
            </w:tcBorders>
            <w:vAlign w:val="center"/>
          </w:tcPr>
          <w:p>
            <w:pPr>
              <w:widowControl/>
              <w:spacing w:line="280" w:lineRule="exact"/>
              <w:jc w:val="center"/>
              <w:rPr>
                <w:rFonts w:ascii="宋体" w:hAnsi="宋体" w:cs="宋体"/>
                <w:sz w:val="18"/>
                <w:szCs w:val="18"/>
              </w:rPr>
            </w:pPr>
            <w:r>
              <w:rPr>
                <w:rFonts w:hint="eastAsia" w:ascii="宋体" w:hAnsi="宋体" w:cs="宋体"/>
                <w:sz w:val="18"/>
                <w:szCs w:val="18"/>
              </w:rPr>
              <w:t>25</w:t>
            </w:r>
          </w:p>
        </w:tc>
        <w:tc>
          <w:tcPr>
            <w:tcW w:w="5143" w:type="dxa"/>
            <w:tcBorders>
              <w:top w:val="single" w:color="auto" w:sz="4" w:space="0"/>
              <w:left w:val="nil"/>
              <w:bottom w:val="single" w:color="auto" w:sz="4" w:space="0"/>
              <w:right w:val="nil"/>
            </w:tcBorders>
            <w:vAlign w:val="center"/>
          </w:tcPr>
          <w:p>
            <w:pPr>
              <w:widowControl/>
              <w:spacing w:line="280" w:lineRule="exact"/>
              <w:jc w:val="left"/>
              <w:rPr>
                <w:rFonts w:ascii="宋体" w:hAnsi="宋体" w:cs="宋体"/>
                <w:sz w:val="18"/>
                <w:szCs w:val="18"/>
              </w:rPr>
            </w:pPr>
            <w:bookmarkStart w:id="129" w:name="_Toc347328927"/>
            <w:r>
              <w:rPr>
                <w:rFonts w:hint="eastAsia" w:ascii="宋体" w:hAnsi="宋体" w:cs="宋体"/>
                <w:sz w:val="18"/>
                <w:szCs w:val="18"/>
              </w:rPr>
              <w:t>未建立档案，此项不得分；</w:t>
            </w:r>
            <w:bookmarkEnd w:id="129"/>
          </w:p>
        </w:tc>
        <w:tc>
          <w:tcPr>
            <w:tcW w:w="669" w:type="dxa"/>
            <w:tcBorders>
              <w:top w:val="single" w:color="auto" w:sz="4" w:space="0"/>
              <w:left w:val="single" w:color="auto" w:sz="4" w:space="0"/>
              <w:bottom w:val="single" w:color="auto" w:sz="4" w:space="0"/>
              <w:right w:val="single" w:color="auto" w:sz="4" w:space="0"/>
            </w:tcBorders>
            <w:vAlign w:val="center"/>
          </w:tcPr>
          <w:p>
            <w:pPr>
              <w:widowControl/>
              <w:spacing w:line="280" w:lineRule="exact"/>
              <w:jc w:val="center"/>
              <w:rPr>
                <w:rFonts w:ascii="宋体" w:hAnsi="宋体" w:cs="宋体"/>
                <w:sz w:val="18"/>
                <w:szCs w:val="18"/>
              </w:rPr>
            </w:pPr>
            <w:r>
              <w:rPr>
                <w:rFonts w:hint="eastAsia" w:ascii="宋体" w:hAnsi="宋体" w:cs="宋体"/>
                <w:sz w:val="18"/>
                <w:szCs w:val="18"/>
              </w:rPr>
              <w:t>　</w:t>
            </w:r>
          </w:p>
        </w:tc>
        <w:tc>
          <w:tcPr>
            <w:tcW w:w="1134" w:type="dxa"/>
            <w:tcBorders>
              <w:top w:val="single" w:color="auto" w:sz="4" w:space="0"/>
              <w:left w:val="nil"/>
              <w:bottom w:val="single" w:color="auto" w:sz="4" w:space="0"/>
              <w:right w:val="single" w:color="auto" w:sz="4" w:space="0"/>
            </w:tcBorders>
            <w:vAlign w:val="center"/>
          </w:tcPr>
          <w:p>
            <w:pPr>
              <w:widowControl/>
              <w:spacing w:line="280" w:lineRule="exact"/>
              <w:jc w:val="center"/>
              <w:rPr>
                <w:rFonts w:ascii="宋体" w:hAnsi="宋体" w:cs="宋体"/>
                <w:sz w:val="18"/>
                <w:szCs w:val="18"/>
              </w:rPr>
            </w:pPr>
            <w:r>
              <w:rPr>
                <w:rFonts w:hint="eastAsia" w:ascii="宋体" w:hAnsi="宋体" w:cs="宋体"/>
                <w:sz w:val="18"/>
                <w:szCs w:val="18"/>
              </w:rPr>
              <w:t>　</w:t>
            </w:r>
          </w:p>
        </w:tc>
      </w:tr>
      <w:tr>
        <w:tblPrEx>
          <w:tblCellMar>
            <w:top w:w="0" w:type="dxa"/>
            <w:left w:w="108" w:type="dxa"/>
            <w:bottom w:w="0" w:type="dxa"/>
            <w:right w:w="108" w:type="dxa"/>
          </w:tblCellMar>
        </w:tblPrEx>
        <w:trPr>
          <w:trHeight w:val="189" w:hRule="atLeast"/>
        </w:trPr>
        <w:tc>
          <w:tcPr>
            <w:tcW w:w="1200"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80" w:lineRule="exact"/>
              <w:jc w:val="left"/>
              <w:rPr>
                <w:rFonts w:ascii="宋体" w:hAnsi="宋体" w:cs="宋体"/>
                <w:sz w:val="18"/>
                <w:szCs w:val="18"/>
              </w:rPr>
            </w:pPr>
          </w:p>
        </w:tc>
        <w:tc>
          <w:tcPr>
            <w:tcW w:w="1080"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80" w:lineRule="exact"/>
              <w:jc w:val="left"/>
              <w:rPr>
                <w:rFonts w:ascii="宋体" w:hAnsi="宋体" w:cs="宋体"/>
                <w:sz w:val="18"/>
                <w:szCs w:val="18"/>
              </w:rPr>
            </w:pPr>
          </w:p>
        </w:tc>
        <w:tc>
          <w:tcPr>
            <w:tcW w:w="4681"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80" w:lineRule="exact"/>
              <w:jc w:val="left"/>
              <w:rPr>
                <w:rFonts w:ascii="宋体" w:hAnsi="宋体" w:cs="宋体"/>
                <w:sz w:val="18"/>
                <w:szCs w:val="18"/>
              </w:rPr>
            </w:pPr>
          </w:p>
        </w:tc>
        <w:tc>
          <w:tcPr>
            <w:tcW w:w="709"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80" w:lineRule="exact"/>
              <w:jc w:val="left"/>
              <w:rPr>
                <w:rFonts w:ascii="宋体" w:hAnsi="宋体" w:cs="宋体"/>
                <w:sz w:val="18"/>
                <w:szCs w:val="18"/>
              </w:rPr>
            </w:pPr>
          </w:p>
        </w:tc>
        <w:tc>
          <w:tcPr>
            <w:tcW w:w="5143" w:type="dxa"/>
            <w:tcBorders>
              <w:top w:val="single" w:color="auto" w:sz="4" w:space="0"/>
              <w:left w:val="nil"/>
              <w:bottom w:val="single" w:color="auto" w:sz="4" w:space="0"/>
              <w:right w:val="single" w:color="auto" w:sz="4" w:space="0"/>
            </w:tcBorders>
            <w:vAlign w:val="center"/>
          </w:tcPr>
          <w:p>
            <w:pPr>
              <w:widowControl/>
              <w:spacing w:line="280" w:lineRule="exact"/>
              <w:jc w:val="left"/>
              <w:rPr>
                <w:rFonts w:ascii="宋体" w:hAnsi="宋体" w:cs="宋体"/>
                <w:sz w:val="18"/>
                <w:szCs w:val="18"/>
              </w:rPr>
            </w:pPr>
            <w:bookmarkStart w:id="130" w:name="_Toc347328928"/>
            <w:r>
              <w:rPr>
                <w:rFonts w:hint="eastAsia" w:ascii="宋体" w:hAnsi="宋体" w:cs="宋体"/>
                <w:sz w:val="18"/>
                <w:szCs w:val="18"/>
              </w:rPr>
              <w:t>档案管理制度不健全，档案保存不完整，扣5-10分；</w:t>
            </w:r>
            <w:bookmarkEnd w:id="130"/>
          </w:p>
        </w:tc>
        <w:tc>
          <w:tcPr>
            <w:tcW w:w="669" w:type="dxa"/>
            <w:tcBorders>
              <w:top w:val="single" w:color="auto" w:sz="4" w:space="0"/>
              <w:left w:val="nil"/>
              <w:bottom w:val="single" w:color="auto" w:sz="4" w:space="0"/>
              <w:right w:val="single" w:color="auto" w:sz="4" w:space="0"/>
            </w:tcBorders>
            <w:vAlign w:val="center"/>
          </w:tcPr>
          <w:p>
            <w:pPr>
              <w:widowControl/>
              <w:spacing w:line="280" w:lineRule="exact"/>
              <w:jc w:val="center"/>
              <w:rPr>
                <w:rFonts w:ascii="宋体" w:hAnsi="宋体" w:cs="宋体"/>
                <w:sz w:val="18"/>
                <w:szCs w:val="18"/>
              </w:rPr>
            </w:pPr>
            <w:r>
              <w:rPr>
                <w:rFonts w:hint="eastAsia" w:ascii="宋体" w:hAnsi="宋体" w:cs="宋体"/>
                <w:sz w:val="18"/>
                <w:szCs w:val="18"/>
              </w:rPr>
              <w:t>　</w:t>
            </w:r>
          </w:p>
        </w:tc>
        <w:tc>
          <w:tcPr>
            <w:tcW w:w="1134" w:type="dxa"/>
            <w:tcBorders>
              <w:top w:val="single" w:color="auto" w:sz="4" w:space="0"/>
              <w:left w:val="nil"/>
              <w:bottom w:val="single" w:color="auto" w:sz="4" w:space="0"/>
              <w:right w:val="single" w:color="auto" w:sz="4" w:space="0"/>
            </w:tcBorders>
            <w:vAlign w:val="center"/>
          </w:tcPr>
          <w:p>
            <w:pPr>
              <w:widowControl/>
              <w:spacing w:line="280" w:lineRule="exact"/>
              <w:jc w:val="center"/>
              <w:rPr>
                <w:rFonts w:ascii="宋体" w:hAnsi="宋体" w:cs="宋体"/>
                <w:sz w:val="18"/>
                <w:szCs w:val="18"/>
              </w:rPr>
            </w:pPr>
            <w:r>
              <w:rPr>
                <w:rFonts w:hint="eastAsia" w:ascii="宋体" w:hAnsi="宋体" w:cs="宋体"/>
                <w:sz w:val="18"/>
                <w:szCs w:val="18"/>
              </w:rPr>
              <w:t>　</w:t>
            </w:r>
          </w:p>
        </w:tc>
      </w:tr>
      <w:tr>
        <w:tblPrEx>
          <w:tblCellMar>
            <w:top w:w="0" w:type="dxa"/>
            <w:left w:w="108" w:type="dxa"/>
            <w:bottom w:w="0" w:type="dxa"/>
            <w:right w:w="108" w:type="dxa"/>
          </w:tblCellMar>
        </w:tblPrEx>
        <w:trPr>
          <w:trHeight w:val="257" w:hRule="atLeast"/>
        </w:trPr>
        <w:tc>
          <w:tcPr>
            <w:tcW w:w="1200"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80" w:lineRule="exact"/>
              <w:jc w:val="left"/>
              <w:rPr>
                <w:rFonts w:ascii="宋体" w:hAnsi="宋体" w:cs="宋体"/>
                <w:sz w:val="18"/>
                <w:szCs w:val="18"/>
              </w:rPr>
            </w:pPr>
          </w:p>
        </w:tc>
        <w:tc>
          <w:tcPr>
            <w:tcW w:w="1080"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80" w:lineRule="exact"/>
              <w:jc w:val="left"/>
              <w:rPr>
                <w:rFonts w:ascii="宋体" w:hAnsi="宋体" w:cs="宋体"/>
                <w:sz w:val="18"/>
                <w:szCs w:val="18"/>
              </w:rPr>
            </w:pPr>
          </w:p>
        </w:tc>
        <w:tc>
          <w:tcPr>
            <w:tcW w:w="4681"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80" w:lineRule="exact"/>
              <w:jc w:val="left"/>
              <w:rPr>
                <w:rFonts w:ascii="宋体" w:hAnsi="宋体" w:cs="宋体"/>
                <w:sz w:val="18"/>
                <w:szCs w:val="18"/>
              </w:rPr>
            </w:pPr>
          </w:p>
        </w:tc>
        <w:tc>
          <w:tcPr>
            <w:tcW w:w="709"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80" w:lineRule="exact"/>
              <w:jc w:val="left"/>
              <w:rPr>
                <w:rFonts w:ascii="宋体" w:hAnsi="宋体" w:cs="宋体"/>
                <w:sz w:val="18"/>
                <w:szCs w:val="18"/>
              </w:rPr>
            </w:pPr>
          </w:p>
        </w:tc>
        <w:tc>
          <w:tcPr>
            <w:tcW w:w="5143" w:type="dxa"/>
            <w:tcBorders>
              <w:top w:val="single" w:color="auto" w:sz="4" w:space="0"/>
              <w:left w:val="nil"/>
              <w:bottom w:val="single" w:color="auto" w:sz="4" w:space="0"/>
              <w:right w:val="single" w:color="auto" w:sz="4" w:space="0"/>
            </w:tcBorders>
            <w:vAlign w:val="center"/>
          </w:tcPr>
          <w:p>
            <w:pPr>
              <w:widowControl/>
              <w:spacing w:line="280" w:lineRule="exact"/>
              <w:jc w:val="left"/>
              <w:rPr>
                <w:rFonts w:ascii="宋体" w:hAnsi="宋体" w:cs="宋体"/>
                <w:sz w:val="18"/>
                <w:szCs w:val="18"/>
              </w:rPr>
            </w:pPr>
            <w:bookmarkStart w:id="131" w:name="_Toc347328929"/>
            <w:r>
              <w:rPr>
                <w:rFonts w:hint="eastAsia" w:ascii="宋体" w:hAnsi="宋体" w:cs="宋体"/>
                <w:sz w:val="18"/>
                <w:szCs w:val="18"/>
              </w:rPr>
              <w:t>工程技术档案分类不清楚、存放杂乱，扣5-10分；</w:t>
            </w:r>
            <w:bookmarkEnd w:id="131"/>
          </w:p>
        </w:tc>
        <w:tc>
          <w:tcPr>
            <w:tcW w:w="669" w:type="dxa"/>
            <w:tcBorders>
              <w:top w:val="single" w:color="auto" w:sz="4" w:space="0"/>
              <w:left w:val="nil"/>
              <w:bottom w:val="single" w:color="auto" w:sz="4" w:space="0"/>
              <w:right w:val="single" w:color="auto" w:sz="4" w:space="0"/>
            </w:tcBorders>
            <w:vAlign w:val="center"/>
          </w:tcPr>
          <w:p>
            <w:pPr>
              <w:widowControl/>
              <w:spacing w:line="280" w:lineRule="exact"/>
              <w:jc w:val="center"/>
              <w:rPr>
                <w:rFonts w:ascii="宋体" w:hAnsi="宋体" w:cs="宋体"/>
                <w:sz w:val="18"/>
                <w:szCs w:val="18"/>
              </w:rPr>
            </w:pPr>
            <w:r>
              <w:rPr>
                <w:rFonts w:hint="eastAsia" w:ascii="宋体" w:hAnsi="宋体" w:cs="宋体"/>
                <w:sz w:val="18"/>
                <w:szCs w:val="18"/>
              </w:rPr>
              <w:t>　</w:t>
            </w:r>
          </w:p>
        </w:tc>
        <w:tc>
          <w:tcPr>
            <w:tcW w:w="1134" w:type="dxa"/>
            <w:tcBorders>
              <w:top w:val="single" w:color="auto" w:sz="4" w:space="0"/>
              <w:left w:val="nil"/>
              <w:bottom w:val="single" w:color="auto" w:sz="4" w:space="0"/>
              <w:right w:val="single" w:color="auto" w:sz="4" w:space="0"/>
            </w:tcBorders>
            <w:vAlign w:val="center"/>
          </w:tcPr>
          <w:p>
            <w:pPr>
              <w:widowControl/>
              <w:spacing w:line="280" w:lineRule="exact"/>
              <w:jc w:val="center"/>
              <w:rPr>
                <w:rFonts w:ascii="宋体" w:hAnsi="宋体" w:cs="宋体"/>
                <w:sz w:val="18"/>
                <w:szCs w:val="18"/>
              </w:rPr>
            </w:pPr>
            <w:r>
              <w:rPr>
                <w:rFonts w:hint="eastAsia" w:ascii="宋体" w:hAnsi="宋体" w:cs="宋体"/>
                <w:sz w:val="18"/>
                <w:szCs w:val="18"/>
              </w:rPr>
              <w:t>　</w:t>
            </w:r>
          </w:p>
        </w:tc>
      </w:tr>
      <w:tr>
        <w:tblPrEx>
          <w:tblCellMar>
            <w:top w:w="0" w:type="dxa"/>
            <w:left w:w="108" w:type="dxa"/>
            <w:bottom w:w="0" w:type="dxa"/>
            <w:right w:w="108" w:type="dxa"/>
          </w:tblCellMar>
        </w:tblPrEx>
        <w:trPr>
          <w:trHeight w:val="305" w:hRule="atLeast"/>
        </w:trPr>
        <w:tc>
          <w:tcPr>
            <w:tcW w:w="1200"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80" w:lineRule="exact"/>
              <w:jc w:val="left"/>
              <w:rPr>
                <w:rFonts w:ascii="宋体" w:hAnsi="宋体" w:cs="宋体"/>
                <w:sz w:val="18"/>
                <w:szCs w:val="18"/>
              </w:rPr>
            </w:pPr>
          </w:p>
        </w:tc>
        <w:tc>
          <w:tcPr>
            <w:tcW w:w="1080"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80" w:lineRule="exact"/>
              <w:jc w:val="left"/>
              <w:rPr>
                <w:rFonts w:ascii="宋体" w:hAnsi="宋体" w:cs="宋体"/>
                <w:sz w:val="18"/>
                <w:szCs w:val="18"/>
              </w:rPr>
            </w:pPr>
          </w:p>
        </w:tc>
        <w:tc>
          <w:tcPr>
            <w:tcW w:w="4681"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80" w:lineRule="exact"/>
              <w:jc w:val="left"/>
              <w:rPr>
                <w:rFonts w:ascii="宋体" w:hAnsi="宋体" w:cs="宋体"/>
                <w:sz w:val="18"/>
                <w:szCs w:val="18"/>
              </w:rPr>
            </w:pPr>
          </w:p>
        </w:tc>
        <w:tc>
          <w:tcPr>
            <w:tcW w:w="709"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80" w:lineRule="exact"/>
              <w:jc w:val="left"/>
              <w:rPr>
                <w:rFonts w:ascii="宋体" w:hAnsi="宋体" w:cs="宋体"/>
                <w:sz w:val="18"/>
                <w:szCs w:val="18"/>
              </w:rPr>
            </w:pPr>
          </w:p>
        </w:tc>
        <w:tc>
          <w:tcPr>
            <w:tcW w:w="5143" w:type="dxa"/>
            <w:tcBorders>
              <w:top w:val="single" w:color="auto" w:sz="4" w:space="0"/>
              <w:left w:val="nil"/>
              <w:bottom w:val="single" w:color="auto" w:sz="4" w:space="0"/>
              <w:right w:val="single" w:color="auto" w:sz="4" w:space="0"/>
            </w:tcBorders>
            <w:vAlign w:val="center"/>
          </w:tcPr>
          <w:p>
            <w:pPr>
              <w:widowControl/>
              <w:spacing w:line="280" w:lineRule="exact"/>
              <w:jc w:val="left"/>
              <w:rPr>
                <w:rFonts w:ascii="宋体" w:hAnsi="宋体" w:cs="宋体"/>
                <w:sz w:val="18"/>
                <w:szCs w:val="18"/>
              </w:rPr>
            </w:pPr>
            <w:bookmarkStart w:id="132" w:name="_Toc347328930"/>
            <w:r>
              <w:rPr>
                <w:rFonts w:hint="eastAsia" w:ascii="宋体" w:hAnsi="宋体" w:cs="宋体"/>
                <w:sz w:val="18"/>
                <w:szCs w:val="18"/>
              </w:rPr>
              <w:t>工程资料不按时归档，扣5分；</w:t>
            </w:r>
            <w:bookmarkEnd w:id="132"/>
          </w:p>
        </w:tc>
        <w:tc>
          <w:tcPr>
            <w:tcW w:w="669" w:type="dxa"/>
            <w:tcBorders>
              <w:top w:val="single" w:color="auto" w:sz="4" w:space="0"/>
              <w:left w:val="nil"/>
              <w:bottom w:val="single" w:color="auto" w:sz="4" w:space="0"/>
              <w:right w:val="single" w:color="auto" w:sz="4" w:space="0"/>
            </w:tcBorders>
            <w:vAlign w:val="center"/>
          </w:tcPr>
          <w:p>
            <w:pPr>
              <w:widowControl/>
              <w:spacing w:line="280" w:lineRule="exact"/>
              <w:jc w:val="center"/>
              <w:rPr>
                <w:rFonts w:ascii="宋体" w:hAnsi="宋体" w:cs="宋体"/>
                <w:sz w:val="18"/>
                <w:szCs w:val="18"/>
              </w:rPr>
            </w:pPr>
            <w:r>
              <w:rPr>
                <w:rFonts w:hint="eastAsia" w:ascii="宋体" w:hAnsi="宋体" w:cs="宋体"/>
                <w:sz w:val="18"/>
                <w:szCs w:val="18"/>
              </w:rPr>
              <w:t>　</w:t>
            </w:r>
          </w:p>
        </w:tc>
        <w:tc>
          <w:tcPr>
            <w:tcW w:w="1134" w:type="dxa"/>
            <w:tcBorders>
              <w:top w:val="single" w:color="auto" w:sz="4" w:space="0"/>
              <w:left w:val="nil"/>
              <w:bottom w:val="single" w:color="auto" w:sz="4" w:space="0"/>
              <w:right w:val="single" w:color="auto" w:sz="4" w:space="0"/>
            </w:tcBorders>
            <w:vAlign w:val="center"/>
          </w:tcPr>
          <w:p>
            <w:pPr>
              <w:widowControl/>
              <w:spacing w:line="280" w:lineRule="exact"/>
              <w:jc w:val="center"/>
              <w:rPr>
                <w:rFonts w:ascii="宋体" w:hAnsi="宋体" w:cs="宋体"/>
                <w:sz w:val="18"/>
                <w:szCs w:val="18"/>
              </w:rPr>
            </w:pPr>
            <w:r>
              <w:rPr>
                <w:rFonts w:hint="eastAsia" w:ascii="宋体" w:hAnsi="宋体" w:cs="宋体"/>
                <w:sz w:val="18"/>
                <w:szCs w:val="18"/>
              </w:rPr>
              <w:t>　</w:t>
            </w:r>
          </w:p>
        </w:tc>
      </w:tr>
      <w:tr>
        <w:tblPrEx>
          <w:tblCellMar>
            <w:top w:w="0" w:type="dxa"/>
            <w:left w:w="108" w:type="dxa"/>
            <w:bottom w:w="0" w:type="dxa"/>
            <w:right w:w="108" w:type="dxa"/>
          </w:tblCellMar>
        </w:tblPrEx>
        <w:trPr>
          <w:trHeight w:val="217" w:hRule="atLeast"/>
        </w:trPr>
        <w:tc>
          <w:tcPr>
            <w:tcW w:w="1200"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80" w:lineRule="exact"/>
              <w:jc w:val="left"/>
              <w:rPr>
                <w:rFonts w:ascii="宋体" w:hAnsi="宋体" w:cs="宋体"/>
                <w:sz w:val="18"/>
                <w:szCs w:val="18"/>
              </w:rPr>
            </w:pPr>
          </w:p>
        </w:tc>
        <w:tc>
          <w:tcPr>
            <w:tcW w:w="1080" w:type="dxa"/>
            <w:vMerge w:val="restart"/>
            <w:tcBorders>
              <w:top w:val="single" w:color="auto" w:sz="4" w:space="0"/>
              <w:left w:val="single" w:color="auto" w:sz="4" w:space="0"/>
              <w:bottom w:val="single" w:color="auto" w:sz="4" w:space="0"/>
              <w:right w:val="single" w:color="auto" w:sz="4" w:space="0"/>
            </w:tcBorders>
            <w:vAlign w:val="center"/>
          </w:tcPr>
          <w:p>
            <w:pPr>
              <w:widowControl/>
              <w:spacing w:line="280" w:lineRule="exact"/>
              <w:jc w:val="center"/>
              <w:rPr>
                <w:rFonts w:ascii="宋体" w:hAnsi="宋体" w:cs="宋体"/>
                <w:sz w:val="18"/>
                <w:szCs w:val="18"/>
              </w:rPr>
            </w:pPr>
            <w:r>
              <w:rPr>
                <w:rFonts w:hint="eastAsia" w:ascii="宋体" w:hAnsi="宋体" w:cs="宋体"/>
                <w:sz w:val="18"/>
                <w:szCs w:val="18"/>
              </w:rPr>
              <w:t>精神文明</w:t>
            </w:r>
          </w:p>
        </w:tc>
        <w:tc>
          <w:tcPr>
            <w:tcW w:w="4681" w:type="dxa"/>
            <w:vMerge w:val="restart"/>
            <w:tcBorders>
              <w:top w:val="single" w:color="auto" w:sz="4" w:space="0"/>
              <w:left w:val="single" w:color="auto" w:sz="4" w:space="0"/>
              <w:bottom w:val="single" w:color="auto" w:sz="4" w:space="0"/>
              <w:right w:val="single" w:color="auto" w:sz="4" w:space="0"/>
            </w:tcBorders>
            <w:vAlign w:val="center"/>
          </w:tcPr>
          <w:p>
            <w:pPr>
              <w:widowControl/>
              <w:spacing w:line="280" w:lineRule="exact"/>
              <w:jc w:val="left"/>
              <w:rPr>
                <w:rFonts w:ascii="宋体" w:hAnsi="宋体" w:cs="宋体"/>
                <w:sz w:val="18"/>
                <w:szCs w:val="18"/>
              </w:rPr>
            </w:pPr>
            <w:r>
              <w:rPr>
                <w:rFonts w:hint="eastAsia" w:ascii="宋体" w:hAnsi="宋体" w:cs="宋体"/>
                <w:sz w:val="18"/>
                <w:szCs w:val="18"/>
              </w:rPr>
              <w:t>管理人员爱岗敬业；生产及管理用房及配套设施保持完好；生产及管理房外部美观，内部管理整洁有序；泥浆脱水固化处理中心周围环境优美整洁；宣传栏干净整洁，宣传资料齐整。</w:t>
            </w:r>
          </w:p>
        </w:tc>
        <w:tc>
          <w:tcPr>
            <w:tcW w:w="709" w:type="dxa"/>
            <w:vMerge w:val="restart"/>
            <w:tcBorders>
              <w:top w:val="single" w:color="auto" w:sz="4" w:space="0"/>
              <w:left w:val="single" w:color="auto" w:sz="4" w:space="0"/>
              <w:bottom w:val="single" w:color="auto" w:sz="4" w:space="0"/>
              <w:right w:val="single" w:color="auto" w:sz="4" w:space="0"/>
            </w:tcBorders>
            <w:vAlign w:val="center"/>
          </w:tcPr>
          <w:p>
            <w:pPr>
              <w:widowControl/>
              <w:spacing w:line="280" w:lineRule="exact"/>
              <w:jc w:val="center"/>
              <w:rPr>
                <w:rFonts w:ascii="宋体" w:hAnsi="宋体" w:cs="宋体"/>
                <w:sz w:val="18"/>
                <w:szCs w:val="18"/>
              </w:rPr>
            </w:pPr>
            <w:r>
              <w:rPr>
                <w:rFonts w:hint="eastAsia" w:ascii="宋体" w:hAnsi="宋体" w:cs="宋体"/>
                <w:sz w:val="18"/>
                <w:szCs w:val="18"/>
              </w:rPr>
              <w:t>25</w:t>
            </w:r>
          </w:p>
        </w:tc>
        <w:tc>
          <w:tcPr>
            <w:tcW w:w="5143" w:type="dxa"/>
            <w:tcBorders>
              <w:top w:val="single" w:color="auto" w:sz="4" w:space="0"/>
              <w:left w:val="nil"/>
              <w:bottom w:val="single" w:color="auto" w:sz="4" w:space="0"/>
              <w:right w:val="single" w:color="auto" w:sz="4" w:space="0"/>
            </w:tcBorders>
            <w:vAlign w:val="center"/>
          </w:tcPr>
          <w:p>
            <w:pPr>
              <w:widowControl/>
              <w:spacing w:line="280" w:lineRule="exact"/>
              <w:jc w:val="left"/>
              <w:rPr>
                <w:rFonts w:ascii="宋体" w:hAnsi="宋体" w:cs="宋体"/>
                <w:sz w:val="18"/>
                <w:szCs w:val="18"/>
              </w:rPr>
            </w:pPr>
            <w:bookmarkStart w:id="133" w:name="_Toc347328934"/>
            <w:r>
              <w:rPr>
                <w:rFonts w:hint="eastAsia" w:ascii="宋体" w:hAnsi="宋体" w:cs="宋体"/>
                <w:sz w:val="18"/>
                <w:szCs w:val="18"/>
              </w:rPr>
              <w:t>管理人员态度不认真，工作不负责，扣5分；</w:t>
            </w:r>
            <w:bookmarkEnd w:id="133"/>
          </w:p>
        </w:tc>
        <w:tc>
          <w:tcPr>
            <w:tcW w:w="669" w:type="dxa"/>
            <w:tcBorders>
              <w:top w:val="single" w:color="auto" w:sz="4" w:space="0"/>
              <w:left w:val="nil"/>
              <w:bottom w:val="single" w:color="auto" w:sz="4" w:space="0"/>
              <w:right w:val="single" w:color="auto" w:sz="4" w:space="0"/>
            </w:tcBorders>
            <w:vAlign w:val="center"/>
          </w:tcPr>
          <w:p>
            <w:pPr>
              <w:widowControl/>
              <w:spacing w:line="280" w:lineRule="exact"/>
              <w:jc w:val="center"/>
              <w:rPr>
                <w:rFonts w:ascii="宋体" w:hAnsi="宋体" w:cs="宋体"/>
                <w:sz w:val="18"/>
                <w:szCs w:val="18"/>
              </w:rPr>
            </w:pPr>
            <w:r>
              <w:rPr>
                <w:rFonts w:hint="eastAsia" w:ascii="宋体" w:hAnsi="宋体" w:cs="宋体"/>
                <w:sz w:val="18"/>
                <w:szCs w:val="18"/>
              </w:rPr>
              <w:t>　</w:t>
            </w:r>
          </w:p>
        </w:tc>
        <w:tc>
          <w:tcPr>
            <w:tcW w:w="1134" w:type="dxa"/>
            <w:tcBorders>
              <w:top w:val="single" w:color="auto" w:sz="4" w:space="0"/>
              <w:left w:val="nil"/>
              <w:bottom w:val="single" w:color="auto" w:sz="4" w:space="0"/>
              <w:right w:val="single" w:color="auto" w:sz="4" w:space="0"/>
            </w:tcBorders>
            <w:vAlign w:val="center"/>
          </w:tcPr>
          <w:p>
            <w:pPr>
              <w:widowControl/>
              <w:spacing w:line="280" w:lineRule="exact"/>
              <w:jc w:val="center"/>
              <w:rPr>
                <w:rFonts w:ascii="宋体" w:hAnsi="宋体" w:cs="宋体"/>
                <w:sz w:val="18"/>
                <w:szCs w:val="18"/>
              </w:rPr>
            </w:pPr>
            <w:r>
              <w:rPr>
                <w:rFonts w:hint="eastAsia" w:ascii="宋体" w:hAnsi="宋体" w:cs="宋体"/>
                <w:sz w:val="18"/>
                <w:szCs w:val="18"/>
              </w:rPr>
              <w:t>　</w:t>
            </w:r>
          </w:p>
        </w:tc>
      </w:tr>
      <w:tr>
        <w:tblPrEx>
          <w:tblCellMar>
            <w:top w:w="0" w:type="dxa"/>
            <w:left w:w="108" w:type="dxa"/>
            <w:bottom w:w="0" w:type="dxa"/>
            <w:right w:w="108" w:type="dxa"/>
          </w:tblCellMar>
        </w:tblPrEx>
        <w:trPr>
          <w:trHeight w:val="300" w:hRule="atLeast"/>
        </w:trPr>
        <w:tc>
          <w:tcPr>
            <w:tcW w:w="1200"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80" w:lineRule="exact"/>
              <w:jc w:val="left"/>
              <w:rPr>
                <w:rFonts w:ascii="宋体" w:hAnsi="宋体" w:cs="宋体"/>
                <w:sz w:val="18"/>
                <w:szCs w:val="18"/>
              </w:rPr>
            </w:pPr>
          </w:p>
        </w:tc>
        <w:tc>
          <w:tcPr>
            <w:tcW w:w="1080"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80" w:lineRule="exact"/>
              <w:jc w:val="left"/>
              <w:rPr>
                <w:rFonts w:ascii="宋体" w:hAnsi="宋体" w:cs="宋体"/>
                <w:sz w:val="18"/>
                <w:szCs w:val="18"/>
              </w:rPr>
            </w:pPr>
          </w:p>
        </w:tc>
        <w:tc>
          <w:tcPr>
            <w:tcW w:w="4681"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80" w:lineRule="exact"/>
              <w:jc w:val="left"/>
              <w:rPr>
                <w:rFonts w:ascii="宋体" w:hAnsi="宋体" w:cs="宋体"/>
                <w:sz w:val="18"/>
                <w:szCs w:val="18"/>
              </w:rPr>
            </w:pPr>
          </w:p>
        </w:tc>
        <w:tc>
          <w:tcPr>
            <w:tcW w:w="709"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80" w:lineRule="exact"/>
              <w:jc w:val="left"/>
              <w:rPr>
                <w:rFonts w:ascii="宋体" w:hAnsi="宋体" w:cs="宋体"/>
                <w:sz w:val="18"/>
                <w:szCs w:val="18"/>
              </w:rPr>
            </w:pPr>
          </w:p>
        </w:tc>
        <w:tc>
          <w:tcPr>
            <w:tcW w:w="5143" w:type="dxa"/>
            <w:tcBorders>
              <w:top w:val="single" w:color="auto" w:sz="4" w:space="0"/>
              <w:left w:val="nil"/>
              <w:bottom w:val="single" w:color="auto" w:sz="4" w:space="0"/>
              <w:right w:val="single" w:color="auto" w:sz="4" w:space="0"/>
            </w:tcBorders>
            <w:vAlign w:val="center"/>
          </w:tcPr>
          <w:p>
            <w:pPr>
              <w:widowControl/>
              <w:spacing w:line="280" w:lineRule="exact"/>
              <w:jc w:val="left"/>
              <w:rPr>
                <w:rFonts w:ascii="宋体" w:hAnsi="宋体" w:cs="宋体"/>
                <w:sz w:val="18"/>
                <w:szCs w:val="18"/>
              </w:rPr>
            </w:pPr>
            <w:bookmarkStart w:id="134" w:name="_Toc347328936"/>
            <w:r>
              <w:rPr>
                <w:rFonts w:hint="eastAsia" w:ascii="宋体" w:hAnsi="宋体" w:cs="宋体"/>
                <w:sz w:val="18"/>
                <w:szCs w:val="18"/>
              </w:rPr>
              <w:t>生产、生活用房外部形象差，内部管理无序，扣5分；</w:t>
            </w:r>
            <w:bookmarkEnd w:id="134"/>
          </w:p>
        </w:tc>
        <w:tc>
          <w:tcPr>
            <w:tcW w:w="669" w:type="dxa"/>
            <w:tcBorders>
              <w:top w:val="single" w:color="auto" w:sz="4" w:space="0"/>
              <w:left w:val="nil"/>
              <w:bottom w:val="single" w:color="auto" w:sz="4" w:space="0"/>
              <w:right w:val="single" w:color="auto" w:sz="4" w:space="0"/>
            </w:tcBorders>
            <w:vAlign w:val="center"/>
          </w:tcPr>
          <w:p>
            <w:pPr>
              <w:widowControl/>
              <w:spacing w:line="280" w:lineRule="exact"/>
              <w:jc w:val="center"/>
              <w:rPr>
                <w:rFonts w:ascii="宋体" w:hAnsi="宋体" w:cs="宋体"/>
                <w:sz w:val="18"/>
                <w:szCs w:val="18"/>
              </w:rPr>
            </w:pPr>
            <w:r>
              <w:rPr>
                <w:rFonts w:hint="eastAsia" w:ascii="宋体" w:hAnsi="宋体" w:cs="宋体"/>
                <w:sz w:val="18"/>
                <w:szCs w:val="18"/>
              </w:rPr>
              <w:t>　</w:t>
            </w:r>
          </w:p>
        </w:tc>
        <w:tc>
          <w:tcPr>
            <w:tcW w:w="1134" w:type="dxa"/>
            <w:tcBorders>
              <w:top w:val="single" w:color="auto" w:sz="4" w:space="0"/>
              <w:left w:val="nil"/>
              <w:bottom w:val="single" w:color="auto" w:sz="4" w:space="0"/>
              <w:right w:val="single" w:color="auto" w:sz="4" w:space="0"/>
            </w:tcBorders>
            <w:vAlign w:val="center"/>
          </w:tcPr>
          <w:p>
            <w:pPr>
              <w:widowControl/>
              <w:spacing w:line="280" w:lineRule="exact"/>
              <w:jc w:val="center"/>
              <w:rPr>
                <w:rFonts w:ascii="宋体" w:hAnsi="宋体" w:cs="宋体"/>
                <w:sz w:val="18"/>
                <w:szCs w:val="18"/>
              </w:rPr>
            </w:pPr>
            <w:r>
              <w:rPr>
                <w:rFonts w:hint="eastAsia" w:ascii="宋体" w:hAnsi="宋体" w:cs="宋体"/>
                <w:sz w:val="18"/>
                <w:szCs w:val="18"/>
              </w:rPr>
              <w:t>　</w:t>
            </w:r>
          </w:p>
        </w:tc>
      </w:tr>
      <w:tr>
        <w:tblPrEx>
          <w:tblCellMar>
            <w:top w:w="0" w:type="dxa"/>
            <w:left w:w="108" w:type="dxa"/>
            <w:bottom w:w="0" w:type="dxa"/>
            <w:right w:w="108" w:type="dxa"/>
          </w:tblCellMar>
        </w:tblPrEx>
        <w:trPr>
          <w:trHeight w:val="283" w:hRule="atLeast"/>
        </w:trPr>
        <w:tc>
          <w:tcPr>
            <w:tcW w:w="1200"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80" w:lineRule="exact"/>
              <w:jc w:val="left"/>
              <w:rPr>
                <w:rFonts w:ascii="宋体" w:hAnsi="宋体" w:cs="宋体"/>
                <w:sz w:val="18"/>
                <w:szCs w:val="18"/>
              </w:rPr>
            </w:pPr>
          </w:p>
        </w:tc>
        <w:tc>
          <w:tcPr>
            <w:tcW w:w="1080"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80" w:lineRule="exact"/>
              <w:jc w:val="left"/>
              <w:rPr>
                <w:rFonts w:ascii="宋体" w:hAnsi="宋体" w:cs="宋体"/>
                <w:sz w:val="18"/>
                <w:szCs w:val="18"/>
              </w:rPr>
            </w:pPr>
          </w:p>
        </w:tc>
        <w:tc>
          <w:tcPr>
            <w:tcW w:w="4681"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80" w:lineRule="exact"/>
              <w:jc w:val="left"/>
              <w:rPr>
                <w:rFonts w:ascii="宋体" w:hAnsi="宋体" w:cs="宋体"/>
                <w:sz w:val="18"/>
                <w:szCs w:val="18"/>
              </w:rPr>
            </w:pPr>
          </w:p>
        </w:tc>
        <w:tc>
          <w:tcPr>
            <w:tcW w:w="709"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80" w:lineRule="exact"/>
              <w:jc w:val="left"/>
              <w:rPr>
                <w:rFonts w:ascii="宋体" w:hAnsi="宋体" w:cs="宋体"/>
                <w:sz w:val="18"/>
                <w:szCs w:val="18"/>
              </w:rPr>
            </w:pPr>
          </w:p>
        </w:tc>
        <w:tc>
          <w:tcPr>
            <w:tcW w:w="5143" w:type="dxa"/>
            <w:tcBorders>
              <w:top w:val="single" w:color="auto" w:sz="4" w:space="0"/>
              <w:left w:val="nil"/>
              <w:bottom w:val="single" w:color="auto" w:sz="4" w:space="0"/>
              <w:right w:val="single" w:color="auto" w:sz="4" w:space="0"/>
            </w:tcBorders>
            <w:vAlign w:val="center"/>
          </w:tcPr>
          <w:p>
            <w:pPr>
              <w:widowControl/>
              <w:spacing w:line="280" w:lineRule="exact"/>
              <w:jc w:val="left"/>
              <w:rPr>
                <w:rFonts w:ascii="宋体" w:hAnsi="宋体" w:cs="宋体"/>
                <w:sz w:val="18"/>
                <w:szCs w:val="18"/>
              </w:rPr>
            </w:pPr>
            <w:bookmarkStart w:id="135" w:name="_Toc347328937"/>
            <w:r>
              <w:rPr>
                <w:rFonts w:hint="eastAsia" w:ascii="宋体" w:hAnsi="宋体" w:cs="宋体"/>
                <w:sz w:val="18"/>
                <w:szCs w:val="18"/>
              </w:rPr>
              <w:t>泥浆脱水固化处理中心周围环境杂乱，扣5分；</w:t>
            </w:r>
            <w:bookmarkEnd w:id="135"/>
          </w:p>
        </w:tc>
        <w:tc>
          <w:tcPr>
            <w:tcW w:w="669" w:type="dxa"/>
            <w:tcBorders>
              <w:top w:val="single" w:color="auto" w:sz="4" w:space="0"/>
              <w:left w:val="nil"/>
              <w:bottom w:val="single" w:color="auto" w:sz="4" w:space="0"/>
              <w:right w:val="single" w:color="auto" w:sz="4" w:space="0"/>
            </w:tcBorders>
            <w:vAlign w:val="center"/>
          </w:tcPr>
          <w:p>
            <w:pPr>
              <w:widowControl/>
              <w:spacing w:line="280" w:lineRule="exact"/>
              <w:jc w:val="center"/>
              <w:rPr>
                <w:rFonts w:ascii="宋体" w:hAnsi="宋体" w:cs="宋体"/>
                <w:sz w:val="18"/>
                <w:szCs w:val="18"/>
              </w:rPr>
            </w:pPr>
            <w:r>
              <w:rPr>
                <w:rFonts w:hint="eastAsia" w:ascii="宋体" w:hAnsi="宋体" w:cs="宋体"/>
                <w:sz w:val="18"/>
                <w:szCs w:val="18"/>
              </w:rPr>
              <w:t>　</w:t>
            </w:r>
          </w:p>
        </w:tc>
        <w:tc>
          <w:tcPr>
            <w:tcW w:w="1134" w:type="dxa"/>
            <w:tcBorders>
              <w:top w:val="single" w:color="auto" w:sz="4" w:space="0"/>
              <w:left w:val="nil"/>
              <w:bottom w:val="single" w:color="auto" w:sz="4" w:space="0"/>
              <w:right w:val="single" w:color="auto" w:sz="4" w:space="0"/>
            </w:tcBorders>
            <w:vAlign w:val="center"/>
          </w:tcPr>
          <w:p>
            <w:pPr>
              <w:widowControl/>
              <w:spacing w:line="280" w:lineRule="exact"/>
              <w:jc w:val="center"/>
              <w:rPr>
                <w:rFonts w:ascii="宋体" w:hAnsi="宋体" w:cs="宋体"/>
                <w:sz w:val="18"/>
                <w:szCs w:val="18"/>
              </w:rPr>
            </w:pPr>
            <w:r>
              <w:rPr>
                <w:rFonts w:hint="eastAsia" w:ascii="宋体" w:hAnsi="宋体" w:cs="宋体"/>
                <w:sz w:val="18"/>
                <w:szCs w:val="18"/>
              </w:rPr>
              <w:t>　</w:t>
            </w:r>
          </w:p>
        </w:tc>
      </w:tr>
      <w:tr>
        <w:tblPrEx>
          <w:tblCellMar>
            <w:top w:w="0" w:type="dxa"/>
            <w:left w:w="108" w:type="dxa"/>
            <w:bottom w:w="0" w:type="dxa"/>
            <w:right w:w="108" w:type="dxa"/>
          </w:tblCellMar>
        </w:tblPrEx>
        <w:trPr>
          <w:trHeight w:val="273" w:hRule="atLeast"/>
        </w:trPr>
        <w:tc>
          <w:tcPr>
            <w:tcW w:w="1200"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80" w:lineRule="exact"/>
              <w:jc w:val="left"/>
              <w:rPr>
                <w:rFonts w:ascii="宋体" w:hAnsi="宋体" w:cs="宋体"/>
                <w:sz w:val="18"/>
                <w:szCs w:val="18"/>
              </w:rPr>
            </w:pPr>
          </w:p>
        </w:tc>
        <w:tc>
          <w:tcPr>
            <w:tcW w:w="1080"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80" w:lineRule="exact"/>
              <w:jc w:val="left"/>
              <w:rPr>
                <w:rFonts w:ascii="宋体" w:hAnsi="宋体" w:cs="宋体"/>
                <w:sz w:val="18"/>
                <w:szCs w:val="18"/>
              </w:rPr>
            </w:pPr>
          </w:p>
        </w:tc>
        <w:tc>
          <w:tcPr>
            <w:tcW w:w="4681"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80" w:lineRule="exact"/>
              <w:jc w:val="left"/>
              <w:rPr>
                <w:rFonts w:ascii="宋体" w:hAnsi="宋体" w:cs="宋体"/>
                <w:sz w:val="18"/>
                <w:szCs w:val="18"/>
              </w:rPr>
            </w:pPr>
          </w:p>
        </w:tc>
        <w:tc>
          <w:tcPr>
            <w:tcW w:w="709"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80" w:lineRule="exact"/>
              <w:jc w:val="left"/>
              <w:rPr>
                <w:rFonts w:ascii="宋体" w:hAnsi="宋体" w:cs="宋体"/>
                <w:sz w:val="18"/>
                <w:szCs w:val="18"/>
              </w:rPr>
            </w:pPr>
          </w:p>
        </w:tc>
        <w:tc>
          <w:tcPr>
            <w:tcW w:w="5143" w:type="dxa"/>
            <w:tcBorders>
              <w:top w:val="single" w:color="auto" w:sz="4" w:space="0"/>
              <w:left w:val="nil"/>
              <w:bottom w:val="single" w:color="auto" w:sz="4" w:space="0"/>
              <w:right w:val="single" w:color="auto" w:sz="4" w:space="0"/>
            </w:tcBorders>
            <w:vAlign w:val="center"/>
          </w:tcPr>
          <w:p>
            <w:pPr>
              <w:widowControl/>
              <w:spacing w:line="280" w:lineRule="exact"/>
              <w:jc w:val="left"/>
              <w:rPr>
                <w:rFonts w:ascii="宋体" w:hAnsi="宋体" w:cs="宋体"/>
                <w:sz w:val="18"/>
                <w:szCs w:val="18"/>
              </w:rPr>
            </w:pPr>
            <w:bookmarkStart w:id="136" w:name="_Toc347328938"/>
            <w:r>
              <w:rPr>
                <w:rFonts w:hint="eastAsia" w:ascii="宋体" w:hAnsi="宋体" w:cs="宋体"/>
                <w:sz w:val="18"/>
                <w:szCs w:val="18"/>
              </w:rPr>
              <w:t>宣传栏未张贴水利宣传资料相关，或杂乱无章扣5分；</w:t>
            </w:r>
            <w:bookmarkEnd w:id="136"/>
          </w:p>
        </w:tc>
        <w:tc>
          <w:tcPr>
            <w:tcW w:w="669" w:type="dxa"/>
            <w:tcBorders>
              <w:top w:val="single" w:color="auto" w:sz="4" w:space="0"/>
              <w:left w:val="nil"/>
              <w:bottom w:val="single" w:color="auto" w:sz="4" w:space="0"/>
              <w:right w:val="single" w:color="auto" w:sz="4" w:space="0"/>
            </w:tcBorders>
            <w:vAlign w:val="center"/>
          </w:tcPr>
          <w:p>
            <w:pPr>
              <w:widowControl/>
              <w:spacing w:line="280" w:lineRule="exact"/>
              <w:jc w:val="center"/>
              <w:rPr>
                <w:rFonts w:ascii="宋体" w:hAnsi="宋体" w:cs="宋体"/>
                <w:sz w:val="18"/>
                <w:szCs w:val="18"/>
              </w:rPr>
            </w:pPr>
            <w:r>
              <w:rPr>
                <w:rFonts w:hint="eastAsia" w:ascii="宋体" w:hAnsi="宋体" w:cs="宋体"/>
                <w:sz w:val="18"/>
                <w:szCs w:val="18"/>
              </w:rPr>
              <w:t>　</w:t>
            </w:r>
          </w:p>
        </w:tc>
        <w:tc>
          <w:tcPr>
            <w:tcW w:w="1134" w:type="dxa"/>
            <w:tcBorders>
              <w:top w:val="single" w:color="auto" w:sz="4" w:space="0"/>
              <w:left w:val="nil"/>
              <w:bottom w:val="single" w:color="auto" w:sz="4" w:space="0"/>
              <w:right w:val="single" w:color="auto" w:sz="4" w:space="0"/>
            </w:tcBorders>
            <w:vAlign w:val="center"/>
          </w:tcPr>
          <w:p>
            <w:pPr>
              <w:widowControl/>
              <w:spacing w:line="280" w:lineRule="exact"/>
              <w:jc w:val="center"/>
              <w:rPr>
                <w:rFonts w:ascii="宋体" w:hAnsi="宋体" w:cs="宋体"/>
                <w:sz w:val="18"/>
                <w:szCs w:val="18"/>
              </w:rPr>
            </w:pPr>
            <w:r>
              <w:rPr>
                <w:rFonts w:hint="eastAsia" w:ascii="宋体" w:hAnsi="宋体" w:cs="宋体"/>
                <w:sz w:val="18"/>
                <w:szCs w:val="18"/>
              </w:rPr>
              <w:t>　</w:t>
            </w:r>
          </w:p>
        </w:tc>
      </w:tr>
      <w:tr>
        <w:tblPrEx>
          <w:tblCellMar>
            <w:top w:w="0" w:type="dxa"/>
            <w:left w:w="108" w:type="dxa"/>
            <w:bottom w:w="0" w:type="dxa"/>
            <w:right w:w="108" w:type="dxa"/>
          </w:tblCellMar>
        </w:tblPrEx>
        <w:trPr>
          <w:trHeight w:val="297" w:hRule="atLeast"/>
        </w:trPr>
        <w:tc>
          <w:tcPr>
            <w:tcW w:w="1200" w:type="dxa"/>
            <w:vMerge w:val="restart"/>
            <w:tcBorders>
              <w:top w:val="single" w:color="auto" w:sz="4" w:space="0"/>
              <w:left w:val="single" w:color="auto" w:sz="4" w:space="0"/>
              <w:bottom w:val="single" w:color="auto" w:sz="4" w:space="0"/>
              <w:right w:val="single" w:color="auto" w:sz="4" w:space="0"/>
            </w:tcBorders>
            <w:vAlign w:val="center"/>
          </w:tcPr>
          <w:p>
            <w:pPr>
              <w:widowControl/>
              <w:spacing w:line="280" w:lineRule="exact"/>
              <w:jc w:val="center"/>
              <w:rPr>
                <w:rFonts w:ascii="宋体" w:hAnsi="宋体" w:cs="宋体"/>
                <w:sz w:val="18"/>
                <w:szCs w:val="18"/>
              </w:rPr>
            </w:pPr>
            <w:r>
              <w:rPr>
                <w:rFonts w:hint="eastAsia" w:ascii="宋体" w:hAnsi="宋体" w:cs="宋体"/>
                <w:sz w:val="18"/>
                <w:szCs w:val="18"/>
              </w:rPr>
              <w:t>二、安全生产管理（100分）</w:t>
            </w:r>
          </w:p>
        </w:tc>
        <w:tc>
          <w:tcPr>
            <w:tcW w:w="1080" w:type="dxa"/>
            <w:vMerge w:val="restart"/>
            <w:tcBorders>
              <w:top w:val="single" w:color="auto" w:sz="4" w:space="0"/>
              <w:left w:val="single" w:color="auto" w:sz="4" w:space="0"/>
              <w:bottom w:val="single" w:color="auto" w:sz="4" w:space="0"/>
              <w:right w:val="single" w:color="auto" w:sz="4" w:space="0"/>
            </w:tcBorders>
            <w:vAlign w:val="center"/>
          </w:tcPr>
          <w:p>
            <w:pPr>
              <w:widowControl/>
              <w:spacing w:line="280" w:lineRule="exact"/>
              <w:jc w:val="center"/>
              <w:rPr>
                <w:rFonts w:ascii="宋体" w:hAnsi="宋体" w:cs="宋体"/>
                <w:sz w:val="18"/>
                <w:szCs w:val="18"/>
              </w:rPr>
            </w:pPr>
            <w:r>
              <w:rPr>
                <w:rFonts w:hint="eastAsia" w:ascii="宋体" w:hAnsi="宋体" w:cs="宋体"/>
                <w:sz w:val="18"/>
                <w:szCs w:val="18"/>
              </w:rPr>
              <w:t>安全生产</w:t>
            </w:r>
          </w:p>
        </w:tc>
        <w:tc>
          <w:tcPr>
            <w:tcW w:w="4681" w:type="dxa"/>
            <w:vMerge w:val="restart"/>
            <w:tcBorders>
              <w:top w:val="single" w:color="auto" w:sz="4" w:space="0"/>
              <w:left w:val="single" w:color="auto" w:sz="4" w:space="0"/>
              <w:bottom w:val="single" w:color="auto" w:sz="4" w:space="0"/>
              <w:right w:val="single" w:color="auto" w:sz="4" w:space="0"/>
            </w:tcBorders>
            <w:vAlign w:val="center"/>
          </w:tcPr>
          <w:p>
            <w:pPr>
              <w:widowControl/>
              <w:spacing w:line="280" w:lineRule="exact"/>
              <w:jc w:val="left"/>
              <w:rPr>
                <w:rFonts w:ascii="宋体" w:hAnsi="宋体" w:cs="宋体"/>
                <w:sz w:val="18"/>
                <w:szCs w:val="18"/>
              </w:rPr>
            </w:pPr>
            <w:r>
              <w:rPr>
                <w:rFonts w:hint="eastAsia" w:ascii="宋体" w:hAnsi="宋体" w:cs="宋体"/>
                <w:sz w:val="18"/>
                <w:szCs w:val="18"/>
              </w:rPr>
              <w:t>1、定期进行安全检查；安全措施可靠，安全用具配备齐全，安全警示牌醒目，设备运行安全；无安全责任事故。</w:t>
            </w:r>
          </w:p>
        </w:tc>
        <w:tc>
          <w:tcPr>
            <w:tcW w:w="709" w:type="dxa"/>
            <w:vMerge w:val="restart"/>
            <w:tcBorders>
              <w:top w:val="single" w:color="auto" w:sz="4" w:space="0"/>
              <w:left w:val="single" w:color="auto" w:sz="4" w:space="0"/>
              <w:bottom w:val="single" w:color="auto" w:sz="4" w:space="0"/>
              <w:right w:val="single" w:color="auto" w:sz="4" w:space="0"/>
            </w:tcBorders>
            <w:vAlign w:val="center"/>
          </w:tcPr>
          <w:p>
            <w:pPr>
              <w:widowControl/>
              <w:spacing w:line="280" w:lineRule="exact"/>
              <w:jc w:val="center"/>
              <w:rPr>
                <w:rFonts w:ascii="宋体" w:hAnsi="宋体" w:cs="宋体"/>
                <w:sz w:val="18"/>
                <w:szCs w:val="18"/>
              </w:rPr>
            </w:pPr>
            <w:r>
              <w:rPr>
                <w:rFonts w:hint="eastAsia" w:ascii="宋体" w:hAnsi="宋体" w:cs="宋体"/>
                <w:sz w:val="18"/>
                <w:szCs w:val="18"/>
              </w:rPr>
              <w:t>100</w:t>
            </w:r>
          </w:p>
        </w:tc>
        <w:tc>
          <w:tcPr>
            <w:tcW w:w="5143" w:type="dxa"/>
            <w:tcBorders>
              <w:top w:val="single" w:color="auto" w:sz="4" w:space="0"/>
              <w:left w:val="nil"/>
              <w:bottom w:val="single" w:color="auto" w:sz="4" w:space="0"/>
              <w:right w:val="single" w:color="auto" w:sz="4" w:space="0"/>
            </w:tcBorders>
            <w:vAlign w:val="center"/>
          </w:tcPr>
          <w:p>
            <w:pPr>
              <w:widowControl/>
              <w:spacing w:line="280" w:lineRule="exact"/>
              <w:jc w:val="left"/>
              <w:rPr>
                <w:rFonts w:ascii="宋体" w:hAnsi="宋体" w:cs="宋体"/>
                <w:sz w:val="18"/>
                <w:szCs w:val="18"/>
              </w:rPr>
            </w:pPr>
            <w:bookmarkStart w:id="137" w:name="_Toc347328943"/>
            <w:r>
              <w:rPr>
                <w:rFonts w:hint="eastAsia" w:ascii="宋体" w:hAnsi="宋体" w:cs="宋体"/>
                <w:sz w:val="18"/>
                <w:szCs w:val="18"/>
              </w:rPr>
              <w:t>出现一般安全责任事故，此项不得分；</w:t>
            </w:r>
            <w:bookmarkEnd w:id="137"/>
          </w:p>
        </w:tc>
        <w:tc>
          <w:tcPr>
            <w:tcW w:w="669" w:type="dxa"/>
            <w:tcBorders>
              <w:top w:val="single" w:color="auto" w:sz="4" w:space="0"/>
              <w:left w:val="nil"/>
              <w:bottom w:val="single" w:color="auto" w:sz="4" w:space="0"/>
              <w:right w:val="single" w:color="auto" w:sz="4" w:space="0"/>
            </w:tcBorders>
            <w:vAlign w:val="center"/>
          </w:tcPr>
          <w:p>
            <w:pPr>
              <w:widowControl/>
              <w:spacing w:line="280" w:lineRule="exact"/>
              <w:jc w:val="left"/>
              <w:rPr>
                <w:rFonts w:ascii="宋体" w:hAnsi="宋体" w:cs="宋体"/>
                <w:sz w:val="18"/>
                <w:szCs w:val="18"/>
              </w:rPr>
            </w:pPr>
            <w:r>
              <w:rPr>
                <w:rFonts w:hint="eastAsia" w:ascii="宋体" w:hAnsi="宋体" w:cs="宋体"/>
                <w:sz w:val="18"/>
                <w:szCs w:val="18"/>
              </w:rPr>
              <w:t>　</w:t>
            </w:r>
          </w:p>
        </w:tc>
        <w:tc>
          <w:tcPr>
            <w:tcW w:w="1134" w:type="dxa"/>
            <w:tcBorders>
              <w:top w:val="single" w:color="auto" w:sz="4" w:space="0"/>
              <w:left w:val="nil"/>
              <w:bottom w:val="single" w:color="auto" w:sz="4" w:space="0"/>
              <w:right w:val="single" w:color="auto" w:sz="4" w:space="0"/>
            </w:tcBorders>
            <w:vAlign w:val="center"/>
          </w:tcPr>
          <w:p>
            <w:pPr>
              <w:widowControl/>
              <w:spacing w:line="280" w:lineRule="exact"/>
              <w:jc w:val="left"/>
              <w:rPr>
                <w:rFonts w:ascii="宋体" w:hAnsi="宋体" w:cs="宋体"/>
                <w:sz w:val="18"/>
                <w:szCs w:val="18"/>
              </w:rPr>
            </w:pPr>
            <w:r>
              <w:rPr>
                <w:rFonts w:hint="eastAsia" w:ascii="宋体" w:hAnsi="宋体" w:cs="宋体"/>
                <w:sz w:val="18"/>
                <w:szCs w:val="18"/>
              </w:rPr>
              <w:t>　</w:t>
            </w:r>
          </w:p>
        </w:tc>
      </w:tr>
      <w:tr>
        <w:tblPrEx>
          <w:tblCellMar>
            <w:top w:w="0" w:type="dxa"/>
            <w:left w:w="108" w:type="dxa"/>
            <w:bottom w:w="0" w:type="dxa"/>
            <w:right w:w="108" w:type="dxa"/>
          </w:tblCellMar>
        </w:tblPrEx>
        <w:trPr>
          <w:trHeight w:val="273" w:hRule="atLeast"/>
        </w:trPr>
        <w:tc>
          <w:tcPr>
            <w:tcW w:w="1200"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80" w:lineRule="exact"/>
              <w:jc w:val="left"/>
              <w:rPr>
                <w:rFonts w:ascii="宋体" w:hAnsi="宋体" w:cs="宋体"/>
                <w:sz w:val="18"/>
                <w:szCs w:val="18"/>
              </w:rPr>
            </w:pPr>
          </w:p>
        </w:tc>
        <w:tc>
          <w:tcPr>
            <w:tcW w:w="1080"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80" w:lineRule="exact"/>
              <w:jc w:val="left"/>
              <w:rPr>
                <w:rFonts w:ascii="宋体" w:hAnsi="宋体" w:cs="宋体"/>
                <w:sz w:val="18"/>
                <w:szCs w:val="18"/>
              </w:rPr>
            </w:pPr>
          </w:p>
        </w:tc>
        <w:tc>
          <w:tcPr>
            <w:tcW w:w="4681"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80" w:lineRule="exact"/>
              <w:jc w:val="left"/>
              <w:rPr>
                <w:rFonts w:ascii="宋体" w:hAnsi="宋体" w:cs="宋体"/>
                <w:sz w:val="18"/>
                <w:szCs w:val="18"/>
              </w:rPr>
            </w:pPr>
          </w:p>
        </w:tc>
        <w:tc>
          <w:tcPr>
            <w:tcW w:w="709"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80" w:lineRule="exact"/>
              <w:jc w:val="left"/>
              <w:rPr>
                <w:rFonts w:ascii="宋体" w:hAnsi="宋体" w:cs="宋体"/>
                <w:sz w:val="18"/>
                <w:szCs w:val="18"/>
              </w:rPr>
            </w:pPr>
          </w:p>
        </w:tc>
        <w:tc>
          <w:tcPr>
            <w:tcW w:w="5143" w:type="dxa"/>
            <w:tcBorders>
              <w:top w:val="single" w:color="auto" w:sz="4" w:space="0"/>
              <w:left w:val="nil"/>
              <w:bottom w:val="single" w:color="auto" w:sz="4" w:space="0"/>
              <w:right w:val="single" w:color="auto" w:sz="4" w:space="0"/>
            </w:tcBorders>
            <w:vAlign w:val="center"/>
          </w:tcPr>
          <w:p>
            <w:pPr>
              <w:widowControl/>
              <w:spacing w:line="280" w:lineRule="exact"/>
              <w:jc w:val="left"/>
              <w:rPr>
                <w:rFonts w:ascii="宋体" w:hAnsi="宋体" w:cs="宋体"/>
                <w:sz w:val="18"/>
                <w:szCs w:val="18"/>
              </w:rPr>
            </w:pPr>
            <w:bookmarkStart w:id="138" w:name="_Toc347328944"/>
            <w:r>
              <w:rPr>
                <w:rFonts w:hint="eastAsia" w:ascii="宋体" w:hAnsi="宋体" w:cs="宋体"/>
                <w:sz w:val="18"/>
                <w:szCs w:val="18"/>
              </w:rPr>
              <w:t>未定期进行安全检查的，扣10分；</w:t>
            </w:r>
            <w:bookmarkEnd w:id="138"/>
          </w:p>
        </w:tc>
        <w:tc>
          <w:tcPr>
            <w:tcW w:w="669" w:type="dxa"/>
            <w:tcBorders>
              <w:top w:val="single" w:color="auto" w:sz="4" w:space="0"/>
              <w:left w:val="nil"/>
              <w:bottom w:val="single" w:color="auto" w:sz="4" w:space="0"/>
              <w:right w:val="single" w:color="auto" w:sz="4" w:space="0"/>
            </w:tcBorders>
            <w:vAlign w:val="center"/>
          </w:tcPr>
          <w:p>
            <w:pPr>
              <w:widowControl/>
              <w:spacing w:line="280" w:lineRule="exact"/>
              <w:jc w:val="left"/>
              <w:rPr>
                <w:rFonts w:ascii="宋体" w:hAnsi="宋体" w:cs="宋体"/>
                <w:sz w:val="18"/>
                <w:szCs w:val="18"/>
              </w:rPr>
            </w:pPr>
            <w:r>
              <w:rPr>
                <w:rFonts w:hint="eastAsia" w:ascii="宋体" w:hAnsi="宋体" w:cs="宋体"/>
                <w:sz w:val="18"/>
                <w:szCs w:val="18"/>
              </w:rPr>
              <w:t>　</w:t>
            </w:r>
          </w:p>
        </w:tc>
        <w:tc>
          <w:tcPr>
            <w:tcW w:w="1134" w:type="dxa"/>
            <w:tcBorders>
              <w:top w:val="single" w:color="auto" w:sz="4" w:space="0"/>
              <w:left w:val="nil"/>
              <w:bottom w:val="single" w:color="auto" w:sz="4" w:space="0"/>
              <w:right w:val="single" w:color="auto" w:sz="4" w:space="0"/>
            </w:tcBorders>
            <w:vAlign w:val="center"/>
          </w:tcPr>
          <w:p>
            <w:pPr>
              <w:widowControl/>
              <w:spacing w:line="280" w:lineRule="exact"/>
              <w:jc w:val="left"/>
              <w:rPr>
                <w:rFonts w:ascii="宋体" w:hAnsi="宋体" w:cs="宋体"/>
                <w:sz w:val="18"/>
                <w:szCs w:val="18"/>
              </w:rPr>
            </w:pPr>
            <w:r>
              <w:rPr>
                <w:rFonts w:hint="eastAsia" w:ascii="宋体" w:hAnsi="宋体" w:cs="宋体"/>
                <w:sz w:val="18"/>
                <w:szCs w:val="18"/>
              </w:rPr>
              <w:t>　</w:t>
            </w:r>
          </w:p>
        </w:tc>
      </w:tr>
      <w:tr>
        <w:tblPrEx>
          <w:tblCellMar>
            <w:top w:w="0" w:type="dxa"/>
            <w:left w:w="108" w:type="dxa"/>
            <w:bottom w:w="0" w:type="dxa"/>
            <w:right w:w="108" w:type="dxa"/>
          </w:tblCellMar>
        </w:tblPrEx>
        <w:trPr>
          <w:trHeight w:val="271" w:hRule="atLeast"/>
        </w:trPr>
        <w:tc>
          <w:tcPr>
            <w:tcW w:w="1200"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80" w:lineRule="exact"/>
              <w:jc w:val="left"/>
              <w:rPr>
                <w:rFonts w:ascii="宋体" w:hAnsi="宋体" w:cs="宋体"/>
                <w:sz w:val="18"/>
                <w:szCs w:val="18"/>
              </w:rPr>
            </w:pPr>
          </w:p>
        </w:tc>
        <w:tc>
          <w:tcPr>
            <w:tcW w:w="1080"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80" w:lineRule="exact"/>
              <w:jc w:val="left"/>
              <w:rPr>
                <w:rFonts w:ascii="宋体" w:hAnsi="宋体" w:cs="宋体"/>
                <w:sz w:val="18"/>
                <w:szCs w:val="18"/>
              </w:rPr>
            </w:pPr>
          </w:p>
        </w:tc>
        <w:tc>
          <w:tcPr>
            <w:tcW w:w="4681"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80" w:lineRule="exact"/>
              <w:jc w:val="left"/>
              <w:rPr>
                <w:rFonts w:ascii="宋体" w:hAnsi="宋体" w:cs="宋体"/>
                <w:sz w:val="18"/>
                <w:szCs w:val="18"/>
              </w:rPr>
            </w:pPr>
          </w:p>
        </w:tc>
        <w:tc>
          <w:tcPr>
            <w:tcW w:w="709"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80" w:lineRule="exact"/>
              <w:jc w:val="left"/>
              <w:rPr>
                <w:rFonts w:ascii="宋体" w:hAnsi="宋体" w:cs="宋体"/>
                <w:sz w:val="18"/>
                <w:szCs w:val="18"/>
              </w:rPr>
            </w:pPr>
          </w:p>
        </w:tc>
        <w:tc>
          <w:tcPr>
            <w:tcW w:w="5143" w:type="dxa"/>
            <w:tcBorders>
              <w:top w:val="single" w:color="auto" w:sz="4" w:space="0"/>
              <w:left w:val="nil"/>
              <w:bottom w:val="single" w:color="auto" w:sz="4" w:space="0"/>
              <w:right w:val="single" w:color="auto" w:sz="4" w:space="0"/>
            </w:tcBorders>
            <w:vAlign w:val="center"/>
          </w:tcPr>
          <w:p>
            <w:pPr>
              <w:widowControl/>
              <w:spacing w:line="280" w:lineRule="exact"/>
              <w:jc w:val="left"/>
              <w:rPr>
                <w:rFonts w:ascii="宋体" w:hAnsi="宋体" w:cs="宋体"/>
                <w:sz w:val="18"/>
                <w:szCs w:val="18"/>
              </w:rPr>
            </w:pPr>
            <w:bookmarkStart w:id="139" w:name="_Toc347328945"/>
            <w:r>
              <w:rPr>
                <w:rFonts w:hint="eastAsia" w:ascii="宋体" w:hAnsi="宋体" w:cs="宋体"/>
                <w:sz w:val="18"/>
                <w:szCs w:val="18"/>
              </w:rPr>
              <w:t>安全措施不可靠，扣10分；</w:t>
            </w:r>
            <w:bookmarkEnd w:id="139"/>
          </w:p>
        </w:tc>
        <w:tc>
          <w:tcPr>
            <w:tcW w:w="669" w:type="dxa"/>
            <w:tcBorders>
              <w:top w:val="single" w:color="auto" w:sz="4" w:space="0"/>
              <w:left w:val="nil"/>
              <w:bottom w:val="single" w:color="auto" w:sz="4" w:space="0"/>
              <w:right w:val="single" w:color="auto" w:sz="4" w:space="0"/>
            </w:tcBorders>
            <w:vAlign w:val="center"/>
          </w:tcPr>
          <w:p>
            <w:pPr>
              <w:widowControl/>
              <w:spacing w:line="280" w:lineRule="exact"/>
              <w:jc w:val="left"/>
              <w:rPr>
                <w:rFonts w:ascii="宋体" w:hAnsi="宋体" w:cs="宋体"/>
                <w:sz w:val="18"/>
                <w:szCs w:val="18"/>
              </w:rPr>
            </w:pPr>
            <w:r>
              <w:rPr>
                <w:rFonts w:hint="eastAsia" w:ascii="宋体" w:hAnsi="宋体" w:cs="宋体"/>
                <w:sz w:val="18"/>
                <w:szCs w:val="18"/>
              </w:rPr>
              <w:t>　</w:t>
            </w:r>
          </w:p>
        </w:tc>
        <w:tc>
          <w:tcPr>
            <w:tcW w:w="1134" w:type="dxa"/>
            <w:tcBorders>
              <w:top w:val="single" w:color="auto" w:sz="4" w:space="0"/>
              <w:left w:val="nil"/>
              <w:bottom w:val="single" w:color="auto" w:sz="4" w:space="0"/>
              <w:right w:val="single" w:color="auto" w:sz="4" w:space="0"/>
            </w:tcBorders>
            <w:vAlign w:val="center"/>
          </w:tcPr>
          <w:p>
            <w:pPr>
              <w:widowControl/>
              <w:spacing w:line="280" w:lineRule="exact"/>
              <w:jc w:val="left"/>
              <w:rPr>
                <w:rFonts w:ascii="宋体" w:hAnsi="宋体" w:cs="宋体"/>
                <w:sz w:val="18"/>
                <w:szCs w:val="18"/>
              </w:rPr>
            </w:pPr>
            <w:r>
              <w:rPr>
                <w:rFonts w:hint="eastAsia" w:ascii="宋体" w:hAnsi="宋体" w:cs="宋体"/>
                <w:sz w:val="18"/>
                <w:szCs w:val="18"/>
              </w:rPr>
              <w:t>　</w:t>
            </w:r>
          </w:p>
        </w:tc>
      </w:tr>
      <w:tr>
        <w:tblPrEx>
          <w:tblCellMar>
            <w:top w:w="0" w:type="dxa"/>
            <w:left w:w="108" w:type="dxa"/>
            <w:bottom w:w="0" w:type="dxa"/>
            <w:right w:w="108" w:type="dxa"/>
          </w:tblCellMar>
        </w:tblPrEx>
        <w:trPr>
          <w:trHeight w:val="271" w:hRule="atLeast"/>
        </w:trPr>
        <w:tc>
          <w:tcPr>
            <w:tcW w:w="1200"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80" w:lineRule="exact"/>
              <w:jc w:val="left"/>
              <w:rPr>
                <w:rFonts w:ascii="宋体" w:hAnsi="宋体" w:cs="宋体"/>
                <w:sz w:val="18"/>
                <w:szCs w:val="18"/>
              </w:rPr>
            </w:pPr>
          </w:p>
        </w:tc>
        <w:tc>
          <w:tcPr>
            <w:tcW w:w="1080"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80" w:lineRule="exact"/>
              <w:jc w:val="left"/>
              <w:rPr>
                <w:rFonts w:ascii="宋体" w:hAnsi="宋体" w:cs="宋体"/>
                <w:sz w:val="18"/>
                <w:szCs w:val="18"/>
              </w:rPr>
            </w:pPr>
          </w:p>
        </w:tc>
        <w:tc>
          <w:tcPr>
            <w:tcW w:w="4681"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80" w:lineRule="exact"/>
              <w:jc w:val="left"/>
              <w:rPr>
                <w:rFonts w:ascii="宋体" w:hAnsi="宋体" w:cs="宋体"/>
                <w:sz w:val="18"/>
                <w:szCs w:val="18"/>
              </w:rPr>
            </w:pPr>
          </w:p>
        </w:tc>
        <w:tc>
          <w:tcPr>
            <w:tcW w:w="709"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80" w:lineRule="exact"/>
              <w:jc w:val="left"/>
              <w:rPr>
                <w:rFonts w:ascii="宋体" w:hAnsi="宋体" w:cs="宋体"/>
                <w:sz w:val="18"/>
                <w:szCs w:val="18"/>
              </w:rPr>
            </w:pPr>
          </w:p>
        </w:tc>
        <w:tc>
          <w:tcPr>
            <w:tcW w:w="5143" w:type="dxa"/>
            <w:tcBorders>
              <w:top w:val="single" w:color="auto" w:sz="4" w:space="0"/>
              <w:left w:val="nil"/>
              <w:bottom w:val="single" w:color="auto" w:sz="4" w:space="0"/>
              <w:right w:val="single" w:color="auto" w:sz="4" w:space="0"/>
            </w:tcBorders>
            <w:vAlign w:val="center"/>
          </w:tcPr>
          <w:p>
            <w:pPr>
              <w:widowControl/>
              <w:spacing w:line="280" w:lineRule="exact"/>
              <w:jc w:val="left"/>
              <w:rPr>
                <w:rFonts w:ascii="宋体" w:hAnsi="宋体" w:cs="宋体"/>
                <w:sz w:val="18"/>
                <w:szCs w:val="18"/>
              </w:rPr>
            </w:pPr>
            <w:r>
              <w:rPr>
                <w:rFonts w:hint="eastAsia" w:ascii="宋体" w:hAnsi="宋体" w:cs="宋体"/>
                <w:sz w:val="18"/>
                <w:szCs w:val="18"/>
              </w:rPr>
              <w:t>无安全警示牌或不醒目，扣10分；</w:t>
            </w:r>
          </w:p>
        </w:tc>
        <w:tc>
          <w:tcPr>
            <w:tcW w:w="669" w:type="dxa"/>
            <w:tcBorders>
              <w:top w:val="single" w:color="auto" w:sz="4" w:space="0"/>
              <w:left w:val="nil"/>
              <w:bottom w:val="single" w:color="auto" w:sz="4" w:space="0"/>
              <w:right w:val="single" w:color="auto" w:sz="4" w:space="0"/>
            </w:tcBorders>
            <w:vAlign w:val="center"/>
          </w:tcPr>
          <w:p>
            <w:pPr>
              <w:widowControl/>
              <w:spacing w:line="280" w:lineRule="exact"/>
              <w:jc w:val="left"/>
              <w:rPr>
                <w:rFonts w:ascii="宋体" w:hAnsi="宋体" w:cs="宋体"/>
                <w:sz w:val="18"/>
                <w:szCs w:val="18"/>
              </w:rPr>
            </w:pPr>
          </w:p>
        </w:tc>
        <w:tc>
          <w:tcPr>
            <w:tcW w:w="1134" w:type="dxa"/>
            <w:tcBorders>
              <w:top w:val="single" w:color="auto" w:sz="4" w:space="0"/>
              <w:left w:val="nil"/>
              <w:bottom w:val="single" w:color="auto" w:sz="4" w:space="0"/>
              <w:right w:val="single" w:color="auto" w:sz="4" w:space="0"/>
            </w:tcBorders>
            <w:vAlign w:val="center"/>
          </w:tcPr>
          <w:p>
            <w:pPr>
              <w:widowControl/>
              <w:spacing w:line="280" w:lineRule="exact"/>
              <w:jc w:val="left"/>
              <w:rPr>
                <w:rFonts w:ascii="宋体" w:hAnsi="宋体" w:cs="宋体"/>
                <w:sz w:val="18"/>
                <w:szCs w:val="18"/>
              </w:rPr>
            </w:pPr>
          </w:p>
        </w:tc>
      </w:tr>
      <w:tr>
        <w:tblPrEx>
          <w:tblCellMar>
            <w:top w:w="0" w:type="dxa"/>
            <w:left w:w="108" w:type="dxa"/>
            <w:bottom w:w="0" w:type="dxa"/>
            <w:right w:w="108" w:type="dxa"/>
          </w:tblCellMar>
        </w:tblPrEx>
        <w:trPr>
          <w:trHeight w:val="261" w:hRule="atLeast"/>
        </w:trPr>
        <w:tc>
          <w:tcPr>
            <w:tcW w:w="1200"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80" w:lineRule="exact"/>
              <w:jc w:val="left"/>
              <w:rPr>
                <w:rFonts w:ascii="宋体" w:hAnsi="宋体" w:cs="宋体"/>
                <w:sz w:val="18"/>
                <w:szCs w:val="18"/>
              </w:rPr>
            </w:pPr>
          </w:p>
        </w:tc>
        <w:tc>
          <w:tcPr>
            <w:tcW w:w="1080"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80" w:lineRule="exact"/>
              <w:jc w:val="left"/>
              <w:rPr>
                <w:rFonts w:ascii="宋体" w:hAnsi="宋体" w:cs="宋体"/>
                <w:sz w:val="18"/>
                <w:szCs w:val="18"/>
              </w:rPr>
            </w:pPr>
          </w:p>
        </w:tc>
        <w:tc>
          <w:tcPr>
            <w:tcW w:w="4681"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80" w:lineRule="exact"/>
              <w:jc w:val="left"/>
              <w:rPr>
                <w:rFonts w:ascii="宋体" w:hAnsi="宋体" w:cs="宋体"/>
                <w:sz w:val="18"/>
                <w:szCs w:val="18"/>
              </w:rPr>
            </w:pPr>
          </w:p>
        </w:tc>
        <w:tc>
          <w:tcPr>
            <w:tcW w:w="709"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80" w:lineRule="exact"/>
              <w:jc w:val="left"/>
              <w:rPr>
                <w:rFonts w:ascii="宋体" w:hAnsi="宋体" w:cs="宋体"/>
                <w:sz w:val="18"/>
                <w:szCs w:val="18"/>
              </w:rPr>
            </w:pPr>
          </w:p>
        </w:tc>
        <w:tc>
          <w:tcPr>
            <w:tcW w:w="5143" w:type="dxa"/>
            <w:tcBorders>
              <w:top w:val="single" w:color="auto" w:sz="4" w:space="0"/>
              <w:left w:val="nil"/>
              <w:bottom w:val="single" w:color="auto" w:sz="4" w:space="0"/>
              <w:right w:val="single" w:color="auto" w:sz="4" w:space="0"/>
            </w:tcBorders>
            <w:vAlign w:val="center"/>
          </w:tcPr>
          <w:p>
            <w:pPr>
              <w:widowControl/>
              <w:spacing w:line="280" w:lineRule="exact"/>
              <w:jc w:val="left"/>
              <w:rPr>
                <w:rFonts w:ascii="宋体" w:hAnsi="宋体" w:cs="宋体"/>
                <w:sz w:val="18"/>
                <w:szCs w:val="18"/>
              </w:rPr>
            </w:pPr>
            <w:bookmarkStart w:id="140" w:name="_Toc347328946"/>
            <w:r>
              <w:rPr>
                <w:rFonts w:hint="eastAsia" w:ascii="宋体" w:hAnsi="宋体" w:cs="宋体"/>
                <w:sz w:val="18"/>
                <w:szCs w:val="18"/>
              </w:rPr>
              <w:t>安全用具配备不齐全，扣10分；</w:t>
            </w:r>
            <w:bookmarkEnd w:id="140"/>
          </w:p>
        </w:tc>
        <w:tc>
          <w:tcPr>
            <w:tcW w:w="669" w:type="dxa"/>
            <w:tcBorders>
              <w:top w:val="single" w:color="auto" w:sz="4" w:space="0"/>
              <w:left w:val="nil"/>
              <w:bottom w:val="single" w:color="auto" w:sz="4" w:space="0"/>
              <w:right w:val="single" w:color="auto" w:sz="4" w:space="0"/>
            </w:tcBorders>
            <w:vAlign w:val="center"/>
          </w:tcPr>
          <w:p>
            <w:pPr>
              <w:widowControl/>
              <w:spacing w:line="280" w:lineRule="exact"/>
              <w:jc w:val="left"/>
              <w:rPr>
                <w:rFonts w:ascii="宋体" w:hAnsi="宋体" w:cs="宋体"/>
                <w:sz w:val="18"/>
                <w:szCs w:val="18"/>
              </w:rPr>
            </w:pPr>
            <w:r>
              <w:rPr>
                <w:rFonts w:hint="eastAsia" w:ascii="宋体" w:hAnsi="宋体" w:cs="宋体"/>
                <w:sz w:val="18"/>
                <w:szCs w:val="18"/>
              </w:rPr>
              <w:t>　</w:t>
            </w:r>
          </w:p>
        </w:tc>
        <w:tc>
          <w:tcPr>
            <w:tcW w:w="1134" w:type="dxa"/>
            <w:tcBorders>
              <w:top w:val="single" w:color="auto" w:sz="4" w:space="0"/>
              <w:left w:val="nil"/>
              <w:bottom w:val="single" w:color="auto" w:sz="4" w:space="0"/>
              <w:right w:val="single" w:color="auto" w:sz="4" w:space="0"/>
            </w:tcBorders>
            <w:vAlign w:val="center"/>
          </w:tcPr>
          <w:p>
            <w:pPr>
              <w:widowControl/>
              <w:spacing w:line="280" w:lineRule="exact"/>
              <w:jc w:val="left"/>
              <w:rPr>
                <w:rFonts w:ascii="宋体" w:hAnsi="宋体" w:cs="宋体"/>
                <w:sz w:val="18"/>
                <w:szCs w:val="18"/>
              </w:rPr>
            </w:pPr>
            <w:r>
              <w:rPr>
                <w:rFonts w:hint="eastAsia" w:ascii="宋体" w:hAnsi="宋体" w:cs="宋体"/>
                <w:sz w:val="18"/>
                <w:szCs w:val="18"/>
              </w:rPr>
              <w:t>　</w:t>
            </w:r>
          </w:p>
        </w:tc>
      </w:tr>
      <w:tr>
        <w:tblPrEx>
          <w:tblCellMar>
            <w:top w:w="0" w:type="dxa"/>
            <w:left w:w="108" w:type="dxa"/>
            <w:bottom w:w="0" w:type="dxa"/>
            <w:right w:w="108" w:type="dxa"/>
          </w:tblCellMar>
        </w:tblPrEx>
        <w:trPr>
          <w:trHeight w:val="313" w:hRule="atLeast"/>
        </w:trPr>
        <w:tc>
          <w:tcPr>
            <w:tcW w:w="1200"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80" w:lineRule="exact"/>
              <w:jc w:val="left"/>
              <w:rPr>
                <w:rFonts w:ascii="宋体" w:hAnsi="宋体" w:cs="宋体"/>
                <w:sz w:val="18"/>
                <w:szCs w:val="18"/>
              </w:rPr>
            </w:pPr>
          </w:p>
        </w:tc>
        <w:tc>
          <w:tcPr>
            <w:tcW w:w="1080"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80" w:lineRule="exact"/>
              <w:jc w:val="left"/>
              <w:rPr>
                <w:rFonts w:ascii="宋体" w:hAnsi="宋体" w:cs="宋体"/>
                <w:sz w:val="18"/>
                <w:szCs w:val="18"/>
              </w:rPr>
            </w:pPr>
          </w:p>
        </w:tc>
        <w:tc>
          <w:tcPr>
            <w:tcW w:w="4681"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80" w:lineRule="exact"/>
              <w:jc w:val="left"/>
              <w:rPr>
                <w:rFonts w:ascii="宋体" w:hAnsi="宋体" w:cs="宋体"/>
                <w:sz w:val="18"/>
                <w:szCs w:val="18"/>
              </w:rPr>
            </w:pPr>
          </w:p>
        </w:tc>
        <w:tc>
          <w:tcPr>
            <w:tcW w:w="709"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80" w:lineRule="exact"/>
              <w:jc w:val="left"/>
              <w:rPr>
                <w:rFonts w:ascii="宋体" w:hAnsi="宋体" w:cs="宋体"/>
                <w:sz w:val="18"/>
                <w:szCs w:val="18"/>
              </w:rPr>
            </w:pPr>
          </w:p>
        </w:tc>
        <w:tc>
          <w:tcPr>
            <w:tcW w:w="5143" w:type="dxa"/>
            <w:tcBorders>
              <w:top w:val="single" w:color="auto" w:sz="4" w:space="0"/>
              <w:left w:val="nil"/>
              <w:bottom w:val="single" w:color="auto" w:sz="4" w:space="0"/>
              <w:right w:val="single" w:color="auto" w:sz="4" w:space="0"/>
            </w:tcBorders>
            <w:vAlign w:val="center"/>
          </w:tcPr>
          <w:p>
            <w:pPr>
              <w:widowControl/>
              <w:spacing w:line="280" w:lineRule="exact"/>
              <w:jc w:val="left"/>
              <w:rPr>
                <w:rFonts w:ascii="宋体" w:hAnsi="宋体" w:cs="宋体"/>
                <w:sz w:val="18"/>
                <w:szCs w:val="18"/>
              </w:rPr>
            </w:pPr>
            <w:bookmarkStart w:id="141" w:name="_Toc347328947"/>
            <w:r>
              <w:rPr>
                <w:rFonts w:hint="eastAsia" w:ascii="宋体" w:hAnsi="宋体" w:cs="宋体"/>
                <w:sz w:val="18"/>
                <w:szCs w:val="18"/>
              </w:rPr>
              <w:t>设备运行不安全，扣10分；</w:t>
            </w:r>
            <w:bookmarkEnd w:id="141"/>
          </w:p>
        </w:tc>
        <w:tc>
          <w:tcPr>
            <w:tcW w:w="669" w:type="dxa"/>
            <w:tcBorders>
              <w:top w:val="single" w:color="auto" w:sz="4" w:space="0"/>
              <w:left w:val="nil"/>
              <w:bottom w:val="single" w:color="auto" w:sz="4" w:space="0"/>
              <w:right w:val="single" w:color="auto" w:sz="4" w:space="0"/>
            </w:tcBorders>
            <w:vAlign w:val="center"/>
          </w:tcPr>
          <w:p>
            <w:pPr>
              <w:widowControl/>
              <w:spacing w:line="280" w:lineRule="exact"/>
              <w:jc w:val="left"/>
              <w:rPr>
                <w:rFonts w:ascii="宋体" w:hAnsi="宋体" w:cs="宋体"/>
                <w:sz w:val="18"/>
                <w:szCs w:val="18"/>
              </w:rPr>
            </w:pPr>
            <w:r>
              <w:rPr>
                <w:rFonts w:hint="eastAsia" w:ascii="宋体" w:hAnsi="宋体" w:cs="宋体"/>
                <w:sz w:val="18"/>
                <w:szCs w:val="18"/>
              </w:rPr>
              <w:t>　</w:t>
            </w:r>
          </w:p>
        </w:tc>
        <w:tc>
          <w:tcPr>
            <w:tcW w:w="1134" w:type="dxa"/>
            <w:tcBorders>
              <w:top w:val="single" w:color="auto" w:sz="4" w:space="0"/>
              <w:left w:val="nil"/>
              <w:bottom w:val="single" w:color="auto" w:sz="4" w:space="0"/>
              <w:right w:val="single" w:color="auto" w:sz="4" w:space="0"/>
            </w:tcBorders>
            <w:vAlign w:val="center"/>
          </w:tcPr>
          <w:p>
            <w:pPr>
              <w:widowControl/>
              <w:spacing w:line="280" w:lineRule="exact"/>
              <w:jc w:val="left"/>
              <w:rPr>
                <w:rFonts w:ascii="宋体" w:hAnsi="宋体" w:cs="宋体"/>
                <w:sz w:val="18"/>
                <w:szCs w:val="18"/>
              </w:rPr>
            </w:pPr>
            <w:r>
              <w:rPr>
                <w:rFonts w:hint="eastAsia" w:ascii="宋体" w:hAnsi="宋体" w:cs="宋体"/>
                <w:sz w:val="18"/>
                <w:szCs w:val="18"/>
              </w:rPr>
              <w:t>　</w:t>
            </w:r>
          </w:p>
        </w:tc>
      </w:tr>
      <w:tr>
        <w:tblPrEx>
          <w:tblCellMar>
            <w:top w:w="0" w:type="dxa"/>
            <w:left w:w="108" w:type="dxa"/>
            <w:bottom w:w="0" w:type="dxa"/>
            <w:right w:w="108" w:type="dxa"/>
          </w:tblCellMar>
        </w:tblPrEx>
        <w:trPr>
          <w:trHeight w:val="421" w:hRule="atLeast"/>
        </w:trPr>
        <w:tc>
          <w:tcPr>
            <w:tcW w:w="1200"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80" w:lineRule="exact"/>
              <w:jc w:val="left"/>
              <w:rPr>
                <w:rFonts w:ascii="宋体" w:hAnsi="宋体" w:cs="宋体"/>
                <w:sz w:val="18"/>
                <w:szCs w:val="18"/>
              </w:rPr>
            </w:pPr>
          </w:p>
        </w:tc>
        <w:tc>
          <w:tcPr>
            <w:tcW w:w="1080"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80" w:lineRule="exact"/>
              <w:jc w:val="left"/>
              <w:rPr>
                <w:rFonts w:ascii="宋体" w:hAnsi="宋体" w:cs="宋体"/>
                <w:sz w:val="18"/>
                <w:szCs w:val="18"/>
              </w:rPr>
            </w:pPr>
          </w:p>
        </w:tc>
        <w:tc>
          <w:tcPr>
            <w:tcW w:w="4681" w:type="dxa"/>
            <w:tcBorders>
              <w:top w:val="single" w:color="auto" w:sz="4" w:space="0"/>
              <w:left w:val="nil"/>
              <w:bottom w:val="single" w:color="auto" w:sz="4" w:space="0"/>
              <w:right w:val="single" w:color="auto" w:sz="4" w:space="0"/>
            </w:tcBorders>
            <w:vAlign w:val="center"/>
          </w:tcPr>
          <w:p>
            <w:pPr>
              <w:widowControl/>
              <w:spacing w:line="280" w:lineRule="exact"/>
              <w:jc w:val="left"/>
              <w:rPr>
                <w:rFonts w:ascii="宋体" w:hAnsi="宋体" w:cs="宋体"/>
                <w:sz w:val="18"/>
                <w:szCs w:val="18"/>
              </w:rPr>
            </w:pPr>
            <w:bookmarkStart w:id="142" w:name="_Toc347328967"/>
            <w:r>
              <w:rPr>
                <w:rFonts w:hint="eastAsia" w:ascii="宋体" w:hAnsi="宋体" w:cs="宋体"/>
                <w:sz w:val="18"/>
                <w:szCs w:val="18"/>
              </w:rPr>
              <w:t>2、生产人员需达到规定人数，参加生产的人员需统一着装或佩戴工作证的。</w:t>
            </w:r>
            <w:bookmarkEnd w:id="142"/>
          </w:p>
        </w:tc>
        <w:tc>
          <w:tcPr>
            <w:tcW w:w="709"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80" w:lineRule="exact"/>
              <w:jc w:val="left"/>
              <w:rPr>
                <w:rFonts w:ascii="宋体" w:hAnsi="宋体" w:cs="宋体"/>
                <w:sz w:val="18"/>
                <w:szCs w:val="18"/>
              </w:rPr>
            </w:pPr>
          </w:p>
        </w:tc>
        <w:tc>
          <w:tcPr>
            <w:tcW w:w="5143" w:type="dxa"/>
            <w:tcBorders>
              <w:top w:val="single" w:color="auto" w:sz="4" w:space="0"/>
              <w:left w:val="nil"/>
              <w:bottom w:val="single" w:color="auto" w:sz="4" w:space="0"/>
              <w:right w:val="single" w:color="auto" w:sz="4" w:space="0"/>
            </w:tcBorders>
            <w:vAlign w:val="center"/>
          </w:tcPr>
          <w:p>
            <w:pPr>
              <w:widowControl/>
              <w:spacing w:line="280" w:lineRule="exact"/>
              <w:jc w:val="left"/>
              <w:rPr>
                <w:rFonts w:ascii="宋体" w:hAnsi="宋体" w:cs="宋体"/>
                <w:sz w:val="18"/>
                <w:szCs w:val="18"/>
              </w:rPr>
            </w:pPr>
            <w:bookmarkStart w:id="143" w:name="_Toc347328968"/>
            <w:r>
              <w:rPr>
                <w:rFonts w:hint="eastAsia" w:ascii="宋体" w:hAnsi="宋体" w:cs="宋体"/>
                <w:sz w:val="18"/>
                <w:szCs w:val="18"/>
              </w:rPr>
              <w:t>未达到规定人数扣10分；未统一着装或佩戴工作证扣10分</w:t>
            </w:r>
            <w:bookmarkEnd w:id="143"/>
            <w:r>
              <w:rPr>
                <w:rFonts w:hint="eastAsia" w:ascii="宋体" w:hAnsi="宋体" w:cs="宋体"/>
                <w:sz w:val="18"/>
                <w:szCs w:val="18"/>
              </w:rPr>
              <w:t>；</w:t>
            </w:r>
          </w:p>
        </w:tc>
        <w:tc>
          <w:tcPr>
            <w:tcW w:w="669" w:type="dxa"/>
            <w:tcBorders>
              <w:top w:val="single" w:color="auto" w:sz="4" w:space="0"/>
              <w:left w:val="nil"/>
              <w:bottom w:val="single" w:color="auto" w:sz="4" w:space="0"/>
              <w:right w:val="single" w:color="auto" w:sz="4" w:space="0"/>
            </w:tcBorders>
            <w:vAlign w:val="center"/>
          </w:tcPr>
          <w:p>
            <w:pPr>
              <w:widowControl/>
              <w:spacing w:line="280" w:lineRule="exact"/>
              <w:jc w:val="left"/>
              <w:rPr>
                <w:rFonts w:ascii="宋体" w:hAnsi="宋体" w:cs="宋体"/>
                <w:sz w:val="18"/>
                <w:szCs w:val="18"/>
              </w:rPr>
            </w:pPr>
            <w:r>
              <w:rPr>
                <w:rFonts w:hint="eastAsia" w:ascii="宋体" w:hAnsi="宋体" w:cs="宋体"/>
                <w:sz w:val="18"/>
                <w:szCs w:val="18"/>
              </w:rPr>
              <w:t>　</w:t>
            </w:r>
          </w:p>
        </w:tc>
        <w:tc>
          <w:tcPr>
            <w:tcW w:w="1134" w:type="dxa"/>
            <w:tcBorders>
              <w:top w:val="single" w:color="auto" w:sz="4" w:space="0"/>
              <w:left w:val="nil"/>
              <w:bottom w:val="single" w:color="auto" w:sz="4" w:space="0"/>
              <w:right w:val="single" w:color="auto" w:sz="4" w:space="0"/>
            </w:tcBorders>
            <w:vAlign w:val="center"/>
          </w:tcPr>
          <w:p>
            <w:pPr>
              <w:widowControl/>
              <w:spacing w:line="280" w:lineRule="exact"/>
              <w:jc w:val="left"/>
              <w:rPr>
                <w:rFonts w:ascii="宋体" w:hAnsi="宋体" w:cs="宋体"/>
                <w:sz w:val="18"/>
                <w:szCs w:val="18"/>
              </w:rPr>
            </w:pPr>
            <w:r>
              <w:rPr>
                <w:rFonts w:hint="eastAsia" w:ascii="宋体" w:hAnsi="宋体" w:cs="宋体"/>
                <w:sz w:val="18"/>
                <w:szCs w:val="18"/>
              </w:rPr>
              <w:t>　</w:t>
            </w:r>
          </w:p>
        </w:tc>
      </w:tr>
      <w:tr>
        <w:tblPrEx>
          <w:tblCellMar>
            <w:top w:w="0" w:type="dxa"/>
            <w:left w:w="108" w:type="dxa"/>
            <w:bottom w:w="0" w:type="dxa"/>
            <w:right w:w="108" w:type="dxa"/>
          </w:tblCellMar>
        </w:tblPrEx>
        <w:trPr>
          <w:trHeight w:val="177" w:hRule="atLeast"/>
        </w:trPr>
        <w:tc>
          <w:tcPr>
            <w:tcW w:w="1200"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80" w:lineRule="exact"/>
              <w:jc w:val="left"/>
              <w:rPr>
                <w:rFonts w:ascii="宋体" w:hAnsi="宋体" w:cs="宋体"/>
                <w:sz w:val="18"/>
                <w:szCs w:val="18"/>
              </w:rPr>
            </w:pPr>
          </w:p>
        </w:tc>
        <w:tc>
          <w:tcPr>
            <w:tcW w:w="1080"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80" w:lineRule="exact"/>
              <w:jc w:val="left"/>
              <w:rPr>
                <w:rFonts w:ascii="宋体" w:hAnsi="宋体" w:cs="宋体"/>
                <w:sz w:val="18"/>
                <w:szCs w:val="18"/>
              </w:rPr>
            </w:pPr>
          </w:p>
        </w:tc>
        <w:tc>
          <w:tcPr>
            <w:tcW w:w="4681" w:type="dxa"/>
            <w:tcBorders>
              <w:top w:val="single" w:color="auto" w:sz="4" w:space="0"/>
              <w:left w:val="nil"/>
              <w:bottom w:val="single" w:color="auto" w:sz="4" w:space="0"/>
              <w:right w:val="single" w:color="auto" w:sz="4" w:space="0"/>
            </w:tcBorders>
            <w:vAlign w:val="center"/>
          </w:tcPr>
          <w:p>
            <w:pPr>
              <w:widowControl/>
              <w:spacing w:line="280" w:lineRule="exact"/>
              <w:jc w:val="left"/>
              <w:rPr>
                <w:rFonts w:ascii="宋体" w:hAnsi="宋体" w:cs="宋体"/>
                <w:sz w:val="18"/>
                <w:szCs w:val="18"/>
              </w:rPr>
            </w:pPr>
            <w:bookmarkStart w:id="144" w:name="_Toc347328969"/>
            <w:r>
              <w:rPr>
                <w:rFonts w:hint="eastAsia" w:ascii="宋体" w:hAnsi="宋体" w:cs="宋体"/>
                <w:sz w:val="18"/>
                <w:szCs w:val="18"/>
              </w:rPr>
              <w:t>3、按规定做好记录的或编写检查月报。</w:t>
            </w:r>
            <w:bookmarkEnd w:id="144"/>
          </w:p>
        </w:tc>
        <w:tc>
          <w:tcPr>
            <w:tcW w:w="709"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80" w:lineRule="exact"/>
              <w:jc w:val="left"/>
              <w:rPr>
                <w:rFonts w:ascii="宋体" w:hAnsi="宋体" w:cs="宋体"/>
                <w:sz w:val="18"/>
                <w:szCs w:val="18"/>
              </w:rPr>
            </w:pPr>
          </w:p>
        </w:tc>
        <w:tc>
          <w:tcPr>
            <w:tcW w:w="5143" w:type="dxa"/>
            <w:tcBorders>
              <w:top w:val="single" w:color="auto" w:sz="4" w:space="0"/>
              <w:left w:val="nil"/>
              <w:bottom w:val="single" w:color="auto" w:sz="4" w:space="0"/>
              <w:right w:val="single" w:color="auto" w:sz="4" w:space="0"/>
            </w:tcBorders>
            <w:vAlign w:val="center"/>
          </w:tcPr>
          <w:p>
            <w:pPr>
              <w:widowControl/>
              <w:spacing w:line="280" w:lineRule="exact"/>
              <w:jc w:val="left"/>
              <w:rPr>
                <w:rFonts w:ascii="宋体" w:hAnsi="宋体" w:cs="宋体"/>
                <w:sz w:val="18"/>
                <w:szCs w:val="18"/>
              </w:rPr>
            </w:pPr>
            <w:bookmarkStart w:id="145" w:name="_Toc347328970"/>
            <w:r>
              <w:rPr>
                <w:rFonts w:hint="eastAsia" w:ascii="宋体" w:hAnsi="宋体" w:cs="宋体"/>
                <w:sz w:val="18"/>
                <w:szCs w:val="18"/>
              </w:rPr>
              <w:t>未做好巡查纪录的，扣10分；</w:t>
            </w:r>
            <w:bookmarkEnd w:id="145"/>
          </w:p>
        </w:tc>
        <w:tc>
          <w:tcPr>
            <w:tcW w:w="669" w:type="dxa"/>
            <w:tcBorders>
              <w:top w:val="single" w:color="auto" w:sz="4" w:space="0"/>
              <w:left w:val="nil"/>
              <w:bottom w:val="single" w:color="auto" w:sz="4" w:space="0"/>
              <w:right w:val="single" w:color="auto" w:sz="4" w:space="0"/>
            </w:tcBorders>
            <w:vAlign w:val="center"/>
          </w:tcPr>
          <w:p>
            <w:pPr>
              <w:widowControl/>
              <w:spacing w:line="280" w:lineRule="exact"/>
              <w:jc w:val="left"/>
              <w:rPr>
                <w:rFonts w:ascii="宋体" w:hAnsi="宋体" w:cs="宋体"/>
                <w:sz w:val="18"/>
                <w:szCs w:val="18"/>
              </w:rPr>
            </w:pPr>
            <w:r>
              <w:rPr>
                <w:rFonts w:hint="eastAsia" w:ascii="宋体" w:hAnsi="宋体" w:cs="宋体"/>
                <w:sz w:val="18"/>
                <w:szCs w:val="18"/>
              </w:rPr>
              <w:t>　</w:t>
            </w:r>
          </w:p>
        </w:tc>
        <w:tc>
          <w:tcPr>
            <w:tcW w:w="1134" w:type="dxa"/>
            <w:tcBorders>
              <w:top w:val="single" w:color="auto" w:sz="4" w:space="0"/>
              <w:left w:val="nil"/>
              <w:bottom w:val="single" w:color="auto" w:sz="4" w:space="0"/>
              <w:right w:val="single" w:color="auto" w:sz="4" w:space="0"/>
            </w:tcBorders>
            <w:vAlign w:val="center"/>
          </w:tcPr>
          <w:p>
            <w:pPr>
              <w:widowControl/>
              <w:spacing w:line="280" w:lineRule="exact"/>
              <w:jc w:val="left"/>
              <w:rPr>
                <w:rFonts w:ascii="宋体" w:hAnsi="宋体" w:cs="宋体"/>
                <w:sz w:val="18"/>
                <w:szCs w:val="18"/>
              </w:rPr>
            </w:pPr>
            <w:r>
              <w:rPr>
                <w:rFonts w:hint="eastAsia" w:ascii="宋体" w:hAnsi="宋体" w:cs="宋体"/>
                <w:sz w:val="18"/>
                <w:szCs w:val="18"/>
              </w:rPr>
              <w:t>　</w:t>
            </w:r>
          </w:p>
        </w:tc>
      </w:tr>
      <w:tr>
        <w:tblPrEx>
          <w:tblCellMar>
            <w:top w:w="0" w:type="dxa"/>
            <w:left w:w="108" w:type="dxa"/>
            <w:bottom w:w="0" w:type="dxa"/>
            <w:right w:w="108" w:type="dxa"/>
          </w:tblCellMar>
        </w:tblPrEx>
        <w:trPr>
          <w:trHeight w:val="446" w:hRule="atLeast"/>
        </w:trPr>
        <w:tc>
          <w:tcPr>
            <w:tcW w:w="1200"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80" w:lineRule="exact"/>
              <w:jc w:val="left"/>
              <w:rPr>
                <w:rFonts w:ascii="宋体" w:hAnsi="宋体" w:cs="宋体"/>
                <w:sz w:val="18"/>
                <w:szCs w:val="18"/>
              </w:rPr>
            </w:pPr>
          </w:p>
        </w:tc>
        <w:tc>
          <w:tcPr>
            <w:tcW w:w="1080"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80" w:lineRule="exact"/>
              <w:jc w:val="left"/>
              <w:rPr>
                <w:rFonts w:ascii="宋体" w:hAnsi="宋体" w:cs="宋体"/>
                <w:sz w:val="18"/>
                <w:szCs w:val="18"/>
              </w:rPr>
            </w:pPr>
          </w:p>
        </w:tc>
        <w:tc>
          <w:tcPr>
            <w:tcW w:w="4681" w:type="dxa"/>
            <w:tcBorders>
              <w:top w:val="single" w:color="auto" w:sz="4" w:space="0"/>
              <w:left w:val="nil"/>
              <w:bottom w:val="single" w:color="auto" w:sz="4" w:space="0"/>
              <w:right w:val="single" w:color="auto" w:sz="4" w:space="0"/>
            </w:tcBorders>
            <w:vAlign w:val="center"/>
          </w:tcPr>
          <w:p>
            <w:pPr>
              <w:widowControl/>
              <w:spacing w:line="280" w:lineRule="exact"/>
              <w:jc w:val="left"/>
              <w:rPr>
                <w:rFonts w:ascii="宋体" w:hAnsi="宋体" w:cs="宋体"/>
                <w:sz w:val="18"/>
                <w:szCs w:val="18"/>
              </w:rPr>
            </w:pPr>
            <w:r>
              <w:rPr>
                <w:rFonts w:hint="eastAsia" w:ascii="宋体" w:hAnsi="宋体" w:cs="宋体"/>
                <w:sz w:val="18"/>
                <w:szCs w:val="18"/>
              </w:rPr>
              <w:t>4、运行操作规范，有预警预案，并未受群众投诉。</w:t>
            </w:r>
          </w:p>
        </w:tc>
        <w:tc>
          <w:tcPr>
            <w:tcW w:w="709"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80" w:lineRule="exact"/>
              <w:jc w:val="left"/>
              <w:rPr>
                <w:rFonts w:ascii="宋体" w:hAnsi="宋体" w:cs="宋体"/>
                <w:sz w:val="18"/>
                <w:szCs w:val="18"/>
              </w:rPr>
            </w:pPr>
          </w:p>
        </w:tc>
        <w:tc>
          <w:tcPr>
            <w:tcW w:w="5143" w:type="dxa"/>
            <w:tcBorders>
              <w:top w:val="single" w:color="auto" w:sz="4" w:space="0"/>
              <w:left w:val="nil"/>
              <w:bottom w:val="single" w:color="auto" w:sz="4" w:space="0"/>
              <w:right w:val="single" w:color="auto" w:sz="4" w:space="0"/>
            </w:tcBorders>
            <w:vAlign w:val="center"/>
          </w:tcPr>
          <w:p>
            <w:pPr>
              <w:widowControl/>
              <w:spacing w:line="280" w:lineRule="exact"/>
              <w:jc w:val="left"/>
              <w:rPr>
                <w:rFonts w:ascii="宋体" w:hAnsi="宋体" w:cs="宋体"/>
                <w:sz w:val="18"/>
                <w:szCs w:val="18"/>
              </w:rPr>
            </w:pPr>
            <w:r>
              <w:rPr>
                <w:rFonts w:hint="eastAsia" w:ascii="宋体" w:hAnsi="宋体" w:cs="宋体"/>
                <w:sz w:val="18"/>
                <w:szCs w:val="18"/>
              </w:rPr>
              <w:t>收到群众投诉经核实确实存在问题的扣2分，若存在多次群众投诉经核实确实存在问题的累计扣分。</w:t>
            </w:r>
          </w:p>
        </w:tc>
        <w:tc>
          <w:tcPr>
            <w:tcW w:w="669" w:type="dxa"/>
            <w:tcBorders>
              <w:top w:val="single" w:color="auto" w:sz="4" w:space="0"/>
              <w:left w:val="nil"/>
              <w:bottom w:val="single" w:color="auto" w:sz="4" w:space="0"/>
              <w:right w:val="single" w:color="auto" w:sz="4" w:space="0"/>
            </w:tcBorders>
            <w:vAlign w:val="center"/>
          </w:tcPr>
          <w:p>
            <w:pPr>
              <w:widowControl/>
              <w:spacing w:line="280" w:lineRule="exact"/>
              <w:jc w:val="left"/>
              <w:rPr>
                <w:rFonts w:ascii="宋体" w:hAnsi="宋体" w:cs="宋体"/>
                <w:sz w:val="18"/>
                <w:szCs w:val="18"/>
              </w:rPr>
            </w:pPr>
          </w:p>
        </w:tc>
        <w:tc>
          <w:tcPr>
            <w:tcW w:w="1134" w:type="dxa"/>
            <w:tcBorders>
              <w:top w:val="single" w:color="auto" w:sz="4" w:space="0"/>
              <w:left w:val="nil"/>
              <w:bottom w:val="single" w:color="auto" w:sz="4" w:space="0"/>
              <w:right w:val="single" w:color="auto" w:sz="4" w:space="0"/>
            </w:tcBorders>
            <w:vAlign w:val="center"/>
          </w:tcPr>
          <w:p>
            <w:pPr>
              <w:widowControl/>
              <w:spacing w:line="280" w:lineRule="exact"/>
              <w:jc w:val="left"/>
              <w:rPr>
                <w:rFonts w:ascii="宋体" w:hAnsi="宋体" w:cs="宋体"/>
                <w:sz w:val="18"/>
                <w:szCs w:val="18"/>
              </w:rPr>
            </w:pPr>
          </w:p>
        </w:tc>
      </w:tr>
      <w:tr>
        <w:tblPrEx>
          <w:tblCellMar>
            <w:top w:w="0" w:type="dxa"/>
            <w:left w:w="108" w:type="dxa"/>
            <w:bottom w:w="0" w:type="dxa"/>
            <w:right w:w="108" w:type="dxa"/>
          </w:tblCellMar>
        </w:tblPrEx>
        <w:trPr>
          <w:trHeight w:val="665" w:hRule="atLeast"/>
        </w:trPr>
        <w:tc>
          <w:tcPr>
            <w:tcW w:w="1200" w:type="dxa"/>
            <w:vMerge w:val="restart"/>
            <w:tcBorders>
              <w:top w:val="single" w:color="auto" w:sz="4" w:space="0"/>
              <w:left w:val="single" w:color="auto" w:sz="4" w:space="0"/>
              <w:right w:val="single" w:color="auto" w:sz="4" w:space="0"/>
            </w:tcBorders>
            <w:vAlign w:val="center"/>
          </w:tcPr>
          <w:p>
            <w:pPr>
              <w:widowControl/>
              <w:spacing w:line="280" w:lineRule="exact"/>
              <w:jc w:val="center"/>
              <w:rPr>
                <w:rFonts w:ascii="宋体" w:hAnsi="宋体" w:cs="宋体"/>
                <w:szCs w:val="21"/>
                <w:highlight w:val="none"/>
              </w:rPr>
            </w:pPr>
            <w:r>
              <w:rPr>
                <w:rFonts w:hint="eastAsia" w:ascii="宋体" w:hAnsi="宋体" w:cs="宋体"/>
                <w:szCs w:val="21"/>
                <w:highlight w:val="none"/>
              </w:rPr>
              <w:t>三、泥浆处理质量控制</w:t>
            </w:r>
          </w:p>
          <w:p>
            <w:pPr>
              <w:widowControl/>
              <w:spacing w:line="280" w:lineRule="exact"/>
              <w:jc w:val="center"/>
              <w:rPr>
                <w:rFonts w:ascii="宋体" w:hAnsi="宋体" w:cs="宋体"/>
                <w:szCs w:val="21"/>
                <w:highlight w:val="none"/>
              </w:rPr>
            </w:pPr>
            <w:r>
              <w:rPr>
                <w:rFonts w:hint="eastAsia" w:ascii="宋体" w:hAnsi="宋体" w:cs="宋体"/>
                <w:szCs w:val="21"/>
                <w:highlight w:val="none"/>
              </w:rPr>
              <w:t>（100分）</w:t>
            </w:r>
          </w:p>
        </w:tc>
        <w:tc>
          <w:tcPr>
            <w:tcW w:w="1080" w:type="dxa"/>
            <w:vMerge w:val="restart"/>
            <w:tcBorders>
              <w:top w:val="single" w:color="auto" w:sz="4" w:space="0"/>
              <w:left w:val="single" w:color="auto" w:sz="4" w:space="0"/>
              <w:bottom w:val="single" w:color="auto" w:sz="4" w:space="0"/>
              <w:right w:val="single" w:color="auto" w:sz="4" w:space="0"/>
            </w:tcBorders>
            <w:vAlign w:val="center"/>
          </w:tcPr>
          <w:p>
            <w:pPr>
              <w:widowControl/>
              <w:spacing w:line="280" w:lineRule="exact"/>
              <w:jc w:val="center"/>
              <w:rPr>
                <w:rFonts w:ascii="宋体" w:hAnsi="宋体" w:cs="宋体"/>
                <w:szCs w:val="21"/>
                <w:highlight w:val="none"/>
              </w:rPr>
            </w:pPr>
            <w:r>
              <w:rPr>
                <w:rFonts w:hint="eastAsia" w:ascii="宋体" w:hAnsi="宋体" w:cs="Arial"/>
                <w:szCs w:val="21"/>
                <w:highlight w:val="none"/>
              </w:rPr>
              <w:t>承载力</w:t>
            </w:r>
          </w:p>
        </w:tc>
        <w:tc>
          <w:tcPr>
            <w:tcW w:w="4681" w:type="dxa"/>
            <w:vMerge w:val="restart"/>
            <w:tcBorders>
              <w:top w:val="single" w:color="auto" w:sz="4" w:space="0"/>
              <w:left w:val="single" w:color="auto" w:sz="4" w:space="0"/>
              <w:bottom w:val="single" w:color="auto" w:sz="4" w:space="0"/>
              <w:right w:val="single" w:color="auto" w:sz="4" w:space="0"/>
            </w:tcBorders>
            <w:vAlign w:val="center"/>
          </w:tcPr>
          <w:p>
            <w:pPr>
              <w:widowControl/>
              <w:spacing w:line="280" w:lineRule="exact"/>
              <w:jc w:val="left"/>
              <w:rPr>
                <w:rFonts w:ascii="宋体" w:hAnsi="宋体" w:cs="宋体"/>
                <w:szCs w:val="21"/>
                <w:highlight w:val="none"/>
              </w:rPr>
            </w:pPr>
            <w:r>
              <w:rPr>
                <w:rFonts w:hint="eastAsia" w:ascii="宋体" w:hAnsi="宋体"/>
                <w:szCs w:val="21"/>
                <w:highlight w:val="none"/>
              </w:rPr>
              <w:t>1、泥浆通过原位固化处理后的地基承载力≥50KPa</w:t>
            </w:r>
            <w:r>
              <w:rPr>
                <w:rFonts w:hint="eastAsia" w:ascii="宋体" w:hAnsi="宋体" w:cs="宋体"/>
                <w:sz w:val="22"/>
                <w:highlight w:val="none"/>
              </w:rPr>
              <w:t>（</w:t>
            </w:r>
            <w:r>
              <w:rPr>
                <w:rFonts w:hint="eastAsia" w:ascii="宋体" w:hAnsi="宋体" w:cs="宋体"/>
                <w:b/>
                <w:sz w:val="22"/>
                <w:highlight w:val="none"/>
              </w:rPr>
              <w:t>每5000m</w:t>
            </w:r>
            <w:r>
              <w:rPr>
                <w:rFonts w:hint="eastAsia" w:ascii="宋体" w:hAnsi="宋体" w:cs="宋体"/>
                <w:b/>
                <w:sz w:val="22"/>
                <w:highlight w:val="none"/>
                <w:vertAlign w:val="superscript"/>
              </w:rPr>
              <w:t>2</w:t>
            </w:r>
            <w:r>
              <w:rPr>
                <w:rFonts w:hint="eastAsia" w:ascii="宋体" w:hAnsi="宋体" w:cs="宋体"/>
                <w:b/>
                <w:sz w:val="22"/>
                <w:highlight w:val="none"/>
              </w:rPr>
              <w:t>检测点不少于一个，且</w:t>
            </w:r>
            <w:r>
              <w:rPr>
                <w:rFonts w:hint="eastAsia" w:ascii="宋体" w:hAnsi="宋体" w:cs="宋体"/>
                <w:sz w:val="22"/>
                <w:highlight w:val="none"/>
              </w:rPr>
              <w:t>单个项目或地块测试点不少于3个）</w:t>
            </w:r>
          </w:p>
        </w:tc>
        <w:tc>
          <w:tcPr>
            <w:tcW w:w="709" w:type="dxa"/>
            <w:vMerge w:val="restart"/>
            <w:tcBorders>
              <w:top w:val="single" w:color="auto" w:sz="4" w:space="0"/>
              <w:left w:val="nil"/>
              <w:bottom w:val="single" w:color="auto" w:sz="4" w:space="0"/>
              <w:right w:val="single" w:color="auto" w:sz="4" w:space="0"/>
            </w:tcBorders>
            <w:vAlign w:val="center"/>
          </w:tcPr>
          <w:p>
            <w:pPr>
              <w:widowControl/>
              <w:spacing w:line="280" w:lineRule="exact"/>
              <w:jc w:val="center"/>
              <w:rPr>
                <w:rFonts w:ascii="宋体" w:hAnsi="宋体" w:cs="宋体"/>
                <w:szCs w:val="21"/>
                <w:highlight w:val="none"/>
              </w:rPr>
            </w:pPr>
            <w:r>
              <w:rPr>
                <w:rFonts w:hint="eastAsia" w:ascii="宋体" w:hAnsi="宋体" w:cs="宋体"/>
                <w:szCs w:val="21"/>
                <w:highlight w:val="none"/>
              </w:rPr>
              <w:t>100</w:t>
            </w:r>
          </w:p>
        </w:tc>
        <w:tc>
          <w:tcPr>
            <w:tcW w:w="5143" w:type="dxa"/>
            <w:tcBorders>
              <w:top w:val="single" w:color="auto" w:sz="4" w:space="0"/>
              <w:left w:val="nil"/>
              <w:bottom w:val="single" w:color="auto" w:sz="4" w:space="0"/>
              <w:right w:val="single" w:color="auto" w:sz="4" w:space="0"/>
            </w:tcBorders>
            <w:vAlign w:val="center"/>
          </w:tcPr>
          <w:p>
            <w:pPr>
              <w:widowControl/>
              <w:spacing w:line="280" w:lineRule="exact"/>
              <w:jc w:val="left"/>
              <w:rPr>
                <w:rFonts w:ascii="宋体" w:hAnsi="宋体" w:cs="宋体"/>
                <w:szCs w:val="21"/>
                <w:highlight w:val="none"/>
              </w:rPr>
            </w:pPr>
            <w:r>
              <w:rPr>
                <w:rFonts w:hint="eastAsia" w:ascii="宋体" w:hAnsi="宋体"/>
                <w:szCs w:val="21"/>
                <w:highlight w:val="none"/>
              </w:rPr>
              <w:t>1、泥浆通过原位固化处理后的地基承载力≥50KPa，不扣分；</w:t>
            </w:r>
          </w:p>
        </w:tc>
        <w:tc>
          <w:tcPr>
            <w:tcW w:w="669" w:type="dxa"/>
            <w:tcBorders>
              <w:top w:val="single" w:color="auto" w:sz="4" w:space="0"/>
              <w:left w:val="nil"/>
              <w:bottom w:val="single" w:color="auto" w:sz="4" w:space="0"/>
              <w:right w:val="single" w:color="auto" w:sz="4" w:space="0"/>
            </w:tcBorders>
            <w:vAlign w:val="center"/>
          </w:tcPr>
          <w:p>
            <w:pPr>
              <w:widowControl/>
              <w:spacing w:line="280" w:lineRule="exact"/>
              <w:jc w:val="left"/>
              <w:rPr>
                <w:rFonts w:ascii="宋体" w:hAnsi="宋体" w:cs="宋体"/>
                <w:szCs w:val="21"/>
                <w:highlight w:val="none"/>
              </w:rPr>
            </w:pPr>
          </w:p>
        </w:tc>
        <w:tc>
          <w:tcPr>
            <w:tcW w:w="1134" w:type="dxa"/>
            <w:tcBorders>
              <w:top w:val="single" w:color="auto" w:sz="4" w:space="0"/>
              <w:left w:val="nil"/>
              <w:bottom w:val="single" w:color="auto" w:sz="4" w:space="0"/>
              <w:right w:val="single" w:color="auto" w:sz="4" w:space="0"/>
            </w:tcBorders>
            <w:vAlign w:val="center"/>
          </w:tcPr>
          <w:p>
            <w:pPr>
              <w:widowControl/>
              <w:spacing w:line="280" w:lineRule="exact"/>
              <w:jc w:val="left"/>
              <w:rPr>
                <w:rFonts w:ascii="宋体" w:hAnsi="宋体" w:cs="宋体"/>
                <w:szCs w:val="21"/>
                <w:highlight w:val="none"/>
              </w:rPr>
            </w:pPr>
          </w:p>
        </w:tc>
      </w:tr>
      <w:tr>
        <w:tblPrEx>
          <w:tblCellMar>
            <w:top w:w="0" w:type="dxa"/>
            <w:left w:w="108" w:type="dxa"/>
            <w:bottom w:w="0" w:type="dxa"/>
            <w:right w:w="108" w:type="dxa"/>
          </w:tblCellMar>
        </w:tblPrEx>
        <w:trPr>
          <w:trHeight w:val="701" w:hRule="atLeast"/>
        </w:trPr>
        <w:tc>
          <w:tcPr>
            <w:tcW w:w="1200" w:type="dxa"/>
            <w:vMerge w:val="continue"/>
            <w:tcBorders>
              <w:left w:val="single" w:color="auto" w:sz="4" w:space="0"/>
              <w:bottom w:val="single" w:color="auto" w:sz="4" w:space="0"/>
              <w:right w:val="single" w:color="auto" w:sz="4" w:space="0"/>
            </w:tcBorders>
            <w:vAlign w:val="center"/>
          </w:tcPr>
          <w:p>
            <w:pPr>
              <w:widowControl/>
              <w:spacing w:line="280" w:lineRule="exact"/>
              <w:jc w:val="center"/>
              <w:rPr>
                <w:rFonts w:ascii="宋体" w:hAnsi="宋体" w:cs="宋体"/>
                <w:szCs w:val="21"/>
                <w:highlight w:val="none"/>
              </w:rPr>
            </w:pPr>
          </w:p>
        </w:tc>
        <w:tc>
          <w:tcPr>
            <w:tcW w:w="1080"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80" w:lineRule="exact"/>
              <w:jc w:val="center"/>
              <w:rPr>
                <w:rFonts w:ascii="宋体" w:hAnsi="宋体" w:cs="Arial"/>
                <w:szCs w:val="21"/>
                <w:highlight w:val="none"/>
              </w:rPr>
            </w:pPr>
          </w:p>
        </w:tc>
        <w:tc>
          <w:tcPr>
            <w:tcW w:w="4681"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80" w:lineRule="exact"/>
              <w:jc w:val="left"/>
              <w:rPr>
                <w:rFonts w:ascii="宋体" w:hAnsi="宋体" w:cs="宋体"/>
                <w:szCs w:val="21"/>
                <w:highlight w:val="none"/>
              </w:rPr>
            </w:pPr>
          </w:p>
        </w:tc>
        <w:tc>
          <w:tcPr>
            <w:tcW w:w="709" w:type="dxa"/>
            <w:vMerge w:val="continue"/>
            <w:tcBorders>
              <w:top w:val="single" w:color="auto" w:sz="4" w:space="0"/>
              <w:left w:val="nil"/>
              <w:bottom w:val="single" w:color="auto" w:sz="4" w:space="0"/>
              <w:right w:val="single" w:color="auto" w:sz="4" w:space="0"/>
            </w:tcBorders>
            <w:vAlign w:val="center"/>
          </w:tcPr>
          <w:p>
            <w:pPr>
              <w:widowControl/>
              <w:spacing w:line="280" w:lineRule="exact"/>
              <w:jc w:val="center"/>
              <w:rPr>
                <w:rFonts w:ascii="宋体" w:hAnsi="宋体" w:cs="宋体"/>
                <w:szCs w:val="21"/>
                <w:highlight w:val="none"/>
              </w:rPr>
            </w:pPr>
          </w:p>
        </w:tc>
        <w:tc>
          <w:tcPr>
            <w:tcW w:w="5143" w:type="dxa"/>
            <w:tcBorders>
              <w:top w:val="single" w:color="auto" w:sz="4" w:space="0"/>
              <w:left w:val="nil"/>
              <w:bottom w:val="single" w:color="auto" w:sz="4" w:space="0"/>
              <w:right w:val="single" w:color="auto" w:sz="4" w:space="0"/>
            </w:tcBorders>
            <w:vAlign w:val="center"/>
          </w:tcPr>
          <w:p>
            <w:pPr>
              <w:widowControl/>
              <w:spacing w:line="280" w:lineRule="exact"/>
              <w:jc w:val="left"/>
              <w:rPr>
                <w:rFonts w:ascii="宋体" w:hAnsi="宋体" w:cs="宋体"/>
                <w:szCs w:val="21"/>
                <w:highlight w:val="none"/>
              </w:rPr>
            </w:pPr>
            <w:r>
              <w:rPr>
                <w:rFonts w:hint="eastAsia" w:ascii="宋体" w:hAnsi="宋体"/>
                <w:szCs w:val="21"/>
                <w:highlight w:val="none"/>
              </w:rPr>
              <w:t>2、泥浆通过原位固化处理后的地基承载力≤50KPa，每查到一次，扣10分。</w:t>
            </w:r>
          </w:p>
        </w:tc>
        <w:tc>
          <w:tcPr>
            <w:tcW w:w="669" w:type="dxa"/>
            <w:tcBorders>
              <w:top w:val="single" w:color="auto" w:sz="4" w:space="0"/>
              <w:left w:val="nil"/>
              <w:bottom w:val="single" w:color="auto" w:sz="4" w:space="0"/>
              <w:right w:val="single" w:color="auto" w:sz="4" w:space="0"/>
            </w:tcBorders>
            <w:vAlign w:val="center"/>
          </w:tcPr>
          <w:p>
            <w:pPr>
              <w:widowControl/>
              <w:spacing w:line="280" w:lineRule="exact"/>
              <w:jc w:val="left"/>
              <w:rPr>
                <w:rFonts w:ascii="宋体" w:hAnsi="宋体" w:cs="宋体"/>
                <w:szCs w:val="21"/>
                <w:highlight w:val="none"/>
              </w:rPr>
            </w:pPr>
          </w:p>
        </w:tc>
        <w:tc>
          <w:tcPr>
            <w:tcW w:w="1134" w:type="dxa"/>
            <w:tcBorders>
              <w:top w:val="single" w:color="auto" w:sz="4" w:space="0"/>
              <w:left w:val="nil"/>
              <w:bottom w:val="single" w:color="auto" w:sz="4" w:space="0"/>
              <w:right w:val="single" w:color="auto" w:sz="4" w:space="0"/>
            </w:tcBorders>
            <w:vAlign w:val="center"/>
          </w:tcPr>
          <w:p>
            <w:pPr>
              <w:widowControl/>
              <w:spacing w:line="280" w:lineRule="exact"/>
              <w:jc w:val="left"/>
              <w:rPr>
                <w:rFonts w:ascii="宋体" w:hAnsi="宋体" w:cs="宋体"/>
                <w:szCs w:val="21"/>
                <w:highlight w:val="none"/>
              </w:rPr>
            </w:pPr>
          </w:p>
        </w:tc>
      </w:tr>
    </w:tbl>
    <w:p>
      <w:pPr>
        <w:widowControl/>
        <w:ind w:firstLine="210" w:firstLineChars="100"/>
        <w:rPr>
          <w:rFonts w:ascii="宋体" w:hAnsi="宋体" w:cs="宋体"/>
          <w:szCs w:val="21"/>
          <w:highlight w:val="none"/>
        </w:rPr>
      </w:pPr>
      <w:r>
        <w:rPr>
          <w:rFonts w:hint="eastAsia" w:ascii="宋体" w:hAnsi="宋体" w:cs="宋体"/>
          <w:szCs w:val="21"/>
          <w:highlight w:val="none"/>
        </w:rPr>
        <w:t>备注：1.组织管理得分占权重分的25%；安全生产管理得分占权重分的25%；泥浆脱水固化质量控制占权重分的50%；</w:t>
      </w:r>
    </w:p>
    <w:p>
      <w:pPr>
        <w:widowControl/>
        <w:ind w:firstLine="210" w:firstLineChars="100"/>
        <w:rPr>
          <w:rFonts w:ascii="宋体" w:hAnsi="宋体" w:cs="宋体"/>
          <w:szCs w:val="21"/>
          <w:highlight w:val="none"/>
        </w:rPr>
      </w:pPr>
      <w:r>
        <w:rPr>
          <w:rFonts w:hint="eastAsia" w:ascii="宋体" w:hAnsi="宋体" w:cs="宋体"/>
          <w:szCs w:val="21"/>
          <w:highlight w:val="none"/>
        </w:rPr>
        <w:t>2.组织管理、安全生产管理、质量控制三项考核均在60分以上，且经过权重计算累加后综合得分（满分为100分）考核分在80分（含）以上的，本年度综合考核为合格，在80分以下的，本年度综合考核为不合格。</w:t>
      </w:r>
    </w:p>
    <w:p>
      <w:pPr>
        <w:widowControl/>
        <w:ind w:firstLine="210" w:firstLineChars="100"/>
        <w:rPr>
          <w:rFonts w:ascii="宋体" w:hAnsi="宋体" w:cs="宋体"/>
          <w:szCs w:val="21"/>
          <w:highlight w:val="none"/>
        </w:rPr>
      </w:pPr>
    </w:p>
    <w:p>
      <w:pPr>
        <w:widowControl/>
        <w:rPr>
          <w:rFonts w:ascii="宋体" w:hAnsi="宋体" w:cs="宋体"/>
          <w:szCs w:val="21"/>
        </w:rPr>
        <w:sectPr>
          <w:footerReference r:id="rId10" w:type="default"/>
          <w:pgSz w:w="16838" w:h="11906" w:orient="landscape"/>
          <w:pgMar w:top="1304" w:right="1134" w:bottom="1702" w:left="1134" w:header="851" w:footer="992" w:gutter="0"/>
          <w:pgNumType w:fmt="numberInDash"/>
          <w:cols w:space="720" w:num="1"/>
          <w:docGrid w:linePitch="312" w:charSpace="0"/>
        </w:sectPr>
      </w:pPr>
    </w:p>
    <w:bookmarkEnd w:id="122"/>
    <w:p>
      <w:pPr>
        <w:pStyle w:val="22"/>
        <w:snapToGrid w:val="0"/>
        <w:spacing w:line="440" w:lineRule="atLeast"/>
        <w:ind w:left="289" w:hanging="289" w:hangingChars="131"/>
        <w:jc w:val="left"/>
        <w:rPr>
          <w:rFonts w:ascii="宋体" w:hAnsi="宋体"/>
          <w:b/>
          <w:bCs/>
        </w:rPr>
      </w:pPr>
      <w:bookmarkStart w:id="146" w:name="_Toc103191857"/>
      <w:bookmarkStart w:id="147" w:name="_Toc432495859"/>
      <w:bookmarkStart w:id="148" w:name="_Toc432495801"/>
      <w:bookmarkStart w:id="149" w:name="_Toc12222"/>
      <w:bookmarkStart w:id="150" w:name="_Toc8138"/>
      <w:bookmarkStart w:id="151" w:name="_Toc518895410"/>
      <w:bookmarkStart w:id="152" w:name="_Toc103191979"/>
      <w:bookmarkStart w:id="153" w:name="_Toc173317408"/>
      <w:bookmarkStart w:id="154" w:name="_Toc32608"/>
      <w:bookmarkStart w:id="155" w:name="_Toc522645680"/>
      <w:bookmarkStart w:id="156" w:name="_Toc173317531"/>
      <w:bookmarkStart w:id="157" w:name="_Toc4256"/>
      <w:r>
        <w:rPr>
          <w:rFonts w:hint="eastAsia" w:ascii="宋体" w:hAnsi="宋体" w:cs="宋体"/>
          <w:b/>
          <w:bCs/>
          <w:sz w:val="22"/>
        </w:rPr>
        <w:t>附件一投标函</w:t>
      </w:r>
      <w:bookmarkEnd w:id="146"/>
      <w:bookmarkEnd w:id="147"/>
      <w:bookmarkEnd w:id="148"/>
      <w:bookmarkEnd w:id="149"/>
      <w:bookmarkEnd w:id="150"/>
      <w:bookmarkEnd w:id="151"/>
      <w:bookmarkEnd w:id="152"/>
      <w:bookmarkEnd w:id="153"/>
      <w:bookmarkEnd w:id="154"/>
      <w:bookmarkEnd w:id="155"/>
      <w:bookmarkEnd w:id="156"/>
      <w:bookmarkEnd w:id="157"/>
    </w:p>
    <w:p>
      <w:pPr>
        <w:pStyle w:val="22"/>
        <w:snapToGrid w:val="0"/>
        <w:spacing w:line="440" w:lineRule="atLeast"/>
        <w:ind w:left="421" w:hanging="421" w:hangingChars="131"/>
        <w:rPr>
          <w:rFonts w:ascii="宋体" w:hAnsi="宋体"/>
          <w:b/>
          <w:bCs/>
        </w:rPr>
      </w:pPr>
      <w:bookmarkStart w:id="158" w:name="_Toc173317532"/>
      <w:r>
        <w:rPr>
          <w:rFonts w:hint="eastAsia" w:ascii="宋体" w:hAnsi="宋体"/>
          <w:b/>
          <w:bCs/>
        </w:rPr>
        <w:t>第五部分投标文件格式</w:t>
      </w:r>
      <w:bookmarkEnd w:id="158"/>
    </w:p>
    <w:p>
      <w:pPr>
        <w:spacing w:line="400" w:lineRule="exact"/>
        <w:jc w:val="center"/>
        <w:rPr>
          <w:rFonts w:ascii="宋体" w:hAnsi="宋体" w:cs="宋体"/>
          <w:b/>
          <w:bCs/>
          <w:sz w:val="28"/>
          <w:szCs w:val="28"/>
        </w:rPr>
      </w:pPr>
    </w:p>
    <w:p>
      <w:pPr>
        <w:spacing w:line="400" w:lineRule="exact"/>
        <w:jc w:val="center"/>
        <w:rPr>
          <w:rFonts w:ascii="宋体" w:hAnsi="宋体" w:cs="宋体"/>
          <w:b/>
          <w:bCs/>
          <w:sz w:val="28"/>
          <w:szCs w:val="28"/>
        </w:rPr>
      </w:pPr>
      <w:r>
        <w:rPr>
          <w:rFonts w:hint="eastAsia" w:ascii="宋体" w:hAnsi="宋体" w:cs="宋体"/>
          <w:b/>
          <w:bCs/>
          <w:sz w:val="28"/>
          <w:szCs w:val="28"/>
        </w:rPr>
        <w:t>投标函</w:t>
      </w:r>
    </w:p>
    <w:p>
      <w:pPr>
        <w:spacing w:line="400" w:lineRule="exact"/>
        <w:rPr>
          <w:rFonts w:ascii="宋体" w:hAnsi="宋体" w:cs="宋体"/>
          <w:sz w:val="22"/>
        </w:rPr>
      </w:pPr>
      <w:r>
        <w:rPr>
          <w:rFonts w:hint="eastAsia" w:ascii="宋体" w:hAnsi="宋体" w:cs="宋体"/>
          <w:sz w:val="22"/>
        </w:rPr>
        <w:t>温州市海宸技术开发有限公司：</w:t>
      </w:r>
    </w:p>
    <w:p>
      <w:pPr>
        <w:spacing w:line="400" w:lineRule="exact"/>
        <w:ind w:firstLine="550" w:firstLineChars="250"/>
        <w:rPr>
          <w:rFonts w:ascii="宋体" w:hAnsi="宋体" w:cs="宋体"/>
          <w:sz w:val="22"/>
        </w:rPr>
      </w:pPr>
      <w:r>
        <w:rPr>
          <w:rFonts w:hint="eastAsia" w:ascii="宋体" w:hAnsi="宋体" w:cs="宋体"/>
          <w:sz w:val="22"/>
        </w:rPr>
        <w:t>根据贵方为</w:t>
      </w:r>
      <w:r>
        <w:rPr>
          <w:rFonts w:hint="eastAsia" w:ascii="宋体" w:hAnsi="宋体" w:cs="宋体"/>
          <w:sz w:val="22"/>
          <w:u w:val="single"/>
        </w:rPr>
        <w:t>温州瓯江口建筑泥浆资源化利用项目（原位固化含软基处理泥浆）</w:t>
      </w:r>
      <w:r>
        <w:rPr>
          <w:rFonts w:hint="eastAsia" w:ascii="宋体" w:hAnsi="宋体" w:cs="宋体"/>
          <w:sz w:val="22"/>
        </w:rPr>
        <w:t>项目（项目编号：XC-GC20241003）的投标邀请，我方</w:t>
      </w:r>
      <w:r>
        <w:rPr>
          <w:rFonts w:hint="eastAsia" w:ascii="宋体" w:hAnsi="宋体" w:cs="宋体"/>
          <w:sz w:val="22"/>
          <w:u w:val="single"/>
        </w:rPr>
        <w:t>（投标供应商名称）</w:t>
      </w:r>
      <w:r>
        <w:rPr>
          <w:rFonts w:hint="eastAsia" w:ascii="宋体" w:hAnsi="宋体" w:cs="宋体"/>
          <w:sz w:val="22"/>
        </w:rPr>
        <w:t>作为投标供应商正式授权</w:t>
      </w:r>
      <w:r>
        <w:rPr>
          <w:rFonts w:hint="eastAsia" w:ascii="宋体" w:hAnsi="宋体" w:cs="宋体"/>
          <w:sz w:val="22"/>
          <w:u w:val="single"/>
        </w:rPr>
        <w:t>　</w:t>
      </w:r>
      <w:r>
        <w:rPr>
          <w:rFonts w:hint="eastAsia" w:ascii="宋体" w:hAnsi="宋体" w:cs="宋体"/>
          <w:sz w:val="22"/>
        </w:rPr>
        <w:t>（授权代表全名，职务）代表我方处理有关本投标的一切事宜。</w:t>
      </w:r>
    </w:p>
    <w:p>
      <w:pPr>
        <w:spacing w:line="400" w:lineRule="exact"/>
        <w:ind w:firstLine="440" w:firstLineChars="200"/>
        <w:rPr>
          <w:rFonts w:ascii="宋体" w:hAnsi="宋体" w:cs="宋体"/>
          <w:sz w:val="22"/>
        </w:rPr>
      </w:pPr>
      <w:r>
        <w:rPr>
          <w:rFonts w:hint="eastAsia" w:ascii="宋体" w:hAnsi="宋体" w:cs="宋体"/>
          <w:sz w:val="22"/>
        </w:rPr>
        <w:t>我方己完全明白采购文件的所有条款要求，并重申以下几点：</w:t>
      </w:r>
    </w:p>
    <w:p>
      <w:pPr>
        <w:spacing w:line="400" w:lineRule="exact"/>
        <w:ind w:left="1019" w:leftChars="171" w:hanging="660" w:hangingChars="300"/>
        <w:rPr>
          <w:rFonts w:ascii="宋体" w:hAnsi="宋体" w:cs="宋体"/>
          <w:sz w:val="22"/>
        </w:rPr>
      </w:pPr>
      <w:r>
        <w:rPr>
          <w:rFonts w:hint="eastAsia" w:ascii="宋体" w:hAnsi="宋体" w:cs="宋体"/>
          <w:sz w:val="22"/>
        </w:rPr>
        <w:t>（一）本投标文件的有效期自投标截止日起</w:t>
      </w:r>
      <w:r>
        <w:rPr>
          <w:rFonts w:ascii="宋体" w:hAnsi="宋体" w:cs="宋体"/>
          <w:b/>
          <w:sz w:val="22"/>
          <w:u w:val="single"/>
        </w:rPr>
        <w:t xml:space="preserve"> 90  </w:t>
      </w:r>
      <w:r>
        <w:rPr>
          <w:rFonts w:hint="eastAsia" w:ascii="宋体" w:hAnsi="宋体" w:cs="宋体"/>
          <w:sz w:val="22"/>
        </w:rPr>
        <w:t>天内有效，如中标，有效期将延至合同终止日为止；</w:t>
      </w:r>
    </w:p>
    <w:p>
      <w:pPr>
        <w:spacing w:line="400" w:lineRule="exact"/>
        <w:ind w:left="1019" w:leftChars="171" w:hanging="660" w:hangingChars="300"/>
        <w:rPr>
          <w:rFonts w:ascii="宋体" w:hAnsi="宋体" w:cs="宋体"/>
          <w:sz w:val="22"/>
        </w:rPr>
      </w:pPr>
      <w:r>
        <w:rPr>
          <w:rFonts w:hint="eastAsia" w:ascii="宋体" w:hAnsi="宋体" w:cs="宋体"/>
          <w:sz w:val="22"/>
        </w:rPr>
        <w:t>（二）我方已详细研究了采购文件的所有内容包括修改书（如有）和所有已提供的参考资料以及有关附件，我方完全理解并同意放弃在此方面提出含糊意见或误解的一切权力；</w:t>
      </w:r>
    </w:p>
    <w:p>
      <w:pPr>
        <w:spacing w:line="400" w:lineRule="exact"/>
        <w:ind w:left="359" w:leftChars="171"/>
        <w:rPr>
          <w:rFonts w:ascii="宋体" w:hAnsi="宋体" w:cs="宋体"/>
          <w:sz w:val="22"/>
        </w:rPr>
      </w:pPr>
      <w:r>
        <w:rPr>
          <w:rFonts w:hint="eastAsia" w:ascii="宋体" w:hAnsi="宋体" w:cs="宋体"/>
          <w:sz w:val="22"/>
        </w:rPr>
        <w:t>（三）我方同意提供按照贵方可能要求的与投标有关的一切数据或资料；</w:t>
      </w:r>
    </w:p>
    <w:p>
      <w:pPr>
        <w:keepNext w:val="0"/>
        <w:keepLines w:val="0"/>
        <w:pageBreakBefore w:val="0"/>
        <w:kinsoku/>
        <w:wordWrap/>
        <w:topLinePunct w:val="0"/>
        <w:bidi w:val="0"/>
        <w:snapToGrid/>
        <w:spacing w:line="400" w:lineRule="exact"/>
        <w:ind w:left="359" w:leftChars="171"/>
        <w:rPr>
          <w:rFonts w:ascii="宋体" w:hAnsi="宋体" w:cs="宋体"/>
          <w:sz w:val="22"/>
        </w:rPr>
      </w:pPr>
      <w:r>
        <w:rPr>
          <w:rFonts w:hint="eastAsia" w:ascii="宋体" w:hAnsi="宋体" w:cs="宋体"/>
          <w:sz w:val="22"/>
        </w:rPr>
        <w:t>（四）我方理解贵方不一定接受最低报价。</w:t>
      </w:r>
    </w:p>
    <w:p>
      <w:pPr>
        <w:keepNext w:val="0"/>
        <w:keepLines w:val="0"/>
        <w:pageBreakBefore w:val="0"/>
        <w:kinsoku/>
        <w:wordWrap/>
        <w:topLinePunct w:val="0"/>
        <w:bidi w:val="0"/>
        <w:snapToGrid/>
        <w:spacing w:line="400" w:lineRule="exact"/>
        <w:ind w:left="1019" w:leftChars="171" w:hanging="660" w:hangingChars="300"/>
        <w:rPr>
          <w:rFonts w:ascii="宋体" w:hAnsi="宋体" w:cs="宋体"/>
          <w:sz w:val="22"/>
        </w:rPr>
      </w:pPr>
      <w:r>
        <w:rPr>
          <w:rFonts w:hint="eastAsia" w:ascii="宋体" w:hAnsi="宋体" w:cs="宋体"/>
          <w:sz w:val="22"/>
        </w:rPr>
        <w:t>（五）我方如果中标，将保证履行采购文件以及采购文件修改书（如有）中的全部责任和义务，按质、按量、按期完成合同文件中的全部任务。</w:t>
      </w:r>
    </w:p>
    <w:p>
      <w:pPr>
        <w:keepNext w:val="0"/>
        <w:keepLines w:val="0"/>
        <w:pageBreakBefore w:val="0"/>
        <w:kinsoku/>
        <w:wordWrap/>
        <w:topLinePunct w:val="0"/>
        <w:bidi w:val="0"/>
        <w:snapToGrid/>
        <w:spacing w:line="400" w:lineRule="exact"/>
        <w:ind w:left="315"/>
        <w:rPr>
          <w:rFonts w:ascii="宋体" w:hAnsi="宋体" w:cs="宋体"/>
          <w:sz w:val="22"/>
        </w:rPr>
      </w:pPr>
      <w:r>
        <w:rPr>
          <w:rFonts w:hint="eastAsia" w:ascii="宋体" w:hAnsi="宋体" w:cs="宋体"/>
          <w:sz w:val="22"/>
        </w:rPr>
        <w:t>（六）所有与本投标有关的函件请发往下列地址：</w:t>
      </w:r>
    </w:p>
    <w:p>
      <w:pPr>
        <w:keepNext w:val="0"/>
        <w:keepLines w:val="0"/>
        <w:pageBreakBefore w:val="0"/>
        <w:kinsoku/>
        <w:wordWrap/>
        <w:topLinePunct w:val="0"/>
        <w:bidi w:val="0"/>
        <w:snapToGrid/>
        <w:spacing w:line="400" w:lineRule="exact"/>
        <w:ind w:firstLine="435"/>
        <w:rPr>
          <w:rFonts w:ascii="宋体" w:hAnsi="宋体" w:cs="宋体"/>
          <w:sz w:val="22"/>
        </w:rPr>
      </w:pPr>
      <w:r>
        <w:rPr>
          <w:rFonts w:ascii="宋体" w:hAnsi="宋体" w:cs="宋体"/>
          <w:sz w:val="22"/>
        </w:rPr>
        <w:t xml:space="preserve">   地址</w:t>
      </w:r>
    </w:p>
    <w:p>
      <w:pPr>
        <w:keepNext w:val="0"/>
        <w:keepLines w:val="0"/>
        <w:pageBreakBefore w:val="0"/>
        <w:kinsoku/>
        <w:wordWrap/>
        <w:topLinePunct w:val="0"/>
        <w:bidi w:val="0"/>
        <w:snapToGrid/>
        <w:spacing w:line="400" w:lineRule="exact"/>
        <w:ind w:firstLine="770" w:firstLineChars="350"/>
        <w:rPr>
          <w:rFonts w:ascii="宋体" w:hAnsi="宋体" w:cs="宋体"/>
          <w:sz w:val="22"/>
          <w:u w:val="single"/>
        </w:rPr>
      </w:pPr>
    </w:p>
    <w:p>
      <w:pPr>
        <w:keepNext w:val="0"/>
        <w:keepLines w:val="0"/>
        <w:pageBreakBefore w:val="0"/>
        <w:widowControl/>
        <w:kinsoku/>
        <w:wordWrap/>
        <w:overflowPunct w:val="0"/>
        <w:topLinePunct w:val="0"/>
        <w:autoSpaceDE w:val="0"/>
        <w:autoSpaceDN w:val="0"/>
        <w:bidi w:val="0"/>
        <w:adjustRightInd w:val="0"/>
        <w:snapToGrid/>
        <w:spacing w:line="400" w:lineRule="exact"/>
        <w:jc w:val="left"/>
        <w:textAlignment w:val="baseline"/>
        <w:rPr>
          <w:rFonts w:ascii="宋体" w:hAnsi="宋体" w:cs="宋体"/>
          <w:kern w:val="0"/>
          <w:sz w:val="22"/>
          <w:szCs w:val="21"/>
          <w:lang w:val="zh-CN"/>
        </w:rPr>
      </w:pPr>
      <w:r>
        <w:rPr>
          <w:rFonts w:hint="eastAsia" w:ascii="宋体" w:hAnsi="宋体" w:cs="宋体"/>
          <w:kern w:val="0"/>
          <w:sz w:val="22"/>
          <w:szCs w:val="21"/>
          <w:lang w:val="zh-CN"/>
        </w:rPr>
        <w:t>供应商名称（盖章）：</w:t>
      </w:r>
    </w:p>
    <w:p>
      <w:pPr>
        <w:keepNext w:val="0"/>
        <w:keepLines w:val="0"/>
        <w:pageBreakBefore w:val="0"/>
        <w:widowControl/>
        <w:kinsoku/>
        <w:wordWrap/>
        <w:overflowPunct w:val="0"/>
        <w:topLinePunct w:val="0"/>
        <w:autoSpaceDE w:val="0"/>
        <w:autoSpaceDN w:val="0"/>
        <w:bidi w:val="0"/>
        <w:adjustRightInd w:val="0"/>
        <w:snapToGrid/>
        <w:spacing w:line="400" w:lineRule="exact"/>
        <w:ind w:left="660" w:hanging="660" w:hangingChars="300"/>
        <w:jc w:val="left"/>
        <w:textAlignment w:val="baseline"/>
        <w:rPr>
          <w:rFonts w:ascii="宋体" w:hAnsi="宋体" w:cs="宋体"/>
          <w:kern w:val="0"/>
          <w:sz w:val="22"/>
          <w:szCs w:val="21"/>
          <w:lang w:val="zh-CN"/>
        </w:rPr>
      </w:pPr>
      <w:r>
        <w:rPr>
          <w:rFonts w:hint="eastAsia" w:ascii="宋体" w:hAnsi="宋体" w:cs="宋体"/>
          <w:kern w:val="0"/>
          <w:sz w:val="22"/>
          <w:lang w:val="zh-CN"/>
        </w:rPr>
        <w:t>供应商法定代表人（单位负责人）或授权代表</w:t>
      </w:r>
      <w:r>
        <w:rPr>
          <w:rFonts w:hint="eastAsia" w:ascii="宋体" w:hAnsi="宋体" w:cs="宋体"/>
          <w:kern w:val="0"/>
          <w:sz w:val="22"/>
          <w:szCs w:val="21"/>
          <w:lang w:val="zh-CN"/>
        </w:rPr>
        <w:t>（签字或盖章）：</w:t>
      </w:r>
    </w:p>
    <w:p>
      <w:pPr>
        <w:keepNext w:val="0"/>
        <w:keepLines w:val="0"/>
        <w:pageBreakBefore w:val="0"/>
        <w:kinsoku/>
        <w:wordWrap/>
        <w:topLinePunct w:val="0"/>
        <w:bidi w:val="0"/>
        <w:snapToGrid/>
        <w:spacing w:line="400" w:lineRule="exact"/>
        <w:rPr>
          <w:lang w:val="zh-CN"/>
        </w:rPr>
      </w:pPr>
      <w:r>
        <w:rPr>
          <w:rFonts w:hint="eastAsia" w:ascii="宋体" w:hAnsi="宋体" w:cs="宋体"/>
          <w:sz w:val="22"/>
        </w:rPr>
        <w:t>日期：年月日</w:t>
      </w:r>
    </w:p>
    <w:p>
      <w:pPr>
        <w:pStyle w:val="3"/>
        <w:ind w:firstLine="420"/>
        <w:rPr>
          <w:lang w:val="zh-CN"/>
        </w:rPr>
      </w:pPr>
    </w:p>
    <w:p>
      <w:pPr>
        <w:overflowPunct w:val="0"/>
        <w:spacing w:before="100" w:beforeAutospacing="1" w:after="100" w:afterAutospacing="1" w:line="440" w:lineRule="exact"/>
        <w:jc w:val="left"/>
        <w:outlineLvl w:val="0"/>
        <w:rPr>
          <w:rFonts w:ascii="宋体" w:hAnsi="宋体" w:cs="宋体"/>
          <w:b/>
          <w:bCs/>
          <w:sz w:val="22"/>
        </w:rPr>
      </w:pPr>
      <w:r>
        <w:rPr>
          <w:rFonts w:ascii="宋体" w:hAnsi="Courier New"/>
          <w:b/>
          <w:sz w:val="24"/>
          <w:szCs w:val="24"/>
        </w:rPr>
        <w:br w:type="page"/>
      </w:r>
      <w:bookmarkStart w:id="159" w:name="_Toc522645681"/>
      <w:bookmarkStart w:id="160" w:name="_Toc173317410"/>
      <w:bookmarkStart w:id="161" w:name="_Toc103191980"/>
      <w:bookmarkStart w:id="162" w:name="_Toc26569"/>
      <w:bookmarkStart w:id="163" w:name="_Toc173317533"/>
      <w:bookmarkStart w:id="164" w:name="_Toc16924"/>
      <w:bookmarkStart w:id="165" w:name="_Toc103191858"/>
      <w:r>
        <w:rPr>
          <w:rFonts w:hint="eastAsia" w:ascii="宋体" w:hAnsi="宋体" w:cs="宋体"/>
          <w:b/>
          <w:bCs/>
          <w:sz w:val="22"/>
        </w:rPr>
        <w:t>附件二</w:t>
      </w:r>
      <w:r>
        <w:rPr>
          <w:rFonts w:hint="eastAsia" w:ascii="宋体" w:hAnsi="宋体" w:cs="宋体"/>
          <w:b/>
          <w:bCs/>
          <w:sz w:val="22"/>
          <w:lang w:val="en-US" w:eastAsia="zh-CN"/>
        </w:rPr>
        <w:t xml:space="preserve"> </w:t>
      </w:r>
      <w:bookmarkStart w:id="210" w:name="_GoBack"/>
      <w:bookmarkEnd w:id="210"/>
      <w:r>
        <w:rPr>
          <w:rFonts w:hint="eastAsia" w:ascii="宋体" w:hAnsi="宋体" w:cs="宋体"/>
          <w:b/>
          <w:bCs/>
          <w:sz w:val="22"/>
        </w:rPr>
        <w:t>报价一览表</w:t>
      </w:r>
      <w:bookmarkEnd w:id="159"/>
      <w:bookmarkEnd w:id="160"/>
      <w:bookmarkEnd w:id="161"/>
      <w:bookmarkEnd w:id="162"/>
      <w:bookmarkEnd w:id="163"/>
      <w:bookmarkEnd w:id="164"/>
      <w:bookmarkEnd w:id="165"/>
    </w:p>
    <w:p>
      <w:pPr>
        <w:spacing w:line="560" w:lineRule="exact"/>
        <w:jc w:val="center"/>
        <w:rPr>
          <w:rFonts w:ascii="宋体" w:hAnsi="宋体" w:cs="宋体"/>
          <w:b/>
          <w:sz w:val="36"/>
          <w:szCs w:val="24"/>
        </w:rPr>
      </w:pPr>
      <w:r>
        <w:rPr>
          <w:rFonts w:hint="eastAsia" w:ascii="宋体" w:hAnsi="宋体" w:cs="宋体"/>
          <w:b/>
          <w:sz w:val="36"/>
          <w:szCs w:val="24"/>
        </w:rPr>
        <w:t>报价一览表</w:t>
      </w:r>
    </w:p>
    <w:p>
      <w:pPr>
        <w:spacing w:line="460" w:lineRule="exact"/>
        <w:rPr>
          <w:rFonts w:ascii="宋体" w:hAnsi="宋体" w:cs="宋体"/>
          <w:b/>
          <w:sz w:val="22"/>
        </w:rPr>
      </w:pPr>
      <w:r>
        <w:rPr>
          <w:rFonts w:hint="eastAsia" w:ascii="宋体" w:hAnsi="宋体" w:cs="宋体"/>
          <w:b/>
          <w:sz w:val="22"/>
        </w:rPr>
        <w:t>项目编号：XC-GC20241003</w:t>
      </w:r>
    </w:p>
    <w:tbl>
      <w:tblPr>
        <w:tblStyle w:val="24"/>
        <w:tblW w:w="9785" w:type="dxa"/>
        <w:tblInd w:w="-113" w:type="dxa"/>
        <w:tblBorders>
          <w:top w:val="single" w:color="auto" w:sz="2" w:space="0"/>
          <w:left w:val="single" w:color="auto" w:sz="2" w:space="0"/>
          <w:bottom w:val="single" w:color="auto" w:sz="2" w:space="0"/>
          <w:right w:val="single" w:color="auto" w:sz="2" w:space="0"/>
          <w:insideH w:val="single" w:color="auto" w:sz="6" w:space="0"/>
          <w:insideV w:val="single" w:color="auto" w:sz="6" w:space="0"/>
        </w:tblBorders>
        <w:tblLayout w:type="fixed"/>
        <w:tblCellMar>
          <w:top w:w="0" w:type="dxa"/>
          <w:left w:w="108" w:type="dxa"/>
          <w:bottom w:w="0" w:type="dxa"/>
          <w:right w:w="108" w:type="dxa"/>
        </w:tblCellMar>
      </w:tblPr>
      <w:tblGrid>
        <w:gridCol w:w="2540"/>
        <w:gridCol w:w="2846"/>
        <w:gridCol w:w="2181"/>
        <w:gridCol w:w="2218"/>
      </w:tblGrid>
      <w:tr>
        <w:tblPrEx>
          <w:tblBorders>
            <w:top w:val="single" w:color="auto" w:sz="2" w:space="0"/>
            <w:left w:val="single" w:color="auto" w:sz="2" w:space="0"/>
            <w:bottom w:val="single" w:color="auto" w:sz="2" w:space="0"/>
            <w:right w:val="single" w:color="auto" w:sz="2" w:space="0"/>
            <w:insideH w:val="single" w:color="auto" w:sz="6" w:space="0"/>
            <w:insideV w:val="single" w:color="auto" w:sz="6" w:space="0"/>
          </w:tblBorders>
          <w:tblCellMar>
            <w:top w:w="0" w:type="dxa"/>
            <w:left w:w="108" w:type="dxa"/>
            <w:bottom w:w="0" w:type="dxa"/>
            <w:right w:w="108" w:type="dxa"/>
          </w:tblCellMar>
        </w:tblPrEx>
        <w:trPr>
          <w:trHeight w:val="1034" w:hRule="atLeast"/>
        </w:trPr>
        <w:tc>
          <w:tcPr>
            <w:tcW w:w="2540" w:type="dxa"/>
            <w:tcBorders>
              <w:top w:val="single" w:color="auto" w:sz="2" w:space="0"/>
              <w:right w:val="single" w:color="auto" w:sz="4" w:space="0"/>
            </w:tcBorders>
            <w:vAlign w:val="center"/>
          </w:tcPr>
          <w:p>
            <w:pPr>
              <w:spacing w:line="400" w:lineRule="exact"/>
              <w:jc w:val="center"/>
              <w:rPr>
                <w:rFonts w:ascii="宋体" w:hAnsi="宋体" w:cs="宋体"/>
                <w:b/>
                <w:bCs/>
                <w:sz w:val="22"/>
              </w:rPr>
            </w:pPr>
            <w:r>
              <w:rPr>
                <w:rFonts w:hint="eastAsia" w:ascii="宋体" w:hAnsi="宋体" w:cs="宋体"/>
                <w:b/>
                <w:bCs/>
                <w:sz w:val="22"/>
              </w:rPr>
              <w:t>项目名称</w:t>
            </w:r>
          </w:p>
        </w:tc>
        <w:tc>
          <w:tcPr>
            <w:tcW w:w="2846" w:type="dxa"/>
            <w:tcBorders>
              <w:top w:val="single" w:color="auto" w:sz="2" w:space="0"/>
              <w:right w:val="single" w:color="auto" w:sz="4" w:space="0"/>
            </w:tcBorders>
            <w:vAlign w:val="center"/>
          </w:tcPr>
          <w:p>
            <w:pPr>
              <w:spacing w:line="400" w:lineRule="exact"/>
              <w:jc w:val="center"/>
              <w:rPr>
                <w:rFonts w:ascii="宋体" w:hAnsi="宋体" w:cs="宋体"/>
                <w:b/>
                <w:bCs/>
                <w:sz w:val="22"/>
              </w:rPr>
            </w:pPr>
            <w:r>
              <w:rPr>
                <w:rFonts w:hint="eastAsia" w:ascii="宋体" w:hAnsi="宋体" w:cs="宋体"/>
                <w:b/>
                <w:bCs/>
                <w:sz w:val="22"/>
              </w:rPr>
              <w:t>采购内容</w:t>
            </w:r>
          </w:p>
        </w:tc>
        <w:tc>
          <w:tcPr>
            <w:tcW w:w="2181" w:type="dxa"/>
            <w:tcBorders>
              <w:top w:val="single" w:color="auto" w:sz="2" w:space="0"/>
            </w:tcBorders>
            <w:vAlign w:val="center"/>
          </w:tcPr>
          <w:p>
            <w:pPr>
              <w:spacing w:line="400" w:lineRule="exact"/>
              <w:jc w:val="center"/>
              <w:rPr>
                <w:rFonts w:ascii="宋体" w:hAnsi="宋体" w:cs="宋体"/>
                <w:b/>
                <w:bCs/>
                <w:sz w:val="22"/>
              </w:rPr>
            </w:pPr>
            <w:r>
              <w:rPr>
                <w:rFonts w:hint="eastAsia" w:ascii="宋体" w:hAnsi="宋体" w:cs="宋体"/>
                <w:b/>
                <w:bCs/>
                <w:sz w:val="22"/>
              </w:rPr>
              <w:t>最高限价（元</w:t>
            </w:r>
            <w:r>
              <w:rPr>
                <w:rFonts w:ascii="宋体" w:hAnsi="宋体" w:cs="宋体"/>
                <w:b/>
                <w:bCs/>
                <w:sz w:val="22"/>
              </w:rPr>
              <w:t>/湿方）</w:t>
            </w:r>
          </w:p>
        </w:tc>
        <w:tc>
          <w:tcPr>
            <w:tcW w:w="2218" w:type="dxa"/>
            <w:tcBorders>
              <w:top w:val="single" w:color="auto" w:sz="2" w:space="0"/>
            </w:tcBorders>
            <w:vAlign w:val="center"/>
          </w:tcPr>
          <w:p>
            <w:pPr>
              <w:spacing w:line="400" w:lineRule="exact"/>
              <w:jc w:val="center"/>
              <w:rPr>
                <w:rFonts w:ascii="宋体" w:hAnsi="宋体" w:cs="宋体"/>
                <w:b/>
                <w:bCs/>
                <w:sz w:val="22"/>
              </w:rPr>
            </w:pPr>
            <w:r>
              <w:rPr>
                <w:rFonts w:hint="eastAsia" w:ascii="宋体" w:hAnsi="宋体" w:cs="宋体"/>
                <w:b/>
                <w:bCs/>
                <w:sz w:val="22"/>
              </w:rPr>
              <w:t>投标报价（元</w:t>
            </w:r>
            <w:r>
              <w:rPr>
                <w:rFonts w:ascii="宋体" w:hAnsi="宋体" w:cs="宋体"/>
                <w:b/>
                <w:bCs/>
                <w:sz w:val="22"/>
              </w:rPr>
              <w:t>/湿方）</w:t>
            </w:r>
          </w:p>
        </w:tc>
      </w:tr>
      <w:tr>
        <w:tblPrEx>
          <w:tblBorders>
            <w:top w:val="single" w:color="auto" w:sz="2" w:space="0"/>
            <w:left w:val="single" w:color="auto" w:sz="2" w:space="0"/>
            <w:bottom w:val="single" w:color="auto" w:sz="2" w:space="0"/>
            <w:right w:val="single" w:color="auto" w:sz="2" w:space="0"/>
            <w:insideH w:val="single" w:color="auto" w:sz="6" w:space="0"/>
            <w:insideV w:val="single" w:color="auto" w:sz="6" w:space="0"/>
          </w:tblBorders>
          <w:tblCellMar>
            <w:top w:w="0" w:type="dxa"/>
            <w:left w:w="108" w:type="dxa"/>
            <w:bottom w:w="0" w:type="dxa"/>
            <w:right w:w="108" w:type="dxa"/>
          </w:tblCellMar>
        </w:tblPrEx>
        <w:trPr>
          <w:cantSplit/>
          <w:trHeight w:val="3039" w:hRule="atLeast"/>
        </w:trPr>
        <w:tc>
          <w:tcPr>
            <w:tcW w:w="2540" w:type="dxa"/>
            <w:tcBorders>
              <w:right w:val="single" w:color="auto" w:sz="4" w:space="0"/>
            </w:tcBorders>
            <w:vAlign w:val="center"/>
          </w:tcPr>
          <w:p>
            <w:pPr>
              <w:widowControl/>
              <w:spacing w:before="60" w:after="60" w:line="400" w:lineRule="exact"/>
              <w:ind w:right="60"/>
              <w:jc w:val="center"/>
              <w:rPr>
                <w:rFonts w:ascii="宋体" w:hAnsi="宋体" w:cs="宋体"/>
                <w:kern w:val="0"/>
                <w:sz w:val="24"/>
                <w:szCs w:val="24"/>
              </w:rPr>
            </w:pPr>
            <w:r>
              <w:rPr>
                <w:rFonts w:hint="eastAsia" w:ascii="宋体" w:hAnsi="宋体" w:cs="宋体"/>
                <w:b/>
                <w:bCs/>
                <w:spacing w:val="6"/>
                <w:sz w:val="22"/>
                <w:lang w:val="zh-CN"/>
              </w:rPr>
              <w:t>温州瓯江口建筑泥浆资源化利用项目（原位固化含软基处理泥浆）</w:t>
            </w:r>
          </w:p>
        </w:tc>
        <w:tc>
          <w:tcPr>
            <w:tcW w:w="2846" w:type="dxa"/>
            <w:tcBorders>
              <w:right w:val="single" w:color="auto" w:sz="4" w:space="0"/>
            </w:tcBorders>
            <w:vAlign w:val="center"/>
          </w:tcPr>
          <w:p>
            <w:pPr>
              <w:spacing w:line="400" w:lineRule="exact"/>
              <w:jc w:val="center"/>
              <w:rPr>
                <w:rFonts w:ascii="宋体" w:hAnsi="宋体" w:cs="宋体"/>
                <w:b/>
                <w:bCs/>
                <w:spacing w:val="6"/>
                <w:sz w:val="22"/>
              </w:rPr>
            </w:pPr>
            <w:r>
              <w:rPr>
                <w:rFonts w:hint="eastAsia" w:ascii="宋体" w:hAnsi="宋体" w:cs="宋体"/>
                <w:b/>
                <w:bCs/>
                <w:spacing w:val="-1"/>
                <w:sz w:val="22"/>
              </w:rPr>
              <w:t>原位固化含软基处理泥浆</w:t>
            </w:r>
          </w:p>
        </w:tc>
        <w:tc>
          <w:tcPr>
            <w:tcW w:w="2181" w:type="dxa"/>
            <w:vAlign w:val="center"/>
          </w:tcPr>
          <w:p>
            <w:pPr>
              <w:widowControl/>
              <w:overflowPunct w:val="0"/>
              <w:autoSpaceDE w:val="0"/>
              <w:autoSpaceDN w:val="0"/>
              <w:adjustRightInd w:val="0"/>
              <w:spacing w:line="400" w:lineRule="atLeast"/>
              <w:jc w:val="center"/>
              <w:textAlignment w:val="baseline"/>
              <w:rPr>
                <w:rFonts w:ascii="宋体" w:hAnsi="宋体" w:cs="宋体"/>
                <w:b/>
                <w:bCs/>
                <w:sz w:val="22"/>
              </w:rPr>
            </w:pPr>
            <w:r>
              <w:rPr>
                <w:rFonts w:hint="eastAsia" w:ascii="宋体" w:hAnsi="宋体" w:cs="宋体"/>
                <w:b/>
                <w:bCs/>
                <w:sz w:val="22"/>
              </w:rPr>
              <w:t>30元/湿方</w:t>
            </w:r>
          </w:p>
        </w:tc>
        <w:tc>
          <w:tcPr>
            <w:tcW w:w="2218" w:type="dxa"/>
            <w:vAlign w:val="center"/>
          </w:tcPr>
          <w:p>
            <w:pPr>
              <w:widowControl/>
              <w:overflowPunct w:val="0"/>
              <w:autoSpaceDE w:val="0"/>
              <w:autoSpaceDN w:val="0"/>
              <w:adjustRightInd w:val="0"/>
              <w:spacing w:line="400" w:lineRule="atLeast"/>
              <w:jc w:val="center"/>
              <w:textAlignment w:val="baseline"/>
              <w:rPr>
                <w:rFonts w:ascii="宋体" w:hAnsi="宋体" w:cs="宋体"/>
                <w:sz w:val="22"/>
                <w:u w:val="single"/>
              </w:rPr>
            </w:pPr>
          </w:p>
        </w:tc>
      </w:tr>
    </w:tbl>
    <w:p>
      <w:pPr>
        <w:spacing w:line="360" w:lineRule="exact"/>
        <w:ind w:left="649" w:hanging="649" w:hangingChars="294"/>
        <w:rPr>
          <w:rFonts w:ascii="宋体" w:hAnsi="宋体" w:cs="宋体"/>
          <w:b/>
          <w:sz w:val="22"/>
          <w:szCs w:val="24"/>
        </w:rPr>
      </w:pPr>
    </w:p>
    <w:p>
      <w:pPr>
        <w:widowControl/>
        <w:overflowPunct w:val="0"/>
        <w:autoSpaceDE w:val="0"/>
        <w:autoSpaceDN w:val="0"/>
        <w:adjustRightInd w:val="0"/>
        <w:spacing w:line="400" w:lineRule="atLeast"/>
        <w:jc w:val="left"/>
        <w:textAlignment w:val="baseline"/>
        <w:rPr>
          <w:rFonts w:ascii="宋体" w:hAnsi="宋体" w:cs="宋体"/>
          <w:kern w:val="0"/>
          <w:sz w:val="22"/>
          <w:szCs w:val="21"/>
          <w:lang w:val="zh-CN"/>
        </w:rPr>
      </w:pPr>
      <w:r>
        <w:rPr>
          <w:rFonts w:hint="eastAsia" w:ascii="宋体" w:hAnsi="宋体" w:cs="宋体"/>
          <w:kern w:val="0"/>
          <w:sz w:val="22"/>
          <w:szCs w:val="21"/>
          <w:lang w:val="zh-CN"/>
        </w:rPr>
        <w:t>注：</w:t>
      </w:r>
    </w:p>
    <w:p>
      <w:pPr>
        <w:widowControl/>
        <w:overflowPunct w:val="0"/>
        <w:autoSpaceDE w:val="0"/>
        <w:autoSpaceDN w:val="0"/>
        <w:adjustRightInd w:val="0"/>
        <w:spacing w:line="400" w:lineRule="atLeast"/>
        <w:ind w:firstLine="420"/>
        <w:jc w:val="left"/>
        <w:textAlignment w:val="baseline"/>
        <w:rPr>
          <w:rFonts w:ascii="宋体" w:hAnsi="宋体" w:cs="宋体"/>
          <w:b/>
          <w:bCs/>
          <w:kern w:val="0"/>
          <w:sz w:val="22"/>
          <w:szCs w:val="21"/>
          <w:u w:val="single"/>
          <w:lang w:val="zh-CN"/>
        </w:rPr>
      </w:pPr>
      <w:r>
        <w:rPr>
          <w:rFonts w:hint="eastAsia" w:ascii="宋体" w:hAnsi="宋体" w:cs="宋体"/>
          <w:b/>
          <w:bCs/>
          <w:kern w:val="0"/>
          <w:sz w:val="22"/>
          <w:szCs w:val="21"/>
          <w:u w:val="single"/>
          <w:lang w:val="zh-CN"/>
        </w:rPr>
        <w:t>▲</w:t>
      </w:r>
      <w:r>
        <w:rPr>
          <w:rFonts w:ascii="宋体" w:hAnsi="宋体" w:cs="宋体"/>
          <w:b/>
          <w:bCs/>
          <w:kern w:val="0"/>
          <w:sz w:val="22"/>
          <w:szCs w:val="21"/>
          <w:u w:val="single"/>
        </w:rPr>
        <w:t>1、</w:t>
      </w:r>
      <w:r>
        <w:rPr>
          <w:rFonts w:hint="eastAsia" w:ascii="宋体" w:hAnsi="宋体" w:cs="宋体"/>
          <w:b/>
          <w:bCs/>
          <w:kern w:val="0"/>
          <w:sz w:val="22"/>
          <w:szCs w:val="21"/>
          <w:u w:val="single"/>
          <w:lang w:val="zh-CN"/>
        </w:rPr>
        <w:t>此表不得自行增减内容，不提供此表格将被视为没有实质性响应采购文件，其投标文件将被拒绝。</w:t>
      </w:r>
    </w:p>
    <w:p>
      <w:pPr>
        <w:widowControl/>
        <w:overflowPunct w:val="0"/>
        <w:autoSpaceDE w:val="0"/>
        <w:autoSpaceDN w:val="0"/>
        <w:adjustRightInd w:val="0"/>
        <w:spacing w:line="400" w:lineRule="atLeast"/>
        <w:ind w:firstLine="420"/>
        <w:jc w:val="left"/>
        <w:textAlignment w:val="baseline"/>
        <w:rPr>
          <w:rFonts w:ascii="宋体" w:hAnsi="宋体" w:cs="宋体"/>
          <w:b/>
          <w:bCs/>
          <w:kern w:val="0"/>
          <w:sz w:val="22"/>
          <w:szCs w:val="21"/>
          <w:u w:val="single"/>
        </w:rPr>
      </w:pPr>
      <w:r>
        <w:rPr>
          <w:rFonts w:hint="eastAsia" w:ascii="宋体" w:hAnsi="宋体" w:cs="宋体"/>
          <w:b/>
          <w:bCs/>
          <w:kern w:val="0"/>
          <w:sz w:val="22"/>
          <w:szCs w:val="21"/>
          <w:u w:val="single"/>
          <w:lang w:val="zh-CN"/>
        </w:rPr>
        <w:t>▲</w:t>
      </w:r>
      <w:r>
        <w:rPr>
          <w:rFonts w:ascii="宋体" w:hAnsi="宋体" w:cs="宋体"/>
          <w:b/>
          <w:bCs/>
          <w:kern w:val="0"/>
          <w:sz w:val="22"/>
          <w:szCs w:val="21"/>
          <w:u w:val="single"/>
        </w:rPr>
        <w:t>2、</w:t>
      </w:r>
      <w:r>
        <w:rPr>
          <w:rFonts w:hint="eastAsia" w:ascii="宋体" w:hAnsi="宋体" w:cs="宋体"/>
          <w:b/>
          <w:bCs/>
          <w:kern w:val="0"/>
          <w:sz w:val="22"/>
          <w:szCs w:val="21"/>
          <w:u w:val="single"/>
        </w:rPr>
        <w:t>投标报价包含了为完成本项目所需的场地基础设施及生产用房建设、人员工资、社保、食宿费、设备费、折旧费、科研费、保险、利润、税金、代理服务费等所有为完成本项目所产生的一切费用。投标供应商需充分考虑相关的费用，在报价时综合考虑，采购人不再支付其他任何费用。</w:t>
      </w:r>
    </w:p>
    <w:p>
      <w:pPr>
        <w:widowControl/>
        <w:overflowPunct w:val="0"/>
        <w:autoSpaceDE w:val="0"/>
        <w:autoSpaceDN w:val="0"/>
        <w:adjustRightInd w:val="0"/>
        <w:spacing w:line="400" w:lineRule="atLeast"/>
        <w:ind w:firstLine="420"/>
        <w:jc w:val="left"/>
        <w:textAlignment w:val="baseline"/>
        <w:rPr>
          <w:rFonts w:ascii="宋体" w:hAnsi="宋体" w:cs="宋体"/>
          <w:b/>
          <w:bCs/>
          <w:kern w:val="0"/>
          <w:sz w:val="22"/>
          <w:szCs w:val="21"/>
          <w:u w:val="single"/>
        </w:rPr>
      </w:pPr>
      <w:r>
        <w:rPr>
          <w:rFonts w:ascii="宋体" w:hAnsi="宋体" w:cs="宋体"/>
          <w:b/>
          <w:bCs/>
          <w:kern w:val="0"/>
          <w:sz w:val="22"/>
          <w:szCs w:val="21"/>
          <w:u w:val="single"/>
        </w:rPr>
        <w:t>3、投标供应商在投标报价时需综合考虑在合同履约期间因各种材料价格波动而产生的风险。</w:t>
      </w:r>
    </w:p>
    <w:p>
      <w:pPr>
        <w:rPr>
          <w:rFonts w:ascii="宋体" w:hAnsi="宋体" w:cs="宋体"/>
          <w:sz w:val="22"/>
        </w:rPr>
      </w:pPr>
    </w:p>
    <w:p>
      <w:pPr>
        <w:rPr>
          <w:rFonts w:ascii="宋体" w:hAnsi="宋体" w:cs="宋体"/>
          <w:sz w:val="22"/>
        </w:rPr>
      </w:pPr>
    </w:p>
    <w:p>
      <w:pPr>
        <w:widowControl/>
        <w:overflowPunct w:val="0"/>
        <w:autoSpaceDE w:val="0"/>
        <w:autoSpaceDN w:val="0"/>
        <w:adjustRightInd w:val="0"/>
        <w:spacing w:line="400" w:lineRule="atLeast"/>
        <w:jc w:val="left"/>
        <w:textAlignment w:val="baseline"/>
        <w:rPr>
          <w:rFonts w:ascii="宋体" w:hAnsi="宋体" w:cs="宋体"/>
          <w:kern w:val="0"/>
          <w:sz w:val="22"/>
          <w:szCs w:val="21"/>
          <w:lang w:val="zh-CN"/>
        </w:rPr>
      </w:pPr>
      <w:r>
        <w:rPr>
          <w:rFonts w:hint="eastAsia" w:ascii="宋体" w:hAnsi="宋体" w:cs="宋体"/>
          <w:kern w:val="0"/>
          <w:sz w:val="22"/>
          <w:szCs w:val="21"/>
          <w:lang w:val="zh-CN"/>
        </w:rPr>
        <w:t>供应商名称（盖章）：</w:t>
      </w:r>
    </w:p>
    <w:p>
      <w:pPr>
        <w:widowControl/>
        <w:overflowPunct w:val="0"/>
        <w:autoSpaceDE w:val="0"/>
        <w:autoSpaceDN w:val="0"/>
        <w:adjustRightInd w:val="0"/>
        <w:spacing w:line="400" w:lineRule="atLeast"/>
        <w:ind w:left="660" w:hanging="660" w:hangingChars="300"/>
        <w:jc w:val="left"/>
        <w:textAlignment w:val="baseline"/>
        <w:rPr>
          <w:rFonts w:ascii="宋体" w:hAnsi="宋体" w:cs="宋体"/>
          <w:kern w:val="0"/>
          <w:sz w:val="22"/>
          <w:szCs w:val="21"/>
          <w:lang w:val="zh-CN"/>
        </w:rPr>
      </w:pPr>
      <w:r>
        <w:rPr>
          <w:rFonts w:hint="eastAsia" w:ascii="宋体" w:hAnsi="宋体" w:cs="宋体"/>
          <w:kern w:val="0"/>
          <w:sz w:val="22"/>
          <w:lang w:val="zh-CN"/>
        </w:rPr>
        <w:t>供应商法定代表人（单位负责人）或授权代表</w:t>
      </w:r>
      <w:r>
        <w:rPr>
          <w:rFonts w:hint="eastAsia" w:ascii="宋体" w:hAnsi="宋体" w:cs="宋体"/>
          <w:kern w:val="0"/>
          <w:sz w:val="22"/>
          <w:szCs w:val="21"/>
          <w:lang w:val="zh-CN"/>
        </w:rPr>
        <w:t>（签字或盖章）：</w:t>
      </w:r>
    </w:p>
    <w:p>
      <w:pPr>
        <w:adjustRightInd w:val="0"/>
        <w:snapToGrid w:val="0"/>
        <w:spacing w:line="460" w:lineRule="atLeast"/>
        <w:rPr>
          <w:rFonts w:ascii="宋体" w:hAnsi="Times New Roman" w:cs="仿宋_GB2312"/>
          <w:sz w:val="22"/>
          <w:lang w:val="zh-CN"/>
        </w:rPr>
      </w:pPr>
      <w:r>
        <w:rPr>
          <w:rFonts w:hint="eastAsia" w:ascii="宋体" w:hAnsi="宋体" w:cs="宋体"/>
          <w:sz w:val="22"/>
        </w:rPr>
        <w:t>日期：年月日</w:t>
      </w:r>
    </w:p>
    <w:p>
      <w:pPr>
        <w:overflowPunct w:val="0"/>
        <w:spacing w:before="100" w:beforeAutospacing="1" w:after="100" w:afterAutospacing="1"/>
        <w:jc w:val="left"/>
        <w:outlineLvl w:val="0"/>
        <w:rPr>
          <w:rFonts w:ascii="宋体" w:hAnsi="宋体" w:cs="宋体"/>
          <w:b/>
          <w:bCs/>
          <w:sz w:val="22"/>
        </w:rPr>
      </w:pPr>
      <w:r>
        <w:rPr>
          <w:rFonts w:ascii="Times New Roman" w:hAnsi="Times New Roman"/>
          <w:szCs w:val="24"/>
          <w:lang w:val="zh-CN"/>
        </w:rPr>
        <w:br w:type="page"/>
      </w:r>
      <w:bookmarkStart w:id="166" w:name="_Toc173317411"/>
      <w:bookmarkStart w:id="167" w:name="_Toc173317534"/>
      <w:r>
        <w:rPr>
          <w:rFonts w:hint="eastAsia" w:ascii="宋体" w:hAnsi="宋体" w:cs="宋体"/>
          <w:b/>
          <w:bCs/>
          <w:sz w:val="22"/>
        </w:rPr>
        <w:t>附件三技术、商务条款偏离表</w:t>
      </w:r>
      <w:bookmarkEnd w:id="166"/>
      <w:bookmarkEnd w:id="167"/>
    </w:p>
    <w:p>
      <w:pPr>
        <w:spacing w:line="380" w:lineRule="exact"/>
        <w:ind w:left="-358" w:leftChars="-171" w:hanging="1"/>
        <w:jc w:val="center"/>
        <w:rPr>
          <w:rFonts w:ascii="宋体" w:hAnsi="宋体" w:cs="宋体"/>
          <w:b/>
          <w:bCs/>
          <w:sz w:val="28"/>
          <w:szCs w:val="28"/>
        </w:rPr>
      </w:pPr>
      <w:r>
        <w:rPr>
          <w:rFonts w:hint="eastAsia" w:ascii="宋体" w:hAnsi="宋体" w:cs="宋体"/>
          <w:b/>
          <w:bCs/>
          <w:sz w:val="28"/>
          <w:szCs w:val="28"/>
        </w:rPr>
        <w:t>技术、商务条款偏离表</w:t>
      </w:r>
    </w:p>
    <w:p>
      <w:pPr>
        <w:spacing w:line="560" w:lineRule="exact"/>
        <w:rPr>
          <w:rFonts w:ascii="宋体" w:hAnsi="宋体" w:cs="宋体"/>
          <w:b/>
          <w:bCs/>
          <w:sz w:val="22"/>
        </w:rPr>
      </w:pPr>
      <w:r>
        <w:rPr>
          <w:rFonts w:hint="eastAsia" w:ascii="宋体" w:hAnsi="宋体" w:cs="宋体"/>
          <w:b/>
          <w:sz w:val="22"/>
        </w:rPr>
        <w:t>项目名称：</w:t>
      </w:r>
      <w:r>
        <w:rPr>
          <w:rFonts w:hint="eastAsia" w:ascii="宋体" w:hAnsi="宋体" w:cs="宋体"/>
          <w:b/>
          <w:sz w:val="22"/>
          <w:lang w:val="en-US" w:eastAsia="zh-CN"/>
        </w:rPr>
        <w:t xml:space="preserve">                       </w:t>
      </w:r>
      <w:r>
        <w:rPr>
          <w:rFonts w:hint="eastAsia" w:ascii="宋体" w:hAnsi="宋体" w:cs="宋体"/>
          <w:b/>
          <w:sz w:val="22"/>
        </w:rPr>
        <w:t>项目编号：</w:t>
      </w:r>
    </w:p>
    <w:tbl>
      <w:tblPr>
        <w:tblStyle w:val="24"/>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91"/>
        <w:gridCol w:w="1883"/>
        <w:gridCol w:w="1908"/>
        <w:gridCol w:w="1976"/>
        <w:gridCol w:w="214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1" w:hRule="atLeast"/>
        </w:trPr>
        <w:tc>
          <w:tcPr>
            <w:tcW w:w="1691" w:type="dxa"/>
            <w:vAlign w:val="center"/>
          </w:tcPr>
          <w:p>
            <w:pPr>
              <w:jc w:val="center"/>
              <w:rPr>
                <w:rFonts w:ascii="宋体" w:hAnsi="宋体" w:cs="宋体"/>
                <w:b/>
                <w:sz w:val="22"/>
              </w:rPr>
            </w:pPr>
            <w:r>
              <w:rPr>
                <w:rFonts w:hint="eastAsia" w:ascii="宋体" w:hAnsi="宋体" w:cs="宋体"/>
                <w:b/>
                <w:sz w:val="22"/>
              </w:rPr>
              <w:t>内容</w:t>
            </w:r>
          </w:p>
        </w:tc>
        <w:tc>
          <w:tcPr>
            <w:tcW w:w="1883" w:type="dxa"/>
            <w:vAlign w:val="center"/>
          </w:tcPr>
          <w:p>
            <w:pPr>
              <w:jc w:val="center"/>
              <w:rPr>
                <w:rFonts w:ascii="宋体" w:hAnsi="宋体" w:cs="宋体"/>
                <w:b/>
                <w:sz w:val="22"/>
              </w:rPr>
            </w:pPr>
            <w:r>
              <w:rPr>
                <w:rFonts w:hint="eastAsia" w:ascii="宋体" w:hAnsi="宋体" w:cs="宋体"/>
                <w:b/>
                <w:sz w:val="22"/>
              </w:rPr>
              <w:t>采购文件</w:t>
            </w:r>
          </w:p>
          <w:p>
            <w:pPr>
              <w:jc w:val="center"/>
              <w:rPr>
                <w:rFonts w:ascii="宋体" w:hAnsi="宋体" w:cs="宋体"/>
                <w:b/>
                <w:sz w:val="22"/>
              </w:rPr>
            </w:pPr>
            <w:r>
              <w:rPr>
                <w:rFonts w:hint="eastAsia" w:ascii="宋体" w:hAnsi="宋体" w:cs="宋体"/>
                <w:b/>
                <w:sz w:val="22"/>
              </w:rPr>
              <w:t>条目</w:t>
            </w:r>
          </w:p>
        </w:tc>
        <w:tc>
          <w:tcPr>
            <w:tcW w:w="1908" w:type="dxa"/>
            <w:vAlign w:val="center"/>
          </w:tcPr>
          <w:p>
            <w:pPr>
              <w:jc w:val="center"/>
              <w:rPr>
                <w:rFonts w:ascii="宋体" w:hAnsi="宋体" w:cs="宋体"/>
                <w:b/>
                <w:sz w:val="22"/>
              </w:rPr>
            </w:pPr>
            <w:r>
              <w:rPr>
                <w:rFonts w:hint="eastAsia" w:ascii="宋体" w:hAnsi="宋体" w:cs="宋体"/>
                <w:b/>
                <w:sz w:val="22"/>
              </w:rPr>
              <w:t>采购文件</w:t>
            </w:r>
          </w:p>
          <w:p>
            <w:pPr>
              <w:jc w:val="center"/>
              <w:rPr>
                <w:rFonts w:ascii="宋体" w:hAnsi="宋体" w:cs="宋体"/>
                <w:b/>
                <w:sz w:val="22"/>
              </w:rPr>
            </w:pPr>
            <w:r>
              <w:rPr>
                <w:rFonts w:hint="eastAsia" w:ascii="宋体" w:hAnsi="宋体" w:cs="宋体"/>
                <w:b/>
                <w:sz w:val="22"/>
              </w:rPr>
              <w:t>规格要求</w:t>
            </w:r>
          </w:p>
        </w:tc>
        <w:tc>
          <w:tcPr>
            <w:tcW w:w="1976" w:type="dxa"/>
            <w:vAlign w:val="center"/>
          </w:tcPr>
          <w:p>
            <w:pPr>
              <w:jc w:val="center"/>
              <w:rPr>
                <w:rFonts w:ascii="宋体" w:hAnsi="宋体" w:cs="宋体"/>
                <w:b/>
                <w:sz w:val="22"/>
              </w:rPr>
            </w:pPr>
            <w:r>
              <w:rPr>
                <w:rFonts w:hint="eastAsia" w:ascii="宋体" w:hAnsi="宋体" w:cs="宋体"/>
                <w:b/>
                <w:sz w:val="22"/>
              </w:rPr>
              <w:t>投标文件</w:t>
            </w:r>
          </w:p>
          <w:p>
            <w:pPr>
              <w:jc w:val="center"/>
              <w:rPr>
                <w:rFonts w:ascii="宋体" w:hAnsi="宋体" w:cs="宋体"/>
                <w:b/>
                <w:sz w:val="22"/>
              </w:rPr>
            </w:pPr>
            <w:r>
              <w:rPr>
                <w:rFonts w:hint="eastAsia" w:ascii="宋体" w:hAnsi="宋体" w:cs="宋体"/>
                <w:b/>
                <w:sz w:val="22"/>
              </w:rPr>
              <w:t>对应规格</w:t>
            </w:r>
          </w:p>
        </w:tc>
        <w:tc>
          <w:tcPr>
            <w:tcW w:w="2148" w:type="dxa"/>
            <w:vAlign w:val="center"/>
          </w:tcPr>
          <w:p>
            <w:pPr>
              <w:jc w:val="center"/>
              <w:rPr>
                <w:rFonts w:ascii="宋体" w:hAnsi="宋体" w:cs="宋体"/>
                <w:b/>
                <w:sz w:val="22"/>
              </w:rPr>
            </w:pPr>
            <w:r>
              <w:rPr>
                <w:rFonts w:hint="eastAsia" w:ascii="宋体" w:hAnsi="宋体" w:cs="宋体"/>
                <w:b/>
                <w:sz w:val="22"/>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76" w:hRule="atLeast"/>
        </w:trPr>
        <w:tc>
          <w:tcPr>
            <w:tcW w:w="1691" w:type="dxa"/>
            <w:vMerge w:val="restart"/>
            <w:vAlign w:val="center"/>
          </w:tcPr>
          <w:p>
            <w:pPr>
              <w:ind w:firstLine="221" w:firstLineChars="100"/>
              <w:rPr>
                <w:rFonts w:ascii="宋体" w:hAnsi="宋体" w:cs="宋体"/>
                <w:b/>
                <w:sz w:val="22"/>
              </w:rPr>
            </w:pPr>
            <w:r>
              <w:rPr>
                <w:rFonts w:hint="eastAsia" w:ascii="宋体" w:hAnsi="宋体" w:cs="宋体"/>
                <w:b/>
                <w:sz w:val="22"/>
              </w:rPr>
              <w:t>商务条款</w:t>
            </w:r>
          </w:p>
        </w:tc>
        <w:tc>
          <w:tcPr>
            <w:tcW w:w="1883" w:type="dxa"/>
            <w:vAlign w:val="center"/>
          </w:tcPr>
          <w:p>
            <w:pPr>
              <w:spacing w:before="100" w:beforeAutospacing="1" w:after="100" w:afterAutospacing="1"/>
              <w:jc w:val="center"/>
              <w:outlineLvl w:val="2"/>
              <w:rPr>
                <w:rFonts w:ascii="宋体" w:hAnsi="宋体" w:cs="宋体"/>
                <w:sz w:val="22"/>
              </w:rPr>
            </w:pPr>
          </w:p>
        </w:tc>
        <w:tc>
          <w:tcPr>
            <w:tcW w:w="1908" w:type="dxa"/>
            <w:vAlign w:val="center"/>
          </w:tcPr>
          <w:p>
            <w:pPr>
              <w:spacing w:before="100" w:beforeAutospacing="1" w:after="100" w:afterAutospacing="1"/>
              <w:jc w:val="center"/>
              <w:outlineLvl w:val="2"/>
              <w:rPr>
                <w:rFonts w:ascii="宋体" w:hAnsi="宋体" w:cs="宋体"/>
                <w:sz w:val="22"/>
              </w:rPr>
            </w:pPr>
          </w:p>
        </w:tc>
        <w:tc>
          <w:tcPr>
            <w:tcW w:w="1976" w:type="dxa"/>
            <w:vAlign w:val="center"/>
          </w:tcPr>
          <w:p>
            <w:pPr>
              <w:spacing w:before="100" w:beforeAutospacing="1" w:after="100" w:afterAutospacing="1"/>
              <w:jc w:val="center"/>
              <w:outlineLvl w:val="2"/>
              <w:rPr>
                <w:rFonts w:ascii="宋体" w:hAnsi="宋体" w:cs="宋体"/>
                <w:sz w:val="22"/>
              </w:rPr>
            </w:pPr>
          </w:p>
        </w:tc>
        <w:tc>
          <w:tcPr>
            <w:tcW w:w="2148" w:type="dxa"/>
            <w:vAlign w:val="center"/>
          </w:tcPr>
          <w:p>
            <w:pPr>
              <w:spacing w:before="100" w:beforeAutospacing="1" w:after="100" w:afterAutospacing="1"/>
              <w:jc w:val="center"/>
              <w:outlineLvl w:val="2"/>
              <w:rPr>
                <w:rFonts w:ascii="宋体" w:hAnsi="宋体" w:cs="宋体"/>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4" w:hRule="atLeast"/>
        </w:trPr>
        <w:tc>
          <w:tcPr>
            <w:tcW w:w="1691" w:type="dxa"/>
            <w:vMerge w:val="continue"/>
            <w:vAlign w:val="center"/>
          </w:tcPr>
          <w:p>
            <w:pPr>
              <w:spacing w:before="100" w:beforeAutospacing="1" w:after="100" w:afterAutospacing="1"/>
              <w:jc w:val="center"/>
              <w:outlineLvl w:val="2"/>
              <w:rPr>
                <w:rFonts w:ascii="宋体" w:hAnsi="宋体" w:cs="宋体"/>
                <w:b/>
                <w:sz w:val="22"/>
              </w:rPr>
            </w:pPr>
          </w:p>
        </w:tc>
        <w:tc>
          <w:tcPr>
            <w:tcW w:w="1883" w:type="dxa"/>
            <w:vAlign w:val="center"/>
          </w:tcPr>
          <w:p>
            <w:pPr>
              <w:spacing w:before="100" w:beforeAutospacing="1" w:after="100" w:afterAutospacing="1"/>
              <w:jc w:val="center"/>
              <w:outlineLvl w:val="2"/>
              <w:rPr>
                <w:rFonts w:ascii="宋体" w:hAnsi="宋体" w:cs="宋体"/>
                <w:sz w:val="22"/>
              </w:rPr>
            </w:pPr>
          </w:p>
        </w:tc>
        <w:tc>
          <w:tcPr>
            <w:tcW w:w="1908" w:type="dxa"/>
            <w:vAlign w:val="center"/>
          </w:tcPr>
          <w:p>
            <w:pPr>
              <w:spacing w:before="100" w:beforeAutospacing="1" w:after="100" w:afterAutospacing="1"/>
              <w:jc w:val="center"/>
              <w:outlineLvl w:val="2"/>
              <w:rPr>
                <w:rFonts w:ascii="宋体" w:hAnsi="宋体" w:cs="宋体"/>
                <w:sz w:val="22"/>
              </w:rPr>
            </w:pPr>
          </w:p>
        </w:tc>
        <w:tc>
          <w:tcPr>
            <w:tcW w:w="1976" w:type="dxa"/>
            <w:vAlign w:val="center"/>
          </w:tcPr>
          <w:p>
            <w:pPr>
              <w:spacing w:before="100" w:beforeAutospacing="1" w:after="100" w:afterAutospacing="1"/>
              <w:jc w:val="center"/>
              <w:outlineLvl w:val="2"/>
              <w:rPr>
                <w:rFonts w:ascii="宋体" w:hAnsi="宋体" w:cs="宋体"/>
                <w:sz w:val="22"/>
              </w:rPr>
            </w:pPr>
          </w:p>
        </w:tc>
        <w:tc>
          <w:tcPr>
            <w:tcW w:w="2148" w:type="dxa"/>
            <w:vAlign w:val="center"/>
          </w:tcPr>
          <w:p>
            <w:pPr>
              <w:spacing w:before="100" w:beforeAutospacing="1" w:after="100" w:afterAutospacing="1"/>
              <w:jc w:val="center"/>
              <w:outlineLvl w:val="2"/>
              <w:rPr>
                <w:rFonts w:ascii="宋体" w:hAnsi="宋体" w:cs="宋体"/>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4" w:hRule="atLeast"/>
        </w:trPr>
        <w:tc>
          <w:tcPr>
            <w:tcW w:w="1691" w:type="dxa"/>
            <w:vMerge w:val="continue"/>
            <w:vAlign w:val="center"/>
          </w:tcPr>
          <w:p>
            <w:pPr>
              <w:spacing w:before="100" w:beforeAutospacing="1" w:after="100" w:afterAutospacing="1"/>
              <w:jc w:val="center"/>
              <w:outlineLvl w:val="2"/>
              <w:rPr>
                <w:rFonts w:ascii="宋体" w:hAnsi="宋体" w:cs="宋体"/>
                <w:b/>
                <w:sz w:val="22"/>
              </w:rPr>
            </w:pPr>
          </w:p>
        </w:tc>
        <w:tc>
          <w:tcPr>
            <w:tcW w:w="1883" w:type="dxa"/>
            <w:vAlign w:val="center"/>
          </w:tcPr>
          <w:p>
            <w:pPr>
              <w:spacing w:before="100" w:beforeAutospacing="1" w:after="100" w:afterAutospacing="1"/>
              <w:jc w:val="center"/>
              <w:outlineLvl w:val="2"/>
              <w:rPr>
                <w:rFonts w:ascii="宋体" w:hAnsi="宋体" w:cs="宋体"/>
                <w:sz w:val="22"/>
              </w:rPr>
            </w:pPr>
          </w:p>
        </w:tc>
        <w:tc>
          <w:tcPr>
            <w:tcW w:w="1908" w:type="dxa"/>
            <w:vAlign w:val="center"/>
          </w:tcPr>
          <w:p>
            <w:pPr>
              <w:spacing w:before="100" w:beforeAutospacing="1" w:after="100" w:afterAutospacing="1"/>
              <w:jc w:val="center"/>
              <w:outlineLvl w:val="2"/>
              <w:rPr>
                <w:rFonts w:ascii="宋体" w:hAnsi="宋体" w:cs="宋体"/>
                <w:sz w:val="22"/>
              </w:rPr>
            </w:pPr>
          </w:p>
        </w:tc>
        <w:tc>
          <w:tcPr>
            <w:tcW w:w="1976" w:type="dxa"/>
            <w:vAlign w:val="center"/>
          </w:tcPr>
          <w:p>
            <w:pPr>
              <w:spacing w:before="100" w:beforeAutospacing="1" w:after="100" w:afterAutospacing="1"/>
              <w:jc w:val="center"/>
              <w:outlineLvl w:val="2"/>
              <w:rPr>
                <w:rFonts w:ascii="宋体" w:hAnsi="宋体" w:cs="宋体"/>
                <w:sz w:val="22"/>
              </w:rPr>
            </w:pPr>
          </w:p>
        </w:tc>
        <w:tc>
          <w:tcPr>
            <w:tcW w:w="2148" w:type="dxa"/>
            <w:vAlign w:val="center"/>
          </w:tcPr>
          <w:p>
            <w:pPr>
              <w:spacing w:before="100" w:beforeAutospacing="1" w:after="100" w:afterAutospacing="1"/>
              <w:jc w:val="center"/>
              <w:outlineLvl w:val="2"/>
              <w:rPr>
                <w:rFonts w:ascii="宋体" w:hAnsi="宋体" w:cs="宋体"/>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4" w:hRule="atLeast"/>
        </w:trPr>
        <w:tc>
          <w:tcPr>
            <w:tcW w:w="1691" w:type="dxa"/>
            <w:vMerge w:val="continue"/>
            <w:vAlign w:val="center"/>
          </w:tcPr>
          <w:p>
            <w:pPr>
              <w:spacing w:before="100" w:beforeAutospacing="1" w:after="100" w:afterAutospacing="1"/>
              <w:jc w:val="center"/>
              <w:outlineLvl w:val="2"/>
              <w:rPr>
                <w:rFonts w:ascii="宋体" w:hAnsi="宋体" w:cs="宋体"/>
                <w:b/>
                <w:sz w:val="22"/>
              </w:rPr>
            </w:pPr>
          </w:p>
        </w:tc>
        <w:tc>
          <w:tcPr>
            <w:tcW w:w="1883" w:type="dxa"/>
            <w:vAlign w:val="center"/>
          </w:tcPr>
          <w:p>
            <w:pPr>
              <w:spacing w:before="100" w:beforeAutospacing="1" w:after="100" w:afterAutospacing="1"/>
              <w:jc w:val="center"/>
              <w:outlineLvl w:val="2"/>
              <w:rPr>
                <w:rFonts w:ascii="宋体" w:hAnsi="宋体" w:cs="宋体"/>
                <w:sz w:val="22"/>
              </w:rPr>
            </w:pPr>
          </w:p>
        </w:tc>
        <w:tc>
          <w:tcPr>
            <w:tcW w:w="1908" w:type="dxa"/>
            <w:vAlign w:val="center"/>
          </w:tcPr>
          <w:p>
            <w:pPr>
              <w:spacing w:before="100" w:beforeAutospacing="1" w:after="100" w:afterAutospacing="1"/>
              <w:jc w:val="center"/>
              <w:outlineLvl w:val="2"/>
              <w:rPr>
                <w:rFonts w:ascii="宋体" w:hAnsi="宋体" w:cs="宋体"/>
                <w:sz w:val="22"/>
              </w:rPr>
            </w:pPr>
          </w:p>
        </w:tc>
        <w:tc>
          <w:tcPr>
            <w:tcW w:w="1976" w:type="dxa"/>
            <w:vAlign w:val="center"/>
          </w:tcPr>
          <w:p>
            <w:pPr>
              <w:spacing w:before="100" w:beforeAutospacing="1" w:after="100" w:afterAutospacing="1"/>
              <w:jc w:val="center"/>
              <w:outlineLvl w:val="2"/>
              <w:rPr>
                <w:rFonts w:ascii="宋体" w:hAnsi="宋体" w:cs="宋体"/>
                <w:sz w:val="22"/>
              </w:rPr>
            </w:pPr>
          </w:p>
        </w:tc>
        <w:tc>
          <w:tcPr>
            <w:tcW w:w="2148" w:type="dxa"/>
            <w:vAlign w:val="center"/>
          </w:tcPr>
          <w:p>
            <w:pPr>
              <w:spacing w:before="100" w:beforeAutospacing="1" w:after="100" w:afterAutospacing="1"/>
              <w:jc w:val="center"/>
              <w:outlineLvl w:val="2"/>
              <w:rPr>
                <w:rFonts w:ascii="宋体" w:hAnsi="宋体" w:cs="宋体"/>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4" w:hRule="atLeast"/>
        </w:trPr>
        <w:tc>
          <w:tcPr>
            <w:tcW w:w="1691" w:type="dxa"/>
            <w:vMerge w:val="continue"/>
            <w:vAlign w:val="center"/>
          </w:tcPr>
          <w:p>
            <w:pPr>
              <w:spacing w:before="100" w:beforeAutospacing="1" w:after="100" w:afterAutospacing="1"/>
              <w:jc w:val="center"/>
              <w:outlineLvl w:val="2"/>
              <w:rPr>
                <w:rFonts w:ascii="宋体" w:hAnsi="宋体" w:cs="宋体"/>
                <w:b/>
                <w:sz w:val="22"/>
              </w:rPr>
            </w:pPr>
          </w:p>
        </w:tc>
        <w:tc>
          <w:tcPr>
            <w:tcW w:w="1883" w:type="dxa"/>
            <w:vAlign w:val="center"/>
          </w:tcPr>
          <w:p>
            <w:pPr>
              <w:spacing w:before="100" w:beforeAutospacing="1" w:after="100" w:afterAutospacing="1"/>
              <w:jc w:val="center"/>
              <w:outlineLvl w:val="2"/>
              <w:rPr>
                <w:rFonts w:ascii="宋体" w:hAnsi="宋体" w:cs="宋体"/>
                <w:sz w:val="22"/>
              </w:rPr>
            </w:pPr>
          </w:p>
        </w:tc>
        <w:tc>
          <w:tcPr>
            <w:tcW w:w="1908" w:type="dxa"/>
            <w:vAlign w:val="center"/>
          </w:tcPr>
          <w:p>
            <w:pPr>
              <w:spacing w:before="100" w:beforeAutospacing="1" w:after="100" w:afterAutospacing="1"/>
              <w:jc w:val="center"/>
              <w:outlineLvl w:val="2"/>
              <w:rPr>
                <w:rFonts w:ascii="宋体" w:hAnsi="宋体" w:cs="宋体"/>
                <w:sz w:val="22"/>
              </w:rPr>
            </w:pPr>
          </w:p>
        </w:tc>
        <w:tc>
          <w:tcPr>
            <w:tcW w:w="1976" w:type="dxa"/>
            <w:vAlign w:val="center"/>
          </w:tcPr>
          <w:p>
            <w:pPr>
              <w:spacing w:before="100" w:beforeAutospacing="1" w:after="100" w:afterAutospacing="1"/>
              <w:jc w:val="center"/>
              <w:outlineLvl w:val="2"/>
              <w:rPr>
                <w:rFonts w:ascii="宋体" w:hAnsi="宋体" w:cs="宋体"/>
                <w:sz w:val="22"/>
              </w:rPr>
            </w:pPr>
          </w:p>
        </w:tc>
        <w:tc>
          <w:tcPr>
            <w:tcW w:w="2148" w:type="dxa"/>
            <w:vAlign w:val="center"/>
          </w:tcPr>
          <w:p>
            <w:pPr>
              <w:spacing w:before="100" w:beforeAutospacing="1" w:after="100" w:afterAutospacing="1"/>
              <w:jc w:val="center"/>
              <w:outlineLvl w:val="2"/>
              <w:rPr>
                <w:rFonts w:ascii="宋体" w:hAnsi="宋体" w:cs="宋体"/>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4" w:hRule="atLeast"/>
        </w:trPr>
        <w:tc>
          <w:tcPr>
            <w:tcW w:w="1691" w:type="dxa"/>
            <w:vMerge w:val="restart"/>
            <w:vAlign w:val="center"/>
          </w:tcPr>
          <w:p>
            <w:pPr>
              <w:ind w:firstLine="221" w:firstLineChars="100"/>
              <w:rPr>
                <w:rFonts w:ascii="宋体" w:hAnsi="宋体" w:cs="宋体"/>
                <w:b/>
                <w:sz w:val="22"/>
              </w:rPr>
            </w:pPr>
            <w:r>
              <w:rPr>
                <w:rFonts w:hint="eastAsia" w:ascii="宋体" w:hAnsi="宋体" w:cs="宋体"/>
                <w:b/>
                <w:sz w:val="22"/>
              </w:rPr>
              <w:t>技术偏离</w:t>
            </w:r>
          </w:p>
        </w:tc>
        <w:tc>
          <w:tcPr>
            <w:tcW w:w="1883" w:type="dxa"/>
            <w:vAlign w:val="center"/>
          </w:tcPr>
          <w:p>
            <w:pPr>
              <w:spacing w:before="100" w:beforeAutospacing="1" w:after="100" w:afterAutospacing="1"/>
              <w:jc w:val="center"/>
              <w:outlineLvl w:val="2"/>
              <w:rPr>
                <w:rFonts w:ascii="宋体" w:hAnsi="宋体" w:cs="宋体"/>
                <w:sz w:val="22"/>
              </w:rPr>
            </w:pPr>
          </w:p>
        </w:tc>
        <w:tc>
          <w:tcPr>
            <w:tcW w:w="1908" w:type="dxa"/>
            <w:vAlign w:val="center"/>
          </w:tcPr>
          <w:p>
            <w:pPr>
              <w:spacing w:before="100" w:beforeAutospacing="1" w:after="100" w:afterAutospacing="1"/>
              <w:jc w:val="center"/>
              <w:outlineLvl w:val="2"/>
              <w:rPr>
                <w:rFonts w:ascii="宋体" w:hAnsi="宋体" w:cs="宋体"/>
                <w:sz w:val="22"/>
              </w:rPr>
            </w:pPr>
          </w:p>
        </w:tc>
        <w:tc>
          <w:tcPr>
            <w:tcW w:w="1976" w:type="dxa"/>
            <w:vAlign w:val="center"/>
          </w:tcPr>
          <w:p>
            <w:pPr>
              <w:spacing w:before="100" w:beforeAutospacing="1" w:after="100" w:afterAutospacing="1"/>
              <w:jc w:val="center"/>
              <w:outlineLvl w:val="2"/>
              <w:rPr>
                <w:rFonts w:ascii="宋体" w:hAnsi="宋体" w:cs="宋体"/>
                <w:sz w:val="22"/>
              </w:rPr>
            </w:pPr>
          </w:p>
        </w:tc>
        <w:tc>
          <w:tcPr>
            <w:tcW w:w="2148" w:type="dxa"/>
            <w:vAlign w:val="center"/>
          </w:tcPr>
          <w:p>
            <w:pPr>
              <w:spacing w:before="100" w:beforeAutospacing="1" w:after="100" w:afterAutospacing="1"/>
              <w:jc w:val="center"/>
              <w:outlineLvl w:val="2"/>
              <w:rPr>
                <w:rFonts w:ascii="宋体" w:hAnsi="宋体" w:cs="宋体"/>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4" w:hRule="atLeast"/>
        </w:trPr>
        <w:tc>
          <w:tcPr>
            <w:tcW w:w="1691" w:type="dxa"/>
            <w:vMerge w:val="continue"/>
            <w:vAlign w:val="center"/>
          </w:tcPr>
          <w:p>
            <w:pPr>
              <w:spacing w:before="100" w:beforeAutospacing="1" w:after="100" w:afterAutospacing="1"/>
              <w:jc w:val="center"/>
              <w:outlineLvl w:val="2"/>
              <w:rPr>
                <w:rFonts w:ascii="宋体" w:hAnsi="宋体" w:cs="宋体"/>
                <w:sz w:val="22"/>
              </w:rPr>
            </w:pPr>
          </w:p>
        </w:tc>
        <w:tc>
          <w:tcPr>
            <w:tcW w:w="1883" w:type="dxa"/>
            <w:vAlign w:val="center"/>
          </w:tcPr>
          <w:p>
            <w:pPr>
              <w:spacing w:before="100" w:beforeAutospacing="1" w:after="100" w:afterAutospacing="1"/>
              <w:jc w:val="center"/>
              <w:outlineLvl w:val="2"/>
              <w:rPr>
                <w:rFonts w:ascii="宋体" w:hAnsi="宋体" w:cs="宋体"/>
                <w:sz w:val="22"/>
              </w:rPr>
            </w:pPr>
          </w:p>
        </w:tc>
        <w:tc>
          <w:tcPr>
            <w:tcW w:w="1908" w:type="dxa"/>
            <w:vAlign w:val="center"/>
          </w:tcPr>
          <w:p>
            <w:pPr>
              <w:spacing w:before="100" w:beforeAutospacing="1" w:after="100" w:afterAutospacing="1"/>
              <w:jc w:val="center"/>
              <w:outlineLvl w:val="2"/>
              <w:rPr>
                <w:rFonts w:ascii="宋体" w:hAnsi="宋体" w:cs="宋体"/>
                <w:sz w:val="22"/>
              </w:rPr>
            </w:pPr>
          </w:p>
        </w:tc>
        <w:tc>
          <w:tcPr>
            <w:tcW w:w="1976" w:type="dxa"/>
            <w:vAlign w:val="center"/>
          </w:tcPr>
          <w:p>
            <w:pPr>
              <w:spacing w:before="100" w:beforeAutospacing="1" w:after="100" w:afterAutospacing="1"/>
              <w:jc w:val="center"/>
              <w:outlineLvl w:val="2"/>
              <w:rPr>
                <w:rFonts w:ascii="宋体" w:hAnsi="宋体" w:cs="宋体"/>
                <w:sz w:val="22"/>
              </w:rPr>
            </w:pPr>
          </w:p>
        </w:tc>
        <w:tc>
          <w:tcPr>
            <w:tcW w:w="2148" w:type="dxa"/>
            <w:vAlign w:val="center"/>
          </w:tcPr>
          <w:p>
            <w:pPr>
              <w:spacing w:before="100" w:beforeAutospacing="1" w:after="100" w:afterAutospacing="1"/>
              <w:jc w:val="center"/>
              <w:outlineLvl w:val="2"/>
              <w:rPr>
                <w:rFonts w:ascii="宋体" w:hAnsi="宋体" w:cs="宋体"/>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4" w:hRule="atLeast"/>
        </w:trPr>
        <w:tc>
          <w:tcPr>
            <w:tcW w:w="1691" w:type="dxa"/>
            <w:vMerge w:val="continue"/>
            <w:vAlign w:val="center"/>
          </w:tcPr>
          <w:p>
            <w:pPr>
              <w:spacing w:before="100" w:beforeAutospacing="1" w:after="100" w:afterAutospacing="1"/>
              <w:jc w:val="center"/>
              <w:outlineLvl w:val="2"/>
              <w:rPr>
                <w:rFonts w:ascii="宋体" w:hAnsi="宋体" w:cs="宋体"/>
                <w:sz w:val="22"/>
              </w:rPr>
            </w:pPr>
          </w:p>
        </w:tc>
        <w:tc>
          <w:tcPr>
            <w:tcW w:w="1883" w:type="dxa"/>
            <w:vAlign w:val="center"/>
          </w:tcPr>
          <w:p>
            <w:pPr>
              <w:spacing w:before="100" w:beforeAutospacing="1" w:after="100" w:afterAutospacing="1"/>
              <w:jc w:val="center"/>
              <w:outlineLvl w:val="2"/>
              <w:rPr>
                <w:rFonts w:ascii="宋体" w:hAnsi="宋体" w:cs="宋体"/>
                <w:sz w:val="22"/>
              </w:rPr>
            </w:pPr>
          </w:p>
        </w:tc>
        <w:tc>
          <w:tcPr>
            <w:tcW w:w="1908" w:type="dxa"/>
            <w:vAlign w:val="center"/>
          </w:tcPr>
          <w:p>
            <w:pPr>
              <w:spacing w:before="100" w:beforeAutospacing="1" w:after="100" w:afterAutospacing="1"/>
              <w:jc w:val="center"/>
              <w:outlineLvl w:val="2"/>
              <w:rPr>
                <w:rFonts w:ascii="宋体" w:hAnsi="宋体" w:cs="宋体"/>
                <w:sz w:val="22"/>
              </w:rPr>
            </w:pPr>
          </w:p>
        </w:tc>
        <w:tc>
          <w:tcPr>
            <w:tcW w:w="1976" w:type="dxa"/>
            <w:vAlign w:val="center"/>
          </w:tcPr>
          <w:p>
            <w:pPr>
              <w:spacing w:before="100" w:beforeAutospacing="1" w:after="100" w:afterAutospacing="1"/>
              <w:jc w:val="center"/>
              <w:outlineLvl w:val="2"/>
              <w:rPr>
                <w:rFonts w:ascii="宋体" w:hAnsi="宋体" w:cs="宋体"/>
                <w:sz w:val="22"/>
              </w:rPr>
            </w:pPr>
          </w:p>
        </w:tc>
        <w:tc>
          <w:tcPr>
            <w:tcW w:w="2148" w:type="dxa"/>
            <w:vAlign w:val="center"/>
          </w:tcPr>
          <w:p>
            <w:pPr>
              <w:spacing w:before="100" w:beforeAutospacing="1" w:after="100" w:afterAutospacing="1"/>
              <w:jc w:val="center"/>
              <w:outlineLvl w:val="2"/>
              <w:rPr>
                <w:rFonts w:ascii="宋体" w:hAnsi="宋体" w:cs="宋体"/>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4" w:hRule="atLeast"/>
        </w:trPr>
        <w:tc>
          <w:tcPr>
            <w:tcW w:w="1691" w:type="dxa"/>
            <w:vMerge w:val="continue"/>
            <w:vAlign w:val="center"/>
          </w:tcPr>
          <w:p>
            <w:pPr>
              <w:spacing w:before="100" w:beforeAutospacing="1" w:after="100" w:afterAutospacing="1"/>
              <w:jc w:val="center"/>
              <w:outlineLvl w:val="2"/>
              <w:rPr>
                <w:rFonts w:ascii="宋体" w:hAnsi="宋体" w:cs="宋体"/>
                <w:sz w:val="22"/>
              </w:rPr>
            </w:pPr>
          </w:p>
        </w:tc>
        <w:tc>
          <w:tcPr>
            <w:tcW w:w="1883" w:type="dxa"/>
            <w:vAlign w:val="center"/>
          </w:tcPr>
          <w:p>
            <w:pPr>
              <w:spacing w:before="100" w:beforeAutospacing="1" w:after="100" w:afterAutospacing="1"/>
              <w:jc w:val="center"/>
              <w:outlineLvl w:val="2"/>
              <w:rPr>
                <w:rFonts w:ascii="宋体" w:hAnsi="宋体" w:cs="宋体"/>
                <w:sz w:val="22"/>
              </w:rPr>
            </w:pPr>
          </w:p>
        </w:tc>
        <w:tc>
          <w:tcPr>
            <w:tcW w:w="1908" w:type="dxa"/>
            <w:vAlign w:val="center"/>
          </w:tcPr>
          <w:p>
            <w:pPr>
              <w:spacing w:before="100" w:beforeAutospacing="1" w:after="100" w:afterAutospacing="1"/>
              <w:jc w:val="center"/>
              <w:outlineLvl w:val="2"/>
              <w:rPr>
                <w:rFonts w:ascii="宋体" w:hAnsi="宋体" w:cs="宋体"/>
                <w:sz w:val="22"/>
              </w:rPr>
            </w:pPr>
          </w:p>
        </w:tc>
        <w:tc>
          <w:tcPr>
            <w:tcW w:w="1976" w:type="dxa"/>
            <w:vAlign w:val="center"/>
          </w:tcPr>
          <w:p>
            <w:pPr>
              <w:spacing w:before="100" w:beforeAutospacing="1" w:after="100" w:afterAutospacing="1"/>
              <w:jc w:val="center"/>
              <w:outlineLvl w:val="2"/>
              <w:rPr>
                <w:rFonts w:ascii="宋体" w:hAnsi="宋体" w:cs="宋体"/>
                <w:sz w:val="22"/>
              </w:rPr>
            </w:pPr>
          </w:p>
        </w:tc>
        <w:tc>
          <w:tcPr>
            <w:tcW w:w="2148" w:type="dxa"/>
            <w:vAlign w:val="center"/>
          </w:tcPr>
          <w:p>
            <w:pPr>
              <w:spacing w:before="100" w:beforeAutospacing="1" w:after="100" w:afterAutospacing="1"/>
              <w:jc w:val="center"/>
              <w:outlineLvl w:val="2"/>
              <w:rPr>
                <w:rFonts w:ascii="宋体" w:hAnsi="宋体" w:cs="宋体"/>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4" w:hRule="atLeast"/>
        </w:trPr>
        <w:tc>
          <w:tcPr>
            <w:tcW w:w="1691" w:type="dxa"/>
            <w:vMerge w:val="continue"/>
            <w:vAlign w:val="center"/>
          </w:tcPr>
          <w:p>
            <w:pPr>
              <w:spacing w:before="100" w:beforeAutospacing="1" w:after="100" w:afterAutospacing="1"/>
              <w:jc w:val="center"/>
              <w:outlineLvl w:val="2"/>
              <w:rPr>
                <w:rFonts w:ascii="宋体" w:hAnsi="宋体" w:cs="宋体"/>
                <w:sz w:val="22"/>
              </w:rPr>
            </w:pPr>
          </w:p>
        </w:tc>
        <w:tc>
          <w:tcPr>
            <w:tcW w:w="1883" w:type="dxa"/>
            <w:vAlign w:val="center"/>
          </w:tcPr>
          <w:p>
            <w:pPr>
              <w:spacing w:before="100" w:beforeAutospacing="1" w:after="100" w:afterAutospacing="1"/>
              <w:jc w:val="center"/>
              <w:outlineLvl w:val="2"/>
              <w:rPr>
                <w:rFonts w:ascii="宋体" w:hAnsi="宋体" w:cs="宋体"/>
                <w:sz w:val="22"/>
              </w:rPr>
            </w:pPr>
          </w:p>
        </w:tc>
        <w:tc>
          <w:tcPr>
            <w:tcW w:w="1908" w:type="dxa"/>
            <w:vAlign w:val="center"/>
          </w:tcPr>
          <w:p>
            <w:pPr>
              <w:spacing w:before="100" w:beforeAutospacing="1" w:after="100" w:afterAutospacing="1"/>
              <w:jc w:val="center"/>
              <w:outlineLvl w:val="2"/>
              <w:rPr>
                <w:rFonts w:ascii="宋体" w:hAnsi="宋体" w:cs="宋体"/>
                <w:sz w:val="22"/>
              </w:rPr>
            </w:pPr>
          </w:p>
        </w:tc>
        <w:tc>
          <w:tcPr>
            <w:tcW w:w="1976" w:type="dxa"/>
            <w:vAlign w:val="center"/>
          </w:tcPr>
          <w:p>
            <w:pPr>
              <w:spacing w:before="100" w:beforeAutospacing="1" w:after="100" w:afterAutospacing="1"/>
              <w:jc w:val="center"/>
              <w:outlineLvl w:val="2"/>
              <w:rPr>
                <w:rFonts w:ascii="宋体" w:hAnsi="宋体" w:cs="宋体"/>
                <w:sz w:val="22"/>
              </w:rPr>
            </w:pPr>
          </w:p>
        </w:tc>
        <w:tc>
          <w:tcPr>
            <w:tcW w:w="2148" w:type="dxa"/>
            <w:vAlign w:val="center"/>
          </w:tcPr>
          <w:p>
            <w:pPr>
              <w:spacing w:before="100" w:beforeAutospacing="1" w:after="100" w:afterAutospacing="1"/>
              <w:jc w:val="center"/>
              <w:outlineLvl w:val="2"/>
              <w:rPr>
                <w:rFonts w:ascii="宋体" w:hAnsi="宋体" w:cs="宋体"/>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4" w:hRule="atLeast"/>
        </w:trPr>
        <w:tc>
          <w:tcPr>
            <w:tcW w:w="1691" w:type="dxa"/>
            <w:vMerge w:val="continue"/>
            <w:vAlign w:val="center"/>
          </w:tcPr>
          <w:p>
            <w:pPr>
              <w:spacing w:before="100" w:beforeAutospacing="1" w:after="100" w:afterAutospacing="1"/>
              <w:jc w:val="center"/>
              <w:outlineLvl w:val="2"/>
              <w:rPr>
                <w:rFonts w:ascii="宋体" w:hAnsi="宋体" w:cs="宋体"/>
                <w:sz w:val="22"/>
              </w:rPr>
            </w:pPr>
          </w:p>
        </w:tc>
        <w:tc>
          <w:tcPr>
            <w:tcW w:w="1883" w:type="dxa"/>
            <w:vAlign w:val="center"/>
          </w:tcPr>
          <w:p>
            <w:pPr>
              <w:spacing w:before="100" w:beforeAutospacing="1" w:after="100" w:afterAutospacing="1"/>
              <w:jc w:val="center"/>
              <w:outlineLvl w:val="2"/>
              <w:rPr>
                <w:rFonts w:ascii="宋体" w:hAnsi="宋体" w:cs="宋体"/>
                <w:sz w:val="22"/>
              </w:rPr>
            </w:pPr>
          </w:p>
        </w:tc>
        <w:tc>
          <w:tcPr>
            <w:tcW w:w="1908" w:type="dxa"/>
            <w:vAlign w:val="center"/>
          </w:tcPr>
          <w:p>
            <w:pPr>
              <w:spacing w:before="100" w:beforeAutospacing="1" w:after="100" w:afterAutospacing="1"/>
              <w:jc w:val="center"/>
              <w:outlineLvl w:val="2"/>
              <w:rPr>
                <w:rFonts w:ascii="宋体" w:hAnsi="宋体" w:cs="宋体"/>
                <w:sz w:val="22"/>
              </w:rPr>
            </w:pPr>
          </w:p>
        </w:tc>
        <w:tc>
          <w:tcPr>
            <w:tcW w:w="1976" w:type="dxa"/>
            <w:vAlign w:val="center"/>
          </w:tcPr>
          <w:p>
            <w:pPr>
              <w:spacing w:before="100" w:beforeAutospacing="1" w:after="100" w:afterAutospacing="1"/>
              <w:jc w:val="center"/>
              <w:outlineLvl w:val="2"/>
              <w:rPr>
                <w:rFonts w:ascii="宋体" w:hAnsi="宋体" w:cs="宋体"/>
                <w:sz w:val="22"/>
              </w:rPr>
            </w:pPr>
          </w:p>
        </w:tc>
        <w:tc>
          <w:tcPr>
            <w:tcW w:w="2148" w:type="dxa"/>
            <w:vAlign w:val="center"/>
          </w:tcPr>
          <w:p>
            <w:pPr>
              <w:spacing w:before="100" w:beforeAutospacing="1" w:after="100" w:afterAutospacing="1"/>
              <w:jc w:val="center"/>
              <w:outlineLvl w:val="2"/>
              <w:rPr>
                <w:rFonts w:ascii="宋体" w:hAnsi="宋体" w:cs="宋体"/>
                <w:sz w:val="22"/>
              </w:rPr>
            </w:pPr>
          </w:p>
        </w:tc>
      </w:tr>
    </w:tbl>
    <w:p>
      <w:pPr>
        <w:widowControl/>
        <w:overflowPunct w:val="0"/>
        <w:autoSpaceDE w:val="0"/>
        <w:autoSpaceDN w:val="0"/>
        <w:adjustRightInd w:val="0"/>
        <w:spacing w:line="400" w:lineRule="atLeast"/>
        <w:ind w:left="537" w:hanging="537" w:hangingChars="243"/>
        <w:jc w:val="left"/>
        <w:textAlignment w:val="baseline"/>
        <w:rPr>
          <w:rFonts w:ascii="宋体" w:hAnsi="宋体" w:cs="宋体"/>
          <w:b/>
          <w:kern w:val="0"/>
          <w:sz w:val="22"/>
          <w:lang w:val="zh-CN"/>
        </w:rPr>
      </w:pPr>
      <w:r>
        <w:rPr>
          <w:rFonts w:hint="eastAsia" w:ascii="宋体" w:hAnsi="宋体" w:cs="宋体"/>
          <w:b/>
          <w:kern w:val="0"/>
          <w:sz w:val="22"/>
          <w:lang w:val="zh-CN"/>
        </w:rPr>
        <w:t>注：如有偏离，必须在偏离表中进行详细对比说明并注明正偏离（负偏离），如不填写或提供此表，视为完全响应采购文件要求无偏离。</w:t>
      </w:r>
    </w:p>
    <w:p>
      <w:pPr>
        <w:spacing w:line="400" w:lineRule="exact"/>
        <w:jc w:val="left"/>
        <w:rPr>
          <w:rFonts w:ascii="宋体" w:hAnsi="宋体" w:cs="宋体"/>
          <w:sz w:val="22"/>
        </w:rPr>
      </w:pPr>
      <w:r>
        <w:rPr>
          <w:rFonts w:hint="eastAsia" w:ascii="宋体" w:hAnsi="宋体" w:cs="宋体"/>
          <w:sz w:val="22"/>
          <w:szCs w:val="24"/>
        </w:rPr>
        <w:t>供应商名称</w:t>
      </w:r>
      <w:r>
        <w:rPr>
          <w:rFonts w:hint="eastAsia" w:ascii="宋体" w:hAnsi="宋体" w:cs="宋体"/>
          <w:sz w:val="22"/>
        </w:rPr>
        <w:t>（盖章）：</w:t>
      </w:r>
    </w:p>
    <w:p>
      <w:pPr>
        <w:spacing w:line="400" w:lineRule="exact"/>
        <w:jc w:val="left"/>
        <w:rPr>
          <w:rFonts w:ascii="宋体" w:hAnsi="宋体" w:cs="宋体"/>
          <w:sz w:val="22"/>
          <w:szCs w:val="24"/>
        </w:rPr>
      </w:pPr>
      <w:r>
        <w:rPr>
          <w:rFonts w:hint="eastAsia" w:ascii="宋体" w:hAnsi="宋体" w:cs="宋体"/>
          <w:sz w:val="22"/>
        </w:rPr>
        <w:t>供应商法定代表人（单位负责人）或授权代表</w:t>
      </w:r>
      <w:r>
        <w:rPr>
          <w:rFonts w:hint="eastAsia" w:ascii="宋体" w:hAnsi="宋体" w:cs="宋体"/>
          <w:sz w:val="22"/>
          <w:szCs w:val="24"/>
        </w:rPr>
        <w:t>（签字或盖章）：</w:t>
      </w:r>
    </w:p>
    <w:p>
      <w:pPr>
        <w:spacing w:line="400" w:lineRule="exact"/>
        <w:jc w:val="left"/>
        <w:rPr>
          <w:rFonts w:ascii="宋体" w:hAnsi="宋体" w:cs="宋体"/>
          <w:sz w:val="22"/>
        </w:rPr>
      </w:pPr>
      <w:r>
        <w:rPr>
          <w:rFonts w:hint="eastAsia" w:ascii="宋体" w:hAnsi="宋体" w:cs="宋体"/>
          <w:sz w:val="22"/>
        </w:rPr>
        <w:t>日期：年月日</w:t>
      </w:r>
    </w:p>
    <w:p>
      <w:pPr>
        <w:overflowPunct w:val="0"/>
        <w:spacing w:before="100" w:beforeAutospacing="1" w:after="100" w:afterAutospacing="1" w:line="440" w:lineRule="exact"/>
        <w:jc w:val="left"/>
        <w:outlineLvl w:val="0"/>
        <w:rPr>
          <w:rFonts w:ascii="宋体" w:hAnsi="宋体" w:cs="宋体"/>
          <w:b/>
          <w:bCs/>
          <w:sz w:val="22"/>
        </w:rPr>
      </w:pPr>
      <w:bookmarkStart w:id="168" w:name="_Toc298418742"/>
      <w:bookmarkStart w:id="169" w:name="_Toc298417862"/>
      <w:bookmarkStart w:id="170" w:name="_Toc298844566"/>
      <w:bookmarkStart w:id="171" w:name="_Toc298418602"/>
      <w:r>
        <w:rPr>
          <w:rFonts w:ascii="宋体"/>
          <w:b/>
          <w:sz w:val="22"/>
        </w:rPr>
        <w:br w:type="page"/>
      </w:r>
      <w:bookmarkStart w:id="172" w:name="_Toc103191860"/>
      <w:bookmarkStart w:id="173" w:name="_Toc173317412"/>
      <w:bookmarkStart w:id="174" w:name="_Toc2939"/>
      <w:bookmarkStart w:id="175" w:name="_Toc21622"/>
      <w:bookmarkStart w:id="176" w:name="_Toc103191982"/>
      <w:bookmarkStart w:id="177" w:name="_Toc173317535"/>
      <w:bookmarkStart w:id="178" w:name="_Toc27695"/>
      <w:bookmarkStart w:id="179" w:name="_Toc432495863"/>
      <w:bookmarkStart w:id="180" w:name="_Toc301515480"/>
      <w:bookmarkStart w:id="181" w:name="_Toc518895415"/>
      <w:bookmarkStart w:id="182" w:name="_Toc432495805"/>
      <w:bookmarkStart w:id="183" w:name="_Toc522645683"/>
      <w:bookmarkStart w:id="184" w:name="_Toc301515377"/>
      <w:bookmarkStart w:id="185" w:name="_Toc3836"/>
      <w:r>
        <w:rPr>
          <w:rFonts w:hint="eastAsia" w:ascii="宋体" w:hAnsi="宋体" w:cs="宋体"/>
          <w:b/>
          <w:bCs/>
          <w:sz w:val="22"/>
        </w:rPr>
        <w:t>附件四法定代表人（单位负责人）授权书</w:t>
      </w:r>
      <w:bookmarkEnd w:id="172"/>
      <w:bookmarkEnd w:id="173"/>
      <w:bookmarkEnd w:id="174"/>
      <w:bookmarkEnd w:id="175"/>
      <w:bookmarkEnd w:id="176"/>
      <w:bookmarkEnd w:id="177"/>
    </w:p>
    <w:bookmarkEnd w:id="178"/>
    <w:bookmarkEnd w:id="179"/>
    <w:bookmarkEnd w:id="180"/>
    <w:bookmarkEnd w:id="181"/>
    <w:bookmarkEnd w:id="182"/>
    <w:bookmarkEnd w:id="183"/>
    <w:bookmarkEnd w:id="184"/>
    <w:bookmarkEnd w:id="185"/>
    <w:p>
      <w:pPr>
        <w:spacing w:line="380" w:lineRule="exact"/>
        <w:ind w:left="-358" w:leftChars="-171" w:hanging="1"/>
        <w:jc w:val="left"/>
        <w:rPr>
          <w:rFonts w:ascii="宋体" w:hAnsi="宋体" w:cs="宋体"/>
          <w:b/>
          <w:bCs/>
          <w:sz w:val="28"/>
          <w:szCs w:val="28"/>
        </w:rPr>
      </w:pPr>
    </w:p>
    <w:p>
      <w:pPr>
        <w:spacing w:line="380" w:lineRule="exact"/>
        <w:ind w:left="1081" w:leftChars="515" w:firstLine="1687" w:firstLineChars="600"/>
        <w:rPr>
          <w:rFonts w:ascii="宋体" w:hAnsi="宋体" w:cs="宋体"/>
          <w:b/>
          <w:bCs/>
          <w:sz w:val="28"/>
          <w:szCs w:val="28"/>
        </w:rPr>
      </w:pPr>
      <w:r>
        <w:rPr>
          <w:rFonts w:hint="eastAsia" w:ascii="宋体" w:hAnsi="宋体" w:cs="宋体"/>
          <w:b/>
          <w:bCs/>
          <w:sz w:val="28"/>
          <w:szCs w:val="28"/>
        </w:rPr>
        <w:t>法定代表人（单位负责人）授权书</w:t>
      </w:r>
    </w:p>
    <w:p>
      <w:pPr>
        <w:spacing w:line="380" w:lineRule="exact"/>
        <w:ind w:left="-359"/>
        <w:jc w:val="center"/>
        <w:rPr>
          <w:rFonts w:ascii="宋体" w:hAnsi="宋体" w:cs="宋体"/>
          <w:b/>
          <w:bCs/>
          <w:sz w:val="28"/>
          <w:szCs w:val="28"/>
        </w:rPr>
      </w:pPr>
    </w:p>
    <w:p>
      <w:pPr>
        <w:spacing w:line="460" w:lineRule="exact"/>
        <w:rPr>
          <w:rFonts w:ascii="宋体" w:hAnsi="宋体" w:cs="宋体"/>
          <w:sz w:val="22"/>
        </w:rPr>
      </w:pPr>
    </w:p>
    <w:p>
      <w:pPr>
        <w:spacing w:line="460" w:lineRule="exact"/>
        <w:rPr>
          <w:rFonts w:ascii="宋体" w:hAnsi="宋体" w:cs="宋体"/>
          <w:sz w:val="22"/>
        </w:rPr>
      </w:pPr>
      <w:r>
        <w:rPr>
          <w:rFonts w:hint="eastAsia" w:ascii="宋体" w:hAnsi="宋体" w:cs="宋体"/>
          <w:sz w:val="22"/>
        </w:rPr>
        <w:t>温州市海宸技术开发有限公司：</w:t>
      </w:r>
    </w:p>
    <w:p>
      <w:pPr>
        <w:spacing w:line="460" w:lineRule="exact"/>
        <w:ind w:firstLine="550" w:firstLineChars="250"/>
        <w:rPr>
          <w:rFonts w:ascii="宋体" w:hAnsi="宋体" w:cs="宋体"/>
          <w:sz w:val="22"/>
        </w:rPr>
      </w:pPr>
      <w:r>
        <w:rPr>
          <w:rFonts w:hint="eastAsia" w:ascii="宋体" w:hAnsi="宋体" w:cs="宋体"/>
          <w:sz w:val="22"/>
        </w:rPr>
        <w:t>（供应商全称）法定代表人（单位负责人）授权</w:t>
      </w:r>
      <w:r>
        <w:rPr>
          <w:rFonts w:hint="eastAsia" w:ascii="宋体" w:hAnsi="宋体" w:cs="宋体"/>
          <w:sz w:val="22"/>
          <w:u w:val="single"/>
        </w:rPr>
        <w:t>（全权代表姓名）</w:t>
      </w:r>
      <w:r>
        <w:rPr>
          <w:rFonts w:hint="eastAsia" w:ascii="宋体" w:hAnsi="宋体" w:cs="宋体"/>
          <w:sz w:val="22"/>
        </w:rPr>
        <w:t>为全权代表，参加贵单位组织的</w:t>
      </w:r>
      <w:r>
        <w:rPr>
          <w:rFonts w:ascii="宋体" w:hAnsi="宋体" w:cs="宋体"/>
          <w:sz w:val="22"/>
          <w:u w:val="single"/>
        </w:rPr>
        <w:t xml:space="preserve">          （项目名称、编号）     </w:t>
      </w:r>
      <w:r>
        <w:rPr>
          <w:rFonts w:hint="eastAsia" w:ascii="宋体" w:hAnsi="宋体" w:cs="宋体"/>
          <w:sz w:val="22"/>
        </w:rPr>
        <w:t>的投标活动，全权代表我方处理投标活动中的一切事宜。</w:t>
      </w:r>
    </w:p>
    <w:p>
      <w:pPr>
        <w:spacing w:line="460" w:lineRule="exact"/>
        <w:rPr>
          <w:rFonts w:ascii="宋体" w:hAnsi="宋体" w:cs="宋体"/>
          <w:sz w:val="22"/>
        </w:rPr>
      </w:pPr>
      <w:r>
        <w:rPr>
          <w:rFonts w:ascii="宋体" w:hAnsi="宋体" w:cs="宋体"/>
          <w:sz w:val="22"/>
        </w:rPr>
        <w:t xml:space="preserve">    本授权书于</w:t>
      </w:r>
      <w:r>
        <w:rPr>
          <w:rFonts w:hint="eastAsia" w:ascii="宋体" w:hAnsi="宋体" w:cs="宋体"/>
          <w:sz w:val="22"/>
        </w:rPr>
        <w:t>年月日签字生效，特此说明。</w:t>
      </w:r>
    </w:p>
    <w:p>
      <w:pPr>
        <w:spacing w:line="460" w:lineRule="exact"/>
        <w:ind w:firstLine="2955"/>
        <w:rPr>
          <w:rFonts w:ascii="宋体" w:hAnsi="宋体" w:cs="宋体"/>
          <w:sz w:val="22"/>
        </w:rPr>
      </w:pPr>
    </w:p>
    <w:p>
      <w:pPr>
        <w:spacing w:line="460" w:lineRule="exact"/>
        <w:jc w:val="left"/>
        <w:rPr>
          <w:rFonts w:ascii="宋体" w:hAnsi="宋体" w:cs="宋体"/>
          <w:bCs/>
          <w:sz w:val="22"/>
        </w:rPr>
      </w:pPr>
      <w:r>
        <w:rPr>
          <w:rFonts w:hint="eastAsia" w:ascii="宋体" w:hAnsi="宋体" w:cs="宋体"/>
          <w:sz w:val="22"/>
        </w:rPr>
        <w:t>法定代表人（单位负责人）</w:t>
      </w:r>
      <w:r>
        <w:rPr>
          <w:rFonts w:ascii="宋体" w:hAnsi="宋体" w:cs="宋体"/>
          <w:sz w:val="22"/>
        </w:rPr>
        <w:t>(签字或盖章)：</w:t>
      </w:r>
    </w:p>
    <w:p>
      <w:pPr>
        <w:spacing w:line="460" w:lineRule="exact"/>
        <w:jc w:val="left"/>
        <w:rPr>
          <w:rFonts w:ascii="宋体" w:hAnsi="宋体" w:cs="宋体"/>
          <w:sz w:val="22"/>
        </w:rPr>
      </w:pPr>
      <w:r>
        <w:rPr>
          <w:rFonts w:hint="eastAsia" w:ascii="宋体" w:hAnsi="宋体" w:cs="宋体"/>
          <w:sz w:val="22"/>
          <w:szCs w:val="24"/>
        </w:rPr>
        <w:t>供应商名称</w:t>
      </w:r>
      <w:r>
        <w:rPr>
          <w:rFonts w:hint="eastAsia" w:ascii="宋体" w:hAnsi="宋体" w:cs="宋体"/>
          <w:sz w:val="22"/>
        </w:rPr>
        <w:t>（公章）：</w:t>
      </w:r>
    </w:p>
    <w:p>
      <w:pPr>
        <w:spacing w:line="460" w:lineRule="exact"/>
        <w:jc w:val="left"/>
        <w:rPr>
          <w:rFonts w:ascii="宋体" w:hAnsi="宋体" w:cs="宋体"/>
          <w:sz w:val="22"/>
        </w:rPr>
      </w:pPr>
      <w:r>
        <w:rPr>
          <w:rFonts w:hint="eastAsia" w:ascii="宋体" w:hAnsi="宋体" w:cs="宋体"/>
          <w:sz w:val="22"/>
        </w:rPr>
        <w:t>日期：年月日</w:t>
      </w:r>
    </w:p>
    <w:p>
      <w:pPr>
        <w:spacing w:line="460" w:lineRule="exact"/>
        <w:rPr>
          <w:rFonts w:ascii="宋体" w:hAnsi="宋体" w:cs="宋体"/>
          <w:sz w:val="22"/>
        </w:rPr>
      </w:pPr>
    </w:p>
    <w:p>
      <w:pPr>
        <w:spacing w:line="460" w:lineRule="exact"/>
        <w:rPr>
          <w:rFonts w:ascii="宋体" w:hAnsi="宋体" w:cs="宋体"/>
          <w:sz w:val="22"/>
        </w:rPr>
      </w:pPr>
    </w:p>
    <w:p>
      <w:pPr>
        <w:spacing w:line="460" w:lineRule="exact"/>
        <w:rPr>
          <w:rFonts w:ascii="宋体" w:hAnsi="宋体" w:cs="宋体"/>
          <w:sz w:val="22"/>
        </w:rPr>
      </w:pPr>
      <w:r>
        <w:rPr>
          <w:rFonts w:hint="eastAsia" w:ascii="宋体" w:hAnsi="宋体" w:cs="宋体"/>
          <w:sz w:val="22"/>
        </w:rPr>
        <w:t>附：</w:t>
      </w:r>
    </w:p>
    <w:p>
      <w:pPr>
        <w:spacing w:line="460" w:lineRule="exact"/>
        <w:ind w:firstLine="220" w:firstLineChars="100"/>
        <w:rPr>
          <w:rFonts w:ascii="宋体" w:hAnsi="宋体" w:cs="宋体"/>
          <w:sz w:val="22"/>
        </w:rPr>
      </w:pPr>
      <w:r>
        <w:rPr>
          <w:rFonts w:hint="eastAsia" w:ascii="宋体" w:hAnsi="宋体" w:cs="宋体"/>
          <w:sz w:val="22"/>
        </w:rPr>
        <w:t>授权代表姓名：</w:t>
      </w:r>
    </w:p>
    <w:p>
      <w:pPr>
        <w:spacing w:line="460" w:lineRule="exact"/>
        <w:ind w:firstLine="220" w:firstLineChars="100"/>
        <w:rPr>
          <w:rFonts w:ascii="宋体" w:hAnsi="宋体" w:cs="宋体"/>
          <w:sz w:val="22"/>
        </w:rPr>
      </w:pPr>
      <w:r>
        <w:rPr>
          <w:rFonts w:hint="eastAsia" w:ascii="宋体" w:hAnsi="宋体" w:cs="宋体"/>
          <w:sz w:val="22"/>
        </w:rPr>
        <w:t>职务：</w:t>
      </w:r>
    </w:p>
    <w:tbl>
      <w:tblPr>
        <w:tblStyle w:val="24"/>
        <w:tblpPr w:leftFromText="180" w:rightFromText="180" w:vertAnchor="text" w:horzAnchor="margin" w:tblpXSpec="right" w:tblpY="1820"/>
        <w:tblW w:w="504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0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00" w:hRule="atLeast"/>
        </w:trPr>
        <w:tc>
          <w:tcPr>
            <w:tcW w:w="5040" w:type="dxa"/>
          </w:tcPr>
          <w:p>
            <w:pPr>
              <w:spacing w:line="460" w:lineRule="exact"/>
              <w:rPr>
                <w:rFonts w:ascii="宋体" w:hAnsi="宋体" w:cs="宋体"/>
                <w:sz w:val="22"/>
              </w:rPr>
            </w:pPr>
          </w:p>
          <w:p>
            <w:pPr>
              <w:spacing w:line="460" w:lineRule="exact"/>
              <w:rPr>
                <w:rFonts w:ascii="宋体" w:hAnsi="宋体" w:cs="宋体"/>
                <w:sz w:val="22"/>
              </w:rPr>
            </w:pPr>
          </w:p>
          <w:p>
            <w:pPr>
              <w:spacing w:line="460" w:lineRule="exact"/>
              <w:rPr>
                <w:rFonts w:ascii="宋体" w:hAnsi="宋体" w:cs="宋体"/>
                <w:sz w:val="22"/>
              </w:rPr>
            </w:pPr>
          </w:p>
          <w:p>
            <w:pPr>
              <w:spacing w:line="460" w:lineRule="exact"/>
              <w:ind w:firstLine="1100" w:firstLineChars="500"/>
              <w:rPr>
                <w:rFonts w:ascii="宋体" w:hAnsi="宋体" w:cs="宋体"/>
                <w:sz w:val="22"/>
              </w:rPr>
            </w:pPr>
            <w:r>
              <w:rPr>
                <w:rFonts w:hint="eastAsia" w:ascii="宋体" w:hAnsi="宋体" w:cs="宋体"/>
                <w:sz w:val="22"/>
              </w:rPr>
              <w:t>投标供应商授权代表身份证复印件</w:t>
            </w:r>
          </w:p>
          <w:p>
            <w:pPr>
              <w:spacing w:line="460" w:lineRule="exact"/>
              <w:ind w:firstLine="1760" w:firstLineChars="800"/>
              <w:rPr>
                <w:rFonts w:ascii="宋体" w:hAnsi="宋体" w:cs="宋体"/>
                <w:sz w:val="22"/>
              </w:rPr>
            </w:pPr>
            <w:r>
              <w:rPr>
                <w:rFonts w:hint="eastAsia" w:ascii="宋体" w:hAnsi="宋体" w:cs="宋体"/>
                <w:sz w:val="22"/>
              </w:rPr>
              <w:t>（粘贴处）</w:t>
            </w:r>
          </w:p>
        </w:tc>
      </w:tr>
    </w:tbl>
    <w:p>
      <w:pPr>
        <w:spacing w:line="460" w:lineRule="exact"/>
        <w:ind w:firstLine="220" w:firstLineChars="100"/>
        <w:rPr>
          <w:rFonts w:ascii="宋体" w:hAnsi="宋体" w:cs="宋体"/>
          <w:sz w:val="22"/>
        </w:rPr>
      </w:pPr>
      <w:r>
        <w:rPr>
          <w:rFonts w:hint="eastAsia" w:ascii="宋体" w:hAnsi="宋体" w:cs="宋体"/>
          <w:sz w:val="22"/>
        </w:rPr>
        <w:t>详细通讯地址：</w:t>
      </w:r>
    </w:p>
    <w:p>
      <w:pPr>
        <w:spacing w:line="460" w:lineRule="exact"/>
        <w:ind w:firstLine="220" w:firstLineChars="100"/>
        <w:rPr>
          <w:rFonts w:ascii="宋体" w:hAnsi="宋体" w:cs="宋体"/>
          <w:sz w:val="22"/>
        </w:rPr>
      </w:pPr>
      <w:r>
        <w:rPr>
          <w:rFonts w:hint="eastAsia" w:ascii="宋体" w:hAnsi="宋体" w:cs="宋体"/>
          <w:sz w:val="22"/>
        </w:rPr>
        <w:t>电话：</w:t>
      </w:r>
    </w:p>
    <w:p>
      <w:pPr>
        <w:spacing w:line="460" w:lineRule="exact"/>
        <w:ind w:firstLine="220" w:firstLineChars="100"/>
        <w:rPr>
          <w:rFonts w:ascii="宋体" w:hAnsi="宋体" w:cs="宋体"/>
          <w:sz w:val="22"/>
        </w:rPr>
      </w:pPr>
      <w:r>
        <w:rPr>
          <w:rFonts w:hint="eastAsia" w:ascii="宋体" w:hAnsi="宋体" w:cs="宋体"/>
          <w:sz w:val="22"/>
        </w:rPr>
        <w:t>传真：</w:t>
      </w:r>
    </w:p>
    <w:p>
      <w:pPr>
        <w:spacing w:line="460" w:lineRule="exact"/>
        <w:ind w:firstLine="220" w:firstLineChars="100"/>
        <w:rPr>
          <w:rFonts w:ascii="宋体" w:hAnsi="宋体" w:cs="宋体"/>
          <w:sz w:val="22"/>
        </w:rPr>
      </w:pPr>
      <w:r>
        <w:rPr>
          <w:rFonts w:hint="eastAsia" w:ascii="宋体" w:hAnsi="宋体" w:cs="宋体"/>
          <w:sz w:val="22"/>
        </w:rPr>
        <w:t>邮政编码</w:t>
      </w:r>
      <w:r>
        <w:rPr>
          <w:rFonts w:ascii="宋体" w:hAnsi="宋体" w:cs="宋体"/>
          <w:sz w:val="22"/>
        </w:rPr>
        <w:t>:</w:t>
      </w:r>
    </w:p>
    <w:p>
      <w:pPr>
        <w:spacing w:line="460" w:lineRule="exact"/>
        <w:rPr>
          <w:rFonts w:ascii="宋体" w:hAnsi="宋体" w:cs="宋体"/>
          <w:sz w:val="22"/>
        </w:rPr>
      </w:pPr>
    </w:p>
    <w:p>
      <w:pPr>
        <w:spacing w:line="460" w:lineRule="exact"/>
        <w:rPr>
          <w:rFonts w:ascii="宋体" w:hAnsi="宋体" w:cs="宋体"/>
          <w:b/>
          <w:bCs/>
          <w:sz w:val="22"/>
        </w:rPr>
      </w:pPr>
    </w:p>
    <w:p>
      <w:pPr>
        <w:spacing w:line="460" w:lineRule="exact"/>
        <w:rPr>
          <w:rFonts w:ascii="宋体" w:hAnsi="宋体" w:cs="宋体"/>
          <w:b/>
          <w:bCs/>
          <w:sz w:val="22"/>
        </w:rPr>
      </w:pPr>
    </w:p>
    <w:p>
      <w:pPr>
        <w:spacing w:line="380" w:lineRule="exact"/>
        <w:rPr>
          <w:rFonts w:ascii="宋体" w:hAnsi="宋体" w:cs="宋体"/>
          <w:b/>
          <w:bCs/>
          <w:sz w:val="22"/>
        </w:rPr>
      </w:pPr>
    </w:p>
    <w:p>
      <w:pPr>
        <w:spacing w:line="380" w:lineRule="exact"/>
        <w:rPr>
          <w:rFonts w:ascii="宋体" w:hAnsi="宋体" w:cs="宋体"/>
          <w:b/>
          <w:bCs/>
          <w:sz w:val="22"/>
        </w:rPr>
      </w:pPr>
    </w:p>
    <w:p>
      <w:pPr>
        <w:spacing w:line="380" w:lineRule="exact"/>
        <w:rPr>
          <w:rFonts w:ascii="宋体" w:hAnsi="宋体" w:cs="宋体"/>
          <w:b/>
          <w:bCs/>
          <w:sz w:val="22"/>
        </w:rPr>
      </w:pPr>
    </w:p>
    <w:p>
      <w:pPr>
        <w:spacing w:line="460" w:lineRule="atLeast"/>
        <w:rPr>
          <w:rFonts w:ascii="宋体" w:cs="仿宋_GB2312"/>
          <w:bCs/>
          <w:sz w:val="32"/>
          <w:szCs w:val="32"/>
          <w:lang w:val="zh-CN"/>
        </w:rPr>
      </w:pPr>
      <w:bookmarkStart w:id="186" w:name="_Toc103191983"/>
      <w:bookmarkStart w:id="187" w:name="_Toc103191861"/>
      <w:bookmarkStart w:id="188" w:name="_Toc25319"/>
      <w:bookmarkStart w:id="189" w:name="_Toc30765"/>
      <w:r>
        <w:rPr>
          <w:rFonts w:hint="eastAsia" w:ascii="宋体" w:hAnsi="宋体" w:cs="宋体"/>
          <w:b/>
          <w:bCs/>
          <w:sz w:val="24"/>
          <w:szCs w:val="24"/>
        </w:rPr>
        <w:t>注：若为联合体投标，只需出具牵头人授权书。</w:t>
      </w:r>
      <w:bookmarkEnd w:id="186"/>
      <w:bookmarkEnd w:id="187"/>
      <w:bookmarkEnd w:id="188"/>
      <w:bookmarkEnd w:id="189"/>
    </w:p>
    <w:p>
      <w:pPr>
        <w:autoSpaceDE w:val="0"/>
        <w:autoSpaceDN w:val="0"/>
        <w:adjustRightInd w:val="0"/>
        <w:spacing w:line="440" w:lineRule="atLeast"/>
        <w:jc w:val="center"/>
        <w:rPr>
          <w:rFonts w:ascii="宋体" w:cs="仿宋_GB2312"/>
          <w:b/>
          <w:bCs/>
          <w:sz w:val="32"/>
          <w:szCs w:val="32"/>
          <w:lang w:val="zh-CN"/>
        </w:rPr>
      </w:pPr>
    </w:p>
    <w:p>
      <w:pPr>
        <w:overflowPunct w:val="0"/>
        <w:spacing w:before="100" w:beforeAutospacing="1" w:after="100" w:afterAutospacing="1" w:line="440" w:lineRule="exact"/>
        <w:jc w:val="left"/>
        <w:outlineLvl w:val="0"/>
        <w:rPr>
          <w:rFonts w:ascii="宋体" w:hAnsi="宋体" w:cs="宋体"/>
          <w:b/>
          <w:bCs/>
          <w:sz w:val="22"/>
        </w:rPr>
      </w:pPr>
      <w:r>
        <w:rPr>
          <w:rFonts w:ascii="宋体"/>
          <w:b/>
          <w:sz w:val="22"/>
        </w:rPr>
        <w:br w:type="page"/>
      </w:r>
      <w:bookmarkEnd w:id="168"/>
      <w:bookmarkEnd w:id="169"/>
      <w:bookmarkEnd w:id="170"/>
      <w:bookmarkEnd w:id="171"/>
      <w:bookmarkStart w:id="190" w:name="_Toc173317536"/>
      <w:bookmarkStart w:id="191" w:name="_Toc173317413"/>
      <w:bookmarkStart w:id="192" w:name="_Toc103191862"/>
      <w:bookmarkStart w:id="193" w:name="_Toc103191984"/>
      <w:bookmarkStart w:id="194" w:name="_Toc129"/>
      <w:bookmarkStart w:id="195" w:name="_Toc21257"/>
      <w:r>
        <w:rPr>
          <w:rFonts w:hint="eastAsia" w:ascii="宋体" w:hAnsi="宋体" w:cs="宋体"/>
          <w:b/>
          <w:bCs/>
          <w:sz w:val="24"/>
          <w:szCs w:val="24"/>
        </w:rPr>
        <w:t>附件五</w:t>
      </w:r>
      <w:bookmarkEnd w:id="190"/>
      <w:bookmarkEnd w:id="191"/>
      <w:bookmarkEnd w:id="192"/>
      <w:bookmarkEnd w:id="193"/>
      <w:bookmarkEnd w:id="194"/>
      <w:bookmarkEnd w:id="195"/>
    </w:p>
    <w:p>
      <w:pPr>
        <w:spacing w:line="360" w:lineRule="auto"/>
        <w:jc w:val="center"/>
        <w:rPr>
          <w:rFonts w:ascii="宋体" w:hAnsi="宋体" w:cs="宋体"/>
          <w:b/>
          <w:sz w:val="44"/>
          <w:szCs w:val="44"/>
        </w:rPr>
      </w:pPr>
      <w:bookmarkStart w:id="196" w:name="_Toc46765261"/>
      <w:r>
        <w:rPr>
          <w:rFonts w:hint="eastAsia" w:ascii="宋体" w:hAnsi="宋体" w:cs="宋体"/>
          <w:b/>
          <w:sz w:val="44"/>
          <w:szCs w:val="44"/>
        </w:rPr>
        <w:t>企业法人营业执照</w:t>
      </w:r>
    </w:p>
    <w:tbl>
      <w:tblPr>
        <w:tblStyle w:val="24"/>
        <w:tblW w:w="9145" w:type="dxa"/>
        <w:tblInd w:w="0" w:type="dxa"/>
        <w:tblBorders>
          <w:top w:val="dotDash" w:color="BFBFBF" w:sz="4" w:space="0"/>
          <w:left w:val="dotDash" w:color="BFBFBF" w:sz="4" w:space="0"/>
          <w:bottom w:val="dotDash" w:color="BFBFBF" w:sz="4" w:space="0"/>
          <w:right w:val="dotDash" w:color="BFBFBF" w:sz="4" w:space="0"/>
          <w:insideH w:val="dotDash" w:color="BFBFBF" w:sz="4" w:space="0"/>
          <w:insideV w:val="dotDash" w:color="BFBFBF" w:sz="4" w:space="0"/>
        </w:tblBorders>
        <w:tblLayout w:type="fixed"/>
        <w:tblCellMar>
          <w:top w:w="0" w:type="dxa"/>
          <w:left w:w="108" w:type="dxa"/>
          <w:bottom w:w="0" w:type="dxa"/>
          <w:right w:w="108" w:type="dxa"/>
        </w:tblCellMar>
      </w:tblPr>
      <w:tblGrid>
        <w:gridCol w:w="9145"/>
      </w:tblGrid>
      <w:tr>
        <w:tblPrEx>
          <w:tblBorders>
            <w:top w:val="dotDash" w:color="BFBFBF" w:sz="4" w:space="0"/>
            <w:left w:val="dotDash" w:color="BFBFBF" w:sz="4" w:space="0"/>
            <w:bottom w:val="dotDash" w:color="BFBFBF" w:sz="4" w:space="0"/>
            <w:right w:val="dotDash" w:color="BFBFBF" w:sz="4" w:space="0"/>
            <w:insideH w:val="dotDash" w:color="BFBFBF" w:sz="4" w:space="0"/>
            <w:insideV w:val="dotDash" w:color="BFBFBF" w:sz="4" w:space="0"/>
          </w:tblBorders>
          <w:tblCellMar>
            <w:top w:w="0" w:type="dxa"/>
            <w:left w:w="108" w:type="dxa"/>
            <w:bottom w:w="0" w:type="dxa"/>
            <w:right w:w="108" w:type="dxa"/>
          </w:tblCellMar>
        </w:tblPrEx>
        <w:trPr>
          <w:trHeight w:val="10874" w:hRule="atLeast"/>
        </w:trPr>
        <w:tc>
          <w:tcPr>
            <w:tcW w:w="9145" w:type="dxa"/>
            <w:vAlign w:val="center"/>
          </w:tcPr>
          <w:p>
            <w:pPr>
              <w:pStyle w:val="21"/>
              <w:spacing w:before="0" w:beforeAutospacing="0" w:after="0" w:afterAutospacing="0" w:line="420" w:lineRule="exact"/>
              <w:ind w:firstLine="442" w:firstLineChars="200"/>
              <w:rPr>
                <w:rFonts w:cs="宋体"/>
                <w:b/>
                <w:bCs/>
                <w:sz w:val="22"/>
                <w:szCs w:val="22"/>
              </w:rPr>
            </w:pPr>
            <w:r>
              <w:rPr>
                <w:rFonts w:hint="eastAsia" w:cs="宋体"/>
                <w:b/>
                <w:bCs/>
                <w:sz w:val="22"/>
                <w:szCs w:val="22"/>
              </w:rPr>
              <w:t>资格要求：具有独立承担民事责任能力</w:t>
            </w:r>
          </w:p>
          <w:p>
            <w:pPr>
              <w:pStyle w:val="21"/>
              <w:spacing w:before="0" w:beforeAutospacing="0" w:after="0" w:afterAutospacing="0" w:line="420" w:lineRule="exact"/>
              <w:ind w:firstLine="440" w:firstLineChars="200"/>
              <w:rPr>
                <w:rFonts w:cs="宋体"/>
                <w:sz w:val="22"/>
                <w:szCs w:val="22"/>
              </w:rPr>
            </w:pPr>
          </w:p>
          <w:p>
            <w:pPr>
              <w:pStyle w:val="21"/>
              <w:spacing w:before="0" w:beforeAutospacing="0" w:after="0" w:afterAutospacing="0" w:line="420" w:lineRule="exact"/>
              <w:ind w:firstLine="442" w:firstLineChars="200"/>
              <w:rPr>
                <w:rFonts w:cs="宋体"/>
                <w:sz w:val="22"/>
                <w:szCs w:val="22"/>
              </w:rPr>
            </w:pPr>
            <w:r>
              <w:rPr>
                <w:rFonts w:hint="eastAsia" w:cs="宋体"/>
                <w:b/>
                <w:bCs/>
                <w:sz w:val="22"/>
                <w:szCs w:val="22"/>
              </w:rPr>
              <w:t>证明材料：企业营业执照</w:t>
            </w:r>
            <w:r>
              <w:rPr>
                <w:rFonts w:hint="eastAsia" w:cs="宋体"/>
                <w:sz w:val="22"/>
                <w:szCs w:val="22"/>
              </w:rPr>
              <w:t>（提供复制件加盖供应商公章）或供应商为依法允许经营的事业单位的，应提交事业单位法人证书（提供复制件加盖供应商公章）</w:t>
            </w:r>
          </w:p>
          <w:p>
            <w:pPr>
              <w:pStyle w:val="21"/>
              <w:spacing w:before="0" w:beforeAutospacing="0" w:after="0" w:afterAutospacing="0" w:line="420" w:lineRule="exact"/>
              <w:ind w:firstLine="440" w:firstLineChars="200"/>
              <w:rPr>
                <w:rFonts w:cs="宋体"/>
                <w:sz w:val="22"/>
                <w:szCs w:val="22"/>
              </w:rPr>
            </w:pPr>
          </w:p>
          <w:p>
            <w:pPr>
              <w:pStyle w:val="21"/>
              <w:spacing w:before="0" w:beforeAutospacing="0" w:after="0" w:afterAutospacing="0" w:line="420" w:lineRule="exact"/>
              <w:ind w:firstLine="440" w:firstLineChars="200"/>
              <w:rPr>
                <w:rFonts w:cs="宋体"/>
              </w:rPr>
            </w:pPr>
            <w:r>
              <w:rPr>
                <w:rFonts w:hint="eastAsia" w:cs="宋体"/>
                <w:sz w:val="22"/>
                <w:szCs w:val="22"/>
              </w:rPr>
              <w:t>备注：金融、保险、通讯等特定行业的全国性企业所设立的区域性分支机构，以及个体工商户、个人独资企业、合伙企业参加本项目投标的，除上述提供自身企业营业执照外，还须提供总公司（总机构）授权书或房产权证或其他有效财产证明材料（提供复制件加盖供应商公章）。</w:t>
            </w:r>
          </w:p>
        </w:tc>
      </w:tr>
    </w:tbl>
    <w:p>
      <w:pPr>
        <w:rPr>
          <w:rFonts w:ascii="宋体" w:hAnsi="宋体" w:cs="宋体"/>
        </w:rPr>
      </w:pPr>
      <w:r>
        <w:rPr>
          <w:rFonts w:ascii="宋体" w:hAnsi="宋体" w:cs="宋体"/>
        </w:rPr>
        <w:br w:type="page"/>
      </w:r>
    </w:p>
    <w:p>
      <w:pPr>
        <w:pStyle w:val="7"/>
        <w:rPr>
          <w:rFonts w:hint="default" w:cs="宋体"/>
        </w:rPr>
      </w:pPr>
      <w:bookmarkStart w:id="197" w:name="_Toc3209"/>
      <w:bookmarkStart w:id="198" w:name="_Toc22182"/>
      <w:r>
        <w:rPr>
          <w:rFonts w:cs="宋体"/>
        </w:rPr>
        <w:t>附件六供应商符合参与国企采购活动资格条件的声明函：</w:t>
      </w:r>
      <w:bookmarkEnd w:id="197"/>
      <w:bookmarkEnd w:id="198"/>
    </w:p>
    <w:p>
      <w:pPr>
        <w:pStyle w:val="21"/>
        <w:adjustRightInd w:val="0"/>
        <w:snapToGrid w:val="0"/>
        <w:spacing w:before="0" w:beforeAutospacing="0" w:after="0" w:afterAutospacing="0" w:line="360" w:lineRule="auto"/>
        <w:ind w:left="400"/>
        <w:jc w:val="center"/>
        <w:rPr>
          <w:rFonts w:cs="宋体"/>
          <w:sz w:val="32"/>
          <w:szCs w:val="32"/>
        </w:rPr>
      </w:pPr>
    </w:p>
    <w:p>
      <w:pPr>
        <w:pStyle w:val="21"/>
        <w:adjustRightInd w:val="0"/>
        <w:snapToGrid w:val="0"/>
        <w:spacing w:before="0" w:beforeAutospacing="0" w:after="0" w:afterAutospacing="0" w:line="420" w:lineRule="exact"/>
        <w:jc w:val="center"/>
        <w:rPr>
          <w:rFonts w:cs="宋体"/>
          <w:b/>
          <w:bCs/>
          <w:sz w:val="32"/>
          <w:szCs w:val="32"/>
        </w:rPr>
      </w:pPr>
      <w:r>
        <w:rPr>
          <w:rFonts w:hint="eastAsia" w:cs="宋体"/>
          <w:b/>
          <w:bCs/>
          <w:sz w:val="32"/>
          <w:szCs w:val="32"/>
        </w:rPr>
        <w:t>供应商符合参与国企采购活动资格条件的声明函</w:t>
      </w:r>
    </w:p>
    <w:p>
      <w:pPr>
        <w:spacing w:line="420" w:lineRule="exact"/>
        <w:rPr>
          <w:rFonts w:ascii="宋体" w:hAnsi="宋体" w:cs="宋体"/>
          <w:szCs w:val="21"/>
          <w:u w:val="single"/>
        </w:rPr>
      </w:pPr>
    </w:p>
    <w:p>
      <w:pPr>
        <w:spacing w:line="420" w:lineRule="exact"/>
        <w:rPr>
          <w:rFonts w:ascii="宋体" w:hAnsi="宋体" w:cs="宋体"/>
          <w:kern w:val="0"/>
          <w:sz w:val="22"/>
        </w:rPr>
      </w:pPr>
      <w:r>
        <w:rPr>
          <w:rFonts w:hint="eastAsia" w:ascii="宋体" w:hAnsi="宋体" w:cs="宋体"/>
          <w:kern w:val="0"/>
          <w:sz w:val="22"/>
        </w:rPr>
        <w:t>温州市海宸技术开发有限公司：</w:t>
      </w:r>
    </w:p>
    <w:p>
      <w:pPr>
        <w:pStyle w:val="21"/>
        <w:spacing w:before="0" w:beforeAutospacing="0" w:after="0" w:afterAutospacing="0" w:line="420" w:lineRule="exact"/>
        <w:ind w:firstLine="440" w:firstLineChars="200"/>
        <w:rPr>
          <w:rFonts w:cs="宋体"/>
          <w:sz w:val="22"/>
          <w:szCs w:val="22"/>
        </w:rPr>
      </w:pPr>
      <w:r>
        <w:rPr>
          <w:rFonts w:hint="eastAsia" w:cs="宋体"/>
          <w:sz w:val="22"/>
          <w:szCs w:val="22"/>
        </w:rPr>
        <w:t>我方</w:t>
      </w:r>
      <w:r>
        <w:rPr>
          <w:rFonts w:cs="宋体"/>
          <w:sz w:val="22"/>
          <w:szCs w:val="22"/>
          <w:u w:val="single"/>
        </w:rPr>
        <w:t xml:space="preserve">    （供应商全称）  </w:t>
      </w:r>
      <w:r>
        <w:rPr>
          <w:rFonts w:hint="eastAsia" w:cs="宋体"/>
          <w:sz w:val="22"/>
          <w:szCs w:val="22"/>
        </w:rPr>
        <w:t>参与</w:t>
      </w:r>
      <w:r>
        <w:rPr>
          <w:rFonts w:cs="宋体"/>
          <w:sz w:val="22"/>
          <w:szCs w:val="22"/>
          <w:u w:val="single"/>
        </w:rPr>
        <w:t xml:space="preserve">      （项目名称）   </w:t>
      </w:r>
      <w:r>
        <w:rPr>
          <w:rFonts w:hint="eastAsia" w:cs="宋体"/>
          <w:sz w:val="22"/>
          <w:szCs w:val="22"/>
        </w:rPr>
        <w:t>国企采购活动，针对《浙江温州海洋经济示范区区属国有企业采购管理办法》第十四条所述条件做如下承诺：</w:t>
      </w:r>
    </w:p>
    <w:p>
      <w:pPr>
        <w:pStyle w:val="21"/>
        <w:spacing w:before="0" w:beforeAutospacing="0" w:after="0" w:afterAutospacing="0" w:line="420" w:lineRule="exact"/>
        <w:ind w:firstLine="420"/>
        <w:rPr>
          <w:rFonts w:cs="宋体"/>
          <w:sz w:val="22"/>
          <w:szCs w:val="22"/>
        </w:rPr>
      </w:pPr>
      <w:r>
        <w:rPr>
          <w:rFonts w:cs="宋体"/>
          <w:sz w:val="22"/>
          <w:szCs w:val="22"/>
        </w:rPr>
        <w:t>1、我方具有良好的商业信誉和健全的财务会计制度；</w:t>
      </w:r>
    </w:p>
    <w:p>
      <w:pPr>
        <w:pStyle w:val="21"/>
        <w:spacing w:before="0" w:beforeAutospacing="0" w:after="0" w:afterAutospacing="0" w:line="420" w:lineRule="exact"/>
        <w:ind w:firstLine="420"/>
        <w:rPr>
          <w:rFonts w:cs="宋体"/>
          <w:sz w:val="22"/>
          <w:szCs w:val="22"/>
        </w:rPr>
      </w:pPr>
      <w:r>
        <w:rPr>
          <w:rFonts w:cs="宋体"/>
          <w:sz w:val="22"/>
          <w:szCs w:val="22"/>
        </w:rPr>
        <w:t>2、我方具有履行合同所必需的设备和专业技术、售后保障等能力；</w:t>
      </w:r>
    </w:p>
    <w:p>
      <w:pPr>
        <w:pStyle w:val="21"/>
        <w:spacing w:before="0" w:beforeAutospacing="0" w:after="0" w:afterAutospacing="0" w:line="420" w:lineRule="exact"/>
        <w:ind w:firstLine="420"/>
        <w:rPr>
          <w:rFonts w:cs="宋体"/>
          <w:sz w:val="22"/>
          <w:szCs w:val="22"/>
        </w:rPr>
      </w:pPr>
      <w:r>
        <w:rPr>
          <w:rFonts w:cs="宋体"/>
          <w:sz w:val="22"/>
          <w:szCs w:val="22"/>
        </w:rPr>
        <w:t>3、我方有依法缴纳税收和社会保障资金的良好记录；</w:t>
      </w:r>
    </w:p>
    <w:p>
      <w:pPr>
        <w:pStyle w:val="21"/>
        <w:spacing w:before="0" w:beforeAutospacing="0" w:after="0" w:afterAutospacing="0" w:line="420" w:lineRule="exact"/>
        <w:ind w:firstLine="420"/>
        <w:rPr>
          <w:rFonts w:cs="宋体"/>
          <w:sz w:val="22"/>
          <w:szCs w:val="22"/>
        </w:rPr>
      </w:pPr>
      <w:r>
        <w:rPr>
          <w:rFonts w:cs="宋体"/>
          <w:sz w:val="22"/>
          <w:szCs w:val="22"/>
        </w:rPr>
        <w:t>4、我方在参加采购、招投标等活动前三年内，在经营活动中没有重大违法记录、严重失信行为和行贿记录；</w:t>
      </w:r>
    </w:p>
    <w:p>
      <w:pPr>
        <w:pStyle w:val="21"/>
        <w:spacing w:before="0" w:beforeAutospacing="0" w:after="0" w:afterAutospacing="0" w:line="420" w:lineRule="exact"/>
        <w:ind w:firstLine="420"/>
        <w:rPr>
          <w:rFonts w:cs="宋体"/>
          <w:sz w:val="22"/>
          <w:szCs w:val="22"/>
        </w:rPr>
      </w:pPr>
      <w:r>
        <w:rPr>
          <w:rFonts w:cs="宋体"/>
          <w:sz w:val="22"/>
          <w:szCs w:val="22"/>
        </w:rPr>
        <w:t>5、我方未被列入失信被执行人名单、重大税收违法案件当事人名单、政府采购严重违法失信行为记录名单，信用信息以信用中国网站（www.creditchina.gov.cn）、中国政府采购网（www.ccgp.gov.cn）公布为准。</w:t>
      </w:r>
    </w:p>
    <w:p>
      <w:pPr>
        <w:pStyle w:val="21"/>
        <w:spacing w:before="0" w:beforeAutospacing="0" w:after="0" w:afterAutospacing="0" w:line="420" w:lineRule="exact"/>
        <w:ind w:firstLine="420"/>
        <w:rPr>
          <w:rFonts w:cs="宋体"/>
          <w:sz w:val="22"/>
          <w:szCs w:val="22"/>
        </w:rPr>
      </w:pPr>
      <w:r>
        <w:rPr>
          <w:rFonts w:hint="eastAsia" w:cs="宋体"/>
          <w:sz w:val="22"/>
          <w:szCs w:val="22"/>
        </w:rPr>
        <w:t>我方对上述承诺内容的真实性负责。如有虚假，将依法承担相应责任。</w:t>
      </w:r>
    </w:p>
    <w:p>
      <w:pPr>
        <w:pStyle w:val="21"/>
        <w:spacing w:before="0" w:beforeAutospacing="0" w:after="0" w:afterAutospacing="0" w:line="420" w:lineRule="exact"/>
        <w:ind w:left="400" w:firstLine="440" w:firstLineChars="200"/>
        <w:rPr>
          <w:rFonts w:cs="宋体"/>
          <w:sz w:val="22"/>
          <w:szCs w:val="22"/>
        </w:rPr>
      </w:pPr>
    </w:p>
    <w:p>
      <w:pPr>
        <w:pStyle w:val="21"/>
        <w:spacing w:before="0" w:beforeAutospacing="0" w:after="0" w:afterAutospacing="0" w:line="420" w:lineRule="exact"/>
        <w:ind w:left="400" w:firstLine="442" w:firstLineChars="200"/>
        <w:rPr>
          <w:rFonts w:cs="宋体"/>
          <w:b/>
          <w:bCs/>
          <w:sz w:val="22"/>
          <w:szCs w:val="22"/>
        </w:rPr>
      </w:pPr>
    </w:p>
    <w:p>
      <w:pPr>
        <w:pStyle w:val="21"/>
        <w:spacing w:before="0" w:beforeAutospacing="0" w:after="0" w:afterAutospacing="0" w:line="420" w:lineRule="exact"/>
        <w:ind w:left="400" w:firstLine="440" w:firstLineChars="200"/>
        <w:rPr>
          <w:rFonts w:cs="宋体"/>
          <w:sz w:val="22"/>
          <w:szCs w:val="22"/>
        </w:rPr>
      </w:pPr>
      <w:r>
        <w:rPr>
          <w:rFonts w:hint="eastAsia" w:cs="宋体"/>
          <w:sz w:val="22"/>
          <w:szCs w:val="22"/>
        </w:rPr>
        <w:t>供应商名称（盖章）</w:t>
      </w:r>
      <w:r>
        <w:rPr>
          <w:rFonts w:cs="宋体"/>
          <w:sz w:val="22"/>
          <w:szCs w:val="22"/>
        </w:rPr>
        <w:t xml:space="preserve"> ： </w:t>
      </w:r>
    </w:p>
    <w:p>
      <w:pPr>
        <w:pStyle w:val="21"/>
        <w:spacing w:before="0" w:beforeAutospacing="0" w:after="0" w:afterAutospacing="0" w:line="420" w:lineRule="exact"/>
        <w:ind w:left="400" w:firstLine="440" w:firstLineChars="200"/>
        <w:rPr>
          <w:rFonts w:cs="宋体"/>
          <w:sz w:val="22"/>
          <w:szCs w:val="22"/>
        </w:rPr>
      </w:pPr>
      <w:r>
        <w:rPr>
          <w:rFonts w:hint="eastAsia" w:cs="宋体"/>
          <w:sz w:val="22"/>
          <w:szCs w:val="22"/>
        </w:rPr>
        <w:t>法定代表人或授权代表（签字或盖章）：</w:t>
      </w:r>
    </w:p>
    <w:p>
      <w:pPr>
        <w:pStyle w:val="21"/>
        <w:spacing w:before="0" w:beforeAutospacing="0" w:after="0" w:afterAutospacing="0" w:line="420" w:lineRule="exact"/>
        <w:ind w:left="400" w:firstLine="440" w:firstLineChars="200"/>
        <w:rPr>
          <w:rFonts w:cs="宋体"/>
          <w:sz w:val="22"/>
          <w:szCs w:val="22"/>
        </w:rPr>
      </w:pPr>
      <w:r>
        <w:rPr>
          <w:rFonts w:hint="eastAsia" w:cs="宋体"/>
          <w:sz w:val="22"/>
          <w:szCs w:val="22"/>
        </w:rPr>
        <w:t>日期：年月日</w:t>
      </w:r>
    </w:p>
    <w:p>
      <w:pPr>
        <w:spacing w:line="400" w:lineRule="exact"/>
        <w:jc w:val="left"/>
        <w:rPr>
          <w:rFonts w:ascii="宋体" w:hAnsi="宋体" w:cs="宋体"/>
          <w:b/>
          <w:bCs/>
          <w:sz w:val="22"/>
        </w:rPr>
      </w:pPr>
    </w:p>
    <w:p>
      <w:pPr>
        <w:spacing w:line="400" w:lineRule="exact"/>
        <w:jc w:val="left"/>
        <w:rPr>
          <w:rFonts w:ascii="宋体" w:hAnsi="宋体" w:cs="宋体"/>
          <w:b/>
          <w:bCs/>
          <w:sz w:val="22"/>
        </w:rPr>
      </w:pPr>
    </w:p>
    <w:p>
      <w:pPr>
        <w:spacing w:line="400" w:lineRule="exact"/>
        <w:jc w:val="left"/>
        <w:rPr>
          <w:rFonts w:ascii="宋体" w:hAnsi="宋体" w:cs="宋体"/>
          <w:b/>
          <w:bCs/>
          <w:sz w:val="22"/>
        </w:rPr>
      </w:pPr>
    </w:p>
    <w:p>
      <w:pPr>
        <w:spacing w:line="400" w:lineRule="exact"/>
        <w:jc w:val="left"/>
        <w:rPr>
          <w:rFonts w:ascii="宋体" w:hAnsi="宋体" w:cs="宋体"/>
          <w:b/>
          <w:bCs/>
          <w:sz w:val="22"/>
        </w:rPr>
      </w:pPr>
    </w:p>
    <w:p>
      <w:pPr>
        <w:spacing w:line="400" w:lineRule="exact"/>
        <w:jc w:val="left"/>
        <w:rPr>
          <w:rFonts w:ascii="宋体" w:hAnsi="宋体" w:cs="宋体"/>
          <w:b/>
          <w:bCs/>
          <w:sz w:val="22"/>
        </w:rPr>
      </w:pPr>
    </w:p>
    <w:p>
      <w:pPr>
        <w:spacing w:line="400" w:lineRule="exact"/>
        <w:jc w:val="left"/>
        <w:rPr>
          <w:rFonts w:ascii="宋体" w:hAnsi="宋体" w:cs="宋体"/>
          <w:b/>
          <w:bCs/>
          <w:sz w:val="22"/>
        </w:rPr>
      </w:pPr>
    </w:p>
    <w:p>
      <w:pPr>
        <w:spacing w:line="400" w:lineRule="exact"/>
        <w:jc w:val="left"/>
        <w:rPr>
          <w:rFonts w:ascii="宋体" w:hAnsi="宋体" w:cs="宋体"/>
          <w:b/>
          <w:bCs/>
          <w:sz w:val="22"/>
        </w:rPr>
      </w:pPr>
    </w:p>
    <w:p>
      <w:pPr>
        <w:spacing w:line="400" w:lineRule="exact"/>
        <w:jc w:val="left"/>
        <w:rPr>
          <w:rFonts w:ascii="宋体" w:hAnsi="宋体" w:cs="宋体"/>
          <w:b/>
          <w:bCs/>
          <w:sz w:val="22"/>
        </w:rPr>
      </w:pPr>
    </w:p>
    <w:p>
      <w:pPr>
        <w:spacing w:line="400" w:lineRule="exact"/>
        <w:jc w:val="left"/>
        <w:rPr>
          <w:rFonts w:ascii="宋体" w:hAnsi="宋体" w:cs="宋体"/>
          <w:b/>
          <w:bCs/>
          <w:sz w:val="22"/>
        </w:rPr>
      </w:pPr>
    </w:p>
    <w:p>
      <w:pPr>
        <w:spacing w:line="400" w:lineRule="exact"/>
        <w:jc w:val="left"/>
        <w:rPr>
          <w:rFonts w:ascii="宋体" w:hAnsi="宋体" w:cs="宋体"/>
          <w:b/>
          <w:bCs/>
          <w:sz w:val="22"/>
        </w:rPr>
      </w:pPr>
    </w:p>
    <w:bookmarkEnd w:id="196"/>
    <w:p>
      <w:pPr>
        <w:jc w:val="left"/>
        <w:rPr>
          <w:rFonts w:ascii="宋体" w:hAnsi="宋体" w:cs="宋体"/>
          <w:b/>
          <w:bCs/>
          <w:sz w:val="22"/>
        </w:rPr>
      </w:pPr>
      <w:bookmarkStart w:id="199" w:name="_Toc103191870"/>
      <w:bookmarkStart w:id="200" w:name="_Toc15124"/>
      <w:bookmarkStart w:id="201" w:name="_Toc27186"/>
      <w:bookmarkStart w:id="202" w:name="_Toc173317537"/>
      <w:bookmarkStart w:id="203" w:name="_Toc103191992"/>
      <w:bookmarkStart w:id="204" w:name="_Toc173317414"/>
      <w:r>
        <w:rPr>
          <w:rFonts w:hint="eastAsia" w:ascii="宋体" w:hAnsi="宋体" w:cs="宋体"/>
          <w:b/>
          <w:bCs/>
          <w:sz w:val="22"/>
        </w:rPr>
        <w:br w:type="page"/>
      </w:r>
    </w:p>
    <w:p>
      <w:pPr>
        <w:overflowPunct w:val="0"/>
        <w:spacing w:before="100" w:beforeAutospacing="1" w:after="100" w:afterAutospacing="1" w:line="440" w:lineRule="exact"/>
        <w:jc w:val="left"/>
        <w:outlineLvl w:val="0"/>
        <w:rPr>
          <w:rFonts w:ascii="宋体" w:hAnsi="宋体" w:cs="宋体"/>
          <w:b/>
          <w:bCs/>
          <w:sz w:val="22"/>
        </w:rPr>
      </w:pPr>
      <w:r>
        <w:rPr>
          <w:rFonts w:hint="eastAsia" w:ascii="宋体" w:hAnsi="宋体" w:cs="宋体"/>
          <w:b/>
          <w:bCs/>
          <w:sz w:val="22"/>
        </w:rPr>
        <w:t>附件七</w:t>
      </w:r>
      <w:bookmarkEnd w:id="199"/>
      <w:bookmarkEnd w:id="200"/>
      <w:bookmarkEnd w:id="201"/>
      <w:bookmarkEnd w:id="202"/>
      <w:bookmarkEnd w:id="203"/>
      <w:bookmarkEnd w:id="204"/>
    </w:p>
    <w:p>
      <w:pPr>
        <w:widowControl/>
        <w:jc w:val="center"/>
        <w:rPr>
          <w:rFonts w:ascii="宋体" w:hAnsi="宋体" w:cs="宋体"/>
          <w:b/>
          <w:kern w:val="0"/>
          <w:sz w:val="28"/>
          <w:szCs w:val="20"/>
        </w:rPr>
      </w:pPr>
      <w:r>
        <w:rPr>
          <w:rFonts w:hint="eastAsia" w:ascii="宋体" w:hAnsi="宋体" w:cs="宋体"/>
          <w:b/>
          <w:kern w:val="0"/>
          <w:sz w:val="28"/>
          <w:szCs w:val="20"/>
        </w:rPr>
        <w:t>（</w:t>
      </w:r>
      <w:r>
        <w:rPr>
          <w:rFonts w:ascii="宋体" w:hAnsi="宋体" w:cs="宋体"/>
          <w:b/>
          <w:kern w:val="0"/>
          <w:sz w:val="28"/>
          <w:szCs w:val="20"/>
        </w:rPr>
        <w:t>1）拟投入本项目的服务团队主要负责人简历表</w:t>
      </w:r>
    </w:p>
    <w:p>
      <w:pPr>
        <w:spacing w:line="400" w:lineRule="atLeast"/>
        <w:ind w:left="644" w:leftChars="202" w:hanging="220" w:hangingChars="100"/>
        <w:jc w:val="left"/>
        <w:rPr>
          <w:rFonts w:ascii="宋体" w:hAnsi="宋体" w:cs="宋体"/>
          <w:sz w:val="22"/>
          <w:szCs w:val="20"/>
        </w:rPr>
      </w:pPr>
      <w:r>
        <w:rPr>
          <w:rFonts w:hint="eastAsia" w:ascii="宋体" w:hAnsi="宋体" w:cs="宋体"/>
          <w:sz w:val="22"/>
          <w:szCs w:val="20"/>
        </w:rPr>
        <w:t>项目名称：</w:t>
      </w:r>
      <w:r>
        <w:rPr>
          <w:rFonts w:hint="eastAsia" w:ascii="宋体" w:hAnsi="宋体" w:cs="宋体"/>
          <w:sz w:val="22"/>
          <w:szCs w:val="20"/>
          <w:lang w:val="en-US" w:eastAsia="zh-CN"/>
        </w:rPr>
        <w:t xml:space="preserve">                           </w:t>
      </w:r>
      <w:r>
        <w:rPr>
          <w:rFonts w:hint="eastAsia" w:ascii="宋体" w:hAnsi="宋体" w:cs="宋体"/>
          <w:sz w:val="22"/>
          <w:szCs w:val="20"/>
        </w:rPr>
        <w:t>项目编号：</w:t>
      </w:r>
    </w:p>
    <w:tbl>
      <w:tblPr>
        <w:tblStyle w:val="24"/>
        <w:tblW w:w="8899" w:type="dxa"/>
        <w:tblInd w:w="37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20"/>
        <w:gridCol w:w="359"/>
        <w:gridCol w:w="1033"/>
        <w:gridCol w:w="747"/>
        <w:gridCol w:w="674"/>
        <w:gridCol w:w="1106"/>
        <w:gridCol w:w="314"/>
        <w:gridCol w:w="1447"/>
        <w:gridCol w:w="19"/>
        <w:gridCol w:w="17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exact"/>
        </w:trPr>
        <w:tc>
          <w:tcPr>
            <w:tcW w:w="142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kern w:val="0"/>
                <w:sz w:val="22"/>
              </w:rPr>
            </w:pPr>
            <w:r>
              <w:rPr>
                <w:rFonts w:hint="eastAsia" w:ascii="宋体" w:hAnsi="宋体" w:cs="宋体"/>
                <w:kern w:val="0"/>
                <w:sz w:val="22"/>
              </w:rPr>
              <w:t>姓名</w:t>
            </w:r>
          </w:p>
        </w:tc>
        <w:tc>
          <w:tcPr>
            <w:tcW w:w="1392" w:type="dxa"/>
            <w:gridSpan w:val="2"/>
            <w:tcBorders>
              <w:top w:val="single" w:color="auto" w:sz="4" w:space="0"/>
              <w:left w:val="single" w:color="auto" w:sz="4" w:space="0"/>
              <w:bottom w:val="single" w:color="auto" w:sz="4" w:space="0"/>
              <w:right w:val="single" w:color="auto" w:sz="4" w:space="0"/>
            </w:tcBorders>
            <w:vAlign w:val="center"/>
          </w:tcPr>
          <w:p>
            <w:pPr>
              <w:keepNext/>
              <w:keepLines/>
              <w:widowControl/>
              <w:spacing w:before="340" w:after="330" w:line="578" w:lineRule="auto"/>
              <w:jc w:val="center"/>
              <w:outlineLvl w:val="0"/>
              <w:rPr>
                <w:rFonts w:ascii="宋体" w:hAnsi="宋体" w:cs="宋体"/>
                <w:kern w:val="0"/>
                <w:sz w:val="22"/>
              </w:rPr>
            </w:pPr>
          </w:p>
        </w:tc>
        <w:tc>
          <w:tcPr>
            <w:tcW w:w="1421" w:type="dxa"/>
            <w:gridSpan w:val="2"/>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kern w:val="0"/>
                <w:sz w:val="22"/>
              </w:rPr>
            </w:pPr>
            <w:r>
              <w:rPr>
                <w:rFonts w:hint="eastAsia" w:ascii="宋体" w:hAnsi="宋体" w:cs="宋体"/>
                <w:kern w:val="0"/>
                <w:sz w:val="22"/>
              </w:rPr>
              <w:t>性别</w:t>
            </w:r>
          </w:p>
        </w:tc>
        <w:tc>
          <w:tcPr>
            <w:tcW w:w="1420" w:type="dxa"/>
            <w:gridSpan w:val="2"/>
            <w:tcBorders>
              <w:top w:val="single" w:color="auto" w:sz="4" w:space="0"/>
              <w:left w:val="single" w:color="auto" w:sz="4" w:space="0"/>
              <w:bottom w:val="single" w:color="auto" w:sz="4" w:space="0"/>
              <w:right w:val="single" w:color="auto" w:sz="4" w:space="0"/>
            </w:tcBorders>
            <w:vAlign w:val="center"/>
          </w:tcPr>
          <w:p>
            <w:pPr>
              <w:keepNext/>
              <w:keepLines/>
              <w:widowControl/>
              <w:spacing w:before="340" w:after="330" w:line="578" w:lineRule="auto"/>
              <w:jc w:val="center"/>
              <w:outlineLvl w:val="0"/>
              <w:rPr>
                <w:rFonts w:ascii="宋体" w:hAnsi="宋体" w:cs="宋体"/>
                <w:kern w:val="0"/>
                <w:sz w:val="22"/>
              </w:rPr>
            </w:pPr>
          </w:p>
        </w:tc>
        <w:tc>
          <w:tcPr>
            <w:tcW w:w="1447"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kern w:val="0"/>
                <w:sz w:val="22"/>
              </w:rPr>
            </w:pPr>
            <w:r>
              <w:rPr>
                <w:rFonts w:hint="eastAsia" w:ascii="宋体" w:hAnsi="宋体" w:cs="宋体"/>
                <w:kern w:val="0"/>
                <w:sz w:val="22"/>
              </w:rPr>
              <w:t>年龄</w:t>
            </w:r>
          </w:p>
        </w:tc>
        <w:tc>
          <w:tcPr>
            <w:tcW w:w="1799" w:type="dxa"/>
            <w:gridSpan w:val="2"/>
            <w:tcBorders>
              <w:top w:val="single" w:color="auto" w:sz="4" w:space="0"/>
              <w:left w:val="single" w:color="auto" w:sz="4" w:space="0"/>
              <w:bottom w:val="single" w:color="auto" w:sz="4" w:space="0"/>
              <w:right w:val="single" w:color="auto" w:sz="4" w:space="0"/>
            </w:tcBorders>
            <w:vAlign w:val="center"/>
          </w:tcPr>
          <w:p>
            <w:pPr>
              <w:keepNext/>
              <w:keepLines/>
              <w:widowControl/>
              <w:spacing w:before="340" w:after="330" w:line="578" w:lineRule="auto"/>
              <w:jc w:val="center"/>
              <w:outlineLvl w:val="0"/>
              <w:rPr>
                <w:rFonts w:ascii="宋体" w:hAnsi="宋体" w:cs="宋体"/>
                <w:kern w:val="0"/>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exact"/>
        </w:trPr>
        <w:tc>
          <w:tcPr>
            <w:tcW w:w="142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kern w:val="0"/>
                <w:sz w:val="22"/>
              </w:rPr>
            </w:pPr>
            <w:r>
              <w:rPr>
                <w:rFonts w:hint="eastAsia" w:ascii="宋体" w:hAnsi="宋体" w:cs="宋体"/>
                <w:kern w:val="0"/>
                <w:sz w:val="22"/>
              </w:rPr>
              <w:t>拟任职务</w:t>
            </w:r>
          </w:p>
        </w:tc>
        <w:tc>
          <w:tcPr>
            <w:tcW w:w="1392" w:type="dxa"/>
            <w:gridSpan w:val="2"/>
            <w:tcBorders>
              <w:top w:val="single" w:color="auto" w:sz="4" w:space="0"/>
              <w:left w:val="single" w:color="auto" w:sz="4" w:space="0"/>
              <w:bottom w:val="single" w:color="auto" w:sz="4" w:space="0"/>
              <w:right w:val="single" w:color="auto" w:sz="4" w:space="0"/>
            </w:tcBorders>
            <w:vAlign w:val="center"/>
          </w:tcPr>
          <w:p>
            <w:pPr>
              <w:keepNext/>
              <w:keepLines/>
              <w:widowControl/>
              <w:spacing w:before="340" w:after="330" w:line="578" w:lineRule="auto"/>
              <w:jc w:val="center"/>
              <w:outlineLvl w:val="0"/>
              <w:rPr>
                <w:rFonts w:ascii="宋体" w:hAnsi="宋体" w:cs="宋体"/>
                <w:kern w:val="0"/>
                <w:sz w:val="22"/>
              </w:rPr>
            </w:pPr>
          </w:p>
        </w:tc>
        <w:tc>
          <w:tcPr>
            <w:tcW w:w="1421" w:type="dxa"/>
            <w:gridSpan w:val="2"/>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kern w:val="0"/>
                <w:sz w:val="22"/>
              </w:rPr>
            </w:pPr>
            <w:r>
              <w:rPr>
                <w:rFonts w:hint="eastAsia" w:ascii="宋体" w:hAnsi="宋体" w:cs="宋体"/>
                <w:kern w:val="0"/>
                <w:sz w:val="22"/>
              </w:rPr>
              <w:t>职称</w:t>
            </w:r>
          </w:p>
        </w:tc>
        <w:tc>
          <w:tcPr>
            <w:tcW w:w="1420" w:type="dxa"/>
            <w:gridSpan w:val="2"/>
            <w:tcBorders>
              <w:top w:val="single" w:color="auto" w:sz="4" w:space="0"/>
              <w:left w:val="single" w:color="auto" w:sz="4" w:space="0"/>
              <w:bottom w:val="single" w:color="auto" w:sz="4" w:space="0"/>
              <w:right w:val="single" w:color="auto" w:sz="4" w:space="0"/>
            </w:tcBorders>
            <w:vAlign w:val="center"/>
          </w:tcPr>
          <w:p>
            <w:pPr>
              <w:keepNext/>
              <w:keepLines/>
              <w:widowControl/>
              <w:spacing w:before="340" w:after="330" w:line="578" w:lineRule="auto"/>
              <w:jc w:val="center"/>
              <w:outlineLvl w:val="0"/>
              <w:rPr>
                <w:rFonts w:ascii="宋体" w:hAnsi="宋体" w:cs="宋体"/>
                <w:kern w:val="0"/>
                <w:sz w:val="22"/>
              </w:rPr>
            </w:pPr>
          </w:p>
        </w:tc>
        <w:tc>
          <w:tcPr>
            <w:tcW w:w="1447"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kern w:val="0"/>
                <w:sz w:val="22"/>
              </w:rPr>
            </w:pPr>
            <w:r>
              <w:rPr>
                <w:rFonts w:hint="eastAsia" w:ascii="宋体" w:hAnsi="宋体" w:cs="宋体"/>
                <w:kern w:val="0"/>
                <w:sz w:val="22"/>
              </w:rPr>
              <w:t>学历</w:t>
            </w:r>
          </w:p>
        </w:tc>
        <w:tc>
          <w:tcPr>
            <w:tcW w:w="1799" w:type="dxa"/>
            <w:gridSpan w:val="2"/>
            <w:tcBorders>
              <w:top w:val="single" w:color="auto" w:sz="4" w:space="0"/>
              <w:left w:val="single" w:color="auto" w:sz="4" w:space="0"/>
              <w:bottom w:val="single" w:color="auto" w:sz="4" w:space="0"/>
              <w:right w:val="single" w:color="auto" w:sz="4" w:space="0"/>
            </w:tcBorders>
            <w:vAlign w:val="center"/>
          </w:tcPr>
          <w:p>
            <w:pPr>
              <w:keepNext/>
              <w:keepLines/>
              <w:widowControl/>
              <w:spacing w:before="340" w:after="330" w:line="578" w:lineRule="auto"/>
              <w:jc w:val="center"/>
              <w:outlineLvl w:val="0"/>
              <w:rPr>
                <w:rFonts w:ascii="宋体" w:hAnsi="宋体" w:cs="宋体"/>
                <w:kern w:val="0"/>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60" w:hRule="atLeast"/>
        </w:trPr>
        <w:tc>
          <w:tcPr>
            <w:tcW w:w="8899" w:type="dxa"/>
            <w:gridSpan w:val="10"/>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hAnsi="宋体" w:cs="宋体"/>
                <w:kern w:val="0"/>
                <w:sz w:val="22"/>
              </w:rPr>
            </w:pPr>
            <w:r>
              <w:rPr>
                <w:rFonts w:hint="eastAsia" w:ascii="宋体" w:hAnsi="宋体" w:cs="宋体"/>
                <w:bCs/>
                <w:kern w:val="0"/>
                <w:sz w:val="22"/>
              </w:rPr>
              <w:t>个人履历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5" w:hRule="atLeast"/>
        </w:trPr>
        <w:tc>
          <w:tcPr>
            <w:tcW w:w="8899" w:type="dxa"/>
            <w:gridSpan w:val="10"/>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hAnsi="宋体" w:cs="宋体"/>
                <w:bCs/>
                <w:kern w:val="0"/>
                <w:sz w:val="22"/>
              </w:rPr>
            </w:pPr>
            <w:r>
              <w:rPr>
                <w:rFonts w:hint="eastAsia" w:ascii="宋体" w:hAnsi="宋体" w:cs="宋体"/>
                <w:bCs/>
                <w:kern w:val="0"/>
                <w:sz w:val="22"/>
              </w:rPr>
              <w:t>作为项目负责人的业绩</w:t>
            </w:r>
          </w:p>
          <w:p>
            <w:pPr>
              <w:widowControl/>
              <w:spacing w:line="360" w:lineRule="auto"/>
              <w:jc w:val="center"/>
              <w:rPr>
                <w:rFonts w:ascii="宋体" w:hAnsi="宋体" w:cs="宋体"/>
                <w:bCs/>
                <w:kern w:val="0"/>
                <w:sz w:val="22"/>
              </w:rPr>
            </w:pPr>
            <w:r>
              <w:rPr>
                <w:rFonts w:hint="eastAsia" w:ascii="宋体" w:hAnsi="宋体" w:cs="宋体"/>
                <w:bCs/>
                <w:kern w:val="0"/>
                <w:sz w:val="22"/>
              </w:rPr>
              <w:t>（格式可根据业绩情况自行调整或扩展）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779" w:type="dxa"/>
            <w:gridSpan w:val="2"/>
            <w:tcBorders>
              <w:top w:val="single" w:color="auto" w:sz="4" w:space="0"/>
              <w:left w:val="single" w:color="auto" w:sz="4" w:space="0"/>
              <w:bottom w:val="single" w:color="auto" w:sz="4" w:space="0"/>
              <w:right w:val="single" w:color="auto" w:sz="4" w:space="0"/>
            </w:tcBorders>
            <w:vAlign w:val="center"/>
          </w:tcPr>
          <w:p>
            <w:pPr>
              <w:keepNext/>
              <w:keepLines/>
              <w:widowControl/>
              <w:spacing w:before="340" w:after="330" w:line="360" w:lineRule="auto"/>
              <w:jc w:val="center"/>
              <w:outlineLvl w:val="0"/>
              <w:rPr>
                <w:rFonts w:ascii="宋体" w:hAnsi="宋体" w:cs="宋体"/>
                <w:bCs/>
                <w:kern w:val="0"/>
                <w:sz w:val="22"/>
              </w:rPr>
            </w:pPr>
          </w:p>
        </w:tc>
        <w:tc>
          <w:tcPr>
            <w:tcW w:w="1780" w:type="dxa"/>
            <w:gridSpan w:val="2"/>
            <w:tcBorders>
              <w:top w:val="single" w:color="auto" w:sz="4" w:space="0"/>
              <w:left w:val="single" w:color="auto" w:sz="4" w:space="0"/>
              <w:bottom w:val="single" w:color="auto" w:sz="4" w:space="0"/>
              <w:right w:val="single" w:color="auto" w:sz="4" w:space="0"/>
            </w:tcBorders>
            <w:vAlign w:val="center"/>
          </w:tcPr>
          <w:p>
            <w:pPr>
              <w:keepNext/>
              <w:keepLines/>
              <w:widowControl/>
              <w:spacing w:before="340" w:after="330" w:line="360" w:lineRule="auto"/>
              <w:jc w:val="center"/>
              <w:outlineLvl w:val="0"/>
              <w:rPr>
                <w:rFonts w:ascii="宋体" w:hAnsi="宋体" w:cs="宋体"/>
                <w:bCs/>
                <w:kern w:val="0"/>
                <w:sz w:val="22"/>
              </w:rPr>
            </w:pPr>
          </w:p>
        </w:tc>
        <w:tc>
          <w:tcPr>
            <w:tcW w:w="1780" w:type="dxa"/>
            <w:gridSpan w:val="2"/>
            <w:tcBorders>
              <w:top w:val="single" w:color="auto" w:sz="4" w:space="0"/>
              <w:left w:val="single" w:color="auto" w:sz="4" w:space="0"/>
              <w:bottom w:val="single" w:color="auto" w:sz="4" w:space="0"/>
              <w:right w:val="single" w:color="auto" w:sz="4" w:space="0"/>
            </w:tcBorders>
            <w:vAlign w:val="center"/>
          </w:tcPr>
          <w:p>
            <w:pPr>
              <w:keepNext/>
              <w:keepLines/>
              <w:widowControl/>
              <w:spacing w:before="340" w:after="330" w:line="360" w:lineRule="auto"/>
              <w:jc w:val="center"/>
              <w:outlineLvl w:val="0"/>
              <w:rPr>
                <w:rFonts w:ascii="宋体" w:hAnsi="宋体" w:cs="宋体"/>
                <w:bCs/>
                <w:kern w:val="0"/>
                <w:sz w:val="22"/>
              </w:rPr>
            </w:pPr>
          </w:p>
        </w:tc>
        <w:tc>
          <w:tcPr>
            <w:tcW w:w="1780" w:type="dxa"/>
            <w:gridSpan w:val="3"/>
            <w:tcBorders>
              <w:top w:val="single" w:color="auto" w:sz="4" w:space="0"/>
              <w:left w:val="single" w:color="auto" w:sz="4" w:space="0"/>
              <w:bottom w:val="single" w:color="auto" w:sz="4" w:space="0"/>
              <w:right w:val="single" w:color="auto" w:sz="4" w:space="0"/>
            </w:tcBorders>
            <w:vAlign w:val="center"/>
          </w:tcPr>
          <w:p>
            <w:pPr>
              <w:keepNext/>
              <w:keepLines/>
              <w:widowControl/>
              <w:spacing w:before="340" w:after="330" w:line="360" w:lineRule="auto"/>
              <w:jc w:val="center"/>
              <w:outlineLvl w:val="0"/>
              <w:rPr>
                <w:rFonts w:ascii="宋体" w:hAnsi="宋体" w:cs="宋体"/>
                <w:bCs/>
                <w:kern w:val="0"/>
                <w:sz w:val="22"/>
              </w:rPr>
            </w:pPr>
          </w:p>
        </w:tc>
        <w:tc>
          <w:tcPr>
            <w:tcW w:w="1780" w:type="dxa"/>
            <w:tcBorders>
              <w:top w:val="single" w:color="auto" w:sz="4" w:space="0"/>
              <w:left w:val="single" w:color="auto" w:sz="4" w:space="0"/>
              <w:bottom w:val="single" w:color="auto" w:sz="4" w:space="0"/>
              <w:right w:val="single" w:color="auto" w:sz="4" w:space="0"/>
            </w:tcBorders>
            <w:vAlign w:val="center"/>
          </w:tcPr>
          <w:p>
            <w:pPr>
              <w:keepNext/>
              <w:keepLines/>
              <w:widowControl/>
              <w:spacing w:before="340" w:after="330" w:line="360" w:lineRule="auto"/>
              <w:jc w:val="center"/>
              <w:outlineLvl w:val="0"/>
              <w:rPr>
                <w:rFonts w:ascii="宋体" w:hAnsi="宋体" w:cs="宋体"/>
                <w:bCs/>
                <w:kern w:val="0"/>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9" w:hRule="atLeast"/>
        </w:trPr>
        <w:tc>
          <w:tcPr>
            <w:tcW w:w="1779" w:type="dxa"/>
            <w:gridSpan w:val="2"/>
            <w:tcBorders>
              <w:top w:val="single" w:color="auto" w:sz="4" w:space="0"/>
              <w:left w:val="single" w:color="auto" w:sz="4" w:space="0"/>
              <w:bottom w:val="single" w:color="auto" w:sz="4" w:space="0"/>
              <w:right w:val="single" w:color="auto" w:sz="4" w:space="0"/>
            </w:tcBorders>
            <w:vAlign w:val="center"/>
          </w:tcPr>
          <w:p>
            <w:pPr>
              <w:keepNext/>
              <w:keepLines/>
              <w:widowControl/>
              <w:spacing w:before="340" w:after="330" w:line="360" w:lineRule="auto"/>
              <w:jc w:val="center"/>
              <w:outlineLvl w:val="0"/>
              <w:rPr>
                <w:rFonts w:ascii="宋体" w:hAnsi="宋体" w:cs="宋体"/>
                <w:bCs/>
                <w:kern w:val="0"/>
                <w:sz w:val="22"/>
              </w:rPr>
            </w:pPr>
          </w:p>
        </w:tc>
        <w:tc>
          <w:tcPr>
            <w:tcW w:w="1780" w:type="dxa"/>
            <w:gridSpan w:val="2"/>
            <w:tcBorders>
              <w:top w:val="single" w:color="auto" w:sz="4" w:space="0"/>
              <w:left w:val="single" w:color="auto" w:sz="4" w:space="0"/>
              <w:bottom w:val="single" w:color="auto" w:sz="4" w:space="0"/>
              <w:right w:val="single" w:color="auto" w:sz="4" w:space="0"/>
            </w:tcBorders>
            <w:vAlign w:val="center"/>
          </w:tcPr>
          <w:p>
            <w:pPr>
              <w:keepNext/>
              <w:keepLines/>
              <w:widowControl/>
              <w:spacing w:before="340" w:after="330" w:line="360" w:lineRule="auto"/>
              <w:jc w:val="center"/>
              <w:outlineLvl w:val="0"/>
              <w:rPr>
                <w:rFonts w:ascii="宋体" w:hAnsi="宋体" w:cs="宋体"/>
                <w:bCs/>
                <w:kern w:val="0"/>
                <w:sz w:val="22"/>
              </w:rPr>
            </w:pPr>
          </w:p>
        </w:tc>
        <w:tc>
          <w:tcPr>
            <w:tcW w:w="1780" w:type="dxa"/>
            <w:gridSpan w:val="2"/>
            <w:tcBorders>
              <w:top w:val="single" w:color="auto" w:sz="4" w:space="0"/>
              <w:left w:val="single" w:color="auto" w:sz="4" w:space="0"/>
              <w:bottom w:val="single" w:color="auto" w:sz="4" w:space="0"/>
              <w:right w:val="single" w:color="auto" w:sz="4" w:space="0"/>
            </w:tcBorders>
            <w:vAlign w:val="center"/>
          </w:tcPr>
          <w:p>
            <w:pPr>
              <w:keepNext/>
              <w:keepLines/>
              <w:widowControl/>
              <w:spacing w:before="340" w:after="330" w:line="360" w:lineRule="auto"/>
              <w:jc w:val="center"/>
              <w:outlineLvl w:val="0"/>
              <w:rPr>
                <w:rFonts w:ascii="宋体" w:hAnsi="宋体" w:cs="宋体"/>
                <w:bCs/>
                <w:kern w:val="0"/>
                <w:sz w:val="22"/>
              </w:rPr>
            </w:pPr>
          </w:p>
        </w:tc>
        <w:tc>
          <w:tcPr>
            <w:tcW w:w="1780" w:type="dxa"/>
            <w:gridSpan w:val="3"/>
            <w:tcBorders>
              <w:top w:val="single" w:color="auto" w:sz="4" w:space="0"/>
              <w:left w:val="single" w:color="auto" w:sz="4" w:space="0"/>
              <w:bottom w:val="single" w:color="auto" w:sz="4" w:space="0"/>
              <w:right w:val="single" w:color="auto" w:sz="4" w:space="0"/>
            </w:tcBorders>
            <w:vAlign w:val="center"/>
          </w:tcPr>
          <w:p>
            <w:pPr>
              <w:keepNext/>
              <w:keepLines/>
              <w:widowControl/>
              <w:spacing w:before="340" w:after="330" w:line="360" w:lineRule="auto"/>
              <w:jc w:val="center"/>
              <w:outlineLvl w:val="0"/>
              <w:rPr>
                <w:rFonts w:ascii="宋体" w:hAnsi="宋体" w:cs="宋体"/>
                <w:bCs/>
                <w:kern w:val="0"/>
                <w:sz w:val="22"/>
              </w:rPr>
            </w:pPr>
          </w:p>
        </w:tc>
        <w:tc>
          <w:tcPr>
            <w:tcW w:w="1780" w:type="dxa"/>
            <w:tcBorders>
              <w:top w:val="single" w:color="auto" w:sz="4" w:space="0"/>
              <w:left w:val="single" w:color="auto" w:sz="4" w:space="0"/>
              <w:bottom w:val="single" w:color="auto" w:sz="4" w:space="0"/>
              <w:right w:val="single" w:color="auto" w:sz="4" w:space="0"/>
            </w:tcBorders>
            <w:vAlign w:val="center"/>
          </w:tcPr>
          <w:p>
            <w:pPr>
              <w:keepNext/>
              <w:keepLines/>
              <w:widowControl/>
              <w:spacing w:before="340" w:after="330" w:line="360" w:lineRule="auto"/>
              <w:jc w:val="center"/>
              <w:outlineLvl w:val="0"/>
              <w:rPr>
                <w:rFonts w:ascii="宋体" w:hAnsi="宋体" w:cs="宋体"/>
                <w:bCs/>
                <w:kern w:val="0"/>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9" w:hRule="atLeast"/>
        </w:trPr>
        <w:tc>
          <w:tcPr>
            <w:tcW w:w="1779" w:type="dxa"/>
            <w:gridSpan w:val="2"/>
            <w:tcBorders>
              <w:top w:val="single" w:color="auto" w:sz="4" w:space="0"/>
              <w:left w:val="single" w:color="auto" w:sz="4" w:space="0"/>
              <w:bottom w:val="single" w:color="auto" w:sz="4" w:space="0"/>
              <w:right w:val="single" w:color="auto" w:sz="4" w:space="0"/>
            </w:tcBorders>
            <w:vAlign w:val="center"/>
          </w:tcPr>
          <w:p>
            <w:pPr>
              <w:keepNext/>
              <w:keepLines/>
              <w:widowControl/>
              <w:spacing w:before="340" w:after="330" w:line="360" w:lineRule="auto"/>
              <w:jc w:val="center"/>
              <w:outlineLvl w:val="0"/>
              <w:rPr>
                <w:rFonts w:ascii="宋体" w:hAnsi="宋体" w:cs="宋体"/>
                <w:bCs/>
                <w:kern w:val="0"/>
                <w:sz w:val="22"/>
              </w:rPr>
            </w:pPr>
          </w:p>
        </w:tc>
        <w:tc>
          <w:tcPr>
            <w:tcW w:w="1780" w:type="dxa"/>
            <w:gridSpan w:val="2"/>
            <w:tcBorders>
              <w:top w:val="single" w:color="auto" w:sz="4" w:space="0"/>
              <w:left w:val="single" w:color="auto" w:sz="4" w:space="0"/>
              <w:bottom w:val="single" w:color="auto" w:sz="4" w:space="0"/>
              <w:right w:val="single" w:color="auto" w:sz="4" w:space="0"/>
            </w:tcBorders>
            <w:vAlign w:val="center"/>
          </w:tcPr>
          <w:p>
            <w:pPr>
              <w:keepNext/>
              <w:keepLines/>
              <w:widowControl/>
              <w:spacing w:before="340" w:after="330" w:line="360" w:lineRule="auto"/>
              <w:jc w:val="center"/>
              <w:outlineLvl w:val="0"/>
              <w:rPr>
                <w:rFonts w:ascii="宋体" w:hAnsi="宋体" w:cs="宋体"/>
                <w:bCs/>
                <w:kern w:val="0"/>
                <w:sz w:val="22"/>
              </w:rPr>
            </w:pPr>
          </w:p>
        </w:tc>
        <w:tc>
          <w:tcPr>
            <w:tcW w:w="1780" w:type="dxa"/>
            <w:gridSpan w:val="2"/>
            <w:tcBorders>
              <w:top w:val="single" w:color="auto" w:sz="4" w:space="0"/>
              <w:left w:val="single" w:color="auto" w:sz="4" w:space="0"/>
              <w:bottom w:val="single" w:color="auto" w:sz="4" w:space="0"/>
              <w:right w:val="single" w:color="auto" w:sz="4" w:space="0"/>
            </w:tcBorders>
            <w:vAlign w:val="center"/>
          </w:tcPr>
          <w:p>
            <w:pPr>
              <w:keepNext/>
              <w:keepLines/>
              <w:widowControl/>
              <w:spacing w:before="340" w:after="330" w:line="360" w:lineRule="auto"/>
              <w:jc w:val="center"/>
              <w:outlineLvl w:val="0"/>
              <w:rPr>
                <w:rFonts w:ascii="宋体" w:hAnsi="宋体" w:cs="宋体"/>
                <w:bCs/>
                <w:kern w:val="0"/>
                <w:sz w:val="22"/>
              </w:rPr>
            </w:pPr>
          </w:p>
        </w:tc>
        <w:tc>
          <w:tcPr>
            <w:tcW w:w="1780" w:type="dxa"/>
            <w:gridSpan w:val="3"/>
            <w:tcBorders>
              <w:top w:val="single" w:color="auto" w:sz="4" w:space="0"/>
              <w:left w:val="single" w:color="auto" w:sz="4" w:space="0"/>
              <w:bottom w:val="single" w:color="auto" w:sz="4" w:space="0"/>
              <w:right w:val="single" w:color="auto" w:sz="4" w:space="0"/>
            </w:tcBorders>
            <w:vAlign w:val="center"/>
          </w:tcPr>
          <w:p>
            <w:pPr>
              <w:keepNext/>
              <w:keepLines/>
              <w:widowControl/>
              <w:spacing w:before="340" w:after="330" w:line="360" w:lineRule="auto"/>
              <w:jc w:val="center"/>
              <w:outlineLvl w:val="0"/>
              <w:rPr>
                <w:rFonts w:ascii="宋体" w:hAnsi="宋体" w:cs="宋体"/>
                <w:bCs/>
                <w:kern w:val="0"/>
                <w:sz w:val="22"/>
              </w:rPr>
            </w:pPr>
          </w:p>
        </w:tc>
        <w:tc>
          <w:tcPr>
            <w:tcW w:w="1780" w:type="dxa"/>
            <w:tcBorders>
              <w:top w:val="single" w:color="auto" w:sz="4" w:space="0"/>
              <w:left w:val="single" w:color="auto" w:sz="4" w:space="0"/>
              <w:bottom w:val="single" w:color="auto" w:sz="4" w:space="0"/>
              <w:right w:val="single" w:color="auto" w:sz="4" w:space="0"/>
            </w:tcBorders>
            <w:vAlign w:val="center"/>
          </w:tcPr>
          <w:p>
            <w:pPr>
              <w:keepNext/>
              <w:keepLines/>
              <w:widowControl/>
              <w:spacing w:before="340" w:after="330" w:line="360" w:lineRule="auto"/>
              <w:jc w:val="center"/>
              <w:outlineLvl w:val="0"/>
              <w:rPr>
                <w:rFonts w:ascii="宋体" w:hAnsi="宋体" w:cs="宋体"/>
                <w:bCs/>
                <w:kern w:val="0"/>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9" w:hRule="atLeast"/>
        </w:trPr>
        <w:tc>
          <w:tcPr>
            <w:tcW w:w="1779" w:type="dxa"/>
            <w:gridSpan w:val="2"/>
            <w:tcBorders>
              <w:top w:val="single" w:color="auto" w:sz="4" w:space="0"/>
              <w:left w:val="single" w:color="auto" w:sz="4" w:space="0"/>
              <w:bottom w:val="single" w:color="auto" w:sz="4" w:space="0"/>
              <w:right w:val="single" w:color="auto" w:sz="4" w:space="0"/>
            </w:tcBorders>
            <w:vAlign w:val="center"/>
          </w:tcPr>
          <w:p>
            <w:pPr>
              <w:keepNext/>
              <w:keepLines/>
              <w:widowControl/>
              <w:spacing w:before="340" w:after="330" w:line="360" w:lineRule="auto"/>
              <w:jc w:val="center"/>
              <w:outlineLvl w:val="0"/>
              <w:rPr>
                <w:rFonts w:ascii="宋体" w:hAnsi="宋体" w:cs="宋体"/>
                <w:bCs/>
                <w:kern w:val="0"/>
                <w:sz w:val="22"/>
              </w:rPr>
            </w:pPr>
          </w:p>
        </w:tc>
        <w:tc>
          <w:tcPr>
            <w:tcW w:w="1780" w:type="dxa"/>
            <w:gridSpan w:val="2"/>
            <w:tcBorders>
              <w:top w:val="single" w:color="auto" w:sz="4" w:space="0"/>
              <w:left w:val="single" w:color="auto" w:sz="4" w:space="0"/>
              <w:bottom w:val="single" w:color="auto" w:sz="4" w:space="0"/>
              <w:right w:val="single" w:color="auto" w:sz="4" w:space="0"/>
            </w:tcBorders>
            <w:vAlign w:val="center"/>
          </w:tcPr>
          <w:p>
            <w:pPr>
              <w:keepNext/>
              <w:keepLines/>
              <w:widowControl/>
              <w:spacing w:before="340" w:after="330" w:line="360" w:lineRule="auto"/>
              <w:jc w:val="center"/>
              <w:outlineLvl w:val="0"/>
              <w:rPr>
                <w:rFonts w:ascii="宋体" w:hAnsi="宋体" w:cs="宋体"/>
                <w:bCs/>
                <w:kern w:val="0"/>
                <w:sz w:val="22"/>
              </w:rPr>
            </w:pPr>
          </w:p>
        </w:tc>
        <w:tc>
          <w:tcPr>
            <w:tcW w:w="1780" w:type="dxa"/>
            <w:gridSpan w:val="2"/>
            <w:tcBorders>
              <w:top w:val="single" w:color="auto" w:sz="4" w:space="0"/>
              <w:left w:val="single" w:color="auto" w:sz="4" w:space="0"/>
              <w:bottom w:val="single" w:color="auto" w:sz="4" w:space="0"/>
              <w:right w:val="single" w:color="auto" w:sz="4" w:space="0"/>
            </w:tcBorders>
            <w:vAlign w:val="center"/>
          </w:tcPr>
          <w:p>
            <w:pPr>
              <w:keepNext/>
              <w:keepLines/>
              <w:widowControl/>
              <w:spacing w:before="340" w:after="330" w:line="360" w:lineRule="auto"/>
              <w:jc w:val="center"/>
              <w:outlineLvl w:val="0"/>
              <w:rPr>
                <w:rFonts w:ascii="宋体" w:hAnsi="宋体" w:cs="宋体"/>
                <w:bCs/>
                <w:kern w:val="0"/>
                <w:sz w:val="22"/>
              </w:rPr>
            </w:pPr>
          </w:p>
        </w:tc>
        <w:tc>
          <w:tcPr>
            <w:tcW w:w="1780" w:type="dxa"/>
            <w:gridSpan w:val="3"/>
            <w:tcBorders>
              <w:top w:val="single" w:color="auto" w:sz="4" w:space="0"/>
              <w:left w:val="single" w:color="auto" w:sz="4" w:space="0"/>
              <w:bottom w:val="single" w:color="auto" w:sz="4" w:space="0"/>
              <w:right w:val="single" w:color="auto" w:sz="4" w:space="0"/>
            </w:tcBorders>
            <w:vAlign w:val="center"/>
          </w:tcPr>
          <w:p>
            <w:pPr>
              <w:keepNext/>
              <w:keepLines/>
              <w:widowControl/>
              <w:spacing w:before="340" w:after="330" w:line="360" w:lineRule="auto"/>
              <w:jc w:val="center"/>
              <w:outlineLvl w:val="0"/>
              <w:rPr>
                <w:rFonts w:ascii="宋体" w:hAnsi="宋体" w:cs="宋体"/>
                <w:bCs/>
                <w:kern w:val="0"/>
                <w:sz w:val="22"/>
              </w:rPr>
            </w:pPr>
          </w:p>
        </w:tc>
        <w:tc>
          <w:tcPr>
            <w:tcW w:w="1780" w:type="dxa"/>
            <w:tcBorders>
              <w:top w:val="single" w:color="auto" w:sz="4" w:space="0"/>
              <w:left w:val="single" w:color="auto" w:sz="4" w:space="0"/>
              <w:bottom w:val="single" w:color="auto" w:sz="4" w:space="0"/>
              <w:right w:val="single" w:color="auto" w:sz="4" w:space="0"/>
            </w:tcBorders>
            <w:vAlign w:val="center"/>
          </w:tcPr>
          <w:p>
            <w:pPr>
              <w:keepNext/>
              <w:keepLines/>
              <w:widowControl/>
              <w:spacing w:before="340" w:after="330" w:line="360" w:lineRule="auto"/>
              <w:jc w:val="center"/>
              <w:outlineLvl w:val="0"/>
              <w:rPr>
                <w:rFonts w:ascii="宋体" w:hAnsi="宋体" w:cs="宋体"/>
                <w:bCs/>
                <w:kern w:val="0"/>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9" w:hRule="atLeast"/>
        </w:trPr>
        <w:tc>
          <w:tcPr>
            <w:tcW w:w="1779" w:type="dxa"/>
            <w:gridSpan w:val="2"/>
            <w:tcBorders>
              <w:top w:val="single" w:color="auto" w:sz="4" w:space="0"/>
              <w:left w:val="single" w:color="auto" w:sz="4" w:space="0"/>
              <w:right w:val="single" w:color="auto" w:sz="4" w:space="0"/>
            </w:tcBorders>
            <w:vAlign w:val="center"/>
          </w:tcPr>
          <w:p>
            <w:pPr>
              <w:keepNext/>
              <w:keepLines/>
              <w:widowControl/>
              <w:spacing w:before="340" w:after="330" w:line="360" w:lineRule="auto"/>
              <w:jc w:val="center"/>
              <w:outlineLvl w:val="0"/>
              <w:rPr>
                <w:rFonts w:ascii="宋体" w:hAnsi="宋体" w:cs="宋体"/>
                <w:bCs/>
                <w:kern w:val="0"/>
                <w:sz w:val="22"/>
              </w:rPr>
            </w:pPr>
          </w:p>
        </w:tc>
        <w:tc>
          <w:tcPr>
            <w:tcW w:w="1780" w:type="dxa"/>
            <w:gridSpan w:val="2"/>
            <w:tcBorders>
              <w:top w:val="single" w:color="auto" w:sz="4" w:space="0"/>
              <w:left w:val="single" w:color="auto" w:sz="4" w:space="0"/>
              <w:right w:val="single" w:color="auto" w:sz="4" w:space="0"/>
            </w:tcBorders>
            <w:vAlign w:val="center"/>
          </w:tcPr>
          <w:p>
            <w:pPr>
              <w:keepNext/>
              <w:keepLines/>
              <w:widowControl/>
              <w:spacing w:before="340" w:after="330" w:line="360" w:lineRule="auto"/>
              <w:jc w:val="center"/>
              <w:outlineLvl w:val="0"/>
              <w:rPr>
                <w:rFonts w:ascii="宋体" w:hAnsi="宋体" w:cs="宋体"/>
                <w:bCs/>
                <w:kern w:val="0"/>
                <w:sz w:val="22"/>
              </w:rPr>
            </w:pPr>
          </w:p>
        </w:tc>
        <w:tc>
          <w:tcPr>
            <w:tcW w:w="1780" w:type="dxa"/>
            <w:gridSpan w:val="2"/>
            <w:tcBorders>
              <w:top w:val="single" w:color="auto" w:sz="4" w:space="0"/>
              <w:left w:val="single" w:color="auto" w:sz="4" w:space="0"/>
              <w:right w:val="single" w:color="auto" w:sz="4" w:space="0"/>
            </w:tcBorders>
            <w:vAlign w:val="center"/>
          </w:tcPr>
          <w:p>
            <w:pPr>
              <w:keepNext/>
              <w:keepLines/>
              <w:widowControl/>
              <w:spacing w:before="340" w:after="330" w:line="360" w:lineRule="auto"/>
              <w:jc w:val="center"/>
              <w:outlineLvl w:val="0"/>
              <w:rPr>
                <w:rFonts w:ascii="宋体" w:hAnsi="宋体" w:cs="宋体"/>
                <w:bCs/>
                <w:kern w:val="0"/>
                <w:sz w:val="22"/>
              </w:rPr>
            </w:pPr>
          </w:p>
        </w:tc>
        <w:tc>
          <w:tcPr>
            <w:tcW w:w="1780" w:type="dxa"/>
            <w:gridSpan w:val="3"/>
            <w:tcBorders>
              <w:top w:val="single" w:color="auto" w:sz="4" w:space="0"/>
              <w:left w:val="single" w:color="auto" w:sz="4" w:space="0"/>
              <w:right w:val="single" w:color="auto" w:sz="4" w:space="0"/>
            </w:tcBorders>
            <w:vAlign w:val="center"/>
          </w:tcPr>
          <w:p>
            <w:pPr>
              <w:keepNext/>
              <w:keepLines/>
              <w:widowControl/>
              <w:spacing w:before="340" w:after="330" w:line="360" w:lineRule="auto"/>
              <w:jc w:val="center"/>
              <w:outlineLvl w:val="0"/>
              <w:rPr>
                <w:rFonts w:ascii="宋体" w:hAnsi="宋体" w:cs="宋体"/>
                <w:bCs/>
                <w:kern w:val="0"/>
                <w:sz w:val="22"/>
              </w:rPr>
            </w:pPr>
          </w:p>
        </w:tc>
        <w:tc>
          <w:tcPr>
            <w:tcW w:w="1780" w:type="dxa"/>
            <w:tcBorders>
              <w:top w:val="single" w:color="auto" w:sz="4" w:space="0"/>
              <w:left w:val="single" w:color="auto" w:sz="4" w:space="0"/>
              <w:right w:val="single" w:color="auto" w:sz="4" w:space="0"/>
            </w:tcBorders>
            <w:vAlign w:val="center"/>
          </w:tcPr>
          <w:p>
            <w:pPr>
              <w:keepNext/>
              <w:keepLines/>
              <w:widowControl/>
              <w:spacing w:before="340" w:after="330" w:line="360" w:lineRule="auto"/>
              <w:jc w:val="center"/>
              <w:outlineLvl w:val="0"/>
              <w:rPr>
                <w:rFonts w:ascii="宋体" w:hAnsi="宋体" w:cs="宋体"/>
                <w:bCs/>
                <w:kern w:val="0"/>
                <w:sz w:val="22"/>
              </w:rPr>
            </w:pPr>
          </w:p>
        </w:tc>
      </w:tr>
    </w:tbl>
    <w:p>
      <w:pPr>
        <w:spacing w:line="340" w:lineRule="exact"/>
        <w:ind w:firstLine="440" w:firstLineChars="200"/>
        <w:rPr>
          <w:rFonts w:ascii="宋体" w:hAnsi="宋体" w:cs="宋体"/>
          <w:sz w:val="22"/>
        </w:rPr>
      </w:pPr>
      <w:r>
        <w:rPr>
          <w:rFonts w:hint="eastAsia" w:ascii="宋体" w:hAnsi="宋体" w:cs="宋体"/>
          <w:sz w:val="22"/>
        </w:rPr>
        <w:t>按评分要求在表格后附相关证书、证明材料。</w:t>
      </w:r>
    </w:p>
    <w:p>
      <w:pPr>
        <w:spacing w:line="340" w:lineRule="exact"/>
        <w:ind w:firstLine="440" w:firstLineChars="200"/>
        <w:rPr>
          <w:rFonts w:ascii="宋体" w:hAnsi="宋体" w:cs="宋体"/>
          <w:sz w:val="22"/>
          <w:szCs w:val="20"/>
        </w:rPr>
      </w:pPr>
      <w:r>
        <w:rPr>
          <w:rFonts w:hint="eastAsia" w:ascii="宋体" w:hAnsi="宋体" w:cs="宋体"/>
          <w:sz w:val="22"/>
        </w:rPr>
        <w:t>（业绩情况需提供证明材料，供应商</w:t>
      </w:r>
      <w:r>
        <w:rPr>
          <w:rFonts w:hint="eastAsia" w:ascii="宋体" w:hAnsi="宋体" w:cs="宋体"/>
          <w:bCs/>
          <w:sz w:val="22"/>
        </w:rPr>
        <w:t>需对其提供的业绩情况的真实性负责</w:t>
      </w:r>
      <w:r>
        <w:rPr>
          <w:rFonts w:hint="eastAsia" w:ascii="宋体" w:hAnsi="宋体" w:cs="宋体"/>
          <w:sz w:val="22"/>
        </w:rPr>
        <w:t>）</w:t>
      </w:r>
    </w:p>
    <w:p>
      <w:pPr>
        <w:widowControl/>
        <w:spacing w:line="380" w:lineRule="exact"/>
        <w:ind w:firstLine="4400" w:firstLineChars="2000"/>
        <w:jc w:val="left"/>
        <w:rPr>
          <w:rFonts w:ascii="宋体" w:hAnsi="宋体" w:cs="宋体"/>
          <w:kern w:val="0"/>
          <w:sz w:val="22"/>
        </w:rPr>
      </w:pPr>
    </w:p>
    <w:p>
      <w:pPr>
        <w:widowControl/>
        <w:spacing w:line="380" w:lineRule="exact"/>
        <w:ind w:firstLine="4400" w:firstLineChars="2000"/>
        <w:jc w:val="left"/>
        <w:rPr>
          <w:rFonts w:ascii="宋体" w:hAnsi="宋体" w:cs="宋体"/>
          <w:kern w:val="0"/>
          <w:sz w:val="22"/>
        </w:rPr>
      </w:pPr>
    </w:p>
    <w:p>
      <w:pPr>
        <w:widowControl/>
        <w:spacing w:line="380" w:lineRule="exact"/>
        <w:ind w:firstLine="4400" w:firstLineChars="2000"/>
        <w:jc w:val="left"/>
        <w:rPr>
          <w:rFonts w:ascii="宋体" w:hAnsi="宋体" w:cs="宋体"/>
          <w:kern w:val="0"/>
          <w:sz w:val="22"/>
        </w:rPr>
      </w:pPr>
      <w:r>
        <w:rPr>
          <w:rFonts w:hint="eastAsia" w:ascii="宋体" w:hAnsi="宋体" w:cs="宋体"/>
          <w:kern w:val="0"/>
          <w:sz w:val="22"/>
        </w:rPr>
        <w:t>供应商全称（盖章）：</w:t>
      </w:r>
    </w:p>
    <w:p>
      <w:pPr>
        <w:widowControl/>
        <w:spacing w:line="380" w:lineRule="exact"/>
        <w:ind w:firstLine="4400" w:firstLineChars="2000"/>
        <w:jc w:val="left"/>
        <w:rPr>
          <w:rFonts w:ascii="宋体" w:hAnsi="宋体" w:cs="宋体"/>
          <w:kern w:val="0"/>
          <w:sz w:val="22"/>
        </w:rPr>
      </w:pPr>
      <w:r>
        <w:rPr>
          <w:rFonts w:hint="eastAsia" w:ascii="宋体" w:hAnsi="宋体" w:cs="宋体"/>
          <w:kern w:val="0"/>
          <w:sz w:val="22"/>
        </w:rPr>
        <w:t>法定代表人（单位负责人）或授权代表（签字或盖章）：</w:t>
      </w:r>
    </w:p>
    <w:p>
      <w:pPr>
        <w:widowControl/>
        <w:spacing w:line="380" w:lineRule="exact"/>
        <w:ind w:firstLine="4400" w:firstLineChars="2000"/>
        <w:jc w:val="left"/>
        <w:rPr>
          <w:rFonts w:ascii="宋体" w:hAnsi="宋体" w:cs="宋体"/>
          <w:kern w:val="0"/>
          <w:sz w:val="22"/>
        </w:rPr>
      </w:pPr>
      <w:r>
        <w:rPr>
          <w:rFonts w:hint="eastAsia" w:ascii="宋体" w:hAnsi="宋体" w:cs="宋体"/>
          <w:kern w:val="0"/>
          <w:sz w:val="22"/>
        </w:rPr>
        <w:t>日期：</w:t>
      </w:r>
      <w:r>
        <w:rPr>
          <w:rFonts w:ascii="宋体" w:hAnsi="宋体" w:cs="宋体"/>
          <w:kern w:val="0"/>
          <w:sz w:val="22"/>
        </w:rPr>
        <w:t xml:space="preserve">  年   月  </w:t>
      </w:r>
      <w:r>
        <w:rPr>
          <w:rFonts w:hint="eastAsia" w:ascii="宋体" w:hAnsi="宋体" w:cs="宋体"/>
          <w:kern w:val="0"/>
          <w:sz w:val="22"/>
        </w:rPr>
        <w:t>日</w:t>
      </w:r>
    </w:p>
    <w:p>
      <w:pPr>
        <w:widowControl/>
        <w:jc w:val="center"/>
        <w:rPr>
          <w:rFonts w:ascii="宋体" w:hAnsi="宋体" w:cs="宋体"/>
          <w:b/>
          <w:kern w:val="0"/>
          <w:sz w:val="28"/>
          <w:szCs w:val="20"/>
        </w:rPr>
      </w:pPr>
      <w:r>
        <w:rPr>
          <w:rFonts w:ascii="宋体" w:hAnsi="宋体" w:cs="宋体"/>
          <w:b/>
          <w:kern w:val="0"/>
          <w:sz w:val="28"/>
          <w:szCs w:val="20"/>
        </w:rPr>
        <w:br w:type="page"/>
      </w:r>
      <w:r>
        <w:rPr>
          <w:rFonts w:hint="eastAsia" w:ascii="宋体" w:hAnsi="宋体" w:cs="宋体"/>
          <w:b/>
          <w:kern w:val="0"/>
          <w:sz w:val="28"/>
          <w:szCs w:val="20"/>
        </w:rPr>
        <w:t>（</w:t>
      </w:r>
      <w:r>
        <w:rPr>
          <w:rFonts w:ascii="宋体" w:hAnsi="宋体" w:cs="宋体"/>
          <w:b/>
          <w:kern w:val="0"/>
          <w:sz w:val="28"/>
          <w:szCs w:val="20"/>
        </w:rPr>
        <w:t>2）拟投入本项目的服务团队人员配置表</w:t>
      </w:r>
    </w:p>
    <w:p>
      <w:pPr>
        <w:widowControl/>
        <w:ind w:firstLine="107" w:firstLineChars="49"/>
        <w:jc w:val="left"/>
        <w:rPr>
          <w:rFonts w:ascii="宋体" w:hAnsi="宋体" w:cs="宋体"/>
          <w:kern w:val="0"/>
          <w:sz w:val="22"/>
        </w:rPr>
      </w:pPr>
      <w:r>
        <w:rPr>
          <w:rFonts w:hint="eastAsia" w:ascii="宋体" w:hAnsi="宋体" w:cs="宋体"/>
          <w:kern w:val="0"/>
          <w:sz w:val="22"/>
        </w:rPr>
        <w:t>项目名称：</w:t>
      </w:r>
      <w:r>
        <w:rPr>
          <w:rFonts w:hint="eastAsia" w:ascii="宋体" w:hAnsi="宋体" w:cs="宋体"/>
          <w:kern w:val="0"/>
          <w:sz w:val="22"/>
          <w:lang w:val="en-US" w:eastAsia="zh-CN"/>
        </w:rPr>
        <w:t xml:space="preserve">                                 </w:t>
      </w:r>
      <w:r>
        <w:rPr>
          <w:rFonts w:hint="eastAsia" w:ascii="宋体" w:hAnsi="宋体" w:cs="宋体"/>
          <w:kern w:val="0"/>
          <w:sz w:val="22"/>
        </w:rPr>
        <w:t>项目编号：</w:t>
      </w:r>
    </w:p>
    <w:tbl>
      <w:tblPr>
        <w:tblStyle w:val="24"/>
        <w:tblW w:w="952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4"/>
        <w:gridCol w:w="1541"/>
        <w:gridCol w:w="1128"/>
        <w:gridCol w:w="1210"/>
        <w:gridCol w:w="1151"/>
        <w:gridCol w:w="2113"/>
        <w:gridCol w:w="155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6" w:hRule="atLeast"/>
          <w:jc w:val="center"/>
        </w:trPr>
        <w:tc>
          <w:tcPr>
            <w:tcW w:w="824" w:type="dxa"/>
            <w:tcBorders>
              <w:top w:val="single" w:color="auto" w:sz="4" w:space="0"/>
              <w:left w:val="single" w:color="auto" w:sz="4" w:space="0"/>
              <w:right w:val="single" w:color="auto" w:sz="4" w:space="0"/>
            </w:tcBorders>
            <w:vAlign w:val="center"/>
          </w:tcPr>
          <w:p>
            <w:pPr>
              <w:widowControl/>
              <w:spacing w:line="240" w:lineRule="atLeast"/>
              <w:jc w:val="center"/>
              <w:rPr>
                <w:rFonts w:ascii="宋体" w:hAnsi="宋体" w:cs="宋体"/>
                <w:kern w:val="0"/>
                <w:sz w:val="22"/>
              </w:rPr>
            </w:pPr>
            <w:r>
              <w:rPr>
                <w:rFonts w:hint="eastAsia" w:ascii="宋体" w:hAnsi="宋体" w:cs="宋体"/>
                <w:kern w:val="0"/>
                <w:sz w:val="22"/>
              </w:rPr>
              <w:t>序号</w:t>
            </w:r>
          </w:p>
        </w:tc>
        <w:tc>
          <w:tcPr>
            <w:tcW w:w="1541" w:type="dxa"/>
            <w:tcBorders>
              <w:top w:val="single" w:color="auto" w:sz="4" w:space="0"/>
              <w:left w:val="single" w:color="auto" w:sz="4" w:space="0"/>
              <w:right w:val="single" w:color="auto" w:sz="4" w:space="0"/>
            </w:tcBorders>
            <w:vAlign w:val="center"/>
          </w:tcPr>
          <w:p>
            <w:pPr>
              <w:widowControl/>
              <w:spacing w:line="240" w:lineRule="atLeast"/>
              <w:jc w:val="center"/>
              <w:rPr>
                <w:rFonts w:ascii="宋体" w:hAnsi="宋体" w:cs="宋体"/>
                <w:kern w:val="0"/>
                <w:sz w:val="22"/>
              </w:rPr>
            </w:pPr>
            <w:r>
              <w:rPr>
                <w:rFonts w:hint="eastAsia" w:ascii="宋体" w:hAnsi="宋体" w:cs="宋体"/>
                <w:kern w:val="0"/>
                <w:sz w:val="22"/>
              </w:rPr>
              <w:t>姓名</w:t>
            </w:r>
          </w:p>
        </w:tc>
        <w:tc>
          <w:tcPr>
            <w:tcW w:w="1128" w:type="dxa"/>
            <w:tcBorders>
              <w:top w:val="single" w:color="auto" w:sz="4" w:space="0"/>
              <w:left w:val="single" w:color="auto" w:sz="4" w:space="0"/>
              <w:bottom w:val="single" w:color="auto" w:sz="4" w:space="0"/>
              <w:right w:val="single" w:color="auto" w:sz="4" w:space="0"/>
            </w:tcBorders>
            <w:vAlign w:val="center"/>
          </w:tcPr>
          <w:p>
            <w:pPr>
              <w:widowControl/>
              <w:spacing w:line="240" w:lineRule="atLeast"/>
              <w:jc w:val="center"/>
              <w:rPr>
                <w:rFonts w:ascii="宋体" w:hAnsi="宋体" w:cs="宋体"/>
                <w:kern w:val="0"/>
                <w:sz w:val="22"/>
              </w:rPr>
            </w:pPr>
            <w:r>
              <w:rPr>
                <w:rFonts w:hint="eastAsia" w:ascii="宋体" w:hAnsi="宋体" w:cs="宋体"/>
                <w:kern w:val="0"/>
                <w:sz w:val="22"/>
              </w:rPr>
              <w:t>性别</w:t>
            </w:r>
          </w:p>
        </w:tc>
        <w:tc>
          <w:tcPr>
            <w:tcW w:w="1210" w:type="dxa"/>
            <w:tcBorders>
              <w:top w:val="single" w:color="auto" w:sz="4" w:space="0"/>
              <w:left w:val="single" w:color="auto" w:sz="4" w:space="0"/>
              <w:bottom w:val="single" w:color="auto" w:sz="4" w:space="0"/>
              <w:right w:val="single" w:color="auto" w:sz="4" w:space="0"/>
            </w:tcBorders>
            <w:vAlign w:val="center"/>
          </w:tcPr>
          <w:p>
            <w:pPr>
              <w:widowControl/>
              <w:spacing w:line="240" w:lineRule="atLeast"/>
              <w:jc w:val="center"/>
              <w:rPr>
                <w:rFonts w:ascii="宋体" w:hAnsi="宋体" w:cs="宋体"/>
                <w:kern w:val="0"/>
                <w:sz w:val="22"/>
              </w:rPr>
            </w:pPr>
            <w:r>
              <w:rPr>
                <w:rFonts w:hint="eastAsia" w:ascii="宋体" w:hAnsi="宋体" w:cs="宋体"/>
                <w:kern w:val="0"/>
                <w:sz w:val="22"/>
              </w:rPr>
              <w:t>岗位</w:t>
            </w:r>
          </w:p>
        </w:tc>
        <w:tc>
          <w:tcPr>
            <w:tcW w:w="1151" w:type="dxa"/>
            <w:tcBorders>
              <w:top w:val="single" w:color="auto" w:sz="4" w:space="0"/>
              <w:left w:val="single" w:color="auto" w:sz="4" w:space="0"/>
              <w:bottom w:val="single" w:color="auto" w:sz="4" w:space="0"/>
              <w:right w:val="single" w:color="auto" w:sz="4" w:space="0"/>
            </w:tcBorders>
            <w:vAlign w:val="center"/>
          </w:tcPr>
          <w:p>
            <w:pPr>
              <w:widowControl/>
              <w:spacing w:line="240" w:lineRule="atLeast"/>
              <w:jc w:val="center"/>
              <w:rPr>
                <w:rFonts w:ascii="宋体" w:hAnsi="宋体" w:cs="宋体"/>
                <w:kern w:val="0"/>
                <w:sz w:val="22"/>
              </w:rPr>
            </w:pPr>
            <w:r>
              <w:rPr>
                <w:rFonts w:hint="eastAsia" w:ascii="宋体" w:hAnsi="宋体" w:cs="宋体"/>
                <w:kern w:val="0"/>
                <w:sz w:val="22"/>
              </w:rPr>
              <w:t>学历</w:t>
            </w:r>
          </w:p>
        </w:tc>
        <w:tc>
          <w:tcPr>
            <w:tcW w:w="2113" w:type="dxa"/>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ascii="宋体" w:hAnsi="宋体" w:cs="宋体"/>
                <w:kern w:val="0"/>
                <w:sz w:val="22"/>
              </w:rPr>
            </w:pPr>
            <w:r>
              <w:rPr>
                <w:rFonts w:hint="eastAsia" w:ascii="宋体" w:hAnsi="宋体" w:cs="宋体"/>
                <w:kern w:val="0"/>
                <w:sz w:val="22"/>
              </w:rPr>
              <w:t>拟任本次业务的职务</w:t>
            </w:r>
          </w:p>
        </w:tc>
        <w:tc>
          <w:tcPr>
            <w:tcW w:w="1554" w:type="dxa"/>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ascii="宋体" w:hAnsi="宋体" w:cs="宋体"/>
                <w:kern w:val="0"/>
                <w:sz w:val="22"/>
              </w:rPr>
            </w:pPr>
            <w:r>
              <w:rPr>
                <w:rFonts w:hint="eastAsia" w:ascii="宋体" w:hAnsi="宋体" w:cs="宋体"/>
                <w:kern w:val="0"/>
                <w:sz w:val="22"/>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1" w:hRule="atLeast"/>
          <w:jc w:val="center"/>
        </w:trPr>
        <w:tc>
          <w:tcPr>
            <w:tcW w:w="824" w:type="dxa"/>
            <w:tcBorders>
              <w:left w:val="single" w:color="auto" w:sz="4" w:space="0"/>
              <w:right w:val="single" w:color="auto" w:sz="4" w:space="0"/>
            </w:tcBorders>
            <w:vAlign w:val="center"/>
          </w:tcPr>
          <w:p>
            <w:pPr>
              <w:keepNext/>
              <w:keepLines/>
              <w:widowControl/>
              <w:spacing w:before="340" w:after="330" w:line="240" w:lineRule="atLeast"/>
              <w:jc w:val="center"/>
              <w:outlineLvl w:val="0"/>
              <w:rPr>
                <w:rFonts w:ascii="宋体" w:hAnsi="宋体" w:cs="宋体"/>
                <w:kern w:val="0"/>
                <w:sz w:val="22"/>
              </w:rPr>
            </w:pPr>
          </w:p>
        </w:tc>
        <w:tc>
          <w:tcPr>
            <w:tcW w:w="1541" w:type="dxa"/>
            <w:tcBorders>
              <w:left w:val="single" w:color="auto" w:sz="4" w:space="0"/>
              <w:right w:val="single" w:color="auto" w:sz="4" w:space="0"/>
            </w:tcBorders>
            <w:vAlign w:val="center"/>
          </w:tcPr>
          <w:p>
            <w:pPr>
              <w:keepNext/>
              <w:keepLines/>
              <w:widowControl/>
              <w:spacing w:before="340" w:after="330" w:line="240" w:lineRule="atLeast"/>
              <w:jc w:val="center"/>
              <w:outlineLvl w:val="0"/>
              <w:rPr>
                <w:rFonts w:ascii="宋体" w:hAnsi="宋体" w:cs="宋体"/>
                <w:kern w:val="0"/>
                <w:sz w:val="22"/>
              </w:rPr>
            </w:pPr>
          </w:p>
        </w:tc>
        <w:tc>
          <w:tcPr>
            <w:tcW w:w="1128" w:type="dxa"/>
            <w:tcBorders>
              <w:top w:val="single" w:color="auto" w:sz="4" w:space="0"/>
              <w:left w:val="single" w:color="auto" w:sz="4" w:space="0"/>
              <w:bottom w:val="single" w:color="auto" w:sz="4" w:space="0"/>
              <w:right w:val="single" w:color="auto" w:sz="4" w:space="0"/>
            </w:tcBorders>
            <w:vAlign w:val="center"/>
          </w:tcPr>
          <w:p>
            <w:pPr>
              <w:keepNext/>
              <w:keepLines/>
              <w:widowControl/>
              <w:spacing w:before="340" w:after="330" w:line="240" w:lineRule="atLeast"/>
              <w:jc w:val="center"/>
              <w:outlineLvl w:val="0"/>
              <w:rPr>
                <w:rFonts w:ascii="宋体" w:hAnsi="宋体" w:cs="宋体"/>
                <w:kern w:val="0"/>
                <w:sz w:val="22"/>
              </w:rPr>
            </w:pPr>
          </w:p>
        </w:tc>
        <w:tc>
          <w:tcPr>
            <w:tcW w:w="1210" w:type="dxa"/>
            <w:tcBorders>
              <w:top w:val="single" w:color="auto" w:sz="4" w:space="0"/>
              <w:left w:val="single" w:color="auto" w:sz="4" w:space="0"/>
              <w:bottom w:val="single" w:color="auto" w:sz="4" w:space="0"/>
              <w:right w:val="single" w:color="auto" w:sz="4" w:space="0"/>
            </w:tcBorders>
            <w:vAlign w:val="center"/>
          </w:tcPr>
          <w:p>
            <w:pPr>
              <w:keepNext/>
              <w:keepLines/>
              <w:widowControl/>
              <w:spacing w:before="340" w:after="330" w:line="240" w:lineRule="atLeast"/>
              <w:jc w:val="center"/>
              <w:outlineLvl w:val="0"/>
              <w:rPr>
                <w:rFonts w:ascii="宋体" w:hAnsi="宋体" w:cs="宋体"/>
                <w:kern w:val="0"/>
                <w:sz w:val="22"/>
              </w:rPr>
            </w:pPr>
          </w:p>
        </w:tc>
        <w:tc>
          <w:tcPr>
            <w:tcW w:w="1151" w:type="dxa"/>
            <w:tcBorders>
              <w:top w:val="single" w:color="auto" w:sz="4" w:space="0"/>
              <w:left w:val="single" w:color="auto" w:sz="4" w:space="0"/>
              <w:bottom w:val="single" w:color="auto" w:sz="4" w:space="0"/>
              <w:right w:val="single" w:color="auto" w:sz="4" w:space="0"/>
            </w:tcBorders>
          </w:tcPr>
          <w:p>
            <w:pPr>
              <w:keepNext/>
              <w:keepLines/>
              <w:widowControl/>
              <w:spacing w:before="340" w:after="330" w:line="240" w:lineRule="atLeast"/>
              <w:jc w:val="center"/>
              <w:outlineLvl w:val="0"/>
              <w:rPr>
                <w:rFonts w:ascii="宋体" w:hAnsi="宋体" w:cs="宋体"/>
                <w:kern w:val="0"/>
                <w:sz w:val="22"/>
              </w:rPr>
            </w:pPr>
          </w:p>
        </w:tc>
        <w:tc>
          <w:tcPr>
            <w:tcW w:w="2113" w:type="dxa"/>
            <w:tcBorders>
              <w:top w:val="single" w:color="auto" w:sz="4" w:space="0"/>
              <w:left w:val="single" w:color="auto" w:sz="4" w:space="0"/>
              <w:bottom w:val="single" w:color="auto" w:sz="4" w:space="0"/>
              <w:right w:val="single" w:color="auto" w:sz="4" w:space="0"/>
            </w:tcBorders>
          </w:tcPr>
          <w:p>
            <w:pPr>
              <w:keepNext/>
              <w:keepLines/>
              <w:widowControl/>
              <w:spacing w:before="340" w:after="330" w:line="240" w:lineRule="atLeast"/>
              <w:jc w:val="center"/>
              <w:outlineLvl w:val="0"/>
              <w:rPr>
                <w:rFonts w:ascii="宋体" w:hAnsi="宋体" w:cs="宋体"/>
                <w:kern w:val="0"/>
                <w:sz w:val="22"/>
              </w:rPr>
            </w:pPr>
          </w:p>
        </w:tc>
        <w:tc>
          <w:tcPr>
            <w:tcW w:w="1554" w:type="dxa"/>
            <w:tcBorders>
              <w:top w:val="single" w:color="auto" w:sz="4" w:space="0"/>
              <w:left w:val="single" w:color="auto" w:sz="4" w:space="0"/>
              <w:bottom w:val="single" w:color="auto" w:sz="4" w:space="0"/>
              <w:right w:val="single" w:color="auto" w:sz="4" w:space="0"/>
            </w:tcBorders>
            <w:vAlign w:val="center"/>
          </w:tcPr>
          <w:p>
            <w:pPr>
              <w:keepNext/>
              <w:keepLines/>
              <w:widowControl/>
              <w:spacing w:before="340" w:after="330" w:line="240" w:lineRule="atLeast"/>
              <w:jc w:val="center"/>
              <w:outlineLvl w:val="0"/>
              <w:rPr>
                <w:rFonts w:ascii="宋体" w:hAnsi="宋体" w:cs="宋体"/>
                <w:kern w:val="0"/>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1" w:hRule="atLeast"/>
          <w:jc w:val="center"/>
        </w:trPr>
        <w:tc>
          <w:tcPr>
            <w:tcW w:w="824" w:type="dxa"/>
            <w:tcBorders>
              <w:left w:val="single" w:color="auto" w:sz="4" w:space="0"/>
              <w:right w:val="single" w:color="auto" w:sz="4" w:space="0"/>
            </w:tcBorders>
            <w:vAlign w:val="center"/>
          </w:tcPr>
          <w:p>
            <w:pPr>
              <w:keepNext/>
              <w:keepLines/>
              <w:widowControl/>
              <w:spacing w:before="340" w:after="330" w:line="240" w:lineRule="atLeast"/>
              <w:jc w:val="center"/>
              <w:outlineLvl w:val="0"/>
              <w:rPr>
                <w:rFonts w:ascii="宋体" w:hAnsi="宋体" w:cs="宋体"/>
                <w:kern w:val="0"/>
                <w:sz w:val="22"/>
              </w:rPr>
            </w:pPr>
          </w:p>
        </w:tc>
        <w:tc>
          <w:tcPr>
            <w:tcW w:w="1541" w:type="dxa"/>
            <w:tcBorders>
              <w:left w:val="single" w:color="auto" w:sz="4" w:space="0"/>
              <w:right w:val="single" w:color="auto" w:sz="4" w:space="0"/>
            </w:tcBorders>
            <w:vAlign w:val="center"/>
          </w:tcPr>
          <w:p>
            <w:pPr>
              <w:keepNext/>
              <w:keepLines/>
              <w:widowControl/>
              <w:spacing w:before="340" w:after="330" w:line="240" w:lineRule="atLeast"/>
              <w:jc w:val="center"/>
              <w:outlineLvl w:val="0"/>
              <w:rPr>
                <w:rFonts w:ascii="宋体" w:hAnsi="宋体" w:cs="宋体"/>
                <w:kern w:val="0"/>
                <w:sz w:val="22"/>
              </w:rPr>
            </w:pPr>
          </w:p>
        </w:tc>
        <w:tc>
          <w:tcPr>
            <w:tcW w:w="1128" w:type="dxa"/>
            <w:tcBorders>
              <w:top w:val="single" w:color="auto" w:sz="4" w:space="0"/>
              <w:left w:val="single" w:color="auto" w:sz="4" w:space="0"/>
              <w:bottom w:val="single" w:color="auto" w:sz="4" w:space="0"/>
              <w:right w:val="single" w:color="auto" w:sz="4" w:space="0"/>
            </w:tcBorders>
            <w:vAlign w:val="center"/>
          </w:tcPr>
          <w:p>
            <w:pPr>
              <w:keepNext/>
              <w:keepLines/>
              <w:widowControl/>
              <w:spacing w:before="340" w:after="330" w:line="240" w:lineRule="atLeast"/>
              <w:jc w:val="center"/>
              <w:outlineLvl w:val="0"/>
              <w:rPr>
                <w:rFonts w:ascii="宋体" w:hAnsi="宋体" w:cs="宋体"/>
                <w:kern w:val="0"/>
                <w:sz w:val="22"/>
              </w:rPr>
            </w:pPr>
          </w:p>
        </w:tc>
        <w:tc>
          <w:tcPr>
            <w:tcW w:w="1210" w:type="dxa"/>
            <w:tcBorders>
              <w:top w:val="single" w:color="auto" w:sz="4" w:space="0"/>
              <w:left w:val="single" w:color="auto" w:sz="4" w:space="0"/>
              <w:bottom w:val="single" w:color="auto" w:sz="4" w:space="0"/>
              <w:right w:val="single" w:color="auto" w:sz="4" w:space="0"/>
            </w:tcBorders>
            <w:vAlign w:val="center"/>
          </w:tcPr>
          <w:p>
            <w:pPr>
              <w:keepNext/>
              <w:keepLines/>
              <w:widowControl/>
              <w:spacing w:before="340" w:after="330" w:line="240" w:lineRule="atLeast"/>
              <w:jc w:val="center"/>
              <w:outlineLvl w:val="0"/>
              <w:rPr>
                <w:rFonts w:ascii="宋体" w:hAnsi="宋体" w:cs="宋体"/>
                <w:kern w:val="0"/>
                <w:sz w:val="22"/>
              </w:rPr>
            </w:pPr>
          </w:p>
        </w:tc>
        <w:tc>
          <w:tcPr>
            <w:tcW w:w="1151" w:type="dxa"/>
            <w:tcBorders>
              <w:top w:val="single" w:color="auto" w:sz="4" w:space="0"/>
              <w:left w:val="single" w:color="auto" w:sz="4" w:space="0"/>
              <w:bottom w:val="single" w:color="auto" w:sz="4" w:space="0"/>
              <w:right w:val="single" w:color="auto" w:sz="4" w:space="0"/>
            </w:tcBorders>
          </w:tcPr>
          <w:p>
            <w:pPr>
              <w:keepNext/>
              <w:keepLines/>
              <w:widowControl/>
              <w:spacing w:before="340" w:after="330" w:line="240" w:lineRule="atLeast"/>
              <w:jc w:val="center"/>
              <w:outlineLvl w:val="0"/>
              <w:rPr>
                <w:rFonts w:ascii="宋体" w:hAnsi="宋体" w:cs="宋体"/>
                <w:kern w:val="0"/>
                <w:sz w:val="22"/>
              </w:rPr>
            </w:pPr>
          </w:p>
        </w:tc>
        <w:tc>
          <w:tcPr>
            <w:tcW w:w="2113" w:type="dxa"/>
            <w:tcBorders>
              <w:top w:val="single" w:color="auto" w:sz="4" w:space="0"/>
              <w:left w:val="single" w:color="auto" w:sz="4" w:space="0"/>
              <w:bottom w:val="single" w:color="auto" w:sz="4" w:space="0"/>
              <w:right w:val="single" w:color="auto" w:sz="4" w:space="0"/>
            </w:tcBorders>
          </w:tcPr>
          <w:p>
            <w:pPr>
              <w:keepNext/>
              <w:keepLines/>
              <w:widowControl/>
              <w:spacing w:before="340" w:after="330" w:line="240" w:lineRule="atLeast"/>
              <w:jc w:val="center"/>
              <w:outlineLvl w:val="0"/>
              <w:rPr>
                <w:rFonts w:ascii="宋体" w:hAnsi="宋体" w:cs="宋体"/>
                <w:kern w:val="0"/>
                <w:sz w:val="22"/>
              </w:rPr>
            </w:pPr>
          </w:p>
        </w:tc>
        <w:tc>
          <w:tcPr>
            <w:tcW w:w="1554" w:type="dxa"/>
            <w:tcBorders>
              <w:top w:val="single" w:color="auto" w:sz="4" w:space="0"/>
              <w:left w:val="single" w:color="auto" w:sz="4" w:space="0"/>
              <w:bottom w:val="single" w:color="auto" w:sz="4" w:space="0"/>
              <w:right w:val="single" w:color="auto" w:sz="4" w:space="0"/>
            </w:tcBorders>
            <w:vAlign w:val="center"/>
          </w:tcPr>
          <w:p>
            <w:pPr>
              <w:keepNext/>
              <w:keepLines/>
              <w:widowControl/>
              <w:spacing w:before="340" w:after="330" w:line="240" w:lineRule="atLeast"/>
              <w:jc w:val="center"/>
              <w:outlineLvl w:val="0"/>
              <w:rPr>
                <w:rFonts w:ascii="宋体" w:hAnsi="宋体" w:cs="宋体"/>
                <w:kern w:val="0"/>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1" w:hRule="atLeast"/>
          <w:jc w:val="center"/>
        </w:trPr>
        <w:tc>
          <w:tcPr>
            <w:tcW w:w="824" w:type="dxa"/>
            <w:tcBorders>
              <w:left w:val="single" w:color="auto" w:sz="4" w:space="0"/>
              <w:right w:val="single" w:color="auto" w:sz="4" w:space="0"/>
            </w:tcBorders>
            <w:vAlign w:val="center"/>
          </w:tcPr>
          <w:p>
            <w:pPr>
              <w:keepNext/>
              <w:keepLines/>
              <w:widowControl/>
              <w:spacing w:before="340" w:after="330" w:line="240" w:lineRule="atLeast"/>
              <w:jc w:val="center"/>
              <w:outlineLvl w:val="0"/>
              <w:rPr>
                <w:rFonts w:ascii="宋体" w:hAnsi="宋体" w:cs="宋体"/>
                <w:kern w:val="0"/>
                <w:sz w:val="22"/>
              </w:rPr>
            </w:pPr>
          </w:p>
        </w:tc>
        <w:tc>
          <w:tcPr>
            <w:tcW w:w="1541" w:type="dxa"/>
            <w:tcBorders>
              <w:left w:val="single" w:color="auto" w:sz="4" w:space="0"/>
              <w:right w:val="single" w:color="auto" w:sz="4" w:space="0"/>
            </w:tcBorders>
            <w:vAlign w:val="center"/>
          </w:tcPr>
          <w:p>
            <w:pPr>
              <w:keepNext/>
              <w:keepLines/>
              <w:widowControl/>
              <w:spacing w:before="340" w:after="330" w:line="240" w:lineRule="atLeast"/>
              <w:jc w:val="center"/>
              <w:outlineLvl w:val="0"/>
              <w:rPr>
                <w:rFonts w:ascii="宋体" w:hAnsi="宋体" w:cs="宋体"/>
                <w:kern w:val="0"/>
                <w:sz w:val="22"/>
              </w:rPr>
            </w:pPr>
          </w:p>
        </w:tc>
        <w:tc>
          <w:tcPr>
            <w:tcW w:w="1128" w:type="dxa"/>
            <w:tcBorders>
              <w:top w:val="single" w:color="auto" w:sz="4" w:space="0"/>
              <w:left w:val="single" w:color="auto" w:sz="4" w:space="0"/>
              <w:bottom w:val="single" w:color="auto" w:sz="4" w:space="0"/>
              <w:right w:val="single" w:color="auto" w:sz="4" w:space="0"/>
            </w:tcBorders>
            <w:vAlign w:val="center"/>
          </w:tcPr>
          <w:p>
            <w:pPr>
              <w:keepNext/>
              <w:keepLines/>
              <w:widowControl/>
              <w:spacing w:before="340" w:after="330" w:line="240" w:lineRule="atLeast"/>
              <w:jc w:val="center"/>
              <w:outlineLvl w:val="0"/>
              <w:rPr>
                <w:rFonts w:ascii="宋体" w:hAnsi="宋体" w:cs="宋体"/>
                <w:kern w:val="0"/>
                <w:sz w:val="22"/>
              </w:rPr>
            </w:pPr>
          </w:p>
        </w:tc>
        <w:tc>
          <w:tcPr>
            <w:tcW w:w="1210" w:type="dxa"/>
            <w:tcBorders>
              <w:top w:val="single" w:color="auto" w:sz="4" w:space="0"/>
              <w:left w:val="single" w:color="auto" w:sz="4" w:space="0"/>
              <w:bottom w:val="single" w:color="auto" w:sz="4" w:space="0"/>
              <w:right w:val="single" w:color="auto" w:sz="4" w:space="0"/>
            </w:tcBorders>
            <w:vAlign w:val="center"/>
          </w:tcPr>
          <w:p>
            <w:pPr>
              <w:keepNext/>
              <w:keepLines/>
              <w:widowControl/>
              <w:spacing w:before="340" w:after="330" w:line="240" w:lineRule="atLeast"/>
              <w:jc w:val="center"/>
              <w:outlineLvl w:val="0"/>
              <w:rPr>
                <w:rFonts w:ascii="宋体" w:hAnsi="宋体" w:cs="宋体"/>
                <w:kern w:val="0"/>
                <w:sz w:val="22"/>
              </w:rPr>
            </w:pPr>
          </w:p>
        </w:tc>
        <w:tc>
          <w:tcPr>
            <w:tcW w:w="1151" w:type="dxa"/>
            <w:tcBorders>
              <w:top w:val="single" w:color="auto" w:sz="4" w:space="0"/>
              <w:left w:val="single" w:color="auto" w:sz="4" w:space="0"/>
              <w:bottom w:val="single" w:color="auto" w:sz="4" w:space="0"/>
              <w:right w:val="single" w:color="auto" w:sz="4" w:space="0"/>
            </w:tcBorders>
          </w:tcPr>
          <w:p>
            <w:pPr>
              <w:keepNext/>
              <w:keepLines/>
              <w:widowControl/>
              <w:spacing w:before="340" w:after="330" w:line="240" w:lineRule="atLeast"/>
              <w:jc w:val="center"/>
              <w:outlineLvl w:val="0"/>
              <w:rPr>
                <w:rFonts w:ascii="宋体" w:hAnsi="宋体" w:cs="宋体"/>
                <w:kern w:val="0"/>
                <w:sz w:val="22"/>
              </w:rPr>
            </w:pPr>
          </w:p>
        </w:tc>
        <w:tc>
          <w:tcPr>
            <w:tcW w:w="2113" w:type="dxa"/>
            <w:tcBorders>
              <w:top w:val="single" w:color="auto" w:sz="4" w:space="0"/>
              <w:left w:val="single" w:color="auto" w:sz="4" w:space="0"/>
              <w:bottom w:val="single" w:color="auto" w:sz="4" w:space="0"/>
              <w:right w:val="single" w:color="auto" w:sz="4" w:space="0"/>
            </w:tcBorders>
          </w:tcPr>
          <w:p>
            <w:pPr>
              <w:keepNext/>
              <w:keepLines/>
              <w:widowControl/>
              <w:spacing w:before="340" w:after="330" w:line="240" w:lineRule="atLeast"/>
              <w:jc w:val="center"/>
              <w:outlineLvl w:val="0"/>
              <w:rPr>
                <w:rFonts w:ascii="宋体" w:hAnsi="宋体" w:cs="宋体"/>
                <w:kern w:val="0"/>
                <w:sz w:val="22"/>
              </w:rPr>
            </w:pPr>
          </w:p>
        </w:tc>
        <w:tc>
          <w:tcPr>
            <w:tcW w:w="1554" w:type="dxa"/>
            <w:tcBorders>
              <w:top w:val="single" w:color="auto" w:sz="4" w:space="0"/>
              <w:left w:val="single" w:color="auto" w:sz="4" w:space="0"/>
              <w:bottom w:val="single" w:color="auto" w:sz="4" w:space="0"/>
              <w:right w:val="single" w:color="auto" w:sz="4" w:space="0"/>
            </w:tcBorders>
            <w:vAlign w:val="center"/>
          </w:tcPr>
          <w:p>
            <w:pPr>
              <w:keepNext/>
              <w:keepLines/>
              <w:widowControl/>
              <w:spacing w:before="340" w:after="330" w:line="240" w:lineRule="atLeast"/>
              <w:jc w:val="center"/>
              <w:outlineLvl w:val="0"/>
              <w:rPr>
                <w:rFonts w:ascii="宋体" w:hAnsi="宋体" w:cs="宋体"/>
                <w:kern w:val="0"/>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1" w:hRule="atLeast"/>
          <w:jc w:val="center"/>
        </w:trPr>
        <w:tc>
          <w:tcPr>
            <w:tcW w:w="824" w:type="dxa"/>
            <w:tcBorders>
              <w:left w:val="single" w:color="auto" w:sz="4" w:space="0"/>
              <w:right w:val="single" w:color="auto" w:sz="4" w:space="0"/>
            </w:tcBorders>
            <w:vAlign w:val="center"/>
          </w:tcPr>
          <w:p>
            <w:pPr>
              <w:keepNext/>
              <w:keepLines/>
              <w:widowControl/>
              <w:spacing w:before="340" w:after="330" w:line="240" w:lineRule="atLeast"/>
              <w:jc w:val="center"/>
              <w:outlineLvl w:val="0"/>
              <w:rPr>
                <w:rFonts w:ascii="宋体" w:hAnsi="宋体" w:cs="宋体"/>
                <w:kern w:val="0"/>
                <w:sz w:val="22"/>
              </w:rPr>
            </w:pPr>
          </w:p>
        </w:tc>
        <w:tc>
          <w:tcPr>
            <w:tcW w:w="1541" w:type="dxa"/>
            <w:tcBorders>
              <w:left w:val="single" w:color="auto" w:sz="4" w:space="0"/>
              <w:right w:val="single" w:color="auto" w:sz="4" w:space="0"/>
            </w:tcBorders>
            <w:vAlign w:val="center"/>
          </w:tcPr>
          <w:p>
            <w:pPr>
              <w:keepNext/>
              <w:keepLines/>
              <w:widowControl/>
              <w:spacing w:before="340" w:after="330" w:line="240" w:lineRule="atLeast"/>
              <w:jc w:val="center"/>
              <w:outlineLvl w:val="0"/>
              <w:rPr>
                <w:rFonts w:ascii="宋体" w:hAnsi="宋体" w:cs="宋体"/>
                <w:kern w:val="0"/>
                <w:sz w:val="22"/>
              </w:rPr>
            </w:pPr>
          </w:p>
        </w:tc>
        <w:tc>
          <w:tcPr>
            <w:tcW w:w="1128" w:type="dxa"/>
            <w:tcBorders>
              <w:top w:val="single" w:color="auto" w:sz="4" w:space="0"/>
              <w:left w:val="single" w:color="auto" w:sz="4" w:space="0"/>
              <w:bottom w:val="single" w:color="auto" w:sz="4" w:space="0"/>
              <w:right w:val="single" w:color="auto" w:sz="4" w:space="0"/>
            </w:tcBorders>
            <w:vAlign w:val="center"/>
          </w:tcPr>
          <w:p>
            <w:pPr>
              <w:keepNext/>
              <w:keepLines/>
              <w:widowControl/>
              <w:spacing w:before="340" w:after="330" w:line="240" w:lineRule="atLeast"/>
              <w:jc w:val="center"/>
              <w:outlineLvl w:val="0"/>
              <w:rPr>
                <w:rFonts w:ascii="宋体" w:hAnsi="宋体" w:cs="宋体"/>
                <w:kern w:val="0"/>
                <w:sz w:val="22"/>
              </w:rPr>
            </w:pPr>
          </w:p>
        </w:tc>
        <w:tc>
          <w:tcPr>
            <w:tcW w:w="1210" w:type="dxa"/>
            <w:tcBorders>
              <w:top w:val="single" w:color="auto" w:sz="4" w:space="0"/>
              <w:left w:val="single" w:color="auto" w:sz="4" w:space="0"/>
              <w:bottom w:val="single" w:color="auto" w:sz="4" w:space="0"/>
              <w:right w:val="single" w:color="auto" w:sz="4" w:space="0"/>
            </w:tcBorders>
            <w:vAlign w:val="center"/>
          </w:tcPr>
          <w:p>
            <w:pPr>
              <w:keepNext/>
              <w:keepLines/>
              <w:widowControl/>
              <w:spacing w:before="340" w:after="330" w:line="240" w:lineRule="atLeast"/>
              <w:jc w:val="center"/>
              <w:outlineLvl w:val="0"/>
              <w:rPr>
                <w:rFonts w:ascii="宋体" w:hAnsi="宋体" w:cs="宋体"/>
                <w:kern w:val="0"/>
                <w:sz w:val="22"/>
              </w:rPr>
            </w:pPr>
          </w:p>
        </w:tc>
        <w:tc>
          <w:tcPr>
            <w:tcW w:w="1151" w:type="dxa"/>
            <w:tcBorders>
              <w:top w:val="single" w:color="auto" w:sz="4" w:space="0"/>
              <w:left w:val="single" w:color="auto" w:sz="4" w:space="0"/>
              <w:bottom w:val="single" w:color="auto" w:sz="4" w:space="0"/>
              <w:right w:val="single" w:color="auto" w:sz="4" w:space="0"/>
            </w:tcBorders>
          </w:tcPr>
          <w:p>
            <w:pPr>
              <w:keepNext/>
              <w:keepLines/>
              <w:widowControl/>
              <w:spacing w:before="340" w:after="330" w:line="240" w:lineRule="atLeast"/>
              <w:jc w:val="center"/>
              <w:outlineLvl w:val="0"/>
              <w:rPr>
                <w:rFonts w:ascii="宋体" w:hAnsi="宋体" w:cs="宋体"/>
                <w:kern w:val="0"/>
                <w:sz w:val="22"/>
              </w:rPr>
            </w:pPr>
          </w:p>
        </w:tc>
        <w:tc>
          <w:tcPr>
            <w:tcW w:w="2113" w:type="dxa"/>
            <w:tcBorders>
              <w:top w:val="single" w:color="auto" w:sz="4" w:space="0"/>
              <w:left w:val="single" w:color="auto" w:sz="4" w:space="0"/>
              <w:bottom w:val="single" w:color="auto" w:sz="4" w:space="0"/>
              <w:right w:val="single" w:color="auto" w:sz="4" w:space="0"/>
            </w:tcBorders>
          </w:tcPr>
          <w:p>
            <w:pPr>
              <w:keepNext/>
              <w:keepLines/>
              <w:widowControl/>
              <w:spacing w:before="340" w:after="330" w:line="240" w:lineRule="atLeast"/>
              <w:jc w:val="center"/>
              <w:outlineLvl w:val="0"/>
              <w:rPr>
                <w:rFonts w:ascii="宋体" w:hAnsi="宋体" w:cs="宋体"/>
                <w:kern w:val="0"/>
                <w:sz w:val="22"/>
              </w:rPr>
            </w:pPr>
          </w:p>
        </w:tc>
        <w:tc>
          <w:tcPr>
            <w:tcW w:w="1554" w:type="dxa"/>
            <w:tcBorders>
              <w:top w:val="single" w:color="auto" w:sz="4" w:space="0"/>
              <w:left w:val="single" w:color="auto" w:sz="4" w:space="0"/>
              <w:bottom w:val="single" w:color="auto" w:sz="4" w:space="0"/>
              <w:right w:val="single" w:color="auto" w:sz="4" w:space="0"/>
            </w:tcBorders>
            <w:vAlign w:val="center"/>
          </w:tcPr>
          <w:p>
            <w:pPr>
              <w:keepNext/>
              <w:keepLines/>
              <w:widowControl/>
              <w:spacing w:before="340" w:after="330" w:line="240" w:lineRule="atLeast"/>
              <w:jc w:val="center"/>
              <w:outlineLvl w:val="0"/>
              <w:rPr>
                <w:rFonts w:ascii="宋体" w:hAnsi="宋体" w:cs="宋体"/>
                <w:kern w:val="0"/>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1" w:hRule="atLeast"/>
          <w:jc w:val="center"/>
        </w:trPr>
        <w:tc>
          <w:tcPr>
            <w:tcW w:w="824" w:type="dxa"/>
            <w:tcBorders>
              <w:left w:val="single" w:color="auto" w:sz="4" w:space="0"/>
              <w:right w:val="single" w:color="auto" w:sz="4" w:space="0"/>
            </w:tcBorders>
            <w:vAlign w:val="center"/>
          </w:tcPr>
          <w:p>
            <w:pPr>
              <w:keepNext/>
              <w:keepLines/>
              <w:widowControl/>
              <w:spacing w:before="340" w:after="330" w:line="240" w:lineRule="atLeast"/>
              <w:jc w:val="center"/>
              <w:outlineLvl w:val="0"/>
              <w:rPr>
                <w:rFonts w:ascii="宋体" w:hAnsi="宋体" w:cs="宋体"/>
                <w:kern w:val="0"/>
                <w:sz w:val="22"/>
              </w:rPr>
            </w:pPr>
          </w:p>
        </w:tc>
        <w:tc>
          <w:tcPr>
            <w:tcW w:w="1541" w:type="dxa"/>
            <w:tcBorders>
              <w:left w:val="single" w:color="auto" w:sz="4" w:space="0"/>
              <w:right w:val="single" w:color="auto" w:sz="4" w:space="0"/>
            </w:tcBorders>
            <w:vAlign w:val="center"/>
          </w:tcPr>
          <w:p>
            <w:pPr>
              <w:keepNext/>
              <w:keepLines/>
              <w:widowControl/>
              <w:spacing w:before="340" w:after="330" w:line="240" w:lineRule="atLeast"/>
              <w:jc w:val="center"/>
              <w:outlineLvl w:val="0"/>
              <w:rPr>
                <w:rFonts w:ascii="宋体" w:hAnsi="宋体" w:cs="宋体"/>
                <w:kern w:val="0"/>
                <w:sz w:val="22"/>
              </w:rPr>
            </w:pPr>
          </w:p>
        </w:tc>
        <w:tc>
          <w:tcPr>
            <w:tcW w:w="1128" w:type="dxa"/>
            <w:tcBorders>
              <w:top w:val="single" w:color="auto" w:sz="4" w:space="0"/>
              <w:left w:val="single" w:color="auto" w:sz="4" w:space="0"/>
              <w:bottom w:val="single" w:color="auto" w:sz="4" w:space="0"/>
              <w:right w:val="single" w:color="auto" w:sz="4" w:space="0"/>
            </w:tcBorders>
            <w:vAlign w:val="center"/>
          </w:tcPr>
          <w:p>
            <w:pPr>
              <w:keepNext/>
              <w:keepLines/>
              <w:widowControl/>
              <w:spacing w:before="340" w:after="330" w:line="240" w:lineRule="atLeast"/>
              <w:jc w:val="center"/>
              <w:outlineLvl w:val="0"/>
              <w:rPr>
                <w:rFonts w:ascii="宋体" w:hAnsi="宋体" w:cs="宋体"/>
                <w:kern w:val="0"/>
                <w:sz w:val="22"/>
              </w:rPr>
            </w:pPr>
          </w:p>
        </w:tc>
        <w:tc>
          <w:tcPr>
            <w:tcW w:w="1210" w:type="dxa"/>
            <w:tcBorders>
              <w:top w:val="single" w:color="auto" w:sz="4" w:space="0"/>
              <w:left w:val="single" w:color="auto" w:sz="4" w:space="0"/>
              <w:bottom w:val="single" w:color="auto" w:sz="4" w:space="0"/>
              <w:right w:val="single" w:color="auto" w:sz="4" w:space="0"/>
            </w:tcBorders>
            <w:vAlign w:val="center"/>
          </w:tcPr>
          <w:p>
            <w:pPr>
              <w:keepNext/>
              <w:keepLines/>
              <w:widowControl/>
              <w:spacing w:before="340" w:after="330" w:line="240" w:lineRule="atLeast"/>
              <w:jc w:val="center"/>
              <w:outlineLvl w:val="0"/>
              <w:rPr>
                <w:rFonts w:ascii="宋体" w:hAnsi="宋体" w:cs="宋体"/>
                <w:kern w:val="0"/>
                <w:sz w:val="22"/>
              </w:rPr>
            </w:pPr>
          </w:p>
        </w:tc>
        <w:tc>
          <w:tcPr>
            <w:tcW w:w="1151" w:type="dxa"/>
            <w:tcBorders>
              <w:top w:val="single" w:color="auto" w:sz="4" w:space="0"/>
              <w:left w:val="single" w:color="auto" w:sz="4" w:space="0"/>
              <w:bottom w:val="single" w:color="auto" w:sz="4" w:space="0"/>
              <w:right w:val="single" w:color="auto" w:sz="4" w:space="0"/>
            </w:tcBorders>
          </w:tcPr>
          <w:p>
            <w:pPr>
              <w:keepNext/>
              <w:keepLines/>
              <w:widowControl/>
              <w:spacing w:before="340" w:after="330" w:line="240" w:lineRule="atLeast"/>
              <w:jc w:val="center"/>
              <w:outlineLvl w:val="0"/>
              <w:rPr>
                <w:rFonts w:ascii="宋体" w:hAnsi="宋体" w:cs="宋体"/>
                <w:kern w:val="0"/>
                <w:sz w:val="22"/>
              </w:rPr>
            </w:pPr>
          </w:p>
        </w:tc>
        <w:tc>
          <w:tcPr>
            <w:tcW w:w="2113" w:type="dxa"/>
            <w:tcBorders>
              <w:top w:val="single" w:color="auto" w:sz="4" w:space="0"/>
              <w:left w:val="single" w:color="auto" w:sz="4" w:space="0"/>
              <w:bottom w:val="single" w:color="auto" w:sz="4" w:space="0"/>
              <w:right w:val="single" w:color="auto" w:sz="4" w:space="0"/>
            </w:tcBorders>
          </w:tcPr>
          <w:p>
            <w:pPr>
              <w:keepNext/>
              <w:keepLines/>
              <w:widowControl/>
              <w:spacing w:before="340" w:after="330" w:line="240" w:lineRule="atLeast"/>
              <w:jc w:val="center"/>
              <w:outlineLvl w:val="0"/>
              <w:rPr>
                <w:rFonts w:ascii="宋体" w:hAnsi="宋体" w:cs="宋体"/>
                <w:kern w:val="0"/>
                <w:sz w:val="22"/>
              </w:rPr>
            </w:pPr>
          </w:p>
        </w:tc>
        <w:tc>
          <w:tcPr>
            <w:tcW w:w="1554" w:type="dxa"/>
            <w:tcBorders>
              <w:top w:val="single" w:color="auto" w:sz="4" w:space="0"/>
              <w:left w:val="single" w:color="auto" w:sz="4" w:space="0"/>
              <w:bottom w:val="single" w:color="auto" w:sz="4" w:space="0"/>
              <w:right w:val="single" w:color="auto" w:sz="4" w:space="0"/>
            </w:tcBorders>
            <w:vAlign w:val="center"/>
          </w:tcPr>
          <w:p>
            <w:pPr>
              <w:keepNext/>
              <w:keepLines/>
              <w:widowControl/>
              <w:spacing w:before="340" w:after="330" w:line="240" w:lineRule="atLeast"/>
              <w:jc w:val="center"/>
              <w:outlineLvl w:val="0"/>
              <w:rPr>
                <w:rFonts w:ascii="宋体" w:hAnsi="宋体" w:cs="宋体"/>
                <w:kern w:val="0"/>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1" w:hRule="atLeast"/>
          <w:jc w:val="center"/>
        </w:trPr>
        <w:tc>
          <w:tcPr>
            <w:tcW w:w="824" w:type="dxa"/>
            <w:tcBorders>
              <w:left w:val="single" w:color="auto" w:sz="4" w:space="0"/>
              <w:right w:val="single" w:color="auto" w:sz="4" w:space="0"/>
            </w:tcBorders>
            <w:vAlign w:val="center"/>
          </w:tcPr>
          <w:p>
            <w:pPr>
              <w:keepNext/>
              <w:keepLines/>
              <w:widowControl/>
              <w:spacing w:before="340" w:after="330" w:line="240" w:lineRule="atLeast"/>
              <w:jc w:val="center"/>
              <w:outlineLvl w:val="0"/>
              <w:rPr>
                <w:rFonts w:ascii="宋体" w:hAnsi="宋体" w:cs="宋体"/>
                <w:kern w:val="0"/>
                <w:sz w:val="22"/>
              </w:rPr>
            </w:pPr>
          </w:p>
        </w:tc>
        <w:tc>
          <w:tcPr>
            <w:tcW w:w="1541" w:type="dxa"/>
            <w:tcBorders>
              <w:left w:val="single" w:color="auto" w:sz="4" w:space="0"/>
              <w:right w:val="single" w:color="auto" w:sz="4" w:space="0"/>
            </w:tcBorders>
            <w:vAlign w:val="center"/>
          </w:tcPr>
          <w:p>
            <w:pPr>
              <w:keepNext/>
              <w:keepLines/>
              <w:widowControl/>
              <w:spacing w:before="340" w:after="330" w:line="240" w:lineRule="atLeast"/>
              <w:jc w:val="center"/>
              <w:outlineLvl w:val="0"/>
              <w:rPr>
                <w:rFonts w:ascii="宋体" w:hAnsi="宋体" w:cs="宋体"/>
                <w:kern w:val="0"/>
                <w:sz w:val="22"/>
              </w:rPr>
            </w:pPr>
          </w:p>
        </w:tc>
        <w:tc>
          <w:tcPr>
            <w:tcW w:w="1128" w:type="dxa"/>
            <w:tcBorders>
              <w:top w:val="single" w:color="auto" w:sz="4" w:space="0"/>
              <w:left w:val="single" w:color="auto" w:sz="4" w:space="0"/>
              <w:bottom w:val="single" w:color="auto" w:sz="4" w:space="0"/>
              <w:right w:val="single" w:color="auto" w:sz="4" w:space="0"/>
            </w:tcBorders>
            <w:vAlign w:val="center"/>
          </w:tcPr>
          <w:p>
            <w:pPr>
              <w:keepNext/>
              <w:keepLines/>
              <w:widowControl/>
              <w:spacing w:before="340" w:after="330" w:line="240" w:lineRule="atLeast"/>
              <w:jc w:val="center"/>
              <w:outlineLvl w:val="0"/>
              <w:rPr>
                <w:rFonts w:ascii="宋体" w:hAnsi="宋体" w:cs="宋体"/>
                <w:kern w:val="0"/>
                <w:sz w:val="22"/>
              </w:rPr>
            </w:pPr>
          </w:p>
        </w:tc>
        <w:tc>
          <w:tcPr>
            <w:tcW w:w="1210" w:type="dxa"/>
            <w:tcBorders>
              <w:top w:val="single" w:color="auto" w:sz="4" w:space="0"/>
              <w:left w:val="single" w:color="auto" w:sz="4" w:space="0"/>
              <w:bottom w:val="single" w:color="auto" w:sz="4" w:space="0"/>
              <w:right w:val="single" w:color="auto" w:sz="4" w:space="0"/>
            </w:tcBorders>
            <w:vAlign w:val="center"/>
          </w:tcPr>
          <w:p>
            <w:pPr>
              <w:keepNext/>
              <w:keepLines/>
              <w:widowControl/>
              <w:spacing w:before="340" w:after="330" w:line="240" w:lineRule="atLeast"/>
              <w:jc w:val="center"/>
              <w:outlineLvl w:val="0"/>
              <w:rPr>
                <w:rFonts w:ascii="宋体" w:hAnsi="宋体" w:cs="宋体"/>
                <w:kern w:val="0"/>
                <w:sz w:val="22"/>
              </w:rPr>
            </w:pPr>
          </w:p>
        </w:tc>
        <w:tc>
          <w:tcPr>
            <w:tcW w:w="1151" w:type="dxa"/>
            <w:tcBorders>
              <w:top w:val="single" w:color="auto" w:sz="4" w:space="0"/>
              <w:left w:val="single" w:color="auto" w:sz="4" w:space="0"/>
              <w:bottom w:val="single" w:color="auto" w:sz="4" w:space="0"/>
              <w:right w:val="single" w:color="auto" w:sz="4" w:space="0"/>
            </w:tcBorders>
          </w:tcPr>
          <w:p>
            <w:pPr>
              <w:keepNext/>
              <w:keepLines/>
              <w:widowControl/>
              <w:spacing w:before="340" w:after="330" w:line="240" w:lineRule="atLeast"/>
              <w:jc w:val="center"/>
              <w:outlineLvl w:val="0"/>
              <w:rPr>
                <w:rFonts w:ascii="宋体" w:hAnsi="宋体" w:cs="宋体"/>
                <w:kern w:val="0"/>
                <w:sz w:val="22"/>
              </w:rPr>
            </w:pPr>
          </w:p>
        </w:tc>
        <w:tc>
          <w:tcPr>
            <w:tcW w:w="2113" w:type="dxa"/>
            <w:tcBorders>
              <w:top w:val="single" w:color="auto" w:sz="4" w:space="0"/>
              <w:left w:val="single" w:color="auto" w:sz="4" w:space="0"/>
              <w:bottom w:val="single" w:color="auto" w:sz="4" w:space="0"/>
              <w:right w:val="single" w:color="auto" w:sz="4" w:space="0"/>
            </w:tcBorders>
          </w:tcPr>
          <w:p>
            <w:pPr>
              <w:keepNext/>
              <w:keepLines/>
              <w:widowControl/>
              <w:spacing w:before="340" w:after="330" w:line="240" w:lineRule="atLeast"/>
              <w:jc w:val="center"/>
              <w:outlineLvl w:val="0"/>
              <w:rPr>
                <w:rFonts w:ascii="宋体" w:hAnsi="宋体" w:cs="宋体"/>
                <w:kern w:val="0"/>
                <w:sz w:val="22"/>
              </w:rPr>
            </w:pPr>
          </w:p>
        </w:tc>
        <w:tc>
          <w:tcPr>
            <w:tcW w:w="1554" w:type="dxa"/>
            <w:tcBorders>
              <w:top w:val="single" w:color="auto" w:sz="4" w:space="0"/>
              <w:left w:val="single" w:color="auto" w:sz="4" w:space="0"/>
              <w:bottom w:val="single" w:color="auto" w:sz="4" w:space="0"/>
              <w:right w:val="single" w:color="auto" w:sz="4" w:space="0"/>
            </w:tcBorders>
            <w:vAlign w:val="center"/>
          </w:tcPr>
          <w:p>
            <w:pPr>
              <w:keepNext/>
              <w:keepLines/>
              <w:widowControl/>
              <w:spacing w:before="340" w:after="330" w:line="240" w:lineRule="atLeast"/>
              <w:jc w:val="center"/>
              <w:outlineLvl w:val="0"/>
              <w:rPr>
                <w:rFonts w:ascii="宋体" w:hAnsi="宋体" w:cs="宋体"/>
                <w:kern w:val="0"/>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1" w:hRule="atLeast"/>
          <w:jc w:val="center"/>
        </w:trPr>
        <w:tc>
          <w:tcPr>
            <w:tcW w:w="824" w:type="dxa"/>
            <w:tcBorders>
              <w:left w:val="single" w:color="auto" w:sz="4" w:space="0"/>
              <w:right w:val="single" w:color="auto" w:sz="4" w:space="0"/>
            </w:tcBorders>
            <w:vAlign w:val="center"/>
          </w:tcPr>
          <w:p>
            <w:pPr>
              <w:keepNext/>
              <w:keepLines/>
              <w:widowControl/>
              <w:spacing w:before="340" w:after="330" w:line="240" w:lineRule="atLeast"/>
              <w:jc w:val="center"/>
              <w:outlineLvl w:val="0"/>
              <w:rPr>
                <w:rFonts w:ascii="宋体" w:hAnsi="宋体" w:cs="宋体"/>
                <w:kern w:val="0"/>
                <w:sz w:val="22"/>
              </w:rPr>
            </w:pPr>
          </w:p>
        </w:tc>
        <w:tc>
          <w:tcPr>
            <w:tcW w:w="1541" w:type="dxa"/>
            <w:tcBorders>
              <w:left w:val="single" w:color="auto" w:sz="4" w:space="0"/>
              <w:right w:val="single" w:color="auto" w:sz="4" w:space="0"/>
            </w:tcBorders>
            <w:vAlign w:val="center"/>
          </w:tcPr>
          <w:p>
            <w:pPr>
              <w:keepNext/>
              <w:keepLines/>
              <w:widowControl/>
              <w:spacing w:before="340" w:after="330" w:line="240" w:lineRule="atLeast"/>
              <w:jc w:val="center"/>
              <w:outlineLvl w:val="0"/>
              <w:rPr>
                <w:rFonts w:ascii="宋体" w:hAnsi="宋体" w:cs="宋体"/>
                <w:kern w:val="0"/>
                <w:sz w:val="22"/>
              </w:rPr>
            </w:pPr>
          </w:p>
        </w:tc>
        <w:tc>
          <w:tcPr>
            <w:tcW w:w="1128" w:type="dxa"/>
            <w:tcBorders>
              <w:top w:val="single" w:color="auto" w:sz="4" w:space="0"/>
              <w:left w:val="single" w:color="auto" w:sz="4" w:space="0"/>
              <w:bottom w:val="single" w:color="auto" w:sz="4" w:space="0"/>
              <w:right w:val="single" w:color="auto" w:sz="4" w:space="0"/>
            </w:tcBorders>
            <w:vAlign w:val="center"/>
          </w:tcPr>
          <w:p>
            <w:pPr>
              <w:keepNext/>
              <w:keepLines/>
              <w:widowControl/>
              <w:spacing w:before="340" w:after="330" w:line="240" w:lineRule="atLeast"/>
              <w:jc w:val="center"/>
              <w:outlineLvl w:val="0"/>
              <w:rPr>
                <w:rFonts w:ascii="宋体" w:hAnsi="宋体" w:cs="宋体"/>
                <w:kern w:val="0"/>
                <w:sz w:val="22"/>
              </w:rPr>
            </w:pPr>
          </w:p>
        </w:tc>
        <w:tc>
          <w:tcPr>
            <w:tcW w:w="1210" w:type="dxa"/>
            <w:tcBorders>
              <w:top w:val="single" w:color="auto" w:sz="4" w:space="0"/>
              <w:left w:val="single" w:color="auto" w:sz="4" w:space="0"/>
              <w:bottom w:val="single" w:color="auto" w:sz="4" w:space="0"/>
              <w:right w:val="single" w:color="auto" w:sz="4" w:space="0"/>
            </w:tcBorders>
            <w:vAlign w:val="center"/>
          </w:tcPr>
          <w:p>
            <w:pPr>
              <w:keepNext/>
              <w:keepLines/>
              <w:widowControl/>
              <w:spacing w:before="340" w:after="330" w:line="240" w:lineRule="atLeast"/>
              <w:jc w:val="center"/>
              <w:outlineLvl w:val="0"/>
              <w:rPr>
                <w:rFonts w:ascii="宋体" w:hAnsi="宋体" w:cs="宋体"/>
                <w:kern w:val="0"/>
                <w:sz w:val="22"/>
              </w:rPr>
            </w:pPr>
          </w:p>
        </w:tc>
        <w:tc>
          <w:tcPr>
            <w:tcW w:w="1151" w:type="dxa"/>
            <w:tcBorders>
              <w:top w:val="single" w:color="auto" w:sz="4" w:space="0"/>
              <w:left w:val="single" w:color="auto" w:sz="4" w:space="0"/>
              <w:bottom w:val="single" w:color="auto" w:sz="4" w:space="0"/>
              <w:right w:val="single" w:color="auto" w:sz="4" w:space="0"/>
            </w:tcBorders>
          </w:tcPr>
          <w:p>
            <w:pPr>
              <w:keepNext/>
              <w:keepLines/>
              <w:widowControl/>
              <w:spacing w:before="340" w:after="330" w:line="240" w:lineRule="atLeast"/>
              <w:jc w:val="center"/>
              <w:outlineLvl w:val="0"/>
              <w:rPr>
                <w:rFonts w:ascii="宋体" w:hAnsi="宋体" w:cs="宋体"/>
                <w:kern w:val="0"/>
                <w:sz w:val="22"/>
              </w:rPr>
            </w:pPr>
          </w:p>
        </w:tc>
        <w:tc>
          <w:tcPr>
            <w:tcW w:w="2113" w:type="dxa"/>
            <w:tcBorders>
              <w:top w:val="single" w:color="auto" w:sz="4" w:space="0"/>
              <w:left w:val="single" w:color="auto" w:sz="4" w:space="0"/>
              <w:bottom w:val="single" w:color="auto" w:sz="4" w:space="0"/>
              <w:right w:val="single" w:color="auto" w:sz="4" w:space="0"/>
            </w:tcBorders>
          </w:tcPr>
          <w:p>
            <w:pPr>
              <w:keepNext/>
              <w:keepLines/>
              <w:widowControl/>
              <w:spacing w:before="340" w:after="330" w:line="240" w:lineRule="atLeast"/>
              <w:jc w:val="center"/>
              <w:outlineLvl w:val="0"/>
              <w:rPr>
                <w:rFonts w:ascii="宋体" w:hAnsi="宋体" w:cs="宋体"/>
                <w:kern w:val="0"/>
                <w:sz w:val="22"/>
              </w:rPr>
            </w:pPr>
          </w:p>
        </w:tc>
        <w:tc>
          <w:tcPr>
            <w:tcW w:w="1554" w:type="dxa"/>
            <w:tcBorders>
              <w:top w:val="single" w:color="auto" w:sz="4" w:space="0"/>
              <w:left w:val="single" w:color="auto" w:sz="4" w:space="0"/>
              <w:bottom w:val="single" w:color="auto" w:sz="4" w:space="0"/>
              <w:right w:val="single" w:color="auto" w:sz="4" w:space="0"/>
            </w:tcBorders>
            <w:vAlign w:val="center"/>
          </w:tcPr>
          <w:p>
            <w:pPr>
              <w:keepNext/>
              <w:keepLines/>
              <w:widowControl/>
              <w:spacing w:before="340" w:after="330" w:line="240" w:lineRule="atLeast"/>
              <w:jc w:val="center"/>
              <w:outlineLvl w:val="0"/>
              <w:rPr>
                <w:rFonts w:ascii="宋体" w:hAnsi="宋体" w:cs="宋体"/>
                <w:kern w:val="0"/>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1" w:hRule="atLeast"/>
          <w:jc w:val="center"/>
        </w:trPr>
        <w:tc>
          <w:tcPr>
            <w:tcW w:w="824" w:type="dxa"/>
            <w:tcBorders>
              <w:left w:val="single" w:color="auto" w:sz="4" w:space="0"/>
              <w:right w:val="single" w:color="auto" w:sz="4" w:space="0"/>
            </w:tcBorders>
            <w:vAlign w:val="center"/>
          </w:tcPr>
          <w:p>
            <w:pPr>
              <w:keepNext/>
              <w:keepLines/>
              <w:widowControl/>
              <w:spacing w:before="340" w:after="330" w:line="240" w:lineRule="atLeast"/>
              <w:jc w:val="center"/>
              <w:outlineLvl w:val="0"/>
              <w:rPr>
                <w:rFonts w:ascii="宋体" w:hAnsi="宋体" w:cs="宋体"/>
                <w:kern w:val="0"/>
                <w:sz w:val="22"/>
              </w:rPr>
            </w:pPr>
          </w:p>
        </w:tc>
        <w:tc>
          <w:tcPr>
            <w:tcW w:w="1541" w:type="dxa"/>
            <w:tcBorders>
              <w:left w:val="single" w:color="auto" w:sz="4" w:space="0"/>
              <w:right w:val="single" w:color="auto" w:sz="4" w:space="0"/>
            </w:tcBorders>
            <w:vAlign w:val="center"/>
          </w:tcPr>
          <w:p>
            <w:pPr>
              <w:keepNext/>
              <w:keepLines/>
              <w:widowControl/>
              <w:spacing w:before="340" w:after="330" w:line="240" w:lineRule="atLeast"/>
              <w:jc w:val="center"/>
              <w:outlineLvl w:val="0"/>
              <w:rPr>
                <w:rFonts w:ascii="宋体" w:hAnsi="宋体" w:cs="宋体"/>
                <w:kern w:val="0"/>
                <w:sz w:val="22"/>
              </w:rPr>
            </w:pPr>
          </w:p>
        </w:tc>
        <w:tc>
          <w:tcPr>
            <w:tcW w:w="1128" w:type="dxa"/>
            <w:tcBorders>
              <w:top w:val="single" w:color="auto" w:sz="4" w:space="0"/>
              <w:left w:val="single" w:color="auto" w:sz="4" w:space="0"/>
              <w:bottom w:val="single" w:color="auto" w:sz="4" w:space="0"/>
              <w:right w:val="single" w:color="auto" w:sz="4" w:space="0"/>
            </w:tcBorders>
            <w:vAlign w:val="center"/>
          </w:tcPr>
          <w:p>
            <w:pPr>
              <w:keepNext/>
              <w:keepLines/>
              <w:widowControl/>
              <w:spacing w:before="340" w:after="330" w:line="240" w:lineRule="atLeast"/>
              <w:jc w:val="center"/>
              <w:outlineLvl w:val="0"/>
              <w:rPr>
                <w:rFonts w:ascii="宋体" w:hAnsi="宋体" w:cs="宋体"/>
                <w:kern w:val="0"/>
                <w:sz w:val="22"/>
              </w:rPr>
            </w:pPr>
          </w:p>
        </w:tc>
        <w:tc>
          <w:tcPr>
            <w:tcW w:w="1210" w:type="dxa"/>
            <w:tcBorders>
              <w:top w:val="single" w:color="auto" w:sz="4" w:space="0"/>
              <w:left w:val="single" w:color="auto" w:sz="4" w:space="0"/>
              <w:bottom w:val="single" w:color="auto" w:sz="4" w:space="0"/>
              <w:right w:val="single" w:color="auto" w:sz="4" w:space="0"/>
            </w:tcBorders>
            <w:vAlign w:val="center"/>
          </w:tcPr>
          <w:p>
            <w:pPr>
              <w:keepNext/>
              <w:keepLines/>
              <w:widowControl/>
              <w:spacing w:before="340" w:after="330" w:line="240" w:lineRule="atLeast"/>
              <w:jc w:val="center"/>
              <w:outlineLvl w:val="0"/>
              <w:rPr>
                <w:rFonts w:ascii="宋体" w:hAnsi="宋体" w:cs="宋体"/>
                <w:kern w:val="0"/>
                <w:sz w:val="22"/>
              </w:rPr>
            </w:pPr>
          </w:p>
        </w:tc>
        <w:tc>
          <w:tcPr>
            <w:tcW w:w="1151" w:type="dxa"/>
            <w:tcBorders>
              <w:top w:val="single" w:color="auto" w:sz="4" w:space="0"/>
              <w:left w:val="single" w:color="auto" w:sz="4" w:space="0"/>
              <w:bottom w:val="single" w:color="auto" w:sz="4" w:space="0"/>
              <w:right w:val="single" w:color="auto" w:sz="4" w:space="0"/>
            </w:tcBorders>
          </w:tcPr>
          <w:p>
            <w:pPr>
              <w:keepNext/>
              <w:keepLines/>
              <w:widowControl/>
              <w:spacing w:before="340" w:after="330" w:line="240" w:lineRule="atLeast"/>
              <w:jc w:val="center"/>
              <w:outlineLvl w:val="0"/>
              <w:rPr>
                <w:rFonts w:ascii="宋体" w:hAnsi="宋体" w:cs="宋体"/>
                <w:kern w:val="0"/>
                <w:sz w:val="22"/>
              </w:rPr>
            </w:pPr>
          </w:p>
        </w:tc>
        <w:tc>
          <w:tcPr>
            <w:tcW w:w="2113" w:type="dxa"/>
            <w:tcBorders>
              <w:top w:val="single" w:color="auto" w:sz="4" w:space="0"/>
              <w:left w:val="single" w:color="auto" w:sz="4" w:space="0"/>
              <w:bottom w:val="single" w:color="auto" w:sz="4" w:space="0"/>
              <w:right w:val="single" w:color="auto" w:sz="4" w:space="0"/>
            </w:tcBorders>
          </w:tcPr>
          <w:p>
            <w:pPr>
              <w:keepNext/>
              <w:keepLines/>
              <w:widowControl/>
              <w:spacing w:before="340" w:after="330" w:line="240" w:lineRule="atLeast"/>
              <w:jc w:val="center"/>
              <w:outlineLvl w:val="0"/>
              <w:rPr>
                <w:rFonts w:ascii="宋体" w:hAnsi="宋体" w:cs="宋体"/>
                <w:kern w:val="0"/>
                <w:sz w:val="22"/>
              </w:rPr>
            </w:pPr>
          </w:p>
        </w:tc>
        <w:tc>
          <w:tcPr>
            <w:tcW w:w="1554" w:type="dxa"/>
            <w:tcBorders>
              <w:top w:val="single" w:color="auto" w:sz="4" w:space="0"/>
              <w:left w:val="single" w:color="auto" w:sz="4" w:space="0"/>
              <w:bottom w:val="single" w:color="auto" w:sz="4" w:space="0"/>
              <w:right w:val="single" w:color="auto" w:sz="4" w:space="0"/>
            </w:tcBorders>
            <w:vAlign w:val="center"/>
          </w:tcPr>
          <w:p>
            <w:pPr>
              <w:keepNext/>
              <w:keepLines/>
              <w:widowControl/>
              <w:spacing w:before="340" w:after="330" w:line="240" w:lineRule="atLeast"/>
              <w:jc w:val="center"/>
              <w:outlineLvl w:val="0"/>
              <w:rPr>
                <w:rFonts w:ascii="宋体" w:hAnsi="宋体" w:cs="宋体"/>
                <w:kern w:val="0"/>
                <w:sz w:val="22"/>
              </w:rPr>
            </w:pPr>
          </w:p>
        </w:tc>
      </w:tr>
    </w:tbl>
    <w:p>
      <w:pPr>
        <w:spacing w:line="400" w:lineRule="atLeast"/>
        <w:ind w:left="661" w:leftChars="52" w:hanging="552" w:hangingChars="250"/>
        <w:rPr>
          <w:rFonts w:ascii="宋体" w:hAnsi="宋体" w:cs="宋体"/>
          <w:sz w:val="22"/>
          <w:szCs w:val="20"/>
        </w:rPr>
      </w:pPr>
      <w:r>
        <w:rPr>
          <w:rFonts w:hint="eastAsia" w:ascii="宋体" w:hAnsi="宋体" w:cs="宋体"/>
          <w:b/>
          <w:bCs/>
          <w:sz w:val="22"/>
          <w:szCs w:val="20"/>
        </w:rPr>
        <w:t>注：</w:t>
      </w:r>
      <w:r>
        <w:rPr>
          <w:rFonts w:hint="eastAsia" w:ascii="宋体" w:hAnsi="宋体" w:cs="宋体"/>
          <w:b/>
          <w:sz w:val="22"/>
        </w:rPr>
        <w:t>每个专业人员的情况和人员数应该明确表示，项目组人员须为公司的固定职员</w:t>
      </w:r>
      <w:r>
        <w:rPr>
          <w:rFonts w:hint="eastAsia" w:ascii="宋体" w:hAnsi="宋体" w:cs="宋体"/>
          <w:b/>
          <w:sz w:val="22"/>
          <w:szCs w:val="20"/>
        </w:rPr>
        <w:t>。</w:t>
      </w:r>
    </w:p>
    <w:p>
      <w:pPr>
        <w:widowControl/>
        <w:spacing w:line="400" w:lineRule="exact"/>
        <w:jc w:val="center"/>
        <w:rPr>
          <w:rFonts w:ascii="宋体" w:hAnsi="宋体" w:cs="宋体"/>
          <w:b/>
          <w:bCs/>
          <w:kern w:val="0"/>
          <w:sz w:val="24"/>
          <w:szCs w:val="20"/>
        </w:rPr>
      </w:pPr>
    </w:p>
    <w:p>
      <w:pPr>
        <w:widowControl/>
        <w:spacing w:line="380" w:lineRule="exact"/>
        <w:ind w:firstLine="4400" w:firstLineChars="2000"/>
        <w:jc w:val="left"/>
        <w:rPr>
          <w:rFonts w:ascii="宋体" w:hAnsi="宋体" w:cs="宋体"/>
          <w:kern w:val="0"/>
          <w:sz w:val="22"/>
        </w:rPr>
      </w:pPr>
      <w:r>
        <w:rPr>
          <w:rFonts w:hint="eastAsia" w:ascii="宋体" w:hAnsi="宋体" w:cs="宋体"/>
          <w:kern w:val="0"/>
          <w:sz w:val="22"/>
        </w:rPr>
        <w:t>供应商全称（盖章）：</w:t>
      </w:r>
    </w:p>
    <w:p>
      <w:pPr>
        <w:widowControl/>
        <w:spacing w:line="380" w:lineRule="exact"/>
        <w:ind w:firstLine="4400" w:firstLineChars="2000"/>
        <w:jc w:val="left"/>
        <w:rPr>
          <w:rFonts w:ascii="宋体" w:hAnsi="宋体" w:cs="宋体"/>
          <w:kern w:val="0"/>
          <w:sz w:val="22"/>
        </w:rPr>
      </w:pPr>
      <w:r>
        <w:rPr>
          <w:rFonts w:hint="eastAsia" w:ascii="宋体" w:hAnsi="宋体" w:cs="宋体"/>
          <w:kern w:val="0"/>
          <w:sz w:val="22"/>
        </w:rPr>
        <w:t>法定代表人（单位负责人）或授权代表（签字或盖章）：</w:t>
      </w:r>
    </w:p>
    <w:p>
      <w:pPr>
        <w:widowControl/>
        <w:spacing w:line="380" w:lineRule="exact"/>
        <w:ind w:firstLine="4400" w:firstLineChars="2000"/>
        <w:jc w:val="left"/>
        <w:rPr>
          <w:rFonts w:ascii="宋体" w:hAnsi="宋体" w:cs="宋体"/>
          <w:kern w:val="0"/>
          <w:sz w:val="22"/>
        </w:rPr>
      </w:pPr>
      <w:r>
        <w:rPr>
          <w:rFonts w:hint="eastAsia" w:ascii="宋体" w:hAnsi="宋体" w:cs="宋体"/>
          <w:kern w:val="0"/>
          <w:sz w:val="22"/>
        </w:rPr>
        <w:t>日期：年月日</w:t>
      </w:r>
    </w:p>
    <w:p>
      <w:pPr>
        <w:widowControl/>
        <w:spacing w:line="480" w:lineRule="auto"/>
        <w:jc w:val="left"/>
        <w:rPr>
          <w:rFonts w:ascii="宋体" w:hAnsi="宋体" w:cs="宋体"/>
          <w:kern w:val="0"/>
          <w:sz w:val="22"/>
        </w:rPr>
      </w:pPr>
    </w:p>
    <w:p>
      <w:pPr>
        <w:widowControl/>
        <w:spacing w:line="480" w:lineRule="auto"/>
        <w:jc w:val="left"/>
        <w:rPr>
          <w:rFonts w:ascii="宋体" w:hAnsi="宋体" w:cs="宋体"/>
          <w:kern w:val="0"/>
          <w:szCs w:val="20"/>
        </w:rPr>
      </w:pPr>
    </w:p>
    <w:p>
      <w:pPr>
        <w:pStyle w:val="23"/>
      </w:pPr>
    </w:p>
    <w:p>
      <w:pPr>
        <w:pStyle w:val="23"/>
      </w:pPr>
    </w:p>
    <w:p>
      <w:pPr>
        <w:pStyle w:val="23"/>
      </w:pPr>
    </w:p>
    <w:p>
      <w:pPr>
        <w:pStyle w:val="23"/>
      </w:pPr>
    </w:p>
    <w:p>
      <w:pPr>
        <w:widowControl/>
        <w:jc w:val="center"/>
        <w:rPr>
          <w:rFonts w:ascii="宋体" w:hAnsi="宋体" w:cs="宋体"/>
          <w:b/>
          <w:kern w:val="0"/>
          <w:sz w:val="28"/>
          <w:szCs w:val="20"/>
        </w:rPr>
      </w:pPr>
      <w:r>
        <w:rPr>
          <w:rFonts w:hint="eastAsia" w:ascii="宋体" w:hAnsi="宋体" w:cs="宋体"/>
          <w:b/>
          <w:kern w:val="0"/>
          <w:sz w:val="28"/>
          <w:szCs w:val="20"/>
        </w:rPr>
        <w:t>（</w:t>
      </w:r>
      <w:r>
        <w:rPr>
          <w:rFonts w:ascii="宋体" w:hAnsi="宋体" w:cs="宋体"/>
          <w:b/>
          <w:kern w:val="0"/>
          <w:sz w:val="28"/>
          <w:szCs w:val="20"/>
        </w:rPr>
        <w:t>3</w:t>
      </w:r>
      <w:r>
        <w:rPr>
          <w:rFonts w:hint="eastAsia" w:ascii="宋体" w:hAnsi="宋体" w:cs="宋体"/>
          <w:b/>
          <w:kern w:val="0"/>
          <w:sz w:val="28"/>
          <w:szCs w:val="20"/>
        </w:rPr>
        <w:t>）拟投入本项目的设备配置表</w:t>
      </w:r>
    </w:p>
    <w:p>
      <w:pPr>
        <w:widowControl/>
        <w:ind w:firstLine="107" w:firstLineChars="49"/>
        <w:jc w:val="left"/>
        <w:rPr>
          <w:rFonts w:ascii="宋体" w:hAnsi="宋体" w:cs="宋体"/>
          <w:kern w:val="0"/>
          <w:sz w:val="22"/>
        </w:rPr>
      </w:pPr>
      <w:r>
        <w:rPr>
          <w:rFonts w:hint="eastAsia" w:ascii="宋体" w:hAnsi="宋体" w:cs="宋体"/>
          <w:kern w:val="0"/>
          <w:sz w:val="22"/>
        </w:rPr>
        <w:t>项目名称：</w:t>
      </w:r>
      <w:r>
        <w:rPr>
          <w:rFonts w:hint="eastAsia" w:ascii="宋体" w:hAnsi="宋体" w:cs="宋体"/>
          <w:kern w:val="0"/>
          <w:sz w:val="22"/>
          <w:lang w:val="en-US" w:eastAsia="zh-CN"/>
        </w:rPr>
        <w:t xml:space="preserve">                               </w:t>
      </w:r>
      <w:r>
        <w:rPr>
          <w:rFonts w:hint="eastAsia" w:ascii="宋体" w:hAnsi="宋体" w:cs="宋体"/>
          <w:kern w:val="0"/>
          <w:sz w:val="22"/>
        </w:rPr>
        <w:t>项目编号：</w:t>
      </w:r>
    </w:p>
    <w:tbl>
      <w:tblPr>
        <w:tblStyle w:val="24"/>
        <w:tblW w:w="918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4"/>
        <w:gridCol w:w="2211"/>
        <w:gridCol w:w="1134"/>
        <w:gridCol w:w="1559"/>
        <w:gridCol w:w="1756"/>
        <w:gridCol w:w="170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6" w:hRule="atLeast"/>
          <w:jc w:val="center"/>
        </w:trPr>
        <w:tc>
          <w:tcPr>
            <w:tcW w:w="824" w:type="dxa"/>
            <w:tcBorders>
              <w:top w:val="single" w:color="auto" w:sz="4" w:space="0"/>
              <w:left w:val="single" w:color="auto" w:sz="4" w:space="0"/>
              <w:right w:val="single" w:color="auto" w:sz="4" w:space="0"/>
            </w:tcBorders>
            <w:vAlign w:val="center"/>
          </w:tcPr>
          <w:p>
            <w:pPr>
              <w:widowControl/>
              <w:spacing w:line="240" w:lineRule="atLeast"/>
              <w:jc w:val="center"/>
              <w:rPr>
                <w:rFonts w:ascii="宋体" w:hAnsi="宋体" w:cs="宋体"/>
                <w:kern w:val="0"/>
                <w:sz w:val="22"/>
              </w:rPr>
            </w:pPr>
            <w:r>
              <w:rPr>
                <w:rFonts w:hint="eastAsia" w:ascii="宋体" w:hAnsi="宋体" w:cs="宋体"/>
                <w:kern w:val="0"/>
                <w:sz w:val="22"/>
              </w:rPr>
              <w:t>序号</w:t>
            </w:r>
          </w:p>
        </w:tc>
        <w:tc>
          <w:tcPr>
            <w:tcW w:w="2211" w:type="dxa"/>
            <w:tcBorders>
              <w:top w:val="single" w:color="auto" w:sz="4" w:space="0"/>
              <w:left w:val="single" w:color="auto" w:sz="4" w:space="0"/>
              <w:right w:val="single" w:color="auto" w:sz="4" w:space="0"/>
            </w:tcBorders>
            <w:vAlign w:val="center"/>
          </w:tcPr>
          <w:p>
            <w:pPr>
              <w:widowControl/>
              <w:spacing w:line="240" w:lineRule="atLeast"/>
              <w:jc w:val="center"/>
              <w:rPr>
                <w:rFonts w:ascii="宋体" w:hAnsi="宋体" w:cs="宋体"/>
                <w:kern w:val="0"/>
                <w:sz w:val="22"/>
              </w:rPr>
            </w:pPr>
            <w:r>
              <w:rPr>
                <w:rFonts w:hint="eastAsia" w:ascii="宋体" w:hAnsi="宋体" w:cs="宋体"/>
                <w:kern w:val="0"/>
                <w:sz w:val="22"/>
              </w:rPr>
              <w:t>设备名称</w:t>
            </w:r>
          </w:p>
        </w:tc>
        <w:tc>
          <w:tcPr>
            <w:tcW w:w="1134" w:type="dxa"/>
            <w:tcBorders>
              <w:top w:val="single" w:color="auto" w:sz="4" w:space="0"/>
              <w:left w:val="single" w:color="auto" w:sz="4" w:space="0"/>
              <w:bottom w:val="single" w:color="auto" w:sz="4" w:space="0"/>
              <w:right w:val="single" w:color="auto" w:sz="4" w:space="0"/>
            </w:tcBorders>
            <w:vAlign w:val="center"/>
          </w:tcPr>
          <w:p>
            <w:pPr>
              <w:widowControl/>
              <w:spacing w:line="240" w:lineRule="atLeast"/>
              <w:jc w:val="center"/>
              <w:rPr>
                <w:rFonts w:ascii="宋体" w:hAnsi="宋体" w:cs="宋体"/>
                <w:kern w:val="0"/>
                <w:sz w:val="22"/>
              </w:rPr>
            </w:pPr>
            <w:r>
              <w:rPr>
                <w:rFonts w:hint="eastAsia" w:ascii="宋体" w:hAnsi="宋体" w:cs="宋体"/>
                <w:kern w:val="0"/>
                <w:sz w:val="22"/>
              </w:rPr>
              <w:t>数量</w:t>
            </w:r>
          </w:p>
        </w:tc>
        <w:tc>
          <w:tcPr>
            <w:tcW w:w="1559" w:type="dxa"/>
            <w:tcBorders>
              <w:top w:val="single" w:color="auto" w:sz="4" w:space="0"/>
              <w:left w:val="single" w:color="auto" w:sz="4" w:space="0"/>
              <w:bottom w:val="single" w:color="auto" w:sz="4" w:space="0"/>
              <w:right w:val="single" w:color="auto" w:sz="4" w:space="0"/>
            </w:tcBorders>
            <w:vAlign w:val="center"/>
          </w:tcPr>
          <w:p>
            <w:pPr>
              <w:widowControl/>
              <w:spacing w:line="240" w:lineRule="atLeast"/>
              <w:jc w:val="center"/>
              <w:rPr>
                <w:rFonts w:ascii="宋体" w:hAnsi="宋体" w:cs="宋体"/>
                <w:kern w:val="0"/>
                <w:sz w:val="22"/>
              </w:rPr>
            </w:pPr>
            <w:r>
              <w:rPr>
                <w:rFonts w:hint="eastAsia" w:ascii="宋体" w:hAnsi="宋体" w:cs="宋体"/>
                <w:kern w:val="0"/>
                <w:sz w:val="22"/>
              </w:rPr>
              <w:t>规格型号</w:t>
            </w:r>
          </w:p>
        </w:tc>
        <w:tc>
          <w:tcPr>
            <w:tcW w:w="1756" w:type="dxa"/>
            <w:tcBorders>
              <w:top w:val="single" w:color="auto" w:sz="4" w:space="0"/>
              <w:left w:val="single" w:color="auto" w:sz="4" w:space="0"/>
              <w:bottom w:val="single" w:color="auto" w:sz="4" w:space="0"/>
              <w:right w:val="single" w:color="auto" w:sz="4" w:space="0"/>
            </w:tcBorders>
            <w:vAlign w:val="center"/>
          </w:tcPr>
          <w:p>
            <w:pPr>
              <w:widowControl/>
              <w:spacing w:line="240" w:lineRule="atLeast"/>
              <w:jc w:val="center"/>
              <w:rPr>
                <w:rFonts w:ascii="宋体" w:hAnsi="宋体" w:cs="宋体"/>
                <w:kern w:val="0"/>
                <w:sz w:val="22"/>
              </w:rPr>
            </w:pPr>
            <w:r>
              <w:rPr>
                <w:rFonts w:hint="eastAsia" w:ascii="宋体" w:hAnsi="宋体" w:cs="宋体"/>
                <w:kern w:val="0"/>
                <w:sz w:val="22"/>
              </w:rPr>
              <w:t>产地</w:t>
            </w:r>
          </w:p>
        </w:tc>
        <w:tc>
          <w:tcPr>
            <w:tcW w:w="1701" w:type="dxa"/>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ascii="宋体" w:hAnsi="宋体" w:cs="宋体"/>
                <w:kern w:val="0"/>
                <w:sz w:val="22"/>
              </w:rPr>
            </w:pPr>
            <w:r>
              <w:rPr>
                <w:rFonts w:hint="eastAsia" w:ascii="宋体" w:hAnsi="宋体" w:cs="宋体"/>
                <w:kern w:val="0"/>
                <w:sz w:val="22"/>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1" w:hRule="atLeast"/>
          <w:jc w:val="center"/>
        </w:trPr>
        <w:tc>
          <w:tcPr>
            <w:tcW w:w="824" w:type="dxa"/>
            <w:tcBorders>
              <w:left w:val="single" w:color="auto" w:sz="4" w:space="0"/>
              <w:right w:val="single" w:color="auto" w:sz="4" w:space="0"/>
            </w:tcBorders>
            <w:vAlign w:val="center"/>
          </w:tcPr>
          <w:p>
            <w:pPr>
              <w:keepNext/>
              <w:keepLines/>
              <w:widowControl/>
              <w:spacing w:before="340" w:after="330" w:line="240" w:lineRule="atLeast"/>
              <w:jc w:val="center"/>
              <w:outlineLvl w:val="0"/>
              <w:rPr>
                <w:rFonts w:ascii="宋体" w:hAnsi="宋体" w:cs="宋体"/>
                <w:kern w:val="0"/>
                <w:sz w:val="22"/>
              </w:rPr>
            </w:pPr>
          </w:p>
        </w:tc>
        <w:tc>
          <w:tcPr>
            <w:tcW w:w="2211" w:type="dxa"/>
            <w:tcBorders>
              <w:left w:val="single" w:color="auto" w:sz="4" w:space="0"/>
              <w:right w:val="single" w:color="auto" w:sz="4" w:space="0"/>
            </w:tcBorders>
            <w:vAlign w:val="center"/>
          </w:tcPr>
          <w:p>
            <w:pPr>
              <w:keepNext/>
              <w:keepLines/>
              <w:widowControl/>
              <w:spacing w:before="340" w:after="330" w:line="240" w:lineRule="atLeast"/>
              <w:jc w:val="center"/>
              <w:outlineLvl w:val="0"/>
              <w:rPr>
                <w:rFonts w:ascii="宋体" w:hAnsi="宋体" w:cs="宋体"/>
                <w:kern w:val="0"/>
                <w:sz w:val="22"/>
              </w:rPr>
            </w:pPr>
          </w:p>
        </w:tc>
        <w:tc>
          <w:tcPr>
            <w:tcW w:w="1134" w:type="dxa"/>
            <w:tcBorders>
              <w:top w:val="single" w:color="auto" w:sz="4" w:space="0"/>
              <w:left w:val="single" w:color="auto" w:sz="4" w:space="0"/>
              <w:bottom w:val="single" w:color="auto" w:sz="4" w:space="0"/>
              <w:right w:val="single" w:color="auto" w:sz="4" w:space="0"/>
            </w:tcBorders>
            <w:vAlign w:val="center"/>
          </w:tcPr>
          <w:p>
            <w:pPr>
              <w:keepNext/>
              <w:keepLines/>
              <w:widowControl/>
              <w:spacing w:before="340" w:after="330" w:line="240" w:lineRule="atLeast"/>
              <w:jc w:val="center"/>
              <w:outlineLvl w:val="0"/>
              <w:rPr>
                <w:rFonts w:ascii="宋体" w:hAnsi="宋体" w:cs="宋体"/>
                <w:kern w:val="0"/>
                <w:sz w:val="22"/>
              </w:rPr>
            </w:pPr>
          </w:p>
        </w:tc>
        <w:tc>
          <w:tcPr>
            <w:tcW w:w="1559" w:type="dxa"/>
            <w:tcBorders>
              <w:top w:val="single" w:color="auto" w:sz="4" w:space="0"/>
              <w:left w:val="single" w:color="auto" w:sz="4" w:space="0"/>
              <w:bottom w:val="single" w:color="auto" w:sz="4" w:space="0"/>
              <w:right w:val="single" w:color="auto" w:sz="4" w:space="0"/>
            </w:tcBorders>
          </w:tcPr>
          <w:p>
            <w:pPr>
              <w:keepNext/>
              <w:keepLines/>
              <w:widowControl/>
              <w:spacing w:before="340" w:after="330" w:line="240" w:lineRule="atLeast"/>
              <w:jc w:val="center"/>
              <w:outlineLvl w:val="0"/>
              <w:rPr>
                <w:rFonts w:ascii="宋体" w:hAnsi="宋体" w:cs="宋体"/>
                <w:kern w:val="0"/>
                <w:sz w:val="22"/>
              </w:rPr>
            </w:pPr>
          </w:p>
        </w:tc>
        <w:tc>
          <w:tcPr>
            <w:tcW w:w="1756" w:type="dxa"/>
            <w:tcBorders>
              <w:top w:val="single" w:color="auto" w:sz="4" w:space="0"/>
              <w:left w:val="single" w:color="auto" w:sz="4" w:space="0"/>
              <w:bottom w:val="single" w:color="auto" w:sz="4" w:space="0"/>
              <w:right w:val="single" w:color="auto" w:sz="4" w:space="0"/>
            </w:tcBorders>
          </w:tcPr>
          <w:p>
            <w:pPr>
              <w:keepNext/>
              <w:keepLines/>
              <w:widowControl/>
              <w:spacing w:before="340" w:after="330" w:line="240" w:lineRule="atLeast"/>
              <w:jc w:val="center"/>
              <w:outlineLvl w:val="0"/>
              <w:rPr>
                <w:rFonts w:ascii="宋体" w:hAnsi="宋体" w:cs="宋体"/>
                <w:kern w:val="0"/>
                <w:sz w:val="22"/>
              </w:rPr>
            </w:pPr>
          </w:p>
        </w:tc>
        <w:tc>
          <w:tcPr>
            <w:tcW w:w="1701" w:type="dxa"/>
            <w:tcBorders>
              <w:top w:val="single" w:color="auto" w:sz="4" w:space="0"/>
              <w:left w:val="single" w:color="auto" w:sz="4" w:space="0"/>
              <w:bottom w:val="single" w:color="auto" w:sz="4" w:space="0"/>
              <w:right w:val="single" w:color="auto" w:sz="4" w:space="0"/>
            </w:tcBorders>
            <w:vAlign w:val="center"/>
          </w:tcPr>
          <w:p>
            <w:pPr>
              <w:keepNext/>
              <w:keepLines/>
              <w:widowControl/>
              <w:spacing w:before="340" w:after="330" w:line="240" w:lineRule="atLeast"/>
              <w:jc w:val="center"/>
              <w:outlineLvl w:val="0"/>
              <w:rPr>
                <w:rFonts w:ascii="宋体" w:hAnsi="宋体" w:cs="宋体"/>
                <w:kern w:val="0"/>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1" w:hRule="atLeast"/>
          <w:jc w:val="center"/>
        </w:trPr>
        <w:tc>
          <w:tcPr>
            <w:tcW w:w="824" w:type="dxa"/>
            <w:tcBorders>
              <w:left w:val="single" w:color="auto" w:sz="4" w:space="0"/>
              <w:right w:val="single" w:color="auto" w:sz="4" w:space="0"/>
            </w:tcBorders>
            <w:vAlign w:val="center"/>
          </w:tcPr>
          <w:p>
            <w:pPr>
              <w:keepNext/>
              <w:keepLines/>
              <w:widowControl/>
              <w:spacing w:before="340" w:after="330" w:line="240" w:lineRule="atLeast"/>
              <w:jc w:val="center"/>
              <w:outlineLvl w:val="0"/>
              <w:rPr>
                <w:rFonts w:ascii="宋体" w:hAnsi="宋体" w:cs="宋体"/>
                <w:kern w:val="0"/>
                <w:sz w:val="22"/>
              </w:rPr>
            </w:pPr>
          </w:p>
        </w:tc>
        <w:tc>
          <w:tcPr>
            <w:tcW w:w="2211" w:type="dxa"/>
            <w:tcBorders>
              <w:left w:val="single" w:color="auto" w:sz="4" w:space="0"/>
              <w:right w:val="single" w:color="auto" w:sz="4" w:space="0"/>
            </w:tcBorders>
            <w:vAlign w:val="center"/>
          </w:tcPr>
          <w:p>
            <w:pPr>
              <w:keepNext/>
              <w:keepLines/>
              <w:widowControl/>
              <w:spacing w:before="340" w:after="330" w:line="240" w:lineRule="atLeast"/>
              <w:jc w:val="center"/>
              <w:outlineLvl w:val="0"/>
              <w:rPr>
                <w:rFonts w:ascii="宋体" w:hAnsi="宋体" w:cs="宋体"/>
                <w:kern w:val="0"/>
                <w:sz w:val="22"/>
              </w:rPr>
            </w:pPr>
          </w:p>
        </w:tc>
        <w:tc>
          <w:tcPr>
            <w:tcW w:w="1134" w:type="dxa"/>
            <w:tcBorders>
              <w:top w:val="single" w:color="auto" w:sz="4" w:space="0"/>
              <w:left w:val="single" w:color="auto" w:sz="4" w:space="0"/>
              <w:bottom w:val="single" w:color="auto" w:sz="4" w:space="0"/>
              <w:right w:val="single" w:color="auto" w:sz="4" w:space="0"/>
            </w:tcBorders>
            <w:vAlign w:val="center"/>
          </w:tcPr>
          <w:p>
            <w:pPr>
              <w:keepNext/>
              <w:keepLines/>
              <w:widowControl/>
              <w:spacing w:before="340" w:after="330" w:line="240" w:lineRule="atLeast"/>
              <w:jc w:val="center"/>
              <w:outlineLvl w:val="0"/>
              <w:rPr>
                <w:rFonts w:ascii="宋体" w:hAnsi="宋体" w:cs="宋体"/>
                <w:kern w:val="0"/>
                <w:sz w:val="22"/>
              </w:rPr>
            </w:pPr>
          </w:p>
        </w:tc>
        <w:tc>
          <w:tcPr>
            <w:tcW w:w="1559" w:type="dxa"/>
            <w:tcBorders>
              <w:top w:val="single" w:color="auto" w:sz="4" w:space="0"/>
              <w:left w:val="single" w:color="auto" w:sz="4" w:space="0"/>
              <w:bottom w:val="single" w:color="auto" w:sz="4" w:space="0"/>
              <w:right w:val="single" w:color="auto" w:sz="4" w:space="0"/>
            </w:tcBorders>
          </w:tcPr>
          <w:p>
            <w:pPr>
              <w:keepNext/>
              <w:keepLines/>
              <w:widowControl/>
              <w:spacing w:before="340" w:after="330" w:line="240" w:lineRule="atLeast"/>
              <w:jc w:val="center"/>
              <w:outlineLvl w:val="0"/>
              <w:rPr>
                <w:rFonts w:ascii="宋体" w:hAnsi="宋体" w:cs="宋体"/>
                <w:kern w:val="0"/>
                <w:sz w:val="22"/>
              </w:rPr>
            </w:pPr>
          </w:p>
        </w:tc>
        <w:tc>
          <w:tcPr>
            <w:tcW w:w="1756" w:type="dxa"/>
            <w:tcBorders>
              <w:top w:val="single" w:color="auto" w:sz="4" w:space="0"/>
              <w:left w:val="single" w:color="auto" w:sz="4" w:space="0"/>
              <w:bottom w:val="single" w:color="auto" w:sz="4" w:space="0"/>
              <w:right w:val="single" w:color="auto" w:sz="4" w:space="0"/>
            </w:tcBorders>
          </w:tcPr>
          <w:p>
            <w:pPr>
              <w:keepNext/>
              <w:keepLines/>
              <w:widowControl/>
              <w:spacing w:before="340" w:after="330" w:line="240" w:lineRule="atLeast"/>
              <w:jc w:val="center"/>
              <w:outlineLvl w:val="0"/>
              <w:rPr>
                <w:rFonts w:ascii="宋体" w:hAnsi="宋体" w:cs="宋体"/>
                <w:kern w:val="0"/>
                <w:sz w:val="22"/>
              </w:rPr>
            </w:pPr>
          </w:p>
        </w:tc>
        <w:tc>
          <w:tcPr>
            <w:tcW w:w="1701" w:type="dxa"/>
            <w:tcBorders>
              <w:top w:val="single" w:color="auto" w:sz="4" w:space="0"/>
              <w:left w:val="single" w:color="auto" w:sz="4" w:space="0"/>
              <w:bottom w:val="single" w:color="auto" w:sz="4" w:space="0"/>
              <w:right w:val="single" w:color="auto" w:sz="4" w:space="0"/>
            </w:tcBorders>
            <w:vAlign w:val="center"/>
          </w:tcPr>
          <w:p>
            <w:pPr>
              <w:keepNext/>
              <w:keepLines/>
              <w:widowControl/>
              <w:spacing w:before="340" w:after="330" w:line="240" w:lineRule="atLeast"/>
              <w:jc w:val="center"/>
              <w:outlineLvl w:val="0"/>
              <w:rPr>
                <w:rFonts w:ascii="宋体" w:hAnsi="宋体" w:cs="宋体"/>
                <w:kern w:val="0"/>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1" w:hRule="atLeast"/>
          <w:jc w:val="center"/>
        </w:trPr>
        <w:tc>
          <w:tcPr>
            <w:tcW w:w="824" w:type="dxa"/>
            <w:tcBorders>
              <w:left w:val="single" w:color="auto" w:sz="4" w:space="0"/>
              <w:right w:val="single" w:color="auto" w:sz="4" w:space="0"/>
            </w:tcBorders>
            <w:vAlign w:val="center"/>
          </w:tcPr>
          <w:p>
            <w:pPr>
              <w:keepNext/>
              <w:keepLines/>
              <w:widowControl/>
              <w:spacing w:before="340" w:after="330" w:line="240" w:lineRule="atLeast"/>
              <w:jc w:val="center"/>
              <w:outlineLvl w:val="0"/>
              <w:rPr>
                <w:rFonts w:ascii="宋体" w:hAnsi="宋体" w:cs="宋体"/>
                <w:kern w:val="0"/>
                <w:sz w:val="22"/>
              </w:rPr>
            </w:pPr>
          </w:p>
        </w:tc>
        <w:tc>
          <w:tcPr>
            <w:tcW w:w="2211" w:type="dxa"/>
            <w:tcBorders>
              <w:left w:val="single" w:color="auto" w:sz="4" w:space="0"/>
              <w:right w:val="single" w:color="auto" w:sz="4" w:space="0"/>
            </w:tcBorders>
            <w:vAlign w:val="center"/>
          </w:tcPr>
          <w:p>
            <w:pPr>
              <w:keepNext/>
              <w:keepLines/>
              <w:widowControl/>
              <w:spacing w:before="340" w:after="330" w:line="240" w:lineRule="atLeast"/>
              <w:jc w:val="center"/>
              <w:outlineLvl w:val="0"/>
              <w:rPr>
                <w:rFonts w:ascii="宋体" w:hAnsi="宋体" w:cs="宋体"/>
                <w:kern w:val="0"/>
                <w:sz w:val="22"/>
              </w:rPr>
            </w:pPr>
          </w:p>
        </w:tc>
        <w:tc>
          <w:tcPr>
            <w:tcW w:w="1134" w:type="dxa"/>
            <w:tcBorders>
              <w:top w:val="single" w:color="auto" w:sz="4" w:space="0"/>
              <w:left w:val="single" w:color="auto" w:sz="4" w:space="0"/>
              <w:bottom w:val="single" w:color="auto" w:sz="4" w:space="0"/>
              <w:right w:val="single" w:color="auto" w:sz="4" w:space="0"/>
            </w:tcBorders>
            <w:vAlign w:val="center"/>
          </w:tcPr>
          <w:p>
            <w:pPr>
              <w:keepNext/>
              <w:keepLines/>
              <w:widowControl/>
              <w:spacing w:before="340" w:after="330" w:line="240" w:lineRule="atLeast"/>
              <w:jc w:val="center"/>
              <w:outlineLvl w:val="0"/>
              <w:rPr>
                <w:rFonts w:ascii="宋体" w:hAnsi="宋体" w:cs="宋体"/>
                <w:kern w:val="0"/>
                <w:sz w:val="22"/>
              </w:rPr>
            </w:pPr>
          </w:p>
        </w:tc>
        <w:tc>
          <w:tcPr>
            <w:tcW w:w="1559" w:type="dxa"/>
            <w:tcBorders>
              <w:top w:val="single" w:color="auto" w:sz="4" w:space="0"/>
              <w:left w:val="single" w:color="auto" w:sz="4" w:space="0"/>
              <w:bottom w:val="single" w:color="auto" w:sz="4" w:space="0"/>
              <w:right w:val="single" w:color="auto" w:sz="4" w:space="0"/>
            </w:tcBorders>
          </w:tcPr>
          <w:p>
            <w:pPr>
              <w:keepNext/>
              <w:keepLines/>
              <w:widowControl/>
              <w:spacing w:before="340" w:after="330" w:line="240" w:lineRule="atLeast"/>
              <w:jc w:val="center"/>
              <w:outlineLvl w:val="0"/>
              <w:rPr>
                <w:rFonts w:ascii="宋体" w:hAnsi="宋体" w:cs="宋体"/>
                <w:kern w:val="0"/>
                <w:sz w:val="22"/>
              </w:rPr>
            </w:pPr>
          </w:p>
        </w:tc>
        <w:tc>
          <w:tcPr>
            <w:tcW w:w="1756" w:type="dxa"/>
            <w:tcBorders>
              <w:top w:val="single" w:color="auto" w:sz="4" w:space="0"/>
              <w:left w:val="single" w:color="auto" w:sz="4" w:space="0"/>
              <w:bottom w:val="single" w:color="auto" w:sz="4" w:space="0"/>
              <w:right w:val="single" w:color="auto" w:sz="4" w:space="0"/>
            </w:tcBorders>
          </w:tcPr>
          <w:p>
            <w:pPr>
              <w:keepNext/>
              <w:keepLines/>
              <w:widowControl/>
              <w:spacing w:before="340" w:after="330" w:line="240" w:lineRule="atLeast"/>
              <w:jc w:val="center"/>
              <w:outlineLvl w:val="0"/>
              <w:rPr>
                <w:rFonts w:ascii="宋体" w:hAnsi="宋体" w:cs="宋体"/>
                <w:kern w:val="0"/>
                <w:sz w:val="22"/>
              </w:rPr>
            </w:pPr>
          </w:p>
        </w:tc>
        <w:tc>
          <w:tcPr>
            <w:tcW w:w="1701" w:type="dxa"/>
            <w:tcBorders>
              <w:top w:val="single" w:color="auto" w:sz="4" w:space="0"/>
              <w:left w:val="single" w:color="auto" w:sz="4" w:space="0"/>
              <w:bottom w:val="single" w:color="auto" w:sz="4" w:space="0"/>
              <w:right w:val="single" w:color="auto" w:sz="4" w:space="0"/>
            </w:tcBorders>
            <w:vAlign w:val="center"/>
          </w:tcPr>
          <w:p>
            <w:pPr>
              <w:keepNext/>
              <w:keepLines/>
              <w:widowControl/>
              <w:spacing w:before="340" w:after="330" w:line="240" w:lineRule="atLeast"/>
              <w:jc w:val="center"/>
              <w:outlineLvl w:val="0"/>
              <w:rPr>
                <w:rFonts w:ascii="宋体" w:hAnsi="宋体" w:cs="宋体"/>
                <w:kern w:val="0"/>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1" w:hRule="atLeast"/>
          <w:jc w:val="center"/>
        </w:trPr>
        <w:tc>
          <w:tcPr>
            <w:tcW w:w="824" w:type="dxa"/>
            <w:tcBorders>
              <w:left w:val="single" w:color="auto" w:sz="4" w:space="0"/>
              <w:right w:val="single" w:color="auto" w:sz="4" w:space="0"/>
            </w:tcBorders>
            <w:vAlign w:val="center"/>
          </w:tcPr>
          <w:p>
            <w:pPr>
              <w:keepNext/>
              <w:keepLines/>
              <w:widowControl/>
              <w:spacing w:before="340" w:after="330" w:line="240" w:lineRule="atLeast"/>
              <w:jc w:val="center"/>
              <w:outlineLvl w:val="0"/>
              <w:rPr>
                <w:rFonts w:ascii="宋体" w:hAnsi="宋体" w:cs="宋体"/>
                <w:kern w:val="0"/>
                <w:sz w:val="22"/>
              </w:rPr>
            </w:pPr>
          </w:p>
        </w:tc>
        <w:tc>
          <w:tcPr>
            <w:tcW w:w="2211" w:type="dxa"/>
            <w:tcBorders>
              <w:left w:val="single" w:color="auto" w:sz="4" w:space="0"/>
              <w:right w:val="single" w:color="auto" w:sz="4" w:space="0"/>
            </w:tcBorders>
            <w:vAlign w:val="center"/>
          </w:tcPr>
          <w:p>
            <w:pPr>
              <w:keepNext/>
              <w:keepLines/>
              <w:widowControl/>
              <w:spacing w:before="340" w:after="330" w:line="240" w:lineRule="atLeast"/>
              <w:jc w:val="center"/>
              <w:outlineLvl w:val="0"/>
              <w:rPr>
                <w:rFonts w:ascii="宋体" w:hAnsi="宋体" w:cs="宋体"/>
                <w:kern w:val="0"/>
                <w:sz w:val="22"/>
              </w:rPr>
            </w:pPr>
          </w:p>
        </w:tc>
        <w:tc>
          <w:tcPr>
            <w:tcW w:w="1134" w:type="dxa"/>
            <w:tcBorders>
              <w:top w:val="single" w:color="auto" w:sz="4" w:space="0"/>
              <w:left w:val="single" w:color="auto" w:sz="4" w:space="0"/>
              <w:bottom w:val="single" w:color="auto" w:sz="4" w:space="0"/>
              <w:right w:val="single" w:color="auto" w:sz="4" w:space="0"/>
            </w:tcBorders>
            <w:vAlign w:val="center"/>
          </w:tcPr>
          <w:p>
            <w:pPr>
              <w:keepNext/>
              <w:keepLines/>
              <w:widowControl/>
              <w:spacing w:before="340" w:after="330" w:line="240" w:lineRule="atLeast"/>
              <w:jc w:val="center"/>
              <w:outlineLvl w:val="0"/>
              <w:rPr>
                <w:rFonts w:ascii="宋体" w:hAnsi="宋体" w:cs="宋体"/>
                <w:kern w:val="0"/>
                <w:sz w:val="22"/>
              </w:rPr>
            </w:pPr>
          </w:p>
        </w:tc>
        <w:tc>
          <w:tcPr>
            <w:tcW w:w="1559" w:type="dxa"/>
            <w:tcBorders>
              <w:top w:val="single" w:color="auto" w:sz="4" w:space="0"/>
              <w:left w:val="single" w:color="auto" w:sz="4" w:space="0"/>
              <w:bottom w:val="single" w:color="auto" w:sz="4" w:space="0"/>
              <w:right w:val="single" w:color="auto" w:sz="4" w:space="0"/>
            </w:tcBorders>
          </w:tcPr>
          <w:p>
            <w:pPr>
              <w:keepNext/>
              <w:keepLines/>
              <w:widowControl/>
              <w:spacing w:before="340" w:after="330" w:line="240" w:lineRule="atLeast"/>
              <w:jc w:val="center"/>
              <w:outlineLvl w:val="0"/>
              <w:rPr>
                <w:rFonts w:ascii="宋体" w:hAnsi="宋体" w:cs="宋体"/>
                <w:kern w:val="0"/>
                <w:sz w:val="22"/>
              </w:rPr>
            </w:pPr>
          </w:p>
        </w:tc>
        <w:tc>
          <w:tcPr>
            <w:tcW w:w="1756" w:type="dxa"/>
            <w:tcBorders>
              <w:top w:val="single" w:color="auto" w:sz="4" w:space="0"/>
              <w:left w:val="single" w:color="auto" w:sz="4" w:space="0"/>
              <w:bottom w:val="single" w:color="auto" w:sz="4" w:space="0"/>
              <w:right w:val="single" w:color="auto" w:sz="4" w:space="0"/>
            </w:tcBorders>
          </w:tcPr>
          <w:p>
            <w:pPr>
              <w:keepNext/>
              <w:keepLines/>
              <w:widowControl/>
              <w:spacing w:before="340" w:after="330" w:line="240" w:lineRule="atLeast"/>
              <w:jc w:val="center"/>
              <w:outlineLvl w:val="0"/>
              <w:rPr>
                <w:rFonts w:ascii="宋体" w:hAnsi="宋体" w:cs="宋体"/>
                <w:kern w:val="0"/>
                <w:sz w:val="22"/>
              </w:rPr>
            </w:pPr>
          </w:p>
        </w:tc>
        <w:tc>
          <w:tcPr>
            <w:tcW w:w="1701" w:type="dxa"/>
            <w:tcBorders>
              <w:top w:val="single" w:color="auto" w:sz="4" w:space="0"/>
              <w:left w:val="single" w:color="auto" w:sz="4" w:space="0"/>
              <w:bottom w:val="single" w:color="auto" w:sz="4" w:space="0"/>
              <w:right w:val="single" w:color="auto" w:sz="4" w:space="0"/>
            </w:tcBorders>
            <w:vAlign w:val="center"/>
          </w:tcPr>
          <w:p>
            <w:pPr>
              <w:keepNext/>
              <w:keepLines/>
              <w:widowControl/>
              <w:spacing w:before="340" w:after="330" w:line="240" w:lineRule="atLeast"/>
              <w:jc w:val="center"/>
              <w:outlineLvl w:val="0"/>
              <w:rPr>
                <w:rFonts w:ascii="宋体" w:hAnsi="宋体" w:cs="宋体"/>
                <w:kern w:val="0"/>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1" w:hRule="atLeast"/>
          <w:jc w:val="center"/>
        </w:trPr>
        <w:tc>
          <w:tcPr>
            <w:tcW w:w="824" w:type="dxa"/>
            <w:tcBorders>
              <w:left w:val="single" w:color="auto" w:sz="4" w:space="0"/>
              <w:right w:val="single" w:color="auto" w:sz="4" w:space="0"/>
            </w:tcBorders>
            <w:vAlign w:val="center"/>
          </w:tcPr>
          <w:p>
            <w:pPr>
              <w:keepNext/>
              <w:keepLines/>
              <w:widowControl/>
              <w:spacing w:before="340" w:after="330" w:line="240" w:lineRule="atLeast"/>
              <w:jc w:val="center"/>
              <w:outlineLvl w:val="0"/>
              <w:rPr>
                <w:rFonts w:ascii="宋体" w:hAnsi="宋体" w:cs="宋体"/>
                <w:kern w:val="0"/>
                <w:sz w:val="22"/>
              </w:rPr>
            </w:pPr>
          </w:p>
        </w:tc>
        <w:tc>
          <w:tcPr>
            <w:tcW w:w="2211" w:type="dxa"/>
            <w:tcBorders>
              <w:left w:val="single" w:color="auto" w:sz="4" w:space="0"/>
              <w:right w:val="single" w:color="auto" w:sz="4" w:space="0"/>
            </w:tcBorders>
            <w:vAlign w:val="center"/>
          </w:tcPr>
          <w:p>
            <w:pPr>
              <w:keepNext/>
              <w:keepLines/>
              <w:widowControl/>
              <w:spacing w:before="340" w:after="330" w:line="240" w:lineRule="atLeast"/>
              <w:jc w:val="center"/>
              <w:outlineLvl w:val="0"/>
              <w:rPr>
                <w:rFonts w:ascii="宋体" w:hAnsi="宋体" w:cs="宋体"/>
                <w:kern w:val="0"/>
                <w:sz w:val="22"/>
              </w:rPr>
            </w:pPr>
          </w:p>
        </w:tc>
        <w:tc>
          <w:tcPr>
            <w:tcW w:w="1134" w:type="dxa"/>
            <w:tcBorders>
              <w:top w:val="single" w:color="auto" w:sz="4" w:space="0"/>
              <w:left w:val="single" w:color="auto" w:sz="4" w:space="0"/>
              <w:bottom w:val="single" w:color="auto" w:sz="4" w:space="0"/>
              <w:right w:val="single" w:color="auto" w:sz="4" w:space="0"/>
            </w:tcBorders>
            <w:vAlign w:val="center"/>
          </w:tcPr>
          <w:p>
            <w:pPr>
              <w:keepNext/>
              <w:keepLines/>
              <w:widowControl/>
              <w:spacing w:before="340" w:after="330" w:line="240" w:lineRule="atLeast"/>
              <w:jc w:val="center"/>
              <w:outlineLvl w:val="0"/>
              <w:rPr>
                <w:rFonts w:ascii="宋体" w:hAnsi="宋体" w:cs="宋体"/>
                <w:kern w:val="0"/>
                <w:sz w:val="22"/>
              </w:rPr>
            </w:pPr>
          </w:p>
        </w:tc>
        <w:tc>
          <w:tcPr>
            <w:tcW w:w="1559" w:type="dxa"/>
            <w:tcBorders>
              <w:top w:val="single" w:color="auto" w:sz="4" w:space="0"/>
              <w:left w:val="single" w:color="auto" w:sz="4" w:space="0"/>
              <w:bottom w:val="single" w:color="auto" w:sz="4" w:space="0"/>
              <w:right w:val="single" w:color="auto" w:sz="4" w:space="0"/>
            </w:tcBorders>
          </w:tcPr>
          <w:p>
            <w:pPr>
              <w:keepNext/>
              <w:keepLines/>
              <w:widowControl/>
              <w:spacing w:before="340" w:after="330" w:line="240" w:lineRule="atLeast"/>
              <w:jc w:val="center"/>
              <w:outlineLvl w:val="0"/>
              <w:rPr>
                <w:rFonts w:ascii="宋体" w:hAnsi="宋体" w:cs="宋体"/>
                <w:kern w:val="0"/>
                <w:sz w:val="22"/>
              </w:rPr>
            </w:pPr>
          </w:p>
        </w:tc>
        <w:tc>
          <w:tcPr>
            <w:tcW w:w="1756" w:type="dxa"/>
            <w:tcBorders>
              <w:top w:val="single" w:color="auto" w:sz="4" w:space="0"/>
              <w:left w:val="single" w:color="auto" w:sz="4" w:space="0"/>
              <w:bottom w:val="single" w:color="auto" w:sz="4" w:space="0"/>
              <w:right w:val="single" w:color="auto" w:sz="4" w:space="0"/>
            </w:tcBorders>
          </w:tcPr>
          <w:p>
            <w:pPr>
              <w:keepNext/>
              <w:keepLines/>
              <w:widowControl/>
              <w:spacing w:before="340" w:after="330" w:line="240" w:lineRule="atLeast"/>
              <w:jc w:val="center"/>
              <w:outlineLvl w:val="0"/>
              <w:rPr>
                <w:rFonts w:ascii="宋体" w:hAnsi="宋体" w:cs="宋体"/>
                <w:kern w:val="0"/>
                <w:sz w:val="22"/>
              </w:rPr>
            </w:pPr>
          </w:p>
        </w:tc>
        <w:tc>
          <w:tcPr>
            <w:tcW w:w="1701" w:type="dxa"/>
            <w:tcBorders>
              <w:top w:val="single" w:color="auto" w:sz="4" w:space="0"/>
              <w:left w:val="single" w:color="auto" w:sz="4" w:space="0"/>
              <w:bottom w:val="single" w:color="auto" w:sz="4" w:space="0"/>
              <w:right w:val="single" w:color="auto" w:sz="4" w:space="0"/>
            </w:tcBorders>
            <w:vAlign w:val="center"/>
          </w:tcPr>
          <w:p>
            <w:pPr>
              <w:keepNext/>
              <w:keepLines/>
              <w:widowControl/>
              <w:spacing w:before="340" w:after="330" w:line="240" w:lineRule="atLeast"/>
              <w:jc w:val="center"/>
              <w:outlineLvl w:val="0"/>
              <w:rPr>
                <w:rFonts w:ascii="宋体" w:hAnsi="宋体" w:cs="宋体"/>
                <w:kern w:val="0"/>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1" w:hRule="atLeast"/>
          <w:jc w:val="center"/>
        </w:trPr>
        <w:tc>
          <w:tcPr>
            <w:tcW w:w="824" w:type="dxa"/>
            <w:tcBorders>
              <w:left w:val="single" w:color="auto" w:sz="4" w:space="0"/>
              <w:right w:val="single" w:color="auto" w:sz="4" w:space="0"/>
            </w:tcBorders>
            <w:vAlign w:val="center"/>
          </w:tcPr>
          <w:p>
            <w:pPr>
              <w:keepNext/>
              <w:keepLines/>
              <w:widowControl/>
              <w:spacing w:before="340" w:after="330" w:line="240" w:lineRule="atLeast"/>
              <w:jc w:val="center"/>
              <w:outlineLvl w:val="0"/>
              <w:rPr>
                <w:rFonts w:ascii="宋体" w:hAnsi="宋体" w:cs="宋体"/>
                <w:kern w:val="0"/>
                <w:sz w:val="22"/>
              </w:rPr>
            </w:pPr>
          </w:p>
        </w:tc>
        <w:tc>
          <w:tcPr>
            <w:tcW w:w="2211" w:type="dxa"/>
            <w:tcBorders>
              <w:left w:val="single" w:color="auto" w:sz="4" w:space="0"/>
              <w:right w:val="single" w:color="auto" w:sz="4" w:space="0"/>
            </w:tcBorders>
            <w:vAlign w:val="center"/>
          </w:tcPr>
          <w:p>
            <w:pPr>
              <w:keepNext/>
              <w:keepLines/>
              <w:widowControl/>
              <w:spacing w:before="340" w:after="330" w:line="240" w:lineRule="atLeast"/>
              <w:jc w:val="center"/>
              <w:outlineLvl w:val="0"/>
              <w:rPr>
                <w:rFonts w:ascii="宋体" w:hAnsi="宋体" w:cs="宋体"/>
                <w:kern w:val="0"/>
                <w:sz w:val="22"/>
              </w:rPr>
            </w:pPr>
          </w:p>
        </w:tc>
        <w:tc>
          <w:tcPr>
            <w:tcW w:w="1134" w:type="dxa"/>
            <w:tcBorders>
              <w:top w:val="single" w:color="auto" w:sz="4" w:space="0"/>
              <w:left w:val="single" w:color="auto" w:sz="4" w:space="0"/>
              <w:bottom w:val="single" w:color="auto" w:sz="4" w:space="0"/>
              <w:right w:val="single" w:color="auto" w:sz="4" w:space="0"/>
            </w:tcBorders>
            <w:vAlign w:val="center"/>
          </w:tcPr>
          <w:p>
            <w:pPr>
              <w:keepNext/>
              <w:keepLines/>
              <w:widowControl/>
              <w:spacing w:before="340" w:after="330" w:line="240" w:lineRule="atLeast"/>
              <w:jc w:val="center"/>
              <w:outlineLvl w:val="0"/>
              <w:rPr>
                <w:rFonts w:ascii="宋体" w:hAnsi="宋体" w:cs="宋体"/>
                <w:kern w:val="0"/>
                <w:sz w:val="22"/>
              </w:rPr>
            </w:pPr>
          </w:p>
        </w:tc>
        <w:tc>
          <w:tcPr>
            <w:tcW w:w="1559" w:type="dxa"/>
            <w:tcBorders>
              <w:top w:val="single" w:color="auto" w:sz="4" w:space="0"/>
              <w:left w:val="single" w:color="auto" w:sz="4" w:space="0"/>
              <w:bottom w:val="single" w:color="auto" w:sz="4" w:space="0"/>
              <w:right w:val="single" w:color="auto" w:sz="4" w:space="0"/>
            </w:tcBorders>
          </w:tcPr>
          <w:p>
            <w:pPr>
              <w:keepNext/>
              <w:keepLines/>
              <w:widowControl/>
              <w:spacing w:before="340" w:after="330" w:line="240" w:lineRule="atLeast"/>
              <w:jc w:val="center"/>
              <w:outlineLvl w:val="0"/>
              <w:rPr>
                <w:rFonts w:ascii="宋体" w:hAnsi="宋体" w:cs="宋体"/>
                <w:kern w:val="0"/>
                <w:sz w:val="22"/>
              </w:rPr>
            </w:pPr>
          </w:p>
        </w:tc>
        <w:tc>
          <w:tcPr>
            <w:tcW w:w="1756" w:type="dxa"/>
            <w:tcBorders>
              <w:top w:val="single" w:color="auto" w:sz="4" w:space="0"/>
              <w:left w:val="single" w:color="auto" w:sz="4" w:space="0"/>
              <w:bottom w:val="single" w:color="auto" w:sz="4" w:space="0"/>
              <w:right w:val="single" w:color="auto" w:sz="4" w:space="0"/>
            </w:tcBorders>
          </w:tcPr>
          <w:p>
            <w:pPr>
              <w:keepNext/>
              <w:keepLines/>
              <w:widowControl/>
              <w:spacing w:before="340" w:after="330" w:line="240" w:lineRule="atLeast"/>
              <w:jc w:val="center"/>
              <w:outlineLvl w:val="0"/>
              <w:rPr>
                <w:rFonts w:ascii="宋体" w:hAnsi="宋体" w:cs="宋体"/>
                <w:kern w:val="0"/>
                <w:sz w:val="22"/>
              </w:rPr>
            </w:pPr>
          </w:p>
        </w:tc>
        <w:tc>
          <w:tcPr>
            <w:tcW w:w="1701" w:type="dxa"/>
            <w:tcBorders>
              <w:top w:val="single" w:color="auto" w:sz="4" w:space="0"/>
              <w:left w:val="single" w:color="auto" w:sz="4" w:space="0"/>
              <w:bottom w:val="single" w:color="auto" w:sz="4" w:space="0"/>
              <w:right w:val="single" w:color="auto" w:sz="4" w:space="0"/>
            </w:tcBorders>
            <w:vAlign w:val="center"/>
          </w:tcPr>
          <w:p>
            <w:pPr>
              <w:keepNext/>
              <w:keepLines/>
              <w:widowControl/>
              <w:spacing w:before="340" w:after="330" w:line="240" w:lineRule="atLeast"/>
              <w:jc w:val="center"/>
              <w:outlineLvl w:val="0"/>
              <w:rPr>
                <w:rFonts w:ascii="宋体" w:hAnsi="宋体" w:cs="宋体"/>
                <w:kern w:val="0"/>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1" w:hRule="atLeast"/>
          <w:jc w:val="center"/>
        </w:trPr>
        <w:tc>
          <w:tcPr>
            <w:tcW w:w="824" w:type="dxa"/>
            <w:tcBorders>
              <w:left w:val="single" w:color="auto" w:sz="4" w:space="0"/>
              <w:right w:val="single" w:color="auto" w:sz="4" w:space="0"/>
            </w:tcBorders>
            <w:vAlign w:val="center"/>
          </w:tcPr>
          <w:p>
            <w:pPr>
              <w:keepNext/>
              <w:keepLines/>
              <w:widowControl/>
              <w:spacing w:before="340" w:after="330" w:line="240" w:lineRule="atLeast"/>
              <w:jc w:val="center"/>
              <w:outlineLvl w:val="0"/>
              <w:rPr>
                <w:rFonts w:ascii="宋体" w:hAnsi="宋体" w:cs="宋体"/>
                <w:kern w:val="0"/>
                <w:sz w:val="22"/>
              </w:rPr>
            </w:pPr>
          </w:p>
        </w:tc>
        <w:tc>
          <w:tcPr>
            <w:tcW w:w="2211" w:type="dxa"/>
            <w:tcBorders>
              <w:left w:val="single" w:color="auto" w:sz="4" w:space="0"/>
              <w:right w:val="single" w:color="auto" w:sz="4" w:space="0"/>
            </w:tcBorders>
            <w:vAlign w:val="center"/>
          </w:tcPr>
          <w:p>
            <w:pPr>
              <w:keepNext/>
              <w:keepLines/>
              <w:widowControl/>
              <w:spacing w:before="340" w:after="330" w:line="240" w:lineRule="atLeast"/>
              <w:jc w:val="center"/>
              <w:outlineLvl w:val="0"/>
              <w:rPr>
                <w:rFonts w:ascii="宋体" w:hAnsi="宋体" w:cs="宋体"/>
                <w:kern w:val="0"/>
                <w:sz w:val="22"/>
              </w:rPr>
            </w:pPr>
          </w:p>
        </w:tc>
        <w:tc>
          <w:tcPr>
            <w:tcW w:w="1134" w:type="dxa"/>
            <w:tcBorders>
              <w:top w:val="single" w:color="auto" w:sz="4" w:space="0"/>
              <w:left w:val="single" w:color="auto" w:sz="4" w:space="0"/>
              <w:bottom w:val="single" w:color="auto" w:sz="4" w:space="0"/>
              <w:right w:val="single" w:color="auto" w:sz="4" w:space="0"/>
            </w:tcBorders>
            <w:vAlign w:val="center"/>
          </w:tcPr>
          <w:p>
            <w:pPr>
              <w:keepNext/>
              <w:keepLines/>
              <w:widowControl/>
              <w:spacing w:before="340" w:after="330" w:line="240" w:lineRule="atLeast"/>
              <w:jc w:val="center"/>
              <w:outlineLvl w:val="0"/>
              <w:rPr>
                <w:rFonts w:ascii="宋体" w:hAnsi="宋体" w:cs="宋体"/>
                <w:kern w:val="0"/>
                <w:sz w:val="22"/>
              </w:rPr>
            </w:pPr>
          </w:p>
        </w:tc>
        <w:tc>
          <w:tcPr>
            <w:tcW w:w="1559" w:type="dxa"/>
            <w:tcBorders>
              <w:top w:val="single" w:color="auto" w:sz="4" w:space="0"/>
              <w:left w:val="single" w:color="auto" w:sz="4" w:space="0"/>
              <w:bottom w:val="single" w:color="auto" w:sz="4" w:space="0"/>
              <w:right w:val="single" w:color="auto" w:sz="4" w:space="0"/>
            </w:tcBorders>
          </w:tcPr>
          <w:p>
            <w:pPr>
              <w:keepNext/>
              <w:keepLines/>
              <w:widowControl/>
              <w:spacing w:before="340" w:after="330" w:line="240" w:lineRule="atLeast"/>
              <w:jc w:val="center"/>
              <w:outlineLvl w:val="0"/>
              <w:rPr>
                <w:rFonts w:ascii="宋体" w:hAnsi="宋体" w:cs="宋体"/>
                <w:kern w:val="0"/>
                <w:sz w:val="22"/>
              </w:rPr>
            </w:pPr>
          </w:p>
        </w:tc>
        <w:tc>
          <w:tcPr>
            <w:tcW w:w="1756" w:type="dxa"/>
            <w:tcBorders>
              <w:top w:val="single" w:color="auto" w:sz="4" w:space="0"/>
              <w:left w:val="single" w:color="auto" w:sz="4" w:space="0"/>
              <w:bottom w:val="single" w:color="auto" w:sz="4" w:space="0"/>
              <w:right w:val="single" w:color="auto" w:sz="4" w:space="0"/>
            </w:tcBorders>
          </w:tcPr>
          <w:p>
            <w:pPr>
              <w:keepNext/>
              <w:keepLines/>
              <w:widowControl/>
              <w:spacing w:before="340" w:after="330" w:line="240" w:lineRule="atLeast"/>
              <w:jc w:val="center"/>
              <w:outlineLvl w:val="0"/>
              <w:rPr>
                <w:rFonts w:ascii="宋体" w:hAnsi="宋体" w:cs="宋体"/>
                <w:kern w:val="0"/>
                <w:sz w:val="22"/>
              </w:rPr>
            </w:pPr>
          </w:p>
        </w:tc>
        <w:tc>
          <w:tcPr>
            <w:tcW w:w="1701" w:type="dxa"/>
            <w:tcBorders>
              <w:top w:val="single" w:color="auto" w:sz="4" w:space="0"/>
              <w:left w:val="single" w:color="auto" w:sz="4" w:space="0"/>
              <w:bottom w:val="single" w:color="auto" w:sz="4" w:space="0"/>
              <w:right w:val="single" w:color="auto" w:sz="4" w:space="0"/>
            </w:tcBorders>
            <w:vAlign w:val="center"/>
          </w:tcPr>
          <w:p>
            <w:pPr>
              <w:keepNext/>
              <w:keepLines/>
              <w:widowControl/>
              <w:spacing w:before="340" w:after="330" w:line="240" w:lineRule="atLeast"/>
              <w:jc w:val="center"/>
              <w:outlineLvl w:val="0"/>
              <w:rPr>
                <w:rFonts w:ascii="宋体" w:hAnsi="宋体" w:cs="宋体"/>
                <w:kern w:val="0"/>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1" w:hRule="atLeast"/>
          <w:jc w:val="center"/>
        </w:trPr>
        <w:tc>
          <w:tcPr>
            <w:tcW w:w="824" w:type="dxa"/>
            <w:tcBorders>
              <w:left w:val="single" w:color="auto" w:sz="4" w:space="0"/>
              <w:right w:val="single" w:color="auto" w:sz="4" w:space="0"/>
            </w:tcBorders>
            <w:vAlign w:val="center"/>
          </w:tcPr>
          <w:p>
            <w:pPr>
              <w:keepNext/>
              <w:keepLines/>
              <w:widowControl/>
              <w:spacing w:before="340" w:after="330" w:line="240" w:lineRule="atLeast"/>
              <w:jc w:val="center"/>
              <w:outlineLvl w:val="0"/>
              <w:rPr>
                <w:rFonts w:ascii="宋体" w:hAnsi="宋体" w:cs="宋体"/>
                <w:kern w:val="0"/>
                <w:sz w:val="22"/>
              </w:rPr>
            </w:pPr>
          </w:p>
        </w:tc>
        <w:tc>
          <w:tcPr>
            <w:tcW w:w="2211" w:type="dxa"/>
            <w:tcBorders>
              <w:left w:val="single" w:color="auto" w:sz="4" w:space="0"/>
              <w:right w:val="single" w:color="auto" w:sz="4" w:space="0"/>
            </w:tcBorders>
            <w:vAlign w:val="center"/>
          </w:tcPr>
          <w:p>
            <w:pPr>
              <w:keepNext/>
              <w:keepLines/>
              <w:widowControl/>
              <w:spacing w:before="340" w:after="330" w:line="240" w:lineRule="atLeast"/>
              <w:jc w:val="center"/>
              <w:outlineLvl w:val="0"/>
              <w:rPr>
                <w:rFonts w:ascii="宋体" w:hAnsi="宋体" w:cs="宋体"/>
                <w:kern w:val="0"/>
                <w:sz w:val="22"/>
              </w:rPr>
            </w:pPr>
          </w:p>
        </w:tc>
        <w:tc>
          <w:tcPr>
            <w:tcW w:w="1134" w:type="dxa"/>
            <w:tcBorders>
              <w:top w:val="single" w:color="auto" w:sz="4" w:space="0"/>
              <w:left w:val="single" w:color="auto" w:sz="4" w:space="0"/>
              <w:bottom w:val="single" w:color="auto" w:sz="4" w:space="0"/>
              <w:right w:val="single" w:color="auto" w:sz="4" w:space="0"/>
            </w:tcBorders>
            <w:vAlign w:val="center"/>
          </w:tcPr>
          <w:p>
            <w:pPr>
              <w:keepNext/>
              <w:keepLines/>
              <w:widowControl/>
              <w:spacing w:before="340" w:after="330" w:line="240" w:lineRule="atLeast"/>
              <w:jc w:val="center"/>
              <w:outlineLvl w:val="0"/>
              <w:rPr>
                <w:rFonts w:ascii="宋体" w:hAnsi="宋体" w:cs="宋体"/>
                <w:kern w:val="0"/>
                <w:sz w:val="22"/>
              </w:rPr>
            </w:pPr>
          </w:p>
        </w:tc>
        <w:tc>
          <w:tcPr>
            <w:tcW w:w="1559" w:type="dxa"/>
            <w:tcBorders>
              <w:top w:val="single" w:color="auto" w:sz="4" w:space="0"/>
              <w:left w:val="single" w:color="auto" w:sz="4" w:space="0"/>
              <w:bottom w:val="single" w:color="auto" w:sz="4" w:space="0"/>
              <w:right w:val="single" w:color="auto" w:sz="4" w:space="0"/>
            </w:tcBorders>
          </w:tcPr>
          <w:p>
            <w:pPr>
              <w:keepNext/>
              <w:keepLines/>
              <w:widowControl/>
              <w:spacing w:before="340" w:after="330" w:line="240" w:lineRule="atLeast"/>
              <w:jc w:val="center"/>
              <w:outlineLvl w:val="0"/>
              <w:rPr>
                <w:rFonts w:ascii="宋体" w:hAnsi="宋体" w:cs="宋体"/>
                <w:kern w:val="0"/>
                <w:sz w:val="22"/>
              </w:rPr>
            </w:pPr>
          </w:p>
        </w:tc>
        <w:tc>
          <w:tcPr>
            <w:tcW w:w="1756" w:type="dxa"/>
            <w:tcBorders>
              <w:top w:val="single" w:color="auto" w:sz="4" w:space="0"/>
              <w:left w:val="single" w:color="auto" w:sz="4" w:space="0"/>
              <w:bottom w:val="single" w:color="auto" w:sz="4" w:space="0"/>
              <w:right w:val="single" w:color="auto" w:sz="4" w:space="0"/>
            </w:tcBorders>
          </w:tcPr>
          <w:p>
            <w:pPr>
              <w:keepNext/>
              <w:keepLines/>
              <w:widowControl/>
              <w:spacing w:before="340" w:after="330" w:line="240" w:lineRule="atLeast"/>
              <w:jc w:val="center"/>
              <w:outlineLvl w:val="0"/>
              <w:rPr>
                <w:rFonts w:ascii="宋体" w:hAnsi="宋体" w:cs="宋体"/>
                <w:kern w:val="0"/>
                <w:sz w:val="22"/>
              </w:rPr>
            </w:pPr>
          </w:p>
        </w:tc>
        <w:tc>
          <w:tcPr>
            <w:tcW w:w="1701" w:type="dxa"/>
            <w:tcBorders>
              <w:top w:val="single" w:color="auto" w:sz="4" w:space="0"/>
              <w:left w:val="single" w:color="auto" w:sz="4" w:space="0"/>
              <w:bottom w:val="single" w:color="auto" w:sz="4" w:space="0"/>
              <w:right w:val="single" w:color="auto" w:sz="4" w:space="0"/>
            </w:tcBorders>
            <w:vAlign w:val="center"/>
          </w:tcPr>
          <w:p>
            <w:pPr>
              <w:keepNext/>
              <w:keepLines/>
              <w:widowControl/>
              <w:spacing w:before="340" w:after="330" w:line="240" w:lineRule="atLeast"/>
              <w:jc w:val="center"/>
              <w:outlineLvl w:val="0"/>
              <w:rPr>
                <w:rFonts w:ascii="宋体" w:hAnsi="宋体" w:cs="宋体"/>
                <w:kern w:val="0"/>
                <w:sz w:val="22"/>
              </w:rPr>
            </w:pPr>
          </w:p>
        </w:tc>
      </w:tr>
    </w:tbl>
    <w:p>
      <w:pPr>
        <w:widowControl/>
        <w:spacing w:line="400" w:lineRule="exact"/>
        <w:jc w:val="center"/>
        <w:rPr>
          <w:rFonts w:ascii="宋体" w:hAnsi="宋体" w:cs="宋体"/>
          <w:b/>
          <w:bCs/>
          <w:kern w:val="0"/>
          <w:sz w:val="24"/>
          <w:szCs w:val="20"/>
        </w:rPr>
      </w:pPr>
    </w:p>
    <w:p>
      <w:pPr>
        <w:widowControl/>
        <w:spacing w:line="380" w:lineRule="exact"/>
        <w:ind w:firstLine="4400" w:firstLineChars="2000"/>
        <w:jc w:val="left"/>
        <w:rPr>
          <w:rFonts w:ascii="宋体" w:hAnsi="宋体" w:cs="宋体"/>
          <w:kern w:val="0"/>
          <w:sz w:val="22"/>
        </w:rPr>
      </w:pPr>
      <w:r>
        <w:rPr>
          <w:rFonts w:hint="eastAsia" w:ascii="宋体" w:hAnsi="宋体" w:cs="宋体"/>
          <w:kern w:val="0"/>
          <w:sz w:val="22"/>
        </w:rPr>
        <w:t>供应商全称（盖章）：</w:t>
      </w:r>
    </w:p>
    <w:p>
      <w:pPr>
        <w:widowControl/>
        <w:spacing w:line="380" w:lineRule="exact"/>
        <w:ind w:firstLine="4400" w:firstLineChars="2000"/>
        <w:jc w:val="left"/>
        <w:rPr>
          <w:rFonts w:ascii="宋体" w:hAnsi="宋体" w:cs="宋体"/>
          <w:kern w:val="0"/>
          <w:sz w:val="22"/>
        </w:rPr>
      </w:pPr>
      <w:r>
        <w:rPr>
          <w:rFonts w:hint="eastAsia" w:ascii="宋体" w:hAnsi="宋体" w:cs="宋体"/>
          <w:kern w:val="0"/>
          <w:sz w:val="22"/>
        </w:rPr>
        <w:t>法定代表人（单位负责人）或授权代表（签字或盖章）：</w:t>
      </w:r>
    </w:p>
    <w:p>
      <w:pPr>
        <w:widowControl/>
        <w:spacing w:line="380" w:lineRule="exact"/>
        <w:ind w:firstLine="4400" w:firstLineChars="2000"/>
        <w:jc w:val="left"/>
        <w:rPr>
          <w:rFonts w:ascii="宋体" w:hAnsi="宋体" w:cs="宋体"/>
          <w:kern w:val="0"/>
          <w:sz w:val="22"/>
        </w:rPr>
      </w:pPr>
      <w:r>
        <w:rPr>
          <w:rFonts w:hint="eastAsia" w:ascii="宋体" w:hAnsi="宋体" w:cs="宋体"/>
          <w:kern w:val="0"/>
          <w:sz w:val="22"/>
        </w:rPr>
        <w:t>日期：年月日</w:t>
      </w:r>
    </w:p>
    <w:p>
      <w:pPr>
        <w:widowControl/>
        <w:spacing w:line="480" w:lineRule="auto"/>
        <w:jc w:val="left"/>
        <w:rPr>
          <w:rFonts w:ascii="宋体" w:hAnsi="宋体" w:cs="宋体"/>
          <w:kern w:val="0"/>
          <w:sz w:val="22"/>
        </w:rPr>
      </w:pPr>
    </w:p>
    <w:p>
      <w:pPr>
        <w:widowControl/>
        <w:spacing w:line="480" w:lineRule="auto"/>
        <w:jc w:val="left"/>
        <w:rPr>
          <w:rFonts w:ascii="宋体" w:hAnsi="宋体" w:cs="宋体"/>
          <w:kern w:val="0"/>
          <w:szCs w:val="20"/>
        </w:rPr>
      </w:pPr>
    </w:p>
    <w:p>
      <w:pPr>
        <w:widowControl/>
        <w:spacing w:line="480" w:lineRule="auto"/>
        <w:jc w:val="left"/>
        <w:rPr>
          <w:rFonts w:ascii="宋体" w:hAnsi="宋体" w:cs="宋体"/>
          <w:kern w:val="0"/>
          <w:szCs w:val="20"/>
        </w:rPr>
      </w:pPr>
    </w:p>
    <w:p>
      <w:pPr>
        <w:jc w:val="left"/>
        <w:rPr>
          <w:rFonts w:ascii="宋体" w:hAnsi="宋体" w:cs="宋体"/>
          <w:kern w:val="0"/>
          <w:szCs w:val="20"/>
        </w:rPr>
      </w:pPr>
      <w:r>
        <w:rPr>
          <w:rFonts w:ascii="宋体" w:hAnsi="宋体" w:cs="宋体"/>
          <w:kern w:val="0"/>
          <w:szCs w:val="20"/>
        </w:rPr>
        <w:br w:type="page"/>
      </w:r>
    </w:p>
    <w:p>
      <w:pPr>
        <w:jc w:val="left"/>
        <w:rPr>
          <w:rFonts w:ascii="宋体" w:hAnsi="宋体" w:cs="宋体"/>
          <w:kern w:val="0"/>
          <w:szCs w:val="20"/>
        </w:rPr>
      </w:pPr>
      <w:r>
        <w:rPr>
          <w:rFonts w:hint="eastAsia" w:ascii="宋体" w:hAnsi="宋体" w:cs="宋体"/>
          <w:kern w:val="0"/>
          <w:szCs w:val="20"/>
        </w:rPr>
        <w:t>附件八</w:t>
      </w:r>
    </w:p>
    <w:p>
      <w:pPr>
        <w:spacing w:line="420" w:lineRule="exact"/>
        <w:jc w:val="center"/>
        <w:rPr>
          <w:rFonts w:ascii="宋体" w:hAnsi="宋体" w:cs="宋体"/>
          <w:sz w:val="36"/>
          <w:szCs w:val="36"/>
        </w:rPr>
      </w:pPr>
      <w:r>
        <w:rPr>
          <w:rFonts w:hint="eastAsia" w:ascii="宋体" w:hAnsi="宋体" w:cs="宋体"/>
          <w:sz w:val="36"/>
          <w:szCs w:val="36"/>
        </w:rPr>
        <w:t>投标供应商履约及廉洁纪律承诺书</w:t>
      </w:r>
    </w:p>
    <w:p>
      <w:pPr>
        <w:spacing w:line="420" w:lineRule="exact"/>
        <w:jc w:val="center"/>
        <w:rPr>
          <w:rFonts w:ascii="宋体" w:hAnsi="宋体" w:cs="宋体"/>
          <w:sz w:val="36"/>
          <w:szCs w:val="36"/>
        </w:rPr>
      </w:pPr>
    </w:p>
    <w:p>
      <w:pPr>
        <w:spacing w:line="420" w:lineRule="exact"/>
        <w:ind w:firstLine="440" w:firstLineChars="200"/>
        <w:jc w:val="left"/>
        <w:rPr>
          <w:rFonts w:ascii="宋体" w:hAnsi="宋体" w:cs="宋体"/>
          <w:sz w:val="22"/>
        </w:rPr>
      </w:pPr>
      <w:r>
        <w:rPr>
          <w:rFonts w:hint="eastAsia" w:ascii="宋体" w:hAnsi="宋体" w:cs="宋体"/>
          <w:sz w:val="22"/>
        </w:rPr>
        <w:t>为了切实规范国企采购项目招投标工作，有效遏制不公平竞争和违规违纪问题的发生，确保投标工作的公平、公正、公开，现就投标工作及履约廉洁纪律等相关要求，特向贵单位承诺如下</w:t>
      </w:r>
      <w:r>
        <w:rPr>
          <w:rFonts w:ascii="宋体" w:hAnsi="宋体" w:cs="宋体"/>
          <w:sz w:val="22"/>
        </w:rPr>
        <w:t>:</w:t>
      </w:r>
    </w:p>
    <w:p>
      <w:pPr>
        <w:spacing w:line="420" w:lineRule="exact"/>
        <w:ind w:firstLine="440" w:firstLineChars="200"/>
        <w:jc w:val="left"/>
        <w:rPr>
          <w:rFonts w:ascii="宋体" w:hAnsi="宋体" w:cs="宋体"/>
          <w:sz w:val="22"/>
        </w:rPr>
      </w:pPr>
      <w:r>
        <w:rPr>
          <w:rFonts w:hint="eastAsia" w:ascii="宋体" w:hAnsi="宋体" w:cs="宋体"/>
          <w:sz w:val="22"/>
        </w:rPr>
        <w:t>一、自觉遵守国家法律法规及贵单位有关廉洁纪律等要求；</w:t>
      </w:r>
    </w:p>
    <w:p>
      <w:pPr>
        <w:spacing w:line="420" w:lineRule="exact"/>
        <w:ind w:firstLine="440" w:firstLineChars="200"/>
        <w:jc w:val="left"/>
        <w:rPr>
          <w:rFonts w:ascii="宋体" w:hAnsi="宋体" w:cs="宋体"/>
          <w:sz w:val="22"/>
        </w:rPr>
      </w:pPr>
      <w:r>
        <w:rPr>
          <w:rFonts w:hint="eastAsia" w:ascii="宋体" w:hAnsi="宋体" w:cs="宋体"/>
          <w:sz w:val="22"/>
        </w:rPr>
        <w:t>二、不通过亲属、领导、朋友等任何社会关系，向招标单位管理人员、代理机构人员、评标专家请托干预招投标事项；不使用不正当手段妨碍、排挤其它投标供应商或串通投标；</w:t>
      </w:r>
    </w:p>
    <w:p>
      <w:pPr>
        <w:spacing w:line="420" w:lineRule="exact"/>
        <w:ind w:firstLine="440" w:firstLineChars="200"/>
        <w:jc w:val="left"/>
        <w:rPr>
          <w:rFonts w:ascii="宋体" w:hAnsi="宋体" w:cs="宋体"/>
          <w:sz w:val="22"/>
        </w:rPr>
      </w:pPr>
      <w:r>
        <w:rPr>
          <w:rFonts w:hint="eastAsia" w:ascii="宋体" w:hAnsi="宋体" w:cs="宋体"/>
          <w:sz w:val="22"/>
        </w:rPr>
        <w:t>三、按照采购文件规定的方式进行投标，不隐瞒本单位投标资质的真实情况，投标资质符合规定；</w:t>
      </w:r>
    </w:p>
    <w:p>
      <w:pPr>
        <w:spacing w:line="420" w:lineRule="exact"/>
        <w:ind w:firstLine="440" w:firstLineChars="200"/>
        <w:jc w:val="left"/>
        <w:rPr>
          <w:rFonts w:ascii="宋体" w:hAnsi="宋体" w:cs="宋体"/>
          <w:sz w:val="22"/>
        </w:rPr>
      </w:pPr>
      <w:r>
        <w:rPr>
          <w:rFonts w:hint="eastAsia" w:ascii="宋体" w:hAnsi="宋体" w:cs="宋体"/>
          <w:sz w:val="22"/>
        </w:rPr>
        <w:t>四、保证不出借资质不挂靠单位，不以其他人名义投标或以其他方式弄虚作假，骗取中标；中标后不随意变更项目经理等关键岗位人员；</w:t>
      </w:r>
    </w:p>
    <w:p>
      <w:pPr>
        <w:spacing w:line="420" w:lineRule="exact"/>
        <w:ind w:firstLine="440" w:firstLineChars="200"/>
        <w:jc w:val="left"/>
        <w:rPr>
          <w:rFonts w:ascii="宋体" w:hAnsi="宋体" w:cs="宋体"/>
          <w:sz w:val="22"/>
        </w:rPr>
      </w:pPr>
      <w:r>
        <w:rPr>
          <w:rFonts w:hint="eastAsia" w:ascii="宋体" w:hAnsi="宋体" w:cs="宋体"/>
          <w:sz w:val="22"/>
        </w:rPr>
        <w:t>五、不以任何方式向采购人员、代理机构或者评标成员及亲友赠送礼品、礼金及有价证券，宴请或邀请参加高档娱乐消费、旅游等活动，报销各种票据及费用；不进行可能影响招标公平、公正的任何活动；</w:t>
      </w:r>
    </w:p>
    <w:p>
      <w:pPr>
        <w:spacing w:line="420" w:lineRule="exact"/>
        <w:ind w:firstLine="440" w:firstLineChars="200"/>
        <w:jc w:val="left"/>
        <w:rPr>
          <w:rFonts w:ascii="宋体" w:hAnsi="宋体" w:cs="宋体"/>
          <w:sz w:val="22"/>
        </w:rPr>
      </w:pPr>
      <w:r>
        <w:rPr>
          <w:rFonts w:hint="eastAsia" w:ascii="宋体" w:hAnsi="宋体" w:cs="宋体"/>
          <w:sz w:val="22"/>
        </w:rPr>
        <w:t>六、项目中标后不进行违法转包、分包，在施工管理中不以任何形式贿赂业主、监理、检测等参建各方人员；</w:t>
      </w:r>
    </w:p>
    <w:p>
      <w:pPr>
        <w:spacing w:line="420" w:lineRule="exact"/>
        <w:ind w:firstLine="440" w:firstLineChars="200"/>
        <w:jc w:val="left"/>
        <w:rPr>
          <w:rFonts w:ascii="宋体" w:hAnsi="宋体" w:cs="宋体"/>
          <w:sz w:val="22"/>
        </w:rPr>
      </w:pPr>
      <w:r>
        <w:rPr>
          <w:rFonts w:hint="eastAsia" w:ascii="宋体" w:hAnsi="宋体" w:cs="宋体"/>
          <w:sz w:val="22"/>
        </w:rPr>
        <w:t>七、若违反上述承诺任何条款，或违反有关法律法规以及贵公司有关廉政纪律规定，我方自愿放弃在贵公司的所承揽的业务，并承担30万元或中标合同价</w:t>
      </w:r>
      <w:r>
        <w:rPr>
          <w:rFonts w:ascii="宋体" w:hAnsi="宋体" w:cs="宋体"/>
          <w:sz w:val="22"/>
        </w:rPr>
        <w:t>3%的违约金（两者取高值）及一切法律责任；</w:t>
      </w:r>
    </w:p>
    <w:p>
      <w:pPr>
        <w:spacing w:line="420" w:lineRule="exact"/>
        <w:ind w:firstLine="440" w:firstLineChars="200"/>
        <w:jc w:val="left"/>
        <w:rPr>
          <w:rFonts w:ascii="宋体" w:hAnsi="宋体" w:cs="宋体"/>
          <w:sz w:val="22"/>
        </w:rPr>
      </w:pPr>
      <w:r>
        <w:rPr>
          <w:rFonts w:hint="eastAsia" w:ascii="宋体" w:hAnsi="宋体" w:cs="宋体"/>
          <w:sz w:val="22"/>
        </w:rPr>
        <w:t>八、我方自愿将本承诺书作为投标文件及合同的附件，具有同等的法律效力；本承诺书自签署之日起生效。</w:t>
      </w:r>
    </w:p>
    <w:p>
      <w:pPr>
        <w:spacing w:line="420" w:lineRule="exact"/>
        <w:ind w:firstLine="440" w:firstLineChars="200"/>
        <w:jc w:val="left"/>
        <w:rPr>
          <w:rFonts w:ascii="宋体" w:hAnsi="宋体" w:cs="宋体"/>
          <w:sz w:val="22"/>
        </w:rPr>
      </w:pPr>
    </w:p>
    <w:p>
      <w:pPr>
        <w:wordWrap w:val="0"/>
        <w:spacing w:line="420" w:lineRule="exact"/>
        <w:ind w:firstLine="440" w:firstLineChars="200"/>
        <w:jc w:val="right"/>
        <w:rPr>
          <w:rFonts w:ascii="宋体" w:hAnsi="宋体" w:cs="宋体"/>
          <w:sz w:val="22"/>
        </w:rPr>
      </w:pPr>
      <w:r>
        <w:rPr>
          <w:rFonts w:hint="eastAsia" w:ascii="宋体" w:hAnsi="宋体" w:cs="宋体"/>
          <w:sz w:val="22"/>
        </w:rPr>
        <w:t>投标供应商</w:t>
      </w:r>
      <w:r>
        <w:rPr>
          <w:rFonts w:ascii="宋体" w:hAnsi="宋体" w:cs="宋体"/>
          <w:sz w:val="22"/>
        </w:rPr>
        <w:t xml:space="preserve">(公章):               </w:t>
      </w:r>
    </w:p>
    <w:p>
      <w:pPr>
        <w:wordWrap w:val="0"/>
        <w:spacing w:line="420" w:lineRule="exact"/>
        <w:ind w:firstLine="440" w:firstLineChars="200"/>
        <w:jc w:val="right"/>
        <w:rPr>
          <w:rFonts w:ascii="宋体" w:hAnsi="宋体" w:cs="宋体"/>
          <w:sz w:val="22"/>
        </w:rPr>
      </w:pPr>
      <w:r>
        <w:rPr>
          <w:rFonts w:hint="eastAsia" w:ascii="宋体" w:hAnsi="宋体" w:cs="宋体"/>
          <w:sz w:val="22"/>
        </w:rPr>
        <w:t>法定代表人或授权代理人</w:t>
      </w:r>
      <w:r>
        <w:rPr>
          <w:rFonts w:hint="eastAsia" w:ascii="宋体" w:hAnsi="宋体" w:cs="宋体"/>
          <w:kern w:val="0"/>
          <w:sz w:val="22"/>
        </w:rPr>
        <w:t>（签字或盖章）</w:t>
      </w:r>
      <w:r>
        <w:rPr>
          <w:rFonts w:ascii="宋体" w:hAnsi="宋体" w:cs="宋体"/>
          <w:sz w:val="22"/>
        </w:rPr>
        <w:t xml:space="preserve">:               </w:t>
      </w:r>
    </w:p>
    <w:p>
      <w:pPr>
        <w:spacing w:line="420" w:lineRule="exact"/>
        <w:jc w:val="right"/>
        <w:rPr>
          <w:rFonts w:ascii="宋体" w:hAnsi="宋体" w:cs="宋体"/>
          <w:sz w:val="22"/>
        </w:rPr>
      </w:pPr>
      <w:r>
        <w:rPr>
          <w:rFonts w:hint="eastAsia" w:ascii="宋体" w:hAnsi="宋体" w:cs="宋体"/>
          <w:sz w:val="22"/>
        </w:rPr>
        <w:t>日期</w:t>
      </w:r>
      <w:r>
        <w:rPr>
          <w:rFonts w:ascii="宋体" w:hAnsi="宋体" w:cs="宋体"/>
          <w:sz w:val="22"/>
        </w:rPr>
        <w:t xml:space="preserve">:    </w:t>
      </w:r>
      <w:r>
        <w:rPr>
          <w:rFonts w:hint="eastAsia" w:ascii="宋体" w:hAnsi="宋体" w:cs="宋体"/>
          <w:sz w:val="22"/>
        </w:rPr>
        <w:t>年月日</w:t>
      </w:r>
    </w:p>
    <w:p>
      <w:pPr>
        <w:rPr>
          <w:rFonts w:ascii="宋体" w:hAnsi="宋体" w:cs="宋体"/>
          <w:sz w:val="22"/>
        </w:rPr>
      </w:pPr>
      <w:r>
        <w:rPr>
          <w:rFonts w:ascii="宋体" w:hAnsi="宋体" w:cs="宋体"/>
          <w:sz w:val="22"/>
        </w:rPr>
        <w:br w:type="page"/>
      </w:r>
    </w:p>
    <w:p>
      <w:pPr>
        <w:pStyle w:val="72"/>
        <w:widowControl w:val="0"/>
        <w:snapToGrid w:val="0"/>
        <w:spacing w:line="360" w:lineRule="auto"/>
        <w:jc w:val="both"/>
        <w:rPr>
          <w:rFonts w:hint="default"/>
        </w:rPr>
      </w:pPr>
      <w:r>
        <w:t>附件九</w:t>
      </w:r>
    </w:p>
    <w:p>
      <w:pPr>
        <w:pStyle w:val="72"/>
        <w:widowControl w:val="0"/>
        <w:snapToGrid w:val="0"/>
        <w:spacing w:line="360" w:lineRule="auto"/>
        <w:ind w:firstLine="2560" w:firstLineChars="800"/>
        <w:rPr>
          <w:rFonts w:hint="default" w:hAnsi="宋体" w:cs="宋体"/>
          <w:sz w:val="32"/>
          <w:szCs w:val="32"/>
        </w:rPr>
      </w:pPr>
      <w:r>
        <w:rPr>
          <w:rFonts w:hint="default" w:hAnsi="宋体" w:cs="宋体"/>
          <w:sz w:val="32"/>
          <w:szCs w:val="32"/>
        </w:rPr>
        <w:t>国企采购活动现场确认声明书</w:t>
      </w:r>
    </w:p>
    <w:p>
      <w:pPr>
        <w:pStyle w:val="72"/>
        <w:widowControl w:val="0"/>
        <w:snapToGrid w:val="0"/>
        <w:spacing w:line="360" w:lineRule="auto"/>
        <w:jc w:val="both"/>
        <w:rPr>
          <w:rFonts w:hint="default" w:hAnsi="宋体" w:cs="宋体"/>
          <w:sz w:val="22"/>
          <w:szCs w:val="22"/>
        </w:rPr>
      </w:pPr>
      <w:r>
        <w:rPr>
          <w:rFonts w:hAnsi="宋体" w:cs="宋体"/>
          <w:kern w:val="0"/>
          <w:sz w:val="22"/>
          <w:szCs w:val="22"/>
          <w:u w:val="single"/>
        </w:rPr>
        <w:t>温州市兴城工程造价审计咨询事务所（普通合伙）</w:t>
      </w:r>
      <w:r>
        <w:rPr>
          <w:rFonts w:hint="default" w:hAnsi="宋体" w:cs="宋体"/>
          <w:kern w:val="0"/>
          <w:sz w:val="22"/>
          <w:szCs w:val="22"/>
        </w:rPr>
        <w:t>：</w:t>
      </w:r>
    </w:p>
    <w:p>
      <w:pPr>
        <w:pStyle w:val="72"/>
        <w:widowControl w:val="0"/>
        <w:snapToGrid w:val="0"/>
        <w:spacing w:line="360" w:lineRule="auto"/>
        <w:ind w:firstLine="464" w:firstLineChars="200"/>
        <w:jc w:val="both"/>
        <w:rPr>
          <w:rFonts w:hint="default" w:hAnsi="宋体" w:cs="宋体"/>
          <w:spacing w:val="6"/>
          <w:sz w:val="22"/>
          <w:szCs w:val="22"/>
        </w:rPr>
      </w:pPr>
      <w:r>
        <w:rPr>
          <w:rFonts w:hint="default" w:hAnsi="宋体" w:cs="宋体"/>
          <w:spacing w:val="6"/>
          <w:sz w:val="22"/>
          <w:szCs w:val="22"/>
          <w:u w:val="single"/>
        </w:rPr>
        <w:t>本人经由                    （单位</w:t>
      </w:r>
      <w:r>
        <w:rPr>
          <w:rFonts w:hAnsi="宋体" w:cs="宋体"/>
          <w:spacing w:val="6"/>
          <w:sz w:val="22"/>
          <w:szCs w:val="22"/>
          <w:u w:val="single"/>
        </w:rPr>
        <w:t>名称</w:t>
      </w:r>
      <w:r>
        <w:rPr>
          <w:rFonts w:hint="default" w:hAnsi="宋体" w:cs="宋体"/>
          <w:spacing w:val="6"/>
          <w:sz w:val="22"/>
          <w:szCs w:val="22"/>
          <w:u w:val="single"/>
        </w:rPr>
        <w:t>）负责人      （姓名）合法授权参加</w:t>
      </w:r>
      <w:r>
        <w:rPr>
          <w:rFonts w:hAnsi="宋体" w:cs="宋体"/>
          <w:spacing w:val="6"/>
          <w:sz w:val="22"/>
          <w:szCs w:val="22"/>
          <w:u w:val="single"/>
        </w:rPr>
        <w:t>温州瓯江口建筑泥浆资源化利用项目（原位固化含软基处理泥浆）</w:t>
      </w:r>
      <w:r>
        <w:rPr>
          <w:rFonts w:hint="default" w:hAnsi="宋体" w:cs="宋体"/>
          <w:spacing w:val="6"/>
          <w:sz w:val="22"/>
          <w:szCs w:val="22"/>
          <w:u w:val="single"/>
        </w:rPr>
        <w:t>（</w:t>
      </w:r>
      <w:r>
        <w:rPr>
          <w:rFonts w:hAnsi="宋体" w:cs="宋体"/>
          <w:spacing w:val="6"/>
          <w:sz w:val="22"/>
          <w:szCs w:val="22"/>
          <w:u w:val="single"/>
        </w:rPr>
        <w:t>项目编号</w:t>
      </w:r>
      <w:r>
        <w:rPr>
          <w:rFonts w:hint="default" w:hAnsi="宋体" w:cs="宋体"/>
          <w:spacing w:val="6"/>
          <w:sz w:val="22"/>
          <w:szCs w:val="22"/>
          <w:u w:val="single"/>
        </w:rPr>
        <w:t>：XC-GC20241003）</w:t>
      </w:r>
      <w:r>
        <w:rPr>
          <w:rFonts w:hint="default" w:hAnsi="宋体" w:cs="宋体"/>
          <w:spacing w:val="6"/>
          <w:sz w:val="22"/>
          <w:szCs w:val="22"/>
        </w:rPr>
        <w:t xml:space="preserve">国企采购活动，经与本单位法人代表（负责人）联系确认，现就有关公平竞争事项郑重声明如下： </w:t>
      </w:r>
    </w:p>
    <w:p>
      <w:pPr>
        <w:pStyle w:val="73"/>
        <w:widowControl/>
        <w:numPr>
          <w:ilvl w:val="0"/>
          <w:numId w:val="10"/>
        </w:numPr>
        <w:snapToGrid w:val="0"/>
        <w:spacing w:line="360" w:lineRule="auto"/>
        <w:ind w:firstLine="415"/>
        <w:rPr>
          <w:rFonts w:ascii="宋体" w:hAnsi="宋体" w:cs="宋体"/>
          <w:kern w:val="0"/>
          <w:sz w:val="22"/>
          <w:szCs w:val="22"/>
        </w:rPr>
      </w:pPr>
      <w:r>
        <w:rPr>
          <w:rFonts w:hint="eastAsia" w:ascii="宋体" w:hAnsi="宋体" w:cs="宋体"/>
          <w:kern w:val="0"/>
          <w:sz w:val="22"/>
          <w:szCs w:val="22"/>
        </w:rPr>
        <w:t>本单位与采购人之间□不存在利害关系□存在下列利害关系：</w:t>
      </w:r>
    </w:p>
    <w:p>
      <w:pPr>
        <w:pStyle w:val="73"/>
        <w:widowControl/>
        <w:snapToGrid w:val="0"/>
        <w:spacing w:line="360" w:lineRule="auto"/>
        <w:rPr>
          <w:rFonts w:ascii="宋体" w:hAnsi="宋体" w:cs="宋体"/>
          <w:kern w:val="0"/>
          <w:sz w:val="22"/>
          <w:szCs w:val="22"/>
        </w:rPr>
      </w:pPr>
      <w:r>
        <w:rPr>
          <w:rFonts w:ascii="宋体" w:hAnsi="宋体" w:cs="宋体"/>
          <w:kern w:val="0"/>
          <w:sz w:val="22"/>
          <w:szCs w:val="22"/>
        </w:rPr>
        <w:t>A.投资关系    B.行政隶属关系    C.业务指导关系</w:t>
      </w:r>
    </w:p>
    <w:p>
      <w:pPr>
        <w:pStyle w:val="73"/>
        <w:widowControl/>
        <w:snapToGrid w:val="0"/>
        <w:spacing w:line="360" w:lineRule="auto"/>
        <w:rPr>
          <w:rFonts w:ascii="宋体" w:hAnsi="宋体" w:cs="宋体"/>
          <w:kern w:val="0"/>
          <w:sz w:val="22"/>
          <w:szCs w:val="22"/>
        </w:rPr>
      </w:pPr>
      <w:r>
        <w:rPr>
          <w:rFonts w:ascii="宋体" w:hAnsi="宋体" w:cs="宋体"/>
          <w:kern w:val="0"/>
          <w:sz w:val="22"/>
          <w:szCs w:val="22"/>
        </w:rPr>
        <w:t>D.其他可能</w:t>
      </w:r>
      <w:r>
        <w:rPr>
          <w:rFonts w:hint="eastAsia" w:ascii="宋体" w:hAnsi="宋体" w:cs="宋体"/>
          <w:sz w:val="22"/>
          <w:szCs w:val="22"/>
        </w:rPr>
        <w:t>影响采购公正的</w:t>
      </w:r>
      <w:r>
        <w:rPr>
          <w:rFonts w:hint="eastAsia" w:ascii="宋体" w:hAnsi="宋体" w:cs="宋体"/>
          <w:kern w:val="0"/>
          <w:sz w:val="22"/>
          <w:szCs w:val="22"/>
        </w:rPr>
        <w:t>利害关系</w:t>
      </w:r>
      <w:r>
        <w:rPr>
          <w:rFonts w:hint="eastAsia" w:ascii="宋体" w:hAnsi="宋体" w:cs="宋体"/>
          <w:kern w:val="0"/>
          <w:sz w:val="22"/>
          <w:szCs w:val="22"/>
          <w:u w:val="single"/>
        </w:rPr>
        <w:t>（如有，请如实说明）</w:t>
      </w:r>
      <w:r>
        <w:rPr>
          <w:rFonts w:hint="eastAsia" w:ascii="宋体" w:hAnsi="宋体" w:cs="宋体"/>
          <w:kern w:val="0"/>
          <w:sz w:val="22"/>
          <w:szCs w:val="22"/>
        </w:rPr>
        <w:t>。</w:t>
      </w:r>
    </w:p>
    <w:p>
      <w:pPr>
        <w:pStyle w:val="73"/>
        <w:widowControl/>
        <w:snapToGrid w:val="0"/>
        <w:spacing w:line="360" w:lineRule="auto"/>
        <w:rPr>
          <w:rFonts w:ascii="宋体" w:hAnsi="宋体" w:cs="宋体"/>
          <w:kern w:val="0"/>
          <w:sz w:val="22"/>
          <w:szCs w:val="22"/>
        </w:rPr>
      </w:pPr>
      <w:r>
        <w:rPr>
          <w:rFonts w:hint="eastAsia" w:ascii="宋体" w:hAnsi="宋体" w:cs="宋体"/>
          <w:spacing w:val="6"/>
          <w:sz w:val="22"/>
          <w:szCs w:val="22"/>
        </w:rPr>
        <w:t>二、</w:t>
      </w:r>
      <w:r>
        <w:rPr>
          <w:rFonts w:hint="eastAsia" w:ascii="宋体" w:hAnsi="宋体" w:cs="宋体"/>
          <w:kern w:val="0"/>
          <w:sz w:val="22"/>
          <w:szCs w:val="22"/>
        </w:rPr>
        <w:t>现已清楚知道参加本项目采购活动的其他所有供应商名称，本单位□与其他所有供应商之间均不存在利害关系□与</w:t>
      </w:r>
      <w:r>
        <w:rPr>
          <w:rFonts w:ascii="宋体" w:hAnsi="宋体" w:cs="宋体"/>
          <w:kern w:val="0"/>
          <w:sz w:val="22"/>
          <w:szCs w:val="22"/>
          <w:u w:val="single"/>
        </w:rPr>
        <w:t xml:space="preserve">           （供应商名称）</w:t>
      </w:r>
      <w:r>
        <w:rPr>
          <w:rFonts w:hint="eastAsia" w:ascii="宋体" w:hAnsi="宋体" w:cs="宋体"/>
          <w:kern w:val="0"/>
          <w:sz w:val="22"/>
          <w:szCs w:val="22"/>
        </w:rPr>
        <w:t>之间存在下列利害关系：</w:t>
      </w:r>
    </w:p>
    <w:p>
      <w:pPr>
        <w:pStyle w:val="72"/>
        <w:widowControl w:val="0"/>
        <w:snapToGrid w:val="0"/>
        <w:spacing w:line="360" w:lineRule="auto"/>
        <w:jc w:val="both"/>
        <w:rPr>
          <w:rFonts w:hint="default" w:hAnsi="宋体" w:cs="宋体"/>
          <w:kern w:val="0"/>
          <w:sz w:val="22"/>
          <w:szCs w:val="22"/>
        </w:rPr>
      </w:pPr>
      <w:r>
        <w:rPr>
          <w:rFonts w:hint="default" w:hAnsi="宋体" w:cs="宋体"/>
          <w:kern w:val="0"/>
          <w:sz w:val="22"/>
          <w:szCs w:val="22"/>
        </w:rPr>
        <w:t>A.法定代表人或负责人或实际控制人是同一人</w:t>
      </w:r>
    </w:p>
    <w:p>
      <w:pPr>
        <w:pStyle w:val="72"/>
        <w:widowControl w:val="0"/>
        <w:snapToGrid w:val="0"/>
        <w:spacing w:line="360" w:lineRule="auto"/>
        <w:jc w:val="both"/>
        <w:rPr>
          <w:rFonts w:hint="default" w:hAnsi="宋体" w:cs="宋体"/>
          <w:spacing w:val="6"/>
          <w:sz w:val="22"/>
          <w:szCs w:val="22"/>
        </w:rPr>
      </w:pPr>
      <w:r>
        <w:rPr>
          <w:rFonts w:hint="default" w:hAnsi="宋体" w:cs="宋体"/>
          <w:kern w:val="0"/>
          <w:sz w:val="22"/>
          <w:szCs w:val="22"/>
        </w:rPr>
        <w:t>B.法定代表人或负责人或实际控制人是夫妻关系</w:t>
      </w:r>
    </w:p>
    <w:p>
      <w:pPr>
        <w:pStyle w:val="72"/>
        <w:widowControl w:val="0"/>
        <w:snapToGrid w:val="0"/>
        <w:spacing w:line="360" w:lineRule="auto"/>
        <w:jc w:val="both"/>
        <w:rPr>
          <w:rFonts w:hint="default" w:hAnsi="宋体" w:cs="宋体"/>
          <w:spacing w:val="6"/>
          <w:sz w:val="22"/>
          <w:szCs w:val="22"/>
        </w:rPr>
      </w:pPr>
      <w:r>
        <w:rPr>
          <w:rFonts w:hint="default" w:hAnsi="宋体" w:cs="宋体"/>
          <w:kern w:val="0"/>
          <w:sz w:val="22"/>
          <w:szCs w:val="22"/>
        </w:rPr>
        <w:t>C.法定代表人或负责人或实际控制人是直系血亲关系</w:t>
      </w:r>
    </w:p>
    <w:p>
      <w:pPr>
        <w:pStyle w:val="72"/>
        <w:widowControl w:val="0"/>
        <w:snapToGrid w:val="0"/>
        <w:spacing w:line="360" w:lineRule="auto"/>
        <w:jc w:val="both"/>
        <w:rPr>
          <w:rFonts w:hint="default" w:hAnsi="宋体" w:cs="宋体"/>
          <w:spacing w:val="6"/>
          <w:sz w:val="22"/>
          <w:szCs w:val="22"/>
        </w:rPr>
      </w:pPr>
      <w:r>
        <w:rPr>
          <w:rFonts w:hint="default" w:hAnsi="宋体" w:cs="宋体"/>
          <w:kern w:val="0"/>
          <w:sz w:val="22"/>
          <w:szCs w:val="22"/>
        </w:rPr>
        <w:t>D.法定代表人或负责人或实际控制人存在三代以内旁系血亲关系</w:t>
      </w:r>
    </w:p>
    <w:p>
      <w:pPr>
        <w:pStyle w:val="72"/>
        <w:widowControl w:val="0"/>
        <w:snapToGrid w:val="0"/>
        <w:spacing w:line="360" w:lineRule="auto"/>
        <w:jc w:val="both"/>
        <w:rPr>
          <w:rFonts w:hint="default" w:hAnsi="宋体" w:cs="宋体"/>
          <w:kern w:val="0"/>
          <w:sz w:val="22"/>
          <w:szCs w:val="22"/>
        </w:rPr>
      </w:pPr>
      <w:r>
        <w:rPr>
          <w:rFonts w:hint="default" w:hAnsi="宋体" w:cs="宋体"/>
          <w:kern w:val="0"/>
          <w:sz w:val="22"/>
          <w:szCs w:val="22"/>
        </w:rPr>
        <w:t>E.法定代表人或负责人或实际控制人存在近姻亲关系</w:t>
      </w:r>
    </w:p>
    <w:p>
      <w:pPr>
        <w:pStyle w:val="72"/>
        <w:widowControl w:val="0"/>
        <w:snapToGrid w:val="0"/>
        <w:spacing w:line="360" w:lineRule="auto"/>
        <w:jc w:val="both"/>
        <w:rPr>
          <w:rFonts w:hint="default" w:hAnsi="宋体" w:cs="宋体"/>
          <w:kern w:val="0"/>
          <w:sz w:val="22"/>
          <w:szCs w:val="22"/>
        </w:rPr>
      </w:pPr>
      <w:r>
        <w:rPr>
          <w:rFonts w:hint="default" w:hAnsi="宋体" w:cs="宋体"/>
          <w:kern w:val="0"/>
          <w:sz w:val="22"/>
          <w:szCs w:val="22"/>
        </w:rPr>
        <w:t>F.法定代表人或负责人或实际控制人存在股份控制或实际控制关系</w:t>
      </w:r>
    </w:p>
    <w:p>
      <w:pPr>
        <w:pStyle w:val="72"/>
        <w:widowControl w:val="0"/>
        <w:snapToGrid w:val="0"/>
        <w:spacing w:line="360" w:lineRule="auto"/>
        <w:jc w:val="both"/>
        <w:outlineLvl w:val="0"/>
        <w:rPr>
          <w:rFonts w:hint="default" w:hAnsi="宋体" w:cs="宋体"/>
          <w:kern w:val="0"/>
          <w:sz w:val="22"/>
          <w:szCs w:val="22"/>
        </w:rPr>
      </w:pPr>
      <w:bookmarkStart w:id="205" w:name="_Toc173317415"/>
      <w:bookmarkStart w:id="206" w:name="_Toc173317538"/>
      <w:r>
        <w:rPr>
          <w:rFonts w:hint="default" w:hAnsi="宋体" w:cs="宋体"/>
          <w:kern w:val="0"/>
          <w:sz w:val="22"/>
          <w:szCs w:val="22"/>
        </w:rPr>
        <w:t>G.存在共同直接或间接投资设立子公司、联营企业和合营企业情况</w:t>
      </w:r>
      <w:bookmarkEnd w:id="205"/>
      <w:bookmarkEnd w:id="206"/>
    </w:p>
    <w:p>
      <w:pPr>
        <w:pStyle w:val="72"/>
        <w:widowControl w:val="0"/>
        <w:snapToGrid w:val="0"/>
        <w:spacing w:line="360" w:lineRule="auto"/>
        <w:jc w:val="both"/>
        <w:rPr>
          <w:rFonts w:hint="default" w:hAnsi="宋体" w:cs="宋体"/>
          <w:sz w:val="22"/>
          <w:szCs w:val="22"/>
        </w:rPr>
      </w:pPr>
      <w:r>
        <w:rPr>
          <w:rFonts w:hint="default" w:hAnsi="宋体" w:cs="宋体"/>
          <w:kern w:val="0"/>
          <w:sz w:val="22"/>
          <w:szCs w:val="22"/>
        </w:rPr>
        <w:t>H.存在分级代理或代销关系、同一生产制造商关系、</w:t>
      </w:r>
      <w:r>
        <w:rPr>
          <w:rFonts w:hint="default" w:hAnsi="宋体" w:cs="宋体"/>
          <w:sz w:val="22"/>
          <w:szCs w:val="22"/>
        </w:rPr>
        <w:t>管理关系、重要业务（占主营业务收入50%以上）或重要财务往来关系（如融资）等其他实质性控制关系</w:t>
      </w:r>
    </w:p>
    <w:p>
      <w:pPr>
        <w:pStyle w:val="72"/>
        <w:widowControl w:val="0"/>
        <w:snapToGrid w:val="0"/>
        <w:spacing w:line="360" w:lineRule="auto"/>
        <w:jc w:val="both"/>
        <w:rPr>
          <w:rFonts w:hint="default" w:hAnsi="宋体" w:cs="宋体"/>
          <w:spacing w:val="6"/>
          <w:sz w:val="22"/>
          <w:szCs w:val="22"/>
        </w:rPr>
      </w:pPr>
      <w:r>
        <w:rPr>
          <w:rFonts w:hint="default" w:hAnsi="宋体" w:cs="宋体"/>
          <w:sz w:val="22"/>
          <w:szCs w:val="22"/>
        </w:rPr>
        <w:t>I</w:t>
      </w:r>
      <w:r>
        <w:rPr>
          <w:rFonts w:hint="default" w:hAnsi="宋体" w:cs="宋体"/>
          <w:kern w:val="0"/>
          <w:sz w:val="22"/>
          <w:szCs w:val="22"/>
        </w:rPr>
        <w:t>.</w:t>
      </w:r>
      <w:r>
        <w:rPr>
          <w:rFonts w:hint="default" w:hAnsi="宋体" w:cs="宋体"/>
          <w:sz w:val="22"/>
          <w:szCs w:val="22"/>
        </w:rPr>
        <w:t>其他利害关系情况</w:t>
      </w:r>
      <w:r>
        <w:rPr>
          <w:rFonts w:hint="default" w:hAnsi="宋体" w:cs="宋体"/>
          <w:kern w:val="0"/>
          <w:sz w:val="22"/>
          <w:szCs w:val="22"/>
        </w:rPr>
        <w:t>。</w:t>
      </w:r>
    </w:p>
    <w:p>
      <w:pPr>
        <w:pStyle w:val="73"/>
        <w:widowControl/>
        <w:numPr>
          <w:ilvl w:val="0"/>
          <w:numId w:val="11"/>
        </w:numPr>
        <w:snapToGrid w:val="0"/>
        <w:spacing w:line="360" w:lineRule="auto"/>
        <w:ind w:firstLine="415" w:firstLineChars="189"/>
        <w:rPr>
          <w:rFonts w:ascii="宋体" w:hAnsi="宋体" w:cs="宋体"/>
          <w:kern w:val="0"/>
          <w:sz w:val="22"/>
          <w:szCs w:val="22"/>
        </w:rPr>
      </w:pPr>
      <w:r>
        <w:rPr>
          <w:rFonts w:hint="eastAsia" w:ascii="宋体" w:hAnsi="宋体" w:cs="宋体"/>
          <w:sz w:val="22"/>
          <w:szCs w:val="22"/>
        </w:rPr>
        <w:t>现已清楚知道并</w:t>
      </w:r>
      <w:r>
        <w:rPr>
          <w:rFonts w:hint="eastAsia" w:ascii="宋体" w:hAnsi="宋体" w:cs="宋体"/>
          <w:kern w:val="0"/>
          <w:sz w:val="22"/>
          <w:szCs w:val="22"/>
        </w:rPr>
        <w:t>严格遵守国企采购法律法规和现场纪律。</w:t>
      </w:r>
    </w:p>
    <w:p>
      <w:pPr>
        <w:pStyle w:val="73"/>
        <w:widowControl/>
        <w:numPr>
          <w:ilvl w:val="0"/>
          <w:numId w:val="11"/>
        </w:numPr>
        <w:snapToGrid w:val="0"/>
        <w:spacing w:line="360" w:lineRule="auto"/>
        <w:ind w:firstLine="415" w:firstLineChars="189"/>
        <w:rPr>
          <w:rFonts w:ascii="宋体" w:hAnsi="宋体" w:cs="宋体"/>
          <w:kern w:val="0"/>
          <w:sz w:val="22"/>
          <w:szCs w:val="22"/>
        </w:rPr>
      </w:pPr>
      <w:r>
        <w:rPr>
          <w:rFonts w:hint="eastAsia" w:ascii="宋体" w:hAnsi="宋体" w:cs="宋体"/>
          <w:kern w:val="0"/>
          <w:sz w:val="22"/>
          <w:szCs w:val="22"/>
        </w:rPr>
        <w:t>我发现供应商之间存在或可能存在上述第二条第项利害关系</w:t>
      </w:r>
    </w:p>
    <w:p>
      <w:pPr>
        <w:pStyle w:val="73"/>
        <w:widowControl/>
        <w:numPr>
          <w:ilvl w:val="255"/>
          <w:numId w:val="0"/>
        </w:numPr>
        <w:snapToGrid w:val="0"/>
        <w:spacing w:line="360" w:lineRule="auto"/>
        <w:rPr>
          <w:rFonts w:ascii="宋体" w:hAnsi="宋体" w:cs="宋体"/>
          <w:kern w:val="0"/>
          <w:sz w:val="22"/>
          <w:szCs w:val="22"/>
        </w:rPr>
      </w:pPr>
    </w:p>
    <w:p>
      <w:pPr>
        <w:pStyle w:val="72"/>
        <w:widowControl w:val="0"/>
        <w:snapToGrid w:val="0"/>
        <w:spacing w:line="360" w:lineRule="auto"/>
        <w:ind w:firstLine="5280" w:firstLineChars="2400"/>
        <w:jc w:val="both"/>
        <w:rPr>
          <w:rFonts w:hint="default" w:hAnsi="宋体" w:cs="宋体"/>
          <w:sz w:val="22"/>
          <w:szCs w:val="22"/>
        </w:rPr>
      </w:pPr>
      <w:r>
        <w:rPr>
          <w:rFonts w:hint="default" w:hAnsi="宋体" w:cs="宋体"/>
          <w:sz w:val="22"/>
          <w:szCs w:val="22"/>
        </w:rPr>
        <w:t>（供应商代表签名）</w:t>
      </w:r>
    </w:p>
    <w:p>
      <w:pPr>
        <w:spacing w:line="360" w:lineRule="exact"/>
        <w:ind w:left="718" w:leftChars="321" w:hanging="44" w:hangingChars="20"/>
        <w:rPr>
          <w:rFonts w:ascii="宋体" w:cs="Arial"/>
          <w:sz w:val="22"/>
        </w:rPr>
      </w:pPr>
      <w:r>
        <w:rPr>
          <w:rFonts w:hAnsi="宋体" w:cs="宋体"/>
          <w:sz w:val="22"/>
        </w:rPr>
        <w:t xml:space="preserve">                                              年  月   日</w:t>
      </w:r>
    </w:p>
    <w:p>
      <w:pPr>
        <w:spacing w:line="360" w:lineRule="exact"/>
        <w:ind w:left="718" w:leftChars="321" w:hanging="44" w:hangingChars="20"/>
        <w:rPr>
          <w:rFonts w:ascii="宋体" w:cs="Arial"/>
          <w:sz w:val="22"/>
        </w:rPr>
      </w:pPr>
    </w:p>
    <w:p>
      <w:pPr>
        <w:spacing w:line="360" w:lineRule="auto"/>
        <w:jc w:val="center"/>
        <w:rPr>
          <w:rFonts w:ascii="宋体" w:hAnsi="宋体" w:cs="宋体"/>
          <w:b/>
          <w:bCs/>
          <w:kern w:val="0"/>
          <w:sz w:val="36"/>
          <w:szCs w:val="36"/>
          <w:lang w:val="zh-CN"/>
        </w:rPr>
      </w:pPr>
      <w:bookmarkStart w:id="207" w:name="_Toc91494381"/>
      <w:r>
        <w:rPr>
          <w:rFonts w:ascii="宋体" w:hAnsi="宋体"/>
          <w:b/>
          <w:bCs/>
        </w:rPr>
        <w:br w:type="page"/>
      </w:r>
      <w:bookmarkEnd w:id="207"/>
      <w:r>
        <w:rPr>
          <w:rFonts w:hint="eastAsia" w:ascii="宋体" w:hAnsi="宋体" w:cs="宋体"/>
          <w:b/>
          <w:bCs/>
          <w:kern w:val="0"/>
          <w:sz w:val="36"/>
          <w:szCs w:val="36"/>
          <w:lang w:val="zh-CN"/>
        </w:rPr>
        <w:t>附 评标定标办法</w:t>
      </w:r>
    </w:p>
    <w:p>
      <w:pPr>
        <w:overflowPunct w:val="0"/>
        <w:spacing w:line="420" w:lineRule="exact"/>
        <w:ind w:firstLine="420"/>
        <w:rPr>
          <w:rFonts w:ascii="宋体" w:hAnsi="宋体" w:cs="宋体"/>
          <w:b/>
          <w:kern w:val="0"/>
          <w:sz w:val="22"/>
          <w:lang w:val="zh-CN"/>
        </w:rPr>
      </w:pPr>
      <w:bookmarkStart w:id="208" w:name="_Toc221356961"/>
      <w:bookmarkStart w:id="209" w:name="_Toc221356898"/>
      <w:r>
        <w:rPr>
          <w:rFonts w:hint="eastAsia" w:ascii="宋体" w:hAnsi="宋体" w:cs="宋体"/>
          <w:b/>
          <w:kern w:val="0"/>
          <w:sz w:val="22"/>
          <w:lang w:val="zh-CN"/>
        </w:rPr>
        <w:t>一</w:t>
      </w:r>
      <w:r>
        <w:rPr>
          <w:rFonts w:ascii="宋体" w:hAnsi="宋体" w:cs="宋体"/>
          <w:b/>
          <w:kern w:val="0"/>
          <w:sz w:val="22"/>
          <w:lang w:val="zh-CN"/>
        </w:rPr>
        <w:t xml:space="preserve">. </w:t>
      </w:r>
      <w:r>
        <w:rPr>
          <w:rFonts w:hint="eastAsia" w:ascii="宋体" w:hAnsi="宋体" w:cs="宋体"/>
          <w:b/>
          <w:kern w:val="0"/>
          <w:sz w:val="22"/>
          <w:lang w:val="zh-CN"/>
        </w:rPr>
        <w:t>总则</w:t>
      </w:r>
    </w:p>
    <w:p>
      <w:pPr>
        <w:overflowPunct w:val="0"/>
        <w:spacing w:line="420" w:lineRule="exact"/>
        <w:ind w:firstLine="420"/>
        <w:rPr>
          <w:rFonts w:ascii="宋体" w:hAnsi="宋体" w:cs="宋体"/>
          <w:sz w:val="22"/>
        </w:rPr>
      </w:pPr>
      <w:r>
        <w:rPr>
          <w:rFonts w:hint="eastAsia" w:ascii="宋体" w:hAnsi="宋体" w:cs="宋体"/>
          <w:sz w:val="22"/>
        </w:rPr>
        <w:t>评标工作遵循公平、公正、科学、择优原则和诚实、信誉、效率的服务原则。本着科学、严谨的态度，认真进行评标。择优选用，最大限度的保护当事人权益，严格按照采购文件的商务、技术要求，对投标文件进行综合评定，提出优选方案，编写评标报告。对落标单位，评委会不作任何落标解释。投标供应商不得以任何方式干扰招投标工作的进行，一经发现其投标文件将被拒绝。</w:t>
      </w:r>
    </w:p>
    <w:p>
      <w:pPr>
        <w:overflowPunct w:val="0"/>
        <w:spacing w:line="420" w:lineRule="exact"/>
        <w:ind w:firstLine="420"/>
        <w:rPr>
          <w:rFonts w:ascii="宋体" w:hAnsi="宋体" w:cs="宋体"/>
          <w:b/>
          <w:kern w:val="0"/>
          <w:sz w:val="22"/>
          <w:lang w:val="zh-CN"/>
        </w:rPr>
      </w:pPr>
      <w:r>
        <w:rPr>
          <w:rFonts w:hint="eastAsia" w:ascii="宋体" w:hAnsi="宋体" w:cs="宋体"/>
          <w:b/>
          <w:kern w:val="0"/>
          <w:sz w:val="22"/>
          <w:lang w:val="zh-CN"/>
        </w:rPr>
        <w:t>二、评标组织</w:t>
      </w:r>
    </w:p>
    <w:p>
      <w:pPr>
        <w:overflowPunct w:val="0"/>
        <w:spacing w:line="420" w:lineRule="exact"/>
        <w:ind w:firstLine="420"/>
        <w:rPr>
          <w:rFonts w:ascii="宋体" w:hAnsi="宋体" w:cs="宋体"/>
          <w:sz w:val="22"/>
        </w:rPr>
      </w:pPr>
      <w:r>
        <w:rPr>
          <w:rFonts w:hint="eastAsia" w:ascii="宋体" w:hAnsi="宋体" w:cs="宋体"/>
          <w:sz w:val="22"/>
        </w:rPr>
        <w:t>评标工作由采购人依法组建的评标委员会负责，评标全过程由有关部门指导监督。</w:t>
      </w:r>
    </w:p>
    <w:p>
      <w:pPr>
        <w:overflowPunct w:val="0"/>
        <w:spacing w:line="420" w:lineRule="exact"/>
        <w:ind w:firstLine="420"/>
        <w:rPr>
          <w:rFonts w:ascii="宋体" w:hAnsi="宋体" w:cs="宋体"/>
          <w:b/>
          <w:kern w:val="0"/>
          <w:sz w:val="22"/>
          <w:lang w:val="zh-CN"/>
        </w:rPr>
      </w:pPr>
      <w:r>
        <w:rPr>
          <w:rFonts w:hint="eastAsia" w:ascii="宋体" w:hAnsi="宋体" w:cs="宋体"/>
          <w:b/>
          <w:kern w:val="0"/>
          <w:sz w:val="22"/>
          <w:lang w:val="zh-CN"/>
        </w:rPr>
        <w:t>三、评标程序</w:t>
      </w:r>
    </w:p>
    <w:p>
      <w:pPr>
        <w:overflowPunct w:val="0"/>
        <w:spacing w:line="420" w:lineRule="exact"/>
        <w:ind w:firstLine="420"/>
        <w:rPr>
          <w:rFonts w:ascii="宋体" w:hAnsi="宋体" w:cs="宋体"/>
          <w:sz w:val="22"/>
        </w:rPr>
      </w:pPr>
      <w:r>
        <w:rPr>
          <w:rFonts w:ascii="宋体" w:hAnsi="宋体" w:cs="宋体"/>
          <w:sz w:val="22"/>
        </w:rPr>
        <w:t>1、采购人或代理机构对各投标供应商的投标资格进行审查；然后评标委员会对合格投标供应商的商务技术进行评审；商务技术评审结束后对报价标评审，根据综合评审结果，提交评审报告。</w:t>
      </w:r>
    </w:p>
    <w:p>
      <w:pPr>
        <w:overflowPunct w:val="0"/>
        <w:spacing w:line="420" w:lineRule="exact"/>
        <w:ind w:firstLine="420"/>
        <w:rPr>
          <w:rFonts w:ascii="宋体" w:hAnsi="宋体" w:cs="宋体"/>
          <w:sz w:val="22"/>
        </w:rPr>
      </w:pPr>
      <w:r>
        <w:rPr>
          <w:rFonts w:ascii="宋体" w:hAnsi="宋体" w:cs="宋体"/>
          <w:sz w:val="22"/>
        </w:rPr>
        <w:t>2、若投标供应商投标报价超出采购最高限价，作无效标处理。若所有投标供应商投标报价均超出采购最高限价，采购人无法支付，本项目做流标处理。</w:t>
      </w:r>
    </w:p>
    <w:p>
      <w:pPr>
        <w:overflowPunct w:val="0"/>
        <w:spacing w:line="420" w:lineRule="exact"/>
        <w:ind w:firstLine="420"/>
        <w:rPr>
          <w:rFonts w:ascii="宋体" w:hAnsi="宋体" w:cs="宋体"/>
          <w:b/>
          <w:kern w:val="0"/>
          <w:sz w:val="22"/>
          <w:lang w:val="zh-CN"/>
        </w:rPr>
      </w:pPr>
      <w:r>
        <w:rPr>
          <w:rFonts w:hint="eastAsia" w:ascii="宋体" w:hAnsi="宋体" w:cs="宋体"/>
          <w:b/>
          <w:kern w:val="0"/>
          <w:sz w:val="22"/>
          <w:lang w:val="zh-CN"/>
        </w:rPr>
        <w:t>四、评标办法</w:t>
      </w:r>
    </w:p>
    <w:p>
      <w:pPr>
        <w:overflowPunct w:val="0"/>
        <w:spacing w:line="420" w:lineRule="exact"/>
        <w:ind w:firstLine="420"/>
        <w:rPr>
          <w:rFonts w:ascii="宋体" w:hAnsi="宋体" w:cs="宋体"/>
          <w:sz w:val="22"/>
        </w:rPr>
      </w:pPr>
      <w:r>
        <w:rPr>
          <w:rFonts w:hint="eastAsia" w:ascii="宋体" w:hAnsi="宋体" w:cs="宋体"/>
          <w:sz w:val="22"/>
        </w:rPr>
        <w:t>本次采购采用百分制综合评分法，即投标供应商最大限度地满足采购文件实质性要求的基础上，按照采购文件的各项因素进行综合评审后，选取综合得分（商务技术分</w:t>
      </w:r>
      <w:r>
        <w:rPr>
          <w:rFonts w:ascii="宋体" w:hAnsi="宋体" w:cs="宋体"/>
          <w:sz w:val="22"/>
        </w:rPr>
        <w:t>+报价分</w:t>
      </w:r>
      <w:r>
        <w:rPr>
          <w:rFonts w:hint="eastAsia" w:ascii="宋体" w:hAnsi="宋体" w:cs="宋体"/>
          <w:sz w:val="22"/>
        </w:rPr>
        <w:t>）最高的二家投标供应商推荐为中标候选人</w:t>
      </w:r>
      <w:r>
        <w:rPr>
          <w:rFonts w:hint="eastAsia" w:ascii="宋体" w:hAnsi="宋体" w:cs="宋体"/>
          <w:bCs/>
          <w:sz w:val="22"/>
        </w:rPr>
        <w:t>（得分相同投标报价低的排序前位；得分且投标报价相同的，由评标委员会抽签确定）</w:t>
      </w:r>
      <w:r>
        <w:rPr>
          <w:rFonts w:hint="eastAsia" w:ascii="宋体" w:hAnsi="宋体" w:cs="宋体"/>
          <w:sz w:val="22"/>
        </w:rPr>
        <w:t>。</w:t>
      </w:r>
    </w:p>
    <w:p>
      <w:pPr>
        <w:overflowPunct w:val="0"/>
        <w:spacing w:line="420" w:lineRule="exact"/>
        <w:ind w:firstLine="420"/>
        <w:rPr>
          <w:rFonts w:ascii="宋体" w:hAnsi="宋体" w:cs="宋体"/>
          <w:b/>
          <w:kern w:val="0"/>
          <w:sz w:val="22"/>
          <w:lang w:val="zh-CN"/>
        </w:rPr>
      </w:pPr>
      <w:r>
        <w:rPr>
          <w:rFonts w:hint="eastAsia" w:ascii="宋体" w:hAnsi="宋体" w:cs="宋体"/>
          <w:b/>
          <w:kern w:val="0"/>
          <w:sz w:val="22"/>
          <w:lang w:val="zh-CN"/>
        </w:rPr>
        <w:t>五、评分细则</w:t>
      </w:r>
    </w:p>
    <w:p>
      <w:pPr>
        <w:overflowPunct w:val="0"/>
        <w:spacing w:line="420" w:lineRule="exact"/>
        <w:ind w:firstLine="420"/>
        <w:rPr>
          <w:rFonts w:ascii="宋体" w:hAnsi="宋体" w:cs="宋体"/>
          <w:bCs/>
          <w:sz w:val="22"/>
        </w:rPr>
      </w:pPr>
      <w:r>
        <w:rPr>
          <w:rFonts w:ascii="宋体" w:hAnsi="宋体" w:cs="宋体"/>
          <w:sz w:val="22"/>
        </w:rPr>
        <w:t>1、商务技术分的评定</w:t>
      </w:r>
      <w:r>
        <w:rPr>
          <w:rFonts w:hint="eastAsia" w:ascii="宋体" w:hAnsi="宋体" w:cs="宋体"/>
          <w:bCs/>
          <w:sz w:val="22"/>
        </w:rPr>
        <w:t>（5</w:t>
      </w:r>
      <w:r>
        <w:rPr>
          <w:rFonts w:ascii="宋体" w:hAnsi="宋体" w:cs="宋体"/>
          <w:bCs/>
          <w:sz w:val="22"/>
        </w:rPr>
        <w:t>0分）</w:t>
      </w:r>
    </w:p>
    <w:p>
      <w:pPr>
        <w:overflowPunct w:val="0"/>
        <w:spacing w:line="420" w:lineRule="exact"/>
        <w:ind w:firstLine="420"/>
        <w:rPr>
          <w:rFonts w:ascii="宋体" w:hAnsi="宋体" w:cs="宋体"/>
          <w:bCs/>
          <w:sz w:val="22"/>
        </w:rPr>
      </w:pPr>
      <w:r>
        <w:rPr>
          <w:rFonts w:hint="eastAsia" w:ascii="宋体" w:hAnsi="宋体" w:cs="宋体"/>
          <w:bCs/>
          <w:sz w:val="22"/>
        </w:rPr>
        <w:t>各评委成员按下列评分项目进行评定，每人一张评分计算表，由评标委员会成员各自评定打分并记实名（打分保留一位小数）。如任何一张表的一项评分内容分值超过规定的范围，则该张表无效。各评标委员会成员对各投标供应商的各项评分内容进行评审打分，所有评委成员的评分算术平均值为该投标供应商商务技术分的最终得分（四舍五入，保留小数点后二位）。</w:t>
      </w:r>
    </w:p>
    <w:tbl>
      <w:tblPr>
        <w:tblStyle w:val="24"/>
        <w:tblW w:w="985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821"/>
        <w:gridCol w:w="1237"/>
        <w:gridCol w:w="6417"/>
        <w:gridCol w:w="137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67" w:hRule="atLeast"/>
          <w:jc w:val="center"/>
        </w:trPr>
        <w:tc>
          <w:tcPr>
            <w:tcW w:w="821" w:type="dxa"/>
            <w:vAlign w:val="center"/>
          </w:tcPr>
          <w:p>
            <w:pPr>
              <w:jc w:val="center"/>
              <w:rPr>
                <w:rFonts w:ascii="新宋体" w:hAnsi="新宋体" w:eastAsia="新宋体" w:cs="新宋体"/>
                <w:sz w:val="22"/>
              </w:rPr>
            </w:pPr>
            <w:r>
              <w:rPr>
                <w:rFonts w:hint="eastAsia" w:ascii="新宋体" w:hAnsi="新宋体" w:eastAsia="新宋体" w:cs="新宋体"/>
                <w:sz w:val="22"/>
              </w:rPr>
              <w:t>序号</w:t>
            </w:r>
          </w:p>
        </w:tc>
        <w:tc>
          <w:tcPr>
            <w:tcW w:w="1237" w:type="dxa"/>
            <w:vAlign w:val="center"/>
          </w:tcPr>
          <w:p>
            <w:pPr>
              <w:jc w:val="center"/>
              <w:rPr>
                <w:rFonts w:ascii="新宋体" w:hAnsi="新宋体" w:eastAsia="新宋体" w:cs="新宋体"/>
                <w:sz w:val="22"/>
              </w:rPr>
            </w:pPr>
            <w:r>
              <w:rPr>
                <w:rFonts w:hint="eastAsia" w:ascii="新宋体" w:hAnsi="新宋体" w:eastAsia="新宋体" w:cs="新宋体"/>
                <w:sz w:val="22"/>
              </w:rPr>
              <w:t>评审项目</w:t>
            </w:r>
          </w:p>
        </w:tc>
        <w:tc>
          <w:tcPr>
            <w:tcW w:w="6417" w:type="dxa"/>
            <w:vAlign w:val="center"/>
          </w:tcPr>
          <w:p>
            <w:pPr>
              <w:jc w:val="center"/>
              <w:rPr>
                <w:rFonts w:ascii="新宋体" w:hAnsi="新宋体" w:eastAsia="新宋体" w:cs="新宋体"/>
                <w:sz w:val="22"/>
              </w:rPr>
            </w:pPr>
            <w:r>
              <w:rPr>
                <w:rFonts w:hint="eastAsia" w:ascii="新宋体" w:hAnsi="新宋体" w:eastAsia="新宋体" w:cs="新宋体"/>
                <w:sz w:val="22"/>
              </w:rPr>
              <w:t>评审细则</w:t>
            </w:r>
          </w:p>
        </w:tc>
        <w:tc>
          <w:tcPr>
            <w:tcW w:w="1379" w:type="dxa"/>
            <w:vAlign w:val="center"/>
          </w:tcPr>
          <w:p>
            <w:pPr>
              <w:jc w:val="center"/>
              <w:rPr>
                <w:rFonts w:ascii="宋体" w:hAnsi="宋体" w:cs="宋体"/>
                <w:sz w:val="22"/>
              </w:rPr>
            </w:pPr>
            <w:r>
              <w:rPr>
                <w:rFonts w:hint="eastAsia" w:ascii="宋体" w:hAnsi="宋体" w:cs="宋体"/>
                <w:w w:val="99"/>
                <w:sz w:val="22"/>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66" w:hRule="atLeast"/>
          <w:jc w:val="center"/>
        </w:trPr>
        <w:tc>
          <w:tcPr>
            <w:tcW w:w="821" w:type="dxa"/>
            <w:vAlign w:val="center"/>
          </w:tcPr>
          <w:p>
            <w:pPr>
              <w:jc w:val="center"/>
              <w:rPr>
                <w:rFonts w:ascii="新宋体" w:hAnsi="新宋体" w:eastAsia="新宋体" w:cs="新宋体"/>
                <w:sz w:val="22"/>
              </w:rPr>
            </w:pPr>
            <w:r>
              <w:rPr>
                <w:rFonts w:ascii="新宋体" w:hAnsi="新宋体" w:eastAsia="新宋体" w:cs="新宋体"/>
                <w:w w:val="90"/>
                <w:sz w:val="22"/>
              </w:rPr>
              <w:t>1</w:t>
            </w:r>
          </w:p>
        </w:tc>
        <w:tc>
          <w:tcPr>
            <w:tcW w:w="1237" w:type="dxa"/>
            <w:vAlign w:val="center"/>
          </w:tcPr>
          <w:p>
            <w:pPr>
              <w:ind w:left="102"/>
              <w:jc w:val="center"/>
              <w:rPr>
                <w:rFonts w:ascii="新宋体" w:hAnsi="新宋体" w:eastAsia="新宋体" w:cs="新宋体"/>
                <w:sz w:val="22"/>
              </w:rPr>
            </w:pPr>
            <w:r>
              <w:rPr>
                <w:rFonts w:hint="eastAsia" w:ascii="Times New Roman" w:hAnsi="Times New Roman"/>
                <w:bCs/>
                <w:sz w:val="22"/>
              </w:rPr>
              <w:t>综合实力</w:t>
            </w:r>
          </w:p>
        </w:tc>
        <w:tc>
          <w:tcPr>
            <w:tcW w:w="6417" w:type="dxa"/>
            <w:vAlign w:val="center"/>
          </w:tcPr>
          <w:p>
            <w:pPr>
              <w:ind w:left="100"/>
              <w:rPr>
                <w:rFonts w:ascii="新宋体" w:hAnsi="新宋体" w:eastAsia="新宋体" w:cs="新宋体"/>
                <w:sz w:val="22"/>
              </w:rPr>
            </w:pPr>
            <w:r>
              <w:rPr>
                <w:rFonts w:hint="eastAsia" w:ascii="新宋体" w:hAnsi="新宋体" w:eastAsia="新宋体" w:cs="新宋体"/>
                <w:sz w:val="22"/>
              </w:rPr>
              <w:t>综合比较各投标供应商企业荣誉证书、市场反响、诚信等情况等因素，是否能提供良好的服务能力，由专家进行打分。</w:t>
            </w:r>
          </w:p>
        </w:tc>
        <w:tc>
          <w:tcPr>
            <w:tcW w:w="1379" w:type="dxa"/>
            <w:vAlign w:val="center"/>
          </w:tcPr>
          <w:p>
            <w:pPr>
              <w:adjustRightInd w:val="0"/>
              <w:snapToGrid w:val="0"/>
              <w:jc w:val="center"/>
              <w:rPr>
                <w:rFonts w:ascii="宋体" w:hAnsi="宋体" w:cs="宋体"/>
                <w:sz w:val="22"/>
              </w:rPr>
            </w:pPr>
            <w:r>
              <w:rPr>
                <w:rFonts w:ascii="宋体" w:hAnsi="宋体" w:cs="宋体"/>
                <w:w w:val="96"/>
                <w:sz w:val="22"/>
              </w:rPr>
              <w:t>0-10</w:t>
            </w:r>
            <w:r>
              <w:rPr>
                <w:rFonts w:hint="eastAsia" w:ascii="宋体" w:hAnsi="宋体" w:cs="宋体"/>
                <w:w w:val="96"/>
                <w:sz w:val="22"/>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66" w:hRule="atLeast"/>
          <w:jc w:val="center"/>
        </w:trPr>
        <w:tc>
          <w:tcPr>
            <w:tcW w:w="821" w:type="dxa"/>
            <w:vAlign w:val="center"/>
          </w:tcPr>
          <w:p>
            <w:pPr>
              <w:jc w:val="center"/>
              <w:rPr>
                <w:rFonts w:ascii="新宋体" w:hAnsi="新宋体" w:eastAsia="新宋体" w:cs="新宋体"/>
                <w:w w:val="90"/>
                <w:sz w:val="22"/>
              </w:rPr>
            </w:pPr>
            <w:r>
              <w:rPr>
                <w:rFonts w:ascii="新宋体" w:hAnsi="新宋体" w:eastAsia="新宋体" w:cs="新宋体"/>
                <w:w w:val="90"/>
                <w:sz w:val="22"/>
              </w:rPr>
              <w:t>2</w:t>
            </w:r>
          </w:p>
        </w:tc>
        <w:tc>
          <w:tcPr>
            <w:tcW w:w="1237" w:type="dxa"/>
            <w:vAlign w:val="center"/>
          </w:tcPr>
          <w:p>
            <w:pPr>
              <w:ind w:left="102"/>
              <w:jc w:val="center"/>
              <w:rPr>
                <w:rFonts w:ascii="Times New Roman" w:hAnsi="Times New Roman"/>
                <w:bCs/>
                <w:sz w:val="22"/>
              </w:rPr>
            </w:pPr>
            <w:r>
              <w:rPr>
                <w:rFonts w:hint="eastAsia" w:ascii="新宋体" w:hAnsi="新宋体" w:eastAsia="新宋体" w:cs="新宋体"/>
                <w:sz w:val="22"/>
              </w:rPr>
              <w:t>认证情况</w:t>
            </w:r>
          </w:p>
        </w:tc>
        <w:tc>
          <w:tcPr>
            <w:tcW w:w="6417" w:type="dxa"/>
            <w:vAlign w:val="center"/>
          </w:tcPr>
          <w:p>
            <w:pPr>
              <w:wordWrap w:val="0"/>
              <w:ind w:left="102"/>
              <w:rPr>
                <w:rFonts w:ascii="新宋体" w:hAnsi="新宋体" w:eastAsia="新宋体" w:cs="新宋体"/>
                <w:sz w:val="22"/>
              </w:rPr>
            </w:pPr>
            <w:r>
              <w:rPr>
                <w:rFonts w:hint="eastAsia" w:ascii="新宋体" w:hAnsi="新宋体" w:eastAsia="新宋体" w:cs="新宋体"/>
                <w:sz w:val="22"/>
              </w:rPr>
              <w:t>具有质量管理体系认证、环境管理体系认证、职业健康安全管理体系认证各得1分，最高3分；体系证书需在全国认证认可信息公共服务平台</w:t>
            </w:r>
            <w:r>
              <w:rPr>
                <w:rFonts w:ascii="新宋体" w:hAnsi="新宋体" w:eastAsia="新宋体" w:cs="新宋体"/>
                <w:sz w:val="22"/>
              </w:rPr>
              <w:t>:http://cx.cnca.cn/CertECloud/index/index/page?currentPosition=可查询,否则不得分</w:t>
            </w:r>
            <w:r>
              <w:rPr>
                <w:rFonts w:hint="eastAsia" w:ascii="新宋体" w:hAnsi="新宋体" w:eastAsia="新宋体" w:cs="新宋体"/>
                <w:sz w:val="22"/>
              </w:rPr>
              <w:t>。</w:t>
            </w:r>
          </w:p>
          <w:p>
            <w:pPr>
              <w:ind w:left="100"/>
              <w:rPr>
                <w:rFonts w:ascii="新宋体" w:hAnsi="新宋体" w:eastAsia="新宋体" w:cs="新宋体"/>
                <w:sz w:val="22"/>
              </w:rPr>
            </w:pPr>
            <w:r>
              <w:rPr>
                <w:rFonts w:hint="eastAsia" w:ascii="新宋体" w:hAnsi="新宋体" w:eastAsia="新宋体" w:cs="新宋体"/>
                <w:sz w:val="22"/>
              </w:rPr>
              <w:t>注：需提供有效证书复印件加盖公章。</w:t>
            </w:r>
          </w:p>
        </w:tc>
        <w:tc>
          <w:tcPr>
            <w:tcW w:w="1379" w:type="dxa"/>
            <w:vAlign w:val="center"/>
          </w:tcPr>
          <w:p>
            <w:pPr>
              <w:adjustRightInd w:val="0"/>
              <w:snapToGrid w:val="0"/>
              <w:jc w:val="center"/>
              <w:rPr>
                <w:rFonts w:ascii="宋体" w:hAnsi="宋体" w:cs="宋体"/>
                <w:w w:val="96"/>
                <w:sz w:val="22"/>
              </w:rPr>
            </w:pPr>
            <w:r>
              <w:rPr>
                <w:rFonts w:ascii="宋体" w:hAnsi="宋体" w:cs="宋体"/>
                <w:w w:val="96"/>
                <w:sz w:val="22"/>
              </w:rPr>
              <w:t>0-</w:t>
            </w:r>
            <w:r>
              <w:rPr>
                <w:rFonts w:hint="eastAsia" w:ascii="宋体" w:hAnsi="宋体" w:cs="宋体"/>
                <w:w w:val="96"/>
                <w:sz w:val="22"/>
              </w:rPr>
              <w:t>3</w:t>
            </w:r>
            <w:r>
              <w:rPr>
                <w:rFonts w:ascii="宋体" w:hAnsi="宋体" w:cs="宋体"/>
                <w:w w:val="96"/>
                <w:sz w:val="22"/>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00" w:hRule="atLeast"/>
          <w:jc w:val="center"/>
        </w:trPr>
        <w:tc>
          <w:tcPr>
            <w:tcW w:w="821" w:type="dxa"/>
            <w:vAlign w:val="center"/>
          </w:tcPr>
          <w:p>
            <w:pPr>
              <w:jc w:val="center"/>
              <w:rPr>
                <w:rFonts w:ascii="新宋体" w:hAnsi="新宋体" w:eastAsia="新宋体" w:cs="新宋体"/>
                <w:w w:val="90"/>
                <w:sz w:val="22"/>
              </w:rPr>
            </w:pPr>
            <w:r>
              <w:rPr>
                <w:rFonts w:ascii="新宋体" w:hAnsi="新宋体" w:eastAsia="新宋体" w:cs="新宋体"/>
                <w:w w:val="90"/>
                <w:sz w:val="22"/>
              </w:rPr>
              <w:t>3</w:t>
            </w:r>
          </w:p>
        </w:tc>
        <w:tc>
          <w:tcPr>
            <w:tcW w:w="1237" w:type="dxa"/>
            <w:vAlign w:val="center"/>
          </w:tcPr>
          <w:p>
            <w:pPr>
              <w:ind w:left="102"/>
              <w:jc w:val="center"/>
              <w:rPr>
                <w:rFonts w:ascii="Times New Roman" w:hAnsi="Times New Roman"/>
                <w:bCs/>
                <w:sz w:val="22"/>
              </w:rPr>
            </w:pPr>
            <w:r>
              <w:rPr>
                <w:rFonts w:hint="eastAsia" w:ascii="宋体" w:hAnsi="宋体" w:cs="宋体"/>
                <w:sz w:val="22"/>
              </w:rPr>
              <w:t>类似项目业绩</w:t>
            </w:r>
          </w:p>
        </w:tc>
        <w:tc>
          <w:tcPr>
            <w:tcW w:w="6417" w:type="dxa"/>
          </w:tcPr>
          <w:p>
            <w:pPr>
              <w:pStyle w:val="74"/>
              <w:spacing w:after="120"/>
              <w:rPr>
                <w:rFonts w:ascii="新宋体" w:hAnsi="新宋体" w:eastAsia="新宋体" w:cs="新宋体"/>
                <w:sz w:val="22"/>
                <w:szCs w:val="22"/>
              </w:rPr>
            </w:pPr>
            <w:r>
              <w:rPr>
                <w:rFonts w:hint="eastAsia" w:ascii="新宋体" w:hAnsi="新宋体" w:eastAsia="新宋体" w:cs="新宋体"/>
                <w:sz w:val="22"/>
                <w:szCs w:val="22"/>
              </w:rPr>
              <w:t>投标人自2019年7月1日以来（以合同签订时间为准）承担过</w:t>
            </w:r>
            <w:r>
              <w:rPr>
                <w:rFonts w:ascii="新宋体" w:hAnsi="新宋体" w:eastAsia="新宋体" w:cs="新宋体"/>
                <w:sz w:val="22"/>
                <w:szCs w:val="22"/>
              </w:rPr>
              <w:t>类似项目处置业绩</w:t>
            </w:r>
            <w:r>
              <w:rPr>
                <w:rFonts w:hint="eastAsia" w:ascii="新宋体" w:hAnsi="新宋体" w:eastAsia="新宋体" w:cs="新宋体"/>
                <w:sz w:val="22"/>
                <w:szCs w:val="22"/>
              </w:rPr>
              <w:t>的，合同累计处置量30万</w:t>
            </w:r>
            <w:r>
              <w:rPr>
                <w:rFonts w:hint="eastAsia" w:ascii="新宋体" w:hAnsi="新宋体" w:eastAsia="新宋体" w:cs="新宋体"/>
                <w:sz w:val="22"/>
                <w:szCs w:val="22"/>
                <w:lang w:eastAsia="zh-CN"/>
              </w:rPr>
              <w:t>干</w:t>
            </w:r>
            <w:r>
              <w:rPr>
                <w:rFonts w:hint="eastAsia" w:ascii="新宋体" w:hAnsi="新宋体" w:eastAsia="新宋体" w:cs="新宋体"/>
                <w:sz w:val="22"/>
                <w:szCs w:val="22"/>
              </w:rPr>
              <w:t>方以上</w:t>
            </w:r>
            <w:r>
              <w:rPr>
                <w:rFonts w:ascii="新宋体" w:hAnsi="新宋体" w:eastAsia="新宋体" w:cs="新宋体"/>
                <w:sz w:val="22"/>
                <w:szCs w:val="22"/>
              </w:rPr>
              <w:t>得</w:t>
            </w:r>
            <w:r>
              <w:rPr>
                <w:rFonts w:hint="eastAsia" w:ascii="新宋体" w:hAnsi="新宋体" w:eastAsia="新宋体" w:cs="新宋体"/>
                <w:sz w:val="22"/>
                <w:szCs w:val="22"/>
              </w:rPr>
              <w:t>2分</w:t>
            </w:r>
            <w:r>
              <w:rPr>
                <w:rFonts w:ascii="新宋体" w:hAnsi="新宋体" w:eastAsia="新宋体" w:cs="新宋体"/>
                <w:sz w:val="22"/>
                <w:szCs w:val="22"/>
              </w:rPr>
              <w:t>，</w:t>
            </w:r>
            <w:r>
              <w:rPr>
                <w:rFonts w:hint="eastAsia" w:ascii="新宋体" w:hAnsi="新宋体" w:eastAsia="新宋体" w:cs="新宋体"/>
                <w:sz w:val="22"/>
                <w:szCs w:val="22"/>
              </w:rPr>
              <w:t>合同累计处置量40万</w:t>
            </w:r>
            <w:r>
              <w:rPr>
                <w:rFonts w:hint="eastAsia" w:ascii="新宋体" w:hAnsi="新宋体" w:eastAsia="新宋体" w:cs="新宋体"/>
                <w:sz w:val="22"/>
                <w:szCs w:val="22"/>
                <w:lang w:eastAsia="zh-CN"/>
              </w:rPr>
              <w:t>干</w:t>
            </w:r>
            <w:r>
              <w:rPr>
                <w:rFonts w:hint="eastAsia" w:ascii="新宋体" w:hAnsi="新宋体" w:eastAsia="新宋体" w:cs="新宋体"/>
                <w:sz w:val="22"/>
                <w:szCs w:val="22"/>
              </w:rPr>
              <w:t>方以上</w:t>
            </w:r>
            <w:r>
              <w:rPr>
                <w:rFonts w:ascii="新宋体" w:hAnsi="新宋体" w:eastAsia="新宋体" w:cs="新宋体"/>
                <w:sz w:val="22"/>
                <w:szCs w:val="22"/>
              </w:rPr>
              <w:t>得</w:t>
            </w:r>
            <w:r>
              <w:rPr>
                <w:rFonts w:hint="eastAsia" w:ascii="新宋体" w:hAnsi="新宋体" w:eastAsia="新宋体" w:cs="新宋体"/>
                <w:sz w:val="22"/>
                <w:szCs w:val="22"/>
              </w:rPr>
              <w:t>4分</w:t>
            </w:r>
            <w:r>
              <w:rPr>
                <w:rFonts w:ascii="新宋体" w:hAnsi="新宋体" w:eastAsia="新宋体" w:cs="新宋体"/>
                <w:sz w:val="22"/>
                <w:szCs w:val="22"/>
              </w:rPr>
              <w:t>，</w:t>
            </w:r>
            <w:r>
              <w:rPr>
                <w:rFonts w:hint="eastAsia" w:ascii="新宋体" w:hAnsi="新宋体" w:eastAsia="新宋体" w:cs="新宋体"/>
                <w:sz w:val="22"/>
                <w:szCs w:val="22"/>
              </w:rPr>
              <w:t>合同累计处置量50万</w:t>
            </w:r>
            <w:r>
              <w:rPr>
                <w:rFonts w:hint="eastAsia" w:ascii="新宋体" w:hAnsi="新宋体" w:eastAsia="新宋体" w:cs="新宋体"/>
                <w:sz w:val="22"/>
                <w:szCs w:val="22"/>
                <w:lang w:eastAsia="zh-CN"/>
              </w:rPr>
              <w:t>干</w:t>
            </w:r>
            <w:r>
              <w:rPr>
                <w:rFonts w:hint="eastAsia" w:ascii="新宋体" w:hAnsi="新宋体" w:eastAsia="新宋体" w:cs="新宋体"/>
                <w:sz w:val="22"/>
                <w:szCs w:val="22"/>
              </w:rPr>
              <w:t>方以上</w:t>
            </w:r>
            <w:r>
              <w:rPr>
                <w:rFonts w:ascii="新宋体" w:hAnsi="新宋体" w:eastAsia="新宋体" w:cs="新宋体"/>
                <w:sz w:val="22"/>
                <w:szCs w:val="22"/>
              </w:rPr>
              <w:t>得</w:t>
            </w:r>
            <w:r>
              <w:rPr>
                <w:rFonts w:hint="eastAsia" w:ascii="新宋体" w:hAnsi="新宋体" w:eastAsia="新宋体" w:cs="新宋体"/>
                <w:sz w:val="22"/>
                <w:szCs w:val="22"/>
              </w:rPr>
              <w:t>6分。</w:t>
            </w:r>
          </w:p>
          <w:p>
            <w:pPr>
              <w:ind w:left="100"/>
              <w:rPr>
                <w:rFonts w:ascii="新宋体" w:hAnsi="新宋体" w:eastAsia="新宋体" w:cs="新宋体"/>
                <w:sz w:val="22"/>
              </w:rPr>
            </w:pPr>
            <w:r>
              <w:rPr>
                <w:rFonts w:hint="eastAsia" w:ascii="新宋体" w:hAnsi="新宋体" w:eastAsia="新宋体" w:cs="新宋体"/>
                <w:sz w:val="22"/>
              </w:rPr>
              <w:t>业绩证明材料：提供合同及合同</w:t>
            </w:r>
            <w:r>
              <w:rPr>
                <w:rFonts w:ascii="新宋体" w:hAnsi="新宋体" w:eastAsia="新宋体" w:cs="新宋体"/>
                <w:sz w:val="22"/>
              </w:rPr>
              <w:t>期内的任一期发票</w:t>
            </w:r>
            <w:r>
              <w:rPr>
                <w:rFonts w:hint="eastAsia" w:ascii="新宋体" w:hAnsi="新宋体" w:eastAsia="新宋体" w:cs="新宋体"/>
                <w:sz w:val="22"/>
              </w:rPr>
              <w:t>扫描件；如以上材料无法体现具体的业绩特征，则需要提供业主证明材料复制件加盖公章，否则不予给分</w:t>
            </w:r>
          </w:p>
        </w:tc>
        <w:tc>
          <w:tcPr>
            <w:tcW w:w="1379" w:type="dxa"/>
            <w:vAlign w:val="center"/>
          </w:tcPr>
          <w:p>
            <w:pPr>
              <w:adjustRightInd w:val="0"/>
              <w:snapToGrid w:val="0"/>
              <w:jc w:val="center"/>
              <w:rPr>
                <w:rFonts w:ascii="宋体" w:hAnsi="宋体" w:cs="宋体"/>
                <w:w w:val="96"/>
                <w:sz w:val="22"/>
              </w:rPr>
            </w:pPr>
            <w:r>
              <w:rPr>
                <w:rFonts w:ascii="宋体" w:hAnsi="宋体" w:cs="宋体"/>
                <w:w w:val="96"/>
                <w:sz w:val="22"/>
              </w:rPr>
              <w:t>0-</w:t>
            </w:r>
            <w:r>
              <w:rPr>
                <w:rFonts w:hint="eastAsia" w:ascii="宋体" w:hAnsi="宋体" w:cs="宋体"/>
                <w:w w:val="96"/>
                <w:sz w:val="22"/>
              </w:rPr>
              <w:t>6分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87" w:hRule="atLeast"/>
          <w:jc w:val="center"/>
        </w:trPr>
        <w:tc>
          <w:tcPr>
            <w:tcW w:w="821" w:type="dxa"/>
            <w:vAlign w:val="center"/>
          </w:tcPr>
          <w:p>
            <w:pPr>
              <w:jc w:val="center"/>
              <w:rPr>
                <w:rFonts w:ascii="新宋体" w:hAnsi="新宋体" w:eastAsia="新宋体" w:cs="新宋体"/>
                <w:sz w:val="22"/>
              </w:rPr>
            </w:pPr>
            <w:r>
              <w:rPr>
                <w:rFonts w:ascii="新宋体" w:hAnsi="新宋体" w:eastAsia="新宋体" w:cs="新宋体"/>
                <w:w w:val="90"/>
                <w:sz w:val="22"/>
              </w:rPr>
              <w:t>4</w:t>
            </w:r>
          </w:p>
        </w:tc>
        <w:tc>
          <w:tcPr>
            <w:tcW w:w="1237" w:type="dxa"/>
            <w:vAlign w:val="center"/>
          </w:tcPr>
          <w:p>
            <w:pPr>
              <w:pStyle w:val="74"/>
              <w:spacing w:after="120"/>
              <w:ind w:firstLine="220" w:firstLineChars="100"/>
              <w:rPr>
                <w:rFonts w:ascii="新宋体" w:hAnsi="新宋体" w:eastAsia="新宋体" w:cs="新宋体"/>
                <w:sz w:val="22"/>
                <w:szCs w:val="22"/>
              </w:rPr>
            </w:pPr>
            <w:r>
              <w:rPr>
                <w:rFonts w:ascii="新宋体" w:hAnsi="新宋体" w:eastAsia="新宋体" w:cs="新宋体"/>
                <w:sz w:val="22"/>
                <w:szCs w:val="22"/>
              </w:rPr>
              <w:t>技术方案</w:t>
            </w:r>
          </w:p>
        </w:tc>
        <w:tc>
          <w:tcPr>
            <w:tcW w:w="6417" w:type="dxa"/>
            <w:vAlign w:val="center"/>
          </w:tcPr>
          <w:p>
            <w:pPr>
              <w:pStyle w:val="74"/>
              <w:spacing w:after="120"/>
              <w:ind w:left="100"/>
              <w:rPr>
                <w:rFonts w:ascii="新宋体" w:hAnsi="新宋体" w:eastAsia="新宋体" w:cs="新宋体"/>
                <w:sz w:val="22"/>
                <w:szCs w:val="22"/>
              </w:rPr>
            </w:pPr>
            <w:r>
              <w:rPr>
                <w:rFonts w:ascii="新宋体" w:hAnsi="新宋体" w:eastAsia="新宋体" w:cs="新宋体"/>
                <w:sz w:val="22"/>
                <w:szCs w:val="22"/>
              </w:rPr>
              <w:t>根据投标供应商对泥浆的资源化、无害化处置方案(技术先进、工艺成熟、管理科学）的完整性和可行性等情况进行打分。</w:t>
            </w:r>
          </w:p>
        </w:tc>
        <w:tc>
          <w:tcPr>
            <w:tcW w:w="1379" w:type="dxa"/>
            <w:vAlign w:val="center"/>
          </w:tcPr>
          <w:p>
            <w:pPr>
              <w:jc w:val="center"/>
              <w:rPr>
                <w:rFonts w:ascii="宋体" w:hAnsi="宋体" w:cs="宋体"/>
                <w:sz w:val="22"/>
              </w:rPr>
            </w:pPr>
            <w:r>
              <w:rPr>
                <w:rFonts w:ascii="宋体" w:hAnsi="宋体" w:cs="宋体"/>
                <w:w w:val="96"/>
                <w:sz w:val="22"/>
              </w:rPr>
              <w:t>0-</w:t>
            </w:r>
            <w:r>
              <w:rPr>
                <w:rFonts w:hint="eastAsia" w:ascii="宋体" w:hAnsi="宋体" w:cs="宋体"/>
                <w:w w:val="96"/>
                <w:sz w:val="22"/>
              </w:rPr>
              <w:t>5</w:t>
            </w:r>
            <w:r>
              <w:rPr>
                <w:rFonts w:ascii="宋体" w:hAnsi="宋体" w:cs="宋体"/>
                <w:w w:val="96"/>
                <w:sz w:val="22"/>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16" w:hRule="atLeast"/>
          <w:jc w:val="center"/>
        </w:trPr>
        <w:tc>
          <w:tcPr>
            <w:tcW w:w="821" w:type="dxa"/>
            <w:vMerge w:val="restart"/>
            <w:shd w:val="clear" w:color="auto" w:fill="auto"/>
            <w:vAlign w:val="center"/>
          </w:tcPr>
          <w:p>
            <w:pPr>
              <w:spacing w:line="312" w:lineRule="auto"/>
              <w:jc w:val="center"/>
              <w:rPr>
                <w:rFonts w:ascii="Arial" w:hAnsi="Arial" w:eastAsia="新宋体"/>
                <w:bCs/>
                <w:sz w:val="22"/>
              </w:rPr>
            </w:pPr>
            <w:r>
              <w:rPr>
                <w:rFonts w:hint="eastAsia" w:ascii="新宋体" w:hAnsi="新宋体" w:eastAsia="新宋体" w:cs="新宋体"/>
                <w:w w:val="90"/>
                <w:sz w:val="22"/>
              </w:rPr>
              <w:t>5</w:t>
            </w:r>
          </w:p>
        </w:tc>
        <w:tc>
          <w:tcPr>
            <w:tcW w:w="1237" w:type="dxa"/>
            <w:vMerge w:val="restart"/>
            <w:shd w:val="clear" w:color="auto" w:fill="auto"/>
            <w:vAlign w:val="center"/>
          </w:tcPr>
          <w:p>
            <w:pPr>
              <w:jc w:val="center"/>
              <w:rPr>
                <w:rFonts w:eastAsia="新宋体"/>
              </w:rPr>
            </w:pPr>
            <w:r>
              <w:rPr>
                <w:rFonts w:hint="eastAsia" w:ascii="新宋体" w:hAnsi="新宋体" w:eastAsia="新宋体" w:cs="新宋体"/>
                <w:sz w:val="22"/>
              </w:rPr>
              <w:t>实施方案及项目重点、难点</w:t>
            </w:r>
          </w:p>
        </w:tc>
        <w:tc>
          <w:tcPr>
            <w:tcW w:w="6417" w:type="dxa"/>
            <w:shd w:val="clear" w:color="auto" w:fill="auto"/>
            <w:vAlign w:val="center"/>
          </w:tcPr>
          <w:p>
            <w:pPr>
              <w:ind w:left="100"/>
              <w:rPr>
                <w:rFonts w:ascii="新宋体" w:hAnsi="新宋体" w:eastAsia="新宋体" w:cs="新宋体"/>
                <w:sz w:val="22"/>
              </w:rPr>
            </w:pPr>
            <w:r>
              <w:rPr>
                <w:rFonts w:hint="eastAsia" w:ascii="新宋体" w:hAnsi="新宋体" w:eastAsia="新宋体" w:cs="新宋体"/>
                <w:sz w:val="22"/>
              </w:rPr>
              <w:t>针对本项目泥浆处置的重点、难点等问题进行调查剖析，具有较强针对性、合理性、全面性情况，由专家进行评分。（</w:t>
            </w:r>
            <w:r>
              <w:rPr>
                <w:rFonts w:ascii="新宋体" w:hAnsi="新宋体" w:eastAsia="新宋体" w:cs="新宋体"/>
                <w:sz w:val="22"/>
              </w:rPr>
              <w:t>0-</w:t>
            </w:r>
            <w:r>
              <w:rPr>
                <w:rFonts w:hint="eastAsia" w:ascii="新宋体" w:hAnsi="新宋体" w:eastAsia="新宋体" w:cs="新宋体"/>
                <w:sz w:val="22"/>
              </w:rPr>
              <w:t>3</w:t>
            </w:r>
            <w:r>
              <w:rPr>
                <w:rFonts w:ascii="新宋体" w:hAnsi="新宋体" w:eastAsia="新宋体" w:cs="新宋体"/>
                <w:sz w:val="22"/>
              </w:rPr>
              <w:t>分）</w:t>
            </w:r>
          </w:p>
        </w:tc>
        <w:tc>
          <w:tcPr>
            <w:tcW w:w="1379" w:type="dxa"/>
            <w:vMerge w:val="restart"/>
            <w:shd w:val="clear" w:color="auto" w:fill="auto"/>
            <w:vAlign w:val="center"/>
          </w:tcPr>
          <w:p>
            <w:pPr>
              <w:jc w:val="center"/>
              <w:rPr>
                <w:rFonts w:ascii="宋体" w:hAnsi="宋体" w:cs="宋体"/>
                <w:sz w:val="22"/>
              </w:rPr>
            </w:pPr>
            <w:r>
              <w:rPr>
                <w:rFonts w:ascii="宋体" w:hAnsi="宋体" w:cs="宋体"/>
                <w:w w:val="99"/>
                <w:sz w:val="22"/>
              </w:rPr>
              <w:t>0-</w:t>
            </w:r>
            <w:r>
              <w:rPr>
                <w:rFonts w:hint="eastAsia" w:ascii="宋体" w:hAnsi="宋体" w:cs="宋体"/>
                <w:w w:val="99"/>
                <w:sz w:val="22"/>
              </w:rPr>
              <w:t>18分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16" w:hRule="atLeast"/>
          <w:jc w:val="center"/>
        </w:trPr>
        <w:tc>
          <w:tcPr>
            <w:tcW w:w="821" w:type="dxa"/>
            <w:vMerge w:val="continue"/>
            <w:vAlign w:val="center"/>
          </w:tcPr>
          <w:p>
            <w:pPr>
              <w:spacing w:line="312" w:lineRule="auto"/>
              <w:jc w:val="center"/>
              <w:rPr>
                <w:rFonts w:ascii="Arial" w:hAnsi="Arial" w:eastAsia="新宋体"/>
                <w:bCs/>
                <w:sz w:val="22"/>
              </w:rPr>
            </w:pPr>
          </w:p>
        </w:tc>
        <w:tc>
          <w:tcPr>
            <w:tcW w:w="1237" w:type="dxa"/>
            <w:vMerge w:val="continue"/>
            <w:vAlign w:val="center"/>
          </w:tcPr>
          <w:p>
            <w:pPr>
              <w:jc w:val="center"/>
              <w:rPr>
                <w:rFonts w:eastAsia="新宋体"/>
              </w:rPr>
            </w:pPr>
          </w:p>
        </w:tc>
        <w:tc>
          <w:tcPr>
            <w:tcW w:w="6417" w:type="dxa"/>
            <w:shd w:val="clear" w:color="auto" w:fill="auto"/>
            <w:vAlign w:val="center"/>
          </w:tcPr>
          <w:p>
            <w:pPr>
              <w:ind w:left="100"/>
              <w:rPr>
                <w:rFonts w:ascii="新宋体" w:hAnsi="新宋体" w:eastAsia="新宋体" w:cs="新宋体"/>
                <w:sz w:val="22"/>
              </w:rPr>
            </w:pPr>
            <w:r>
              <w:rPr>
                <w:rFonts w:hint="eastAsia" w:ascii="新宋体" w:hAnsi="新宋体" w:eastAsia="新宋体" w:cs="新宋体"/>
                <w:sz w:val="22"/>
              </w:rPr>
              <w:t>根据投标人的管理制度情况综合评议：包括是否建立根据项目特点建立权责清晰、运行高效的企业管理制度，对项目是否建立完整的统计资料和项目档案，是否设立专人保存、管理。由专家进行评分。（</w:t>
            </w:r>
            <w:r>
              <w:rPr>
                <w:rFonts w:ascii="新宋体" w:hAnsi="新宋体" w:eastAsia="新宋体" w:cs="新宋体"/>
                <w:sz w:val="22"/>
              </w:rPr>
              <w:t>0-</w:t>
            </w:r>
            <w:r>
              <w:rPr>
                <w:rFonts w:hint="eastAsia" w:ascii="新宋体" w:hAnsi="新宋体" w:eastAsia="新宋体" w:cs="新宋体"/>
                <w:sz w:val="22"/>
              </w:rPr>
              <w:t>3</w:t>
            </w:r>
            <w:r>
              <w:rPr>
                <w:rFonts w:ascii="新宋体" w:hAnsi="新宋体" w:eastAsia="新宋体" w:cs="新宋体"/>
                <w:sz w:val="22"/>
              </w:rPr>
              <w:t>分）</w:t>
            </w:r>
          </w:p>
        </w:tc>
        <w:tc>
          <w:tcPr>
            <w:tcW w:w="1379" w:type="dxa"/>
            <w:vMerge w:val="continue"/>
            <w:vAlign w:val="center"/>
          </w:tcPr>
          <w:p>
            <w:pPr>
              <w:jc w:val="center"/>
              <w:rPr>
                <w:rFonts w:ascii="宋体" w:hAnsi="宋体" w:cs="宋体"/>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73" w:hRule="atLeast"/>
          <w:jc w:val="center"/>
        </w:trPr>
        <w:tc>
          <w:tcPr>
            <w:tcW w:w="821" w:type="dxa"/>
            <w:vMerge w:val="continue"/>
            <w:vAlign w:val="center"/>
          </w:tcPr>
          <w:p>
            <w:pPr>
              <w:keepNext/>
              <w:keepLines/>
              <w:spacing w:before="340" w:after="330" w:line="578" w:lineRule="auto"/>
              <w:jc w:val="center"/>
              <w:outlineLvl w:val="0"/>
              <w:rPr>
                <w:rFonts w:ascii="新宋体" w:hAnsi="新宋体" w:eastAsia="新宋体" w:cs="新宋体"/>
                <w:w w:val="90"/>
                <w:sz w:val="22"/>
              </w:rPr>
            </w:pPr>
          </w:p>
        </w:tc>
        <w:tc>
          <w:tcPr>
            <w:tcW w:w="1237" w:type="dxa"/>
            <w:vMerge w:val="continue"/>
            <w:vAlign w:val="center"/>
          </w:tcPr>
          <w:p>
            <w:pPr>
              <w:keepNext/>
              <w:keepLines/>
              <w:spacing w:before="340" w:after="330" w:line="578" w:lineRule="auto"/>
              <w:jc w:val="center"/>
              <w:outlineLvl w:val="0"/>
              <w:rPr>
                <w:rFonts w:ascii="新宋体" w:hAnsi="新宋体" w:eastAsia="新宋体" w:cs="新宋体"/>
                <w:w w:val="99"/>
                <w:sz w:val="22"/>
              </w:rPr>
            </w:pPr>
          </w:p>
        </w:tc>
        <w:tc>
          <w:tcPr>
            <w:tcW w:w="6417" w:type="dxa"/>
            <w:shd w:val="clear" w:color="auto" w:fill="auto"/>
            <w:vAlign w:val="center"/>
          </w:tcPr>
          <w:p>
            <w:pPr>
              <w:ind w:left="100"/>
              <w:rPr>
                <w:rFonts w:ascii="新宋体" w:hAnsi="新宋体" w:eastAsia="新宋体" w:cs="新宋体"/>
                <w:sz w:val="22"/>
              </w:rPr>
            </w:pPr>
            <w:r>
              <w:rPr>
                <w:rFonts w:hint="eastAsia" w:ascii="新宋体" w:hAnsi="新宋体" w:eastAsia="新宋体" w:cs="新宋体"/>
                <w:sz w:val="22"/>
              </w:rPr>
              <w:t>根据投标人的提供应付突发事情的响应及处理方案情况，由专家进行评分。（</w:t>
            </w:r>
            <w:r>
              <w:rPr>
                <w:rFonts w:ascii="新宋体" w:hAnsi="新宋体" w:eastAsia="新宋体" w:cs="新宋体"/>
                <w:sz w:val="22"/>
              </w:rPr>
              <w:t>0-</w:t>
            </w:r>
            <w:r>
              <w:rPr>
                <w:rFonts w:hint="eastAsia" w:ascii="新宋体" w:hAnsi="新宋体" w:eastAsia="新宋体" w:cs="新宋体"/>
                <w:sz w:val="22"/>
              </w:rPr>
              <w:t>3</w:t>
            </w:r>
            <w:r>
              <w:rPr>
                <w:rFonts w:ascii="新宋体" w:hAnsi="新宋体" w:eastAsia="新宋体" w:cs="新宋体"/>
                <w:sz w:val="22"/>
              </w:rPr>
              <w:t>分）</w:t>
            </w:r>
          </w:p>
        </w:tc>
        <w:tc>
          <w:tcPr>
            <w:tcW w:w="1379" w:type="dxa"/>
            <w:vMerge w:val="continue"/>
            <w:vAlign w:val="center"/>
          </w:tcPr>
          <w:p>
            <w:pPr>
              <w:spacing w:before="100" w:beforeAutospacing="1" w:after="100" w:afterAutospacing="1"/>
              <w:jc w:val="center"/>
              <w:outlineLvl w:val="2"/>
              <w:rPr>
                <w:rFonts w:ascii="宋体" w:hAnsi="宋体" w:cs="宋体"/>
                <w:w w:val="99"/>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12" w:hRule="atLeast"/>
          <w:jc w:val="center"/>
        </w:trPr>
        <w:tc>
          <w:tcPr>
            <w:tcW w:w="821" w:type="dxa"/>
            <w:vMerge w:val="continue"/>
            <w:vAlign w:val="center"/>
          </w:tcPr>
          <w:p>
            <w:pPr>
              <w:spacing w:before="100" w:beforeAutospacing="1" w:after="100" w:afterAutospacing="1"/>
              <w:jc w:val="center"/>
              <w:outlineLvl w:val="2"/>
              <w:rPr>
                <w:rFonts w:ascii="新宋体" w:hAnsi="新宋体" w:eastAsia="新宋体" w:cs="新宋体"/>
                <w:w w:val="90"/>
                <w:sz w:val="22"/>
              </w:rPr>
            </w:pPr>
          </w:p>
        </w:tc>
        <w:tc>
          <w:tcPr>
            <w:tcW w:w="1237" w:type="dxa"/>
            <w:vMerge w:val="continue"/>
            <w:vAlign w:val="center"/>
          </w:tcPr>
          <w:p>
            <w:pPr>
              <w:spacing w:before="100" w:beforeAutospacing="1" w:after="100" w:afterAutospacing="1"/>
              <w:jc w:val="center"/>
              <w:outlineLvl w:val="2"/>
              <w:rPr>
                <w:rFonts w:ascii="新宋体" w:hAnsi="新宋体" w:eastAsia="新宋体" w:cs="新宋体"/>
                <w:w w:val="99"/>
                <w:sz w:val="22"/>
              </w:rPr>
            </w:pPr>
          </w:p>
        </w:tc>
        <w:tc>
          <w:tcPr>
            <w:tcW w:w="6417" w:type="dxa"/>
            <w:shd w:val="clear" w:color="auto" w:fill="auto"/>
            <w:vAlign w:val="center"/>
          </w:tcPr>
          <w:p>
            <w:pPr>
              <w:ind w:left="100"/>
              <w:rPr>
                <w:rFonts w:ascii="新宋体" w:hAnsi="新宋体" w:eastAsia="新宋体" w:cs="新宋体"/>
                <w:sz w:val="22"/>
              </w:rPr>
            </w:pPr>
            <w:r>
              <w:rPr>
                <w:rFonts w:hint="eastAsia" w:ascii="新宋体" w:hAnsi="新宋体" w:eastAsia="新宋体" w:cs="新宋体"/>
                <w:sz w:val="22"/>
              </w:rPr>
              <w:t>针对本项目提供的安全保障服务，由专家进行评分。（</w:t>
            </w:r>
            <w:r>
              <w:rPr>
                <w:rFonts w:ascii="新宋体" w:hAnsi="新宋体" w:eastAsia="新宋体" w:cs="新宋体"/>
                <w:sz w:val="22"/>
              </w:rPr>
              <w:t>0-</w:t>
            </w:r>
            <w:r>
              <w:rPr>
                <w:rFonts w:hint="eastAsia" w:ascii="新宋体" w:hAnsi="新宋体" w:eastAsia="新宋体" w:cs="新宋体"/>
                <w:sz w:val="22"/>
              </w:rPr>
              <w:t>3分）</w:t>
            </w:r>
          </w:p>
        </w:tc>
        <w:tc>
          <w:tcPr>
            <w:tcW w:w="1379" w:type="dxa"/>
            <w:vMerge w:val="continue"/>
            <w:vAlign w:val="center"/>
          </w:tcPr>
          <w:p>
            <w:pPr>
              <w:spacing w:before="100" w:beforeAutospacing="1" w:after="100" w:afterAutospacing="1"/>
              <w:jc w:val="center"/>
              <w:outlineLvl w:val="2"/>
              <w:rPr>
                <w:rFonts w:ascii="宋体" w:hAnsi="宋体" w:cs="宋体"/>
                <w:w w:val="99"/>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821" w:type="dxa"/>
            <w:vMerge w:val="continue"/>
            <w:shd w:val="clear" w:color="auto" w:fill="auto"/>
            <w:vAlign w:val="center"/>
          </w:tcPr>
          <w:p>
            <w:pPr>
              <w:jc w:val="center"/>
              <w:rPr>
                <w:rFonts w:ascii="新宋体" w:hAnsi="新宋体" w:eastAsia="新宋体" w:cs="新宋体"/>
                <w:w w:val="90"/>
                <w:sz w:val="22"/>
              </w:rPr>
            </w:pPr>
          </w:p>
        </w:tc>
        <w:tc>
          <w:tcPr>
            <w:tcW w:w="1237" w:type="dxa"/>
            <w:vMerge w:val="continue"/>
            <w:shd w:val="clear" w:color="auto" w:fill="auto"/>
            <w:vAlign w:val="center"/>
          </w:tcPr>
          <w:p>
            <w:pPr>
              <w:ind w:left="100"/>
              <w:jc w:val="center"/>
              <w:rPr>
                <w:rFonts w:ascii="新宋体" w:hAnsi="新宋体" w:eastAsia="新宋体" w:cs="新宋体"/>
                <w:sz w:val="22"/>
              </w:rPr>
            </w:pPr>
          </w:p>
        </w:tc>
        <w:tc>
          <w:tcPr>
            <w:tcW w:w="6417" w:type="dxa"/>
            <w:shd w:val="clear" w:color="auto" w:fill="auto"/>
          </w:tcPr>
          <w:p>
            <w:pPr>
              <w:ind w:left="100"/>
              <w:jc w:val="left"/>
              <w:rPr>
                <w:rFonts w:ascii="新宋体" w:hAnsi="新宋体" w:eastAsia="新宋体" w:cs="新宋体"/>
                <w:sz w:val="22"/>
              </w:rPr>
            </w:pPr>
            <w:r>
              <w:rPr>
                <w:rFonts w:hint="eastAsia" w:ascii="新宋体" w:hAnsi="新宋体" w:eastAsia="新宋体" w:cs="新宋体"/>
                <w:sz w:val="22"/>
              </w:rPr>
              <w:t>根据投标人提供的内容是否完整、准确、科学先进、计划合理可行，流水段的划分、各项交叉作业切实可行、计划进度安排、固化技术是否符合项目实际需要等内容，由专家进行评分。（</w:t>
            </w:r>
            <w:r>
              <w:rPr>
                <w:rFonts w:ascii="新宋体" w:hAnsi="新宋体" w:eastAsia="新宋体" w:cs="新宋体"/>
                <w:sz w:val="22"/>
              </w:rPr>
              <w:t>0-</w:t>
            </w:r>
            <w:r>
              <w:rPr>
                <w:rFonts w:hint="eastAsia" w:ascii="新宋体" w:hAnsi="新宋体" w:eastAsia="新宋体" w:cs="新宋体"/>
                <w:iCs/>
                <w:sz w:val="22"/>
              </w:rPr>
              <w:t>6</w:t>
            </w:r>
            <w:r>
              <w:rPr>
                <w:rFonts w:hint="eastAsia" w:ascii="新宋体" w:hAnsi="新宋体" w:eastAsia="新宋体" w:cs="新宋体"/>
                <w:sz w:val="22"/>
              </w:rPr>
              <w:t>分）</w:t>
            </w:r>
          </w:p>
        </w:tc>
        <w:tc>
          <w:tcPr>
            <w:tcW w:w="1379" w:type="dxa"/>
            <w:vMerge w:val="continue"/>
            <w:shd w:val="clear" w:color="auto" w:fill="auto"/>
            <w:vAlign w:val="center"/>
          </w:tcPr>
          <w:p>
            <w:pPr>
              <w:jc w:val="center"/>
              <w:rPr>
                <w:rFonts w:ascii="宋体" w:hAnsi="宋体" w:cs="宋体"/>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95" w:hRule="atLeast"/>
          <w:jc w:val="center"/>
        </w:trPr>
        <w:tc>
          <w:tcPr>
            <w:tcW w:w="821" w:type="dxa"/>
            <w:shd w:val="clear" w:color="auto" w:fill="auto"/>
            <w:vAlign w:val="center"/>
          </w:tcPr>
          <w:p>
            <w:pPr>
              <w:jc w:val="center"/>
              <w:rPr>
                <w:rFonts w:ascii="新宋体" w:hAnsi="新宋体" w:eastAsia="新宋体" w:cs="新宋体"/>
                <w:w w:val="90"/>
                <w:sz w:val="22"/>
              </w:rPr>
            </w:pPr>
            <w:r>
              <w:rPr>
                <w:rFonts w:hint="eastAsia" w:ascii="新宋体" w:hAnsi="新宋体" w:eastAsia="新宋体" w:cs="新宋体"/>
                <w:w w:val="90"/>
                <w:sz w:val="22"/>
              </w:rPr>
              <w:t>6</w:t>
            </w:r>
          </w:p>
        </w:tc>
        <w:tc>
          <w:tcPr>
            <w:tcW w:w="1237" w:type="dxa"/>
            <w:shd w:val="clear" w:color="auto" w:fill="auto"/>
            <w:vAlign w:val="center"/>
          </w:tcPr>
          <w:p>
            <w:pPr>
              <w:ind w:left="100"/>
              <w:jc w:val="center"/>
              <w:rPr>
                <w:rFonts w:ascii="新宋体" w:hAnsi="新宋体" w:eastAsia="新宋体" w:cs="新宋体"/>
                <w:sz w:val="22"/>
              </w:rPr>
            </w:pPr>
            <w:r>
              <w:rPr>
                <w:rFonts w:hint="eastAsia" w:ascii="新宋体" w:hAnsi="新宋体" w:eastAsia="新宋体" w:cs="新宋体"/>
                <w:sz w:val="22"/>
              </w:rPr>
              <w:t>自检能力</w:t>
            </w:r>
          </w:p>
        </w:tc>
        <w:tc>
          <w:tcPr>
            <w:tcW w:w="6417" w:type="dxa"/>
            <w:shd w:val="clear" w:color="auto" w:fill="auto"/>
            <w:vAlign w:val="center"/>
          </w:tcPr>
          <w:p>
            <w:pPr>
              <w:ind w:left="100"/>
              <w:jc w:val="left"/>
              <w:rPr>
                <w:rFonts w:ascii="新宋体" w:hAnsi="新宋体" w:eastAsia="新宋体" w:cs="新宋体"/>
                <w:sz w:val="22"/>
              </w:rPr>
            </w:pPr>
            <w:r>
              <w:rPr>
                <w:rFonts w:hint="eastAsia" w:ascii="新宋体" w:hAnsi="新宋体" w:eastAsia="新宋体" w:cs="新宋体"/>
                <w:sz w:val="22"/>
              </w:rPr>
              <w:t>投标人需根据环保部门要求，对固化处置的废水，PH值等相关环保指标进行自检，配备相关检测设备，具备自检能力，由专家进行评分。（0-4分）</w:t>
            </w:r>
          </w:p>
        </w:tc>
        <w:tc>
          <w:tcPr>
            <w:tcW w:w="1379" w:type="dxa"/>
            <w:shd w:val="clear" w:color="auto" w:fill="auto"/>
            <w:vAlign w:val="center"/>
          </w:tcPr>
          <w:p>
            <w:pPr>
              <w:ind w:left="100"/>
              <w:jc w:val="center"/>
              <w:rPr>
                <w:rFonts w:ascii="新宋体" w:hAnsi="新宋体" w:eastAsia="新宋体" w:cs="新宋体"/>
                <w:sz w:val="22"/>
              </w:rPr>
            </w:pPr>
            <w:r>
              <w:rPr>
                <w:rFonts w:hint="eastAsia" w:ascii="新宋体" w:hAnsi="新宋体" w:eastAsia="新宋体" w:cs="新宋体"/>
                <w:sz w:val="22"/>
              </w:rPr>
              <w:t>0-4分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95" w:hRule="atLeast"/>
          <w:jc w:val="center"/>
        </w:trPr>
        <w:tc>
          <w:tcPr>
            <w:tcW w:w="821" w:type="dxa"/>
            <w:shd w:val="clear" w:color="auto" w:fill="auto"/>
            <w:vAlign w:val="center"/>
          </w:tcPr>
          <w:p>
            <w:pPr>
              <w:jc w:val="center"/>
              <w:rPr>
                <w:rFonts w:ascii="新宋体" w:hAnsi="新宋体" w:eastAsia="新宋体" w:cs="新宋体"/>
                <w:w w:val="90"/>
                <w:sz w:val="22"/>
              </w:rPr>
            </w:pPr>
            <w:r>
              <w:rPr>
                <w:rFonts w:hint="eastAsia" w:ascii="新宋体" w:hAnsi="新宋体" w:eastAsia="新宋体" w:cs="新宋体"/>
                <w:w w:val="90"/>
                <w:sz w:val="22"/>
              </w:rPr>
              <w:t>7</w:t>
            </w:r>
          </w:p>
        </w:tc>
        <w:tc>
          <w:tcPr>
            <w:tcW w:w="1237" w:type="dxa"/>
            <w:shd w:val="clear" w:color="auto" w:fill="auto"/>
            <w:vAlign w:val="center"/>
          </w:tcPr>
          <w:p>
            <w:pPr>
              <w:ind w:left="100"/>
              <w:jc w:val="center"/>
              <w:rPr>
                <w:rFonts w:ascii="新宋体" w:hAnsi="新宋体" w:eastAsia="新宋体" w:cs="新宋体"/>
                <w:sz w:val="22"/>
              </w:rPr>
            </w:pPr>
            <w:r>
              <w:rPr>
                <w:rFonts w:hint="eastAsia" w:ascii="新宋体" w:hAnsi="新宋体" w:eastAsia="新宋体" w:cs="新宋体"/>
                <w:sz w:val="22"/>
              </w:rPr>
              <w:t>项目班组成员</w:t>
            </w:r>
          </w:p>
        </w:tc>
        <w:tc>
          <w:tcPr>
            <w:tcW w:w="6417" w:type="dxa"/>
            <w:shd w:val="clear" w:color="auto" w:fill="auto"/>
            <w:vAlign w:val="center"/>
          </w:tcPr>
          <w:p>
            <w:pPr>
              <w:ind w:left="100"/>
              <w:jc w:val="left"/>
              <w:rPr>
                <w:rFonts w:ascii="新宋体" w:hAnsi="新宋体" w:eastAsia="新宋体" w:cs="新宋体"/>
                <w:sz w:val="22"/>
              </w:rPr>
            </w:pPr>
            <w:r>
              <w:rPr>
                <w:rFonts w:hint="eastAsia" w:ascii="新宋体" w:hAnsi="新宋体" w:eastAsia="新宋体" w:cs="新宋体"/>
                <w:sz w:val="22"/>
              </w:rPr>
              <w:t>根据投标人针对本项目拟投入的生产人员、管理与工程技术人员和服务人员的配备、培训内容、培训方法等是否符合项目实际需要等内容进行综合比较打分。</w:t>
            </w:r>
          </w:p>
        </w:tc>
        <w:tc>
          <w:tcPr>
            <w:tcW w:w="1379" w:type="dxa"/>
            <w:shd w:val="clear" w:color="auto" w:fill="auto"/>
            <w:vAlign w:val="center"/>
          </w:tcPr>
          <w:p>
            <w:pPr>
              <w:jc w:val="center"/>
              <w:rPr>
                <w:rFonts w:ascii="新宋体" w:hAnsi="新宋体" w:cs="新宋体"/>
                <w:sz w:val="22"/>
              </w:rPr>
            </w:pPr>
            <w:r>
              <w:rPr>
                <w:rFonts w:ascii="宋体" w:hAnsi="宋体" w:cs="宋体"/>
                <w:w w:val="96"/>
                <w:sz w:val="22"/>
              </w:rPr>
              <w:t>0-</w:t>
            </w:r>
            <w:r>
              <w:rPr>
                <w:rFonts w:hint="eastAsia" w:ascii="宋体" w:hAnsi="宋体" w:cs="宋体"/>
                <w:w w:val="96"/>
                <w:sz w:val="22"/>
              </w:rPr>
              <w:t>4分</w:t>
            </w:r>
          </w:p>
        </w:tc>
      </w:tr>
    </w:tbl>
    <w:p>
      <w:pPr>
        <w:overflowPunct w:val="0"/>
        <w:spacing w:line="420" w:lineRule="exact"/>
        <w:ind w:firstLine="420"/>
        <w:rPr>
          <w:rFonts w:ascii="宋体" w:hAnsi="宋体" w:cs="宋体"/>
          <w:b/>
          <w:bCs/>
          <w:sz w:val="22"/>
        </w:rPr>
      </w:pPr>
      <w:r>
        <w:rPr>
          <w:rFonts w:hint="eastAsia" w:ascii="宋体" w:hAnsi="宋体" w:cs="宋体"/>
          <w:b/>
          <w:bCs/>
          <w:sz w:val="22"/>
        </w:rPr>
        <w:t>2、报价分（50分）：</w:t>
      </w:r>
    </w:p>
    <w:p>
      <w:pPr>
        <w:pStyle w:val="12"/>
        <w:snapToGrid w:val="0"/>
        <w:spacing w:line="420" w:lineRule="exact"/>
        <w:ind w:firstLine="420"/>
        <w:rPr>
          <w:rFonts w:hAnsi="宋体" w:eastAsia="宋体"/>
          <w:color w:val="auto"/>
          <w:sz w:val="22"/>
        </w:rPr>
      </w:pPr>
      <w:r>
        <w:rPr>
          <w:rFonts w:hint="eastAsia" w:hAnsi="宋体"/>
          <w:sz w:val="22"/>
        </w:rPr>
        <w:t>（</w:t>
      </w:r>
      <w:r>
        <w:rPr>
          <w:rFonts w:hAnsi="宋体"/>
          <w:sz w:val="22"/>
        </w:rPr>
        <w:t>1）</w:t>
      </w:r>
      <w:r>
        <w:rPr>
          <w:rFonts w:hint="eastAsia" w:hAnsi="宋体" w:eastAsia="宋体"/>
          <w:color w:val="auto"/>
          <w:sz w:val="22"/>
        </w:rPr>
        <w:t>以有效投标供应商中有效原位固化含软基处理泥浆投标价中的最低价为评标基准价，得满分5</w:t>
      </w:r>
      <w:r>
        <w:rPr>
          <w:rFonts w:hAnsi="宋体" w:eastAsia="宋体"/>
          <w:color w:val="auto"/>
          <w:sz w:val="22"/>
        </w:rPr>
        <w:t>0</w:t>
      </w:r>
      <w:r>
        <w:rPr>
          <w:rFonts w:hint="eastAsia" w:hAnsi="宋体" w:eastAsia="宋体"/>
          <w:color w:val="auto"/>
          <w:sz w:val="22"/>
        </w:rPr>
        <w:t>分。报价评分结算公式为</w:t>
      </w:r>
      <w:r>
        <w:rPr>
          <w:rFonts w:hAnsi="宋体" w:eastAsia="宋体"/>
          <w:color w:val="auto"/>
          <w:sz w:val="22"/>
        </w:rPr>
        <w:t>:</w:t>
      </w:r>
      <w:r>
        <w:rPr>
          <w:rFonts w:hint="eastAsia" w:hAnsi="宋体" w:eastAsia="宋体"/>
          <w:color w:val="auto"/>
          <w:spacing w:val="-1"/>
          <w:sz w:val="22"/>
        </w:rPr>
        <w:t>原位固化含软基处理泥浆</w:t>
      </w:r>
      <w:r>
        <w:rPr>
          <w:rFonts w:hint="eastAsia" w:hAnsi="宋体" w:eastAsia="宋体"/>
          <w:color w:val="auto"/>
          <w:sz w:val="22"/>
        </w:rPr>
        <w:t>投标报价得分</w:t>
      </w:r>
      <w:r>
        <w:rPr>
          <w:rFonts w:hAnsi="宋体" w:eastAsia="宋体"/>
          <w:color w:val="auto"/>
          <w:sz w:val="22"/>
        </w:rPr>
        <w:t>=(评标基准价／</w:t>
      </w:r>
      <w:r>
        <w:rPr>
          <w:rFonts w:hint="eastAsia" w:hAnsi="宋体" w:eastAsia="宋体"/>
          <w:color w:val="auto"/>
          <w:spacing w:val="-1"/>
          <w:sz w:val="22"/>
        </w:rPr>
        <w:t>原位固化含软基处理泥浆</w:t>
      </w:r>
      <w:r>
        <w:rPr>
          <w:rFonts w:hint="eastAsia" w:hAnsi="宋体" w:eastAsia="宋体"/>
          <w:color w:val="auto"/>
          <w:sz w:val="22"/>
        </w:rPr>
        <w:t>投标报价）×50</w:t>
      </w:r>
      <w:r>
        <w:rPr>
          <w:rFonts w:hAnsi="宋体" w:eastAsia="宋体"/>
          <w:color w:val="auto"/>
          <w:sz w:val="22"/>
        </w:rPr>
        <w:t>%×100。</w:t>
      </w:r>
    </w:p>
    <w:p>
      <w:pPr>
        <w:pStyle w:val="12"/>
        <w:snapToGrid w:val="0"/>
        <w:spacing w:line="420" w:lineRule="exact"/>
        <w:ind w:firstLine="420"/>
        <w:rPr>
          <w:rFonts w:hAnsi="宋体" w:eastAsia="宋体"/>
          <w:color w:val="auto"/>
          <w:sz w:val="22"/>
        </w:rPr>
      </w:pPr>
      <w:r>
        <w:rPr>
          <w:rFonts w:hint="eastAsia" w:hAnsi="宋体" w:eastAsia="宋体"/>
          <w:color w:val="auto"/>
          <w:sz w:val="22"/>
        </w:rPr>
        <w:t>（2）本次采购采用单价的形式进行报价。</w:t>
      </w:r>
    </w:p>
    <w:p>
      <w:pPr>
        <w:pStyle w:val="12"/>
        <w:snapToGrid w:val="0"/>
        <w:spacing w:line="420" w:lineRule="exact"/>
        <w:ind w:firstLine="420"/>
        <w:rPr>
          <w:rFonts w:hAnsi="宋体" w:eastAsia="宋体"/>
          <w:color w:val="auto"/>
          <w:sz w:val="22"/>
        </w:rPr>
      </w:pPr>
      <w:r>
        <w:rPr>
          <w:rFonts w:hint="eastAsia" w:hAnsi="宋体" w:eastAsia="宋体"/>
          <w:color w:val="auto"/>
          <w:sz w:val="22"/>
        </w:rPr>
        <w:t>（3）如果投标供应商的投标报价超出</w:t>
      </w:r>
      <w:r>
        <w:rPr>
          <w:rFonts w:hint="eastAsia" w:hAnsi="宋体" w:eastAsia="宋体"/>
          <w:color w:val="auto"/>
          <w:spacing w:val="-1"/>
          <w:sz w:val="22"/>
        </w:rPr>
        <w:t>原位固化含软基处理泥浆</w:t>
      </w:r>
      <w:r>
        <w:rPr>
          <w:rFonts w:hint="eastAsia" w:hAnsi="宋体" w:eastAsia="宋体"/>
          <w:color w:val="auto"/>
          <w:sz w:val="22"/>
        </w:rPr>
        <w:t>30元/湿方，则拒绝接受其投标报价，该投标供应商投标按无效投标处理。</w:t>
      </w:r>
    </w:p>
    <w:p>
      <w:pPr>
        <w:overflowPunct w:val="0"/>
        <w:spacing w:line="420" w:lineRule="exact"/>
        <w:ind w:firstLine="420"/>
        <w:rPr>
          <w:rFonts w:ascii="宋体" w:hAnsi="宋体" w:cs="宋体"/>
          <w:b/>
          <w:kern w:val="0"/>
          <w:sz w:val="22"/>
        </w:rPr>
      </w:pPr>
      <w:r>
        <w:rPr>
          <w:rFonts w:hint="eastAsia" w:ascii="宋体" w:hAnsi="宋体" w:cs="宋体"/>
          <w:b/>
          <w:kern w:val="0"/>
          <w:sz w:val="22"/>
        </w:rPr>
        <w:t>3、有效投标供应商的综合得分为商务技术分和报价分的总和。</w:t>
      </w:r>
    </w:p>
    <w:p>
      <w:pPr>
        <w:overflowPunct w:val="0"/>
        <w:spacing w:line="420" w:lineRule="exact"/>
        <w:ind w:firstLine="420"/>
        <w:rPr>
          <w:rFonts w:ascii="宋体" w:hAnsi="宋体" w:cs="宋体"/>
          <w:b/>
          <w:kern w:val="0"/>
          <w:sz w:val="22"/>
          <w:lang w:val="zh-CN"/>
        </w:rPr>
      </w:pPr>
      <w:r>
        <w:rPr>
          <w:rFonts w:hint="eastAsia" w:ascii="宋体" w:hAnsi="宋体" w:cs="宋体"/>
          <w:b/>
          <w:kern w:val="0"/>
          <w:sz w:val="22"/>
        </w:rPr>
        <w:t>六、</w:t>
      </w:r>
      <w:r>
        <w:rPr>
          <w:rFonts w:hint="eastAsia" w:ascii="宋体" w:hAnsi="宋体" w:cs="宋体"/>
          <w:b/>
          <w:kern w:val="0"/>
          <w:sz w:val="22"/>
          <w:lang w:val="zh-CN"/>
        </w:rPr>
        <w:t>定标办法</w:t>
      </w:r>
    </w:p>
    <w:p>
      <w:pPr>
        <w:overflowPunct w:val="0"/>
        <w:spacing w:line="420" w:lineRule="exact"/>
        <w:ind w:firstLine="420"/>
        <w:rPr>
          <w:rFonts w:ascii="宋体" w:hAnsi="宋体" w:cs="宋体"/>
          <w:b/>
          <w:bCs/>
          <w:sz w:val="22"/>
        </w:rPr>
      </w:pPr>
      <w:r>
        <w:rPr>
          <w:rFonts w:hint="eastAsia" w:ascii="宋体" w:hAnsi="宋体" w:cs="宋体"/>
          <w:b/>
          <w:bCs/>
          <w:sz w:val="22"/>
        </w:rPr>
        <w:t>本次采购由评标委员会根据评标原则及办法推荐综合得分（商务技术分+报价分）排序前二名的供应商为中标候选人，采购人根据评标委员会的推荐结果进行最终确认，选取综合得分排序第一名的供应商为中标供应商（得分相同投标报价低的排序前位；得分且投标报价相同的，由评标委员会抽签确定）。</w:t>
      </w:r>
    </w:p>
    <w:p>
      <w:pPr>
        <w:overflowPunct w:val="0"/>
        <w:spacing w:line="420" w:lineRule="exact"/>
        <w:ind w:firstLine="420"/>
        <w:rPr>
          <w:rFonts w:ascii="宋体" w:hAnsi="宋体" w:cs="宋体"/>
          <w:b/>
          <w:kern w:val="0"/>
          <w:sz w:val="22"/>
          <w:lang w:val="zh-CN"/>
        </w:rPr>
      </w:pPr>
      <w:r>
        <w:rPr>
          <w:rFonts w:hint="eastAsia" w:ascii="宋体" w:hAnsi="宋体" w:cs="宋体"/>
          <w:b/>
          <w:kern w:val="0"/>
          <w:sz w:val="22"/>
          <w:lang w:val="zh-CN"/>
        </w:rPr>
        <w:t>七、确定中标供应商</w:t>
      </w:r>
    </w:p>
    <w:p>
      <w:pPr>
        <w:overflowPunct w:val="0"/>
        <w:spacing w:line="420" w:lineRule="exact"/>
        <w:ind w:firstLine="420"/>
        <w:rPr>
          <w:rFonts w:ascii="宋体" w:hAnsi="宋体" w:cs="宋体"/>
          <w:sz w:val="22"/>
        </w:rPr>
      </w:pPr>
      <w:r>
        <w:rPr>
          <w:rFonts w:hint="eastAsia" w:ascii="宋体" w:hAnsi="宋体" w:cs="宋体"/>
          <w:sz w:val="22"/>
        </w:rPr>
        <w:t>评标结束后，采购人将在浙江政府采购网上公示中标结果并同时向中标供应商发出中标（成交）通知书。</w:t>
      </w:r>
    </w:p>
    <w:p>
      <w:pPr>
        <w:overflowPunct w:val="0"/>
        <w:spacing w:line="420" w:lineRule="exact"/>
        <w:ind w:firstLine="420"/>
        <w:rPr>
          <w:rFonts w:ascii="宋体" w:hAnsi="宋体" w:cs="宋体"/>
          <w:b/>
          <w:kern w:val="0"/>
          <w:sz w:val="22"/>
          <w:lang w:val="zh-CN"/>
        </w:rPr>
      </w:pPr>
      <w:r>
        <w:rPr>
          <w:rFonts w:hint="eastAsia" w:ascii="宋体" w:hAnsi="宋体" w:cs="宋体"/>
          <w:b/>
          <w:kern w:val="0"/>
          <w:sz w:val="22"/>
          <w:lang w:val="zh-CN"/>
        </w:rPr>
        <w:t>八、投标供应商义务</w:t>
      </w:r>
    </w:p>
    <w:p>
      <w:pPr>
        <w:spacing w:line="460" w:lineRule="atLeast"/>
        <w:ind w:firstLine="440" w:firstLineChars="200"/>
      </w:pPr>
      <w:r>
        <w:rPr>
          <w:rFonts w:hint="eastAsia" w:ascii="宋体" w:hAnsi="宋体" w:cs="宋体"/>
          <w:sz w:val="22"/>
        </w:rPr>
        <w:t>投标供应商应随时接受评标委员会的询标，解答包括有关的商务、技术问题等。评标结束，所有评标资料存采购机构备查。</w:t>
      </w:r>
      <w:bookmarkEnd w:id="208"/>
      <w:bookmarkEnd w:id="209"/>
    </w:p>
    <w:p/>
    <w:p/>
    <w:p>
      <w:pPr>
        <w:spacing w:line="360" w:lineRule="auto"/>
      </w:pPr>
    </w:p>
    <w:sectPr>
      <w:footerReference r:id="rId11" w:type="default"/>
      <w:pgSz w:w="11906" w:h="16838"/>
      <w:pgMar w:top="1440" w:right="1191" w:bottom="1440" w:left="1191" w:header="851" w:footer="992" w:gutter="0"/>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libri Light">
    <w:panose1 w:val="020F0302020204030204"/>
    <w:charset w:val="00"/>
    <w:family w:val="swiss"/>
    <w:pitch w:val="default"/>
    <w:sig w:usb0="A00002EF" w:usb1="4000207B" w:usb2="00000000" w:usb3="00000000" w:csb0="2000019F" w:csb1="00000000"/>
  </w:font>
  <w:font w:name="仿宋_GB2312">
    <w:altName w:val="仿宋"/>
    <w:panose1 w:val="00000000000000000000"/>
    <w:charset w:val="86"/>
    <w:family w:val="modern"/>
    <w:pitch w:val="default"/>
    <w:sig w:usb0="00000000" w:usb1="00000000" w:usb2="00000010" w:usb3="00000000" w:csb0="00040000" w:csb1="00000000"/>
  </w:font>
  <w:font w:name="Monaco">
    <w:panose1 w:val="020B0509030404040204"/>
    <w:charset w:val="00"/>
    <w:family w:val="auto"/>
    <w:pitch w:val="default"/>
    <w:sig w:usb0="00000000" w:usb1="00000000" w:usb2="00000000" w:usb3="00000000" w:csb0="00000000" w:csb1="00000000"/>
  </w:font>
  <w:font w:name="等线">
    <w:altName w:val="微软雅黑"/>
    <w:panose1 w:val="02010600030101010101"/>
    <w:charset w:val="86"/>
    <w:family w:val="auto"/>
    <w:pitch w:val="default"/>
    <w:sig w:usb0="00000000" w:usb1="00000000" w:usb2="00000016" w:usb3="00000000" w:csb0="0004000F" w:csb1="00000000"/>
  </w:font>
  <w:font w:name="Arial Unicode MS">
    <w:altName w:val="宋体"/>
    <w:panose1 w:val="020B0604020202020204"/>
    <w:charset w:val="86"/>
    <w:family w:val="swiss"/>
    <w:pitch w:val="default"/>
    <w:sig w:usb0="00000000" w:usb1="00000000" w:usb2="0000003F" w:usb3="00000000" w:csb0="003F01FF" w:csb1="00000000"/>
  </w:font>
  <w:font w:name="仿宋">
    <w:panose1 w:val="02010609060101010101"/>
    <w:charset w:val="86"/>
    <w:family w:val="modern"/>
    <w:pitch w:val="default"/>
    <w:sig w:usb0="800002BF" w:usb1="38CF7CFA" w:usb2="00000016" w:usb3="00000000" w:csb0="00040001" w:csb1="00000000"/>
  </w:font>
  <w:font w:name="新宋体">
    <w:panose1 w:val="02010609030101010101"/>
    <w:charset w:val="86"/>
    <w:family w:val="modern"/>
    <w:pitch w:val="default"/>
    <w:sig w:usb0="00000003" w:usb1="288F0000" w:usb2="00000006" w:usb3="00000000" w:csb0="00040001"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framePr w:wrap="around" w:vAnchor="text" w:hAnchor="margin" w:xAlign="center" w:y="1"/>
      <w:rPr>
        <w:rStyle w:val="28"/>
      </w:rPr>
    </w:pPr>
    <w:r>
      <w:fldChar w:fldCharType="begin"/>
    </w:r>
    <w:r>
      <w:rPr>
        <w:rStyle w:val="28"/>
      </w:rPr>
      <w:instrText xml:space="preserve">PAGE  </w:instrText>
    </w:r>
    <w:r>
      <w:fldChar w:fldCharType="separate"/>
    </w:r>
    <w:r>
      <w:rPr>
        <w:rStyle w:val="28"/>
      </w:rPr>
      <w:t>1</w:t>
    </w:r>
    <w:r>
      <w:fldChar w:fldCharType="end"/>
    </w:r>
  </w:p>
  <w:p>
    <w:pPr>
      <w:pStyle w:val="16"/>
      <w:ind w:right="720"/>
      <w:jc w:val="right"/>
    </w:pPr>
    <w:r>
      <w:tab/>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framePr w:wrap="around" w:vAnchor="text" w:hAnchor="margin" w:xAlign="center" w:y="1"/>
      <w:rPr>
        <w:rStyle w:val="28"/>
        <w:rFonts w:ascii="宋体" w:eastAsia="宋体"/>
      </w:rPr>
    </w:pPr>
    <w:r>
      <w:rPr>
        <w:rFonts w:ascii="宋体" w:eastAsia="宋体"/>
      </w:rPr>
      <w:fldChar w:fldCharType="begin"/>
    </w:r>
    <w:r>
      <w:rPr>
        <w:rStyle w:val="28"/>
        <w:rFonts w:ascii="宋体" w:eastAsia="宋体"/>
      </w:rPr>
      <w:instrText xml:space="preserve">PAGE  </w:instrText>
    </w:r>
    <w:r>
      <w:rPr>
        <w:rFonts w:ascii="宋体" w:eastAsia="宋体"/>
      </w:rPr>
      <w:fldChar w:fldCharType="separate"/>
    </w:r>
    <w:r>
      <w:rPr>
        <w:rStyle w:val="28"/>
        <w:rFonts w:ascii="宋体" w:eastAsia="宋体"/>
      </w:rPr>
      <w:t>48</w:t>
    </w:r>
    <w:r>
      <w:rPr>
        <w:rFonts w:ascii="宋体" w:eastAsia="宋体"/>
      </w:rPr>
      <w:fldChar w:fldCharType="end"/>
    </w:r>
  </w:p>
  <w:p>
    <w:pPr>
      <w:pStyle w:val="16"/>
      <w:ind w:right="360"/>
      <w:jc w:val="right"/>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framePr w:wrap="around" w:vAnchor="text" w:hAnchor="margin" w:xAlign="center" w:y="1"/>
      <w:jc w:val="center"/>
      <w:rPr>
        <w:rStyle w:val="28"/>
      </w:rPr>
    </w:pPr>
    <w:r>
      <w:fldChar w:fldCharType="begin"/>
    </w:r>
    <w:r>
      <w:rPr>
        <w:rStyle w:val="28"/>
      </w:rPr>
      <w:instrText xml:space="preserve">PAGE  </w:instrText>
    </w:r>
    <w:r>
      <w:fldChar w:fldCharType="separate"/>
    </w:r>
    <w:r>
      <w:rPr>
        <w:rStyle w:val="28"/>
      </w:rPr>
      <w:t>1</w:t>
    </w:r>
    <w:r>
      <w:fldChar w:fldCharType="end"/>
    </w:r>
  </w:p>
  <w:p>
    <w:pPr>
      <w:pStyle w:val="16"/>
      <w:jc w:val="right"/>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ind w:right="359" w:rightChars="171" w:firstLine="4427" w:firstLineChars="2450"/>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10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a:effectLst/>
                    </wps:spPr>
                    <wps:txbx>
                      <w:txbxContent>
                        <w:p>
                          <w:pPr>
                            <w:pStyle w:val="16"/>
                            <w:rPr>
                              <w:rFonts w:eastAsia="宋体"/>
                            </w:rPr>
                          </w:pPr>
                          <w:r>
                            <w:rPr>
                              <w:rFonts w:hint="eastAsia"/>
                            </w:rPr>
                            <w:fldChar w:fldCharType="begin"/>
                          </w:r>
                          <w:r>
                            <w:rPr>
                              <w:rFonts w:hint="eastAsia"/>
                            </w:rPr>
                            <w:instrText xml:space="preserve"> PAGE  \* MERGEFORMAT </w:instrText>
                          </w:r>
                          <w:r>
                            <w:rPr>
                              <w:rFonts w:hint="eastAsia"/>
                            </w:rPr>
                            <w:fldChar w:fldCharType="separate"/>
                          </w:r>
                          <w:r>
                            <w:t>- 26 -</w:t>
                          </w:r>
                          <w:r>
                            <w:rPr>
                              <w:rFonts w:hint="eastAsia"/>
                            </w:rPr>
                            <w:fldChar w:fldCharType="end"/>
                          </w:r>
                        </w:p>
                      </w:txbxContent>
                    </wps:txbx>
                    <wps:bodyPr wrap="none" lIns="0" tIns="0" rIns="0" bIns="0" upright="1">
                      <a:spAutoFit/>
                    </wps:bodyPr>
                  </wps:wsp>
                </a:graphicData>
              </a:graphic>
            </wp:anchor>
          </w:drawing>
        </mc:Choice>
        <mc:Fallback>
          <w:pict>
            <v:shape id="文本框 1025"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">
              <v:fill on="f" focussize="0,0"/>
              <v:stroke on="f" weight="1.25pt"/>
              <v:imagedata o:title=""/>
              <o:lock v:ext="edit" aspectratio="f"/>
              <v:textbox inset="0mm,0mm,0mm,0mm" style="mso-fit-shape-to-text:t;">
                <w:txbxContent>
                  <w:p>
                    <w:pPr>
                      <w:pStyle w:val="16"/>
                      <w:rPr>
                        <w:rFonts w:eastAsia="宋体"/>
                      </w:rPr>
                    </w:pPr>
                    <w:r>
                      <w:rPr>
                        <w:rFonts w:hint="eastAsia"/>
                      </w:rPr>
                      <w:fldChar w:fldCharType="begin"/>
                    </w:r>
                    <w:r>
                      <w:rPr>
                        <w:rFonts w:hint="eastAsia"/>
                      </w:rPr>
                      <w:instrText xml:space="preserve"> PAGE  \* MERGEFORMAT </w:instrText>
                    </w:r>
                    <w:r>
                      <w:rPr>
                        <w:rFonts w:hint="eastAsia"/>
                      </w:rPr>
                      <w:fldChar w:fldCharType="separate"/>
                    </w:r>
                    <w:r>
                      <w:t>- 26 -</w:t>
                    </w:r>
                    <w:r>
                      <w:rPr>
                        <w:rFonts w:hint="eastAsia"/>
                      </w:rP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ind w:right="360" w:firstLine="4427" w:firstLineChars="2450"/>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2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a:effectLst/>
                    </wps:spPr>
                    <wps:txbx>
                      <w:txbxContent>
                        <w:p>
                          <w:pPr>
                            <w:pStyle w:val="16"/>
                            <w:rPr>
                              <w:rFonts w:eastAsia="宋体"/>
                            </w:rPr>
                          </w:pPr>
                          <w:r>
                            <w:rPr>
                              <w:rFonts w:hint="eastAsia"/>
                            </w:rPr>
                            <w:fldChar w:fldCharType="begin"/>
                          </w:r>
                          <w:r>
                            <w:rPr>
                              <w:rFonts w:hint="eastAsia"/>
                            </w:rPr>
                            <w:instrText xml:space="preserve"> PAGE  \* MERGEFORMAT </w:instrText>
                          </w:r>
                          <w:r>
                            <w:rPr>
                              <w:rFonts w:hint="eastAsia"/>
                            </w:rPr>
                            <w:fldChar w:fldCharType="separate"/>
                          </w:r>
                          <w:r>
                            <w:t>28</w:t>
                          </w:r>
                          <w:r>
                            <w:rPr>
                              <w:rFonts w:hint="eastAsia"/>
                            </w:rPr>
                            <w:fldChar w:fldCharType="end"/>
                          </w:r>
                        </w:p>
                      </w:txbxContent>
                    </wps:txbx>
                    <wps:bodyPr wrap="none" lIns="0" tIns="0" rIns="0" bIns="0" upright="1">
                      <a:spAutoFit/>
                    </wps:bodyPr>
                  </wps:wsp>
                </a:graphicData>
              </a:graphic>
            </wp:anchor>
          </w:drawing>
        </mc:Choice>
        <mc:Fallback>
          <w:pict>
            <v:shape id="文本框 23"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">
              <v:fill on="f" focussize="0,0"/>
              <v:stroke on="f" weight="1.25pt"/>
              <v:imagedata o:title=""/>
              <o:lock v:ext="edit" aspectratio="f"/>
              <v:textbox inset="0mm,0mm,0mm,0mm" style="mso-fit-shape-to-text:t;">
                <w:txbxContent>
                  <w:p>
                    <w:pPr>
                      <w:pStyle w:val="16"/>
                      <w:rPr>
                        <w:rFonts w:eastAsia="宋体"/>
                      </w:rPr>
                    </w:pPr>
                    <w:r>
                      <w:rPr>
                        <w:rFonts w:hint="eastAsia"/>
                      </w:rPr>
                      <w:fldChar w:fldCharType="begin"/>
                    </w:r>
                    <w:r>
                      <w:rPr>
                        <w:rFonts w:hint="eastAsia"/>
                      </w:rPr>
                      <w:instrText xml:space="preserve"> PAGE  \* MERGEFORMAT </w:instrText>
                    </w:r>
                    <w:r>
                      <w:rPr>
                        <w:rFonts w:hint="eastAsia"/>
                      </w:rPr>
                      <w:fldChar w:fldCharType="separate"/>
                    </w:r>
                    <w:r>
                      <w:t>28</w:t>
                    </w:r>
                    <w:r>
                      <w:rPr>
                        <w:rFonts w:hint="eastAsia"/>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jc w:val="both"/>
      <w:rPr>
        <w:rFonts w:ascii="宋体" w:eastAsia="宋体"/>
        <w:b w:val="0"/>
      </w:rPr>
    </w:pPr>
    <w:r>
      <w:rPr>
        <w:rFonts w:hint="eastAsia" w:ascii="宋体" w:eastAsia="宋体"/>
        <w:b w:val="0"/>
      </w:rPr>
      <w:t>龙湾区政府采购招标文件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jc w:val="both"/>
      <w:rPr>
        <w:rFonts w:ascii="宋体" w:eastAsia="宋体"/>
        <w:b w:val="0"/>
      </w:rPr>
    </w:pPr>
    <w:r>
      <w:rPr>
        <w:rFonts w:hint="eastAsia" w:ascii="宋体" w:eastAsia="宋体"/>
        <w:b w:val="0"/>
      </w:rPr>
      <w:t>龙湾区政府采购招标文件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jc w:val="both"/>
      <w:rPr>
        <w:rFonts w:ascii="宋体" w:eastAsia="宋体"/>
        <w:b w:val="0"/>
        <w:bdr w:val="single" w:color="auto" w:sz="6" w:space="0"/>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jc w:val="both"/>
      <w:rPr>
        <w:rFonts w:ascii="宋体" w:eastAsia="宋体"/>
        <w:b w:val="0"/>
      </w:rPr>
    </w:pPr>
    <w:r>
      <w:rPr>
        <w:rFonts w:hint="eastAsia" w:ascii="宋体" w:eastAsia="宋体"/>
        <w:b w:val="0"/>
      </w:rPr>
      <w:t>龙湾区政府采购招标文件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5FE0DEB"/>
    <w:multiLevelType w:val="multilevel"/>
    <w:tmpl w:val="05FE0DEB"/>
    <w:lvl w:ilvl="0" w:tentative="0">
      <w:start w:val="1"/>
      <w:numFmt w:val="none"/>
      <w:lvlText w:val="2"/>
      <w:lvlJc w:val="left"/>
      <w:pPr>
        <w:tabs>
          <w:tab w:val="left" w:pos="425"/>
        </w:tabs>
        <w:ind w:left="425" w:hanging="425"/>
      </w:pPr>
      <w:rPr>
        <w:rFonts w:hint="eastAsia"/>
      </w:rPr>
    </w:lvl>
    <w:lvl w:ilvl="1" w:tentative="0">
      <w:start w:val="1"/>
      <w:numFmt w:val="decimal"/>
      <w:lvlText w:val="%117.%2"/>
      <w:lvlJc w:val="left"/>
      <w:pPr>
        <w:tabs>
          <w:tab w:val="left" w:pos="992"/>
        </w:tabs>
        <w:ind w:left="992" w:hanging="567"/>
      </w:pPr>
      <w:rPr>
        <w:rFonts w:hint="eastAsia" w:ascii="新宋体" w:hAnsi="新宋体" w:eastAsia="新宋体" w:cs="黑体"/>
      </w:rPr>
    </w:lvl>
    <w:lvl w:ilvl="2" w:tentative="0">
      <w:start w:val="1"/>
      <w:numFmt w:val="decimal"/>
      <w:lvlText w:val="%1.%2.%3"/>
      <w:lvlJc w:val="left"/>
      <w:pPr>
        <w:tabs>
          <w:tab w:val="left" w:pos="1571"/>
        </w:tabs>
        <w:ind w:left="1418" w:hanging="567"/>
      </w:pPr>
      <w:rPr>
        <w:rFonts w:hint="eastAsia"/>
      </w:rPr>
    </w:lvl>
    <w:lvl w:ilvl="3" w:tentative="0">
      <w:start w:val="1"/>
      <w:numFmt w:val="decimal"/>
      <w:lvlText w:val="%1.%2.%3.%4"/>
      <w:lvlJc w:val="left"/>
      <w:pPr>
        <w:tabs>
          <w:tab w:val="left" w:pos="2356"/>
        </w:tabs>
        <w:ind w:left="1984" w:hanging="708"/>
      </w:pPr>
      <w:rPr>
        <w:rFonts w:hint="eastAsia"/>
      </w:rPr>
    </w:lvl>
    <w:lvl w:ilvl="4" w:tentative="0">
      <w:start w:val="1"/>
      <w:numFmt w:val="decimal"/>
      <w:lvlText w:val="%1.%2.%3.%4.%5"/>
      <w:lvlJc w:val="left"/>
      <w:pPr>
        <w:tabs>
          <w:tab w:val="left" w:pos="2781"/>
        </w:tabs>
        <w:ind w:left="2551" w:hanging="850"/>
      </w:pPr>
      <w:rPr>
        <w:rFonts w:hint="eastAsia"/>
      </w:rPr>
    </w:lvl>
    <w:lvl w:ilvl="5" w:tentative="0">
      <w:start w:val="1"/>
      <w:numFmt w:val="decimal"/>
      <w:lvlText w:val="%1.%2.%3.%4.%5.%6"/>
      <w:lvlJc w:val="left"/>
      <w:pPr>
        <w:tabs>
          <w:tab w:val="left" w:pos="3566"/>
        </w:tabs>
        <w:ind w:left="3260" w:hanging="1134"/>
      </w:pPr>
      <w:rPr>
        <w:rFonts w:hint="eastAsia"/>
      </w:rPr>
    </w:lvl>
    <w:lvl w:ilvl="6" w:tentative="0">
      <w:start w:val="1"/>
      <w:numFmt w:val="decimal"/>
      <w:lvlText w:val="%1.%2.%3.%4.%5.%6.%7"/>
      <w:lvlJc w:val="left"/>
      <w:pPr>
        <w:tabs>
          <w:tab w:val="left" w:pos="4351"/>
        </w:tabs>
        <w:ind w:left="3827" w:hanging="1276"/>
      </w:pPr>
      <w:rPr>
        <w:rFonts w:hint="eastAsia"/>
      </w:rPr>
    </w:lvl>
    <w:lvl w:ilvl="7" w:tentative="0">
      <w:start w:val="1"/>
      <w:numFmt w:val="decimal"/>
      <w:lvlText w:val="%1.%2.%3.%4.%5.%6.%7.%8"/>
      <w:lvlJc w:val="left"/>
      <w:pPr>
        <w:tabs>
          <w:tab w:val="left" w:pos="4776"/>
        </w:tabs>
        <w:ind w:left="4394" w:hanging="1418"/>
      </w:pPr>
      <w:rPr>
        <w:rFonts w:hint="eastAsia"/>
      </w:rPr>
    </w:lvl>
    <w:lvl w:ilvl="8" w:tentative="0">
      <w:start w:val="1"/>
      <w:numFmt w:val="decimal"/>
      <w:lvlText w:val="%1.%2.%3.%4.%5.%6.%7.%8.%9"/>
      <w:lvlJc w:val="left"/>
      <w:pPr>
        <w:tabs>
          <w:tab w:val="left" w:pos="5562"/>
        </w:tabs>
        <w:ind w:left="5102" w:hanging="1700"/>
      </w:pPr>
      <w:rPr>
        <w:rFonts w:hint="eastAsia"/>
      </w:rPr>
    </w:lvl>
  </w:abstractNum>
  <w:abstractNum w:abstractNumId="1">
    <w:nsid w:val="30AC69EE"/>
    <w:multiLevelType w:val="multilevel"/>
    <w:tmpl w:val="30AC69EE"/>
    <w:lvl w:ilvl="0" w:tentative="0">
      <w:start w:val="1"/>
      <w:numFmt w:val="decimal"/>
      <w:lvlText w:val="（%1）"/>
      <w:lvlJc w:val="left"/>
      <w:pPr>
        <w:tabs>
          <w:tab w:val="left" w:pos="420"/>
        </w:tabs>
        <w:ind w:left="420" w:hanging="420"/>
      </w:pPr>
      <w:rPr>
        <w:rFonts w:hint="eastAsia"/>
        <w:b/>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
    <w:nsid w:val="337FEFBC"/>
    <w:multiLevelType w:val="multilevel"/>
    <w:tmpl w:val="337FEFBC"/>
    <w:lvl w:ilvl="0" w:tentative="0">
      <w:start w:val="1"/>
      <w:numFmt w:val="decimal"/>
      <w:lvlText w:val="%1."/>
      <w:lvlJc w:val="left"/>
      <w:pPr>
        <w:tabs>
          <w:tab w:val="left" w:pos="562"/>
        </w:tabs>
        <w:ind w:left="570" w:hanging="420"/>
      </w:pPr>
      <w:rPr>
        <w:rFonts w:hint="default" w:ascii="新宋体" w:hAnsi="新宋体" w:eastAsia="新宋体" w:cs="Tahoma"/>
      </w:rPr>
    </w:lvl>
    <w:lvl w:ilvl="1" w:tentative="0">
      <w:start w:val="0"/>
      <w:numFmt w:val="none"/>
      <w:lvlText w:val=""/>
      <w:lvlJc w:val="left"/>
      <w:pPr>
        <w:tabs>
          <w:tab w:val="left" w:pos="360"/>
        </w:tabs>
        <w:ind w:left="0" w:firstLine="0"/>
      </w:pPr>
      <w:rPr>
        <w:rFonts w:hint="eastAsia"/>
      </w:rPr>
    </w:lvl>
    <w:lvl w:ilvl="2" w:tentative="0">
      <w:start w:val="0"/>
      <w:numFmt w:val="none"/>
      <w:lvlText w:val=""/>
      <w:lvlJc w:val="left"/>
      <w:pPr>
        <w:tabs>
          <w:tab w:val="left" w:pos="360"/>
        </w:tabs>
        <w:ind w:left="0" w:firstLine="0"/>
      </w:pPr>
      <w:rPr>
        <w:rFonts w:hint="eastAsia"/>
      </w:rPr>
    </w:lvl>
    <w:lvl w:ilvl="3" w:tentative="0">
      <w:start w:val="0"/>
      <w:numFmt w:val="none"/>
      <w:lvlText w:val=""/>
      <w:lvlJc w:val="left"/>
      <w:pPr>
        <w:tabs>
          <w:tab w:val="left" w:pos="360"/>
        </w:tabs>
        <w:ind w:left="0" w:firstLine="0"/>
      </w:pPr>
      <w:rPr>
        <w:rFonts w:hint="eastAsia"/>
      </w:rPr>
    </w:lvl>
    <w:lvl w:ilvl="4" w:tentative="0">
      <w:start w:val="0"/>
      <w:numFmt w:val="none"/>
      <w:lvlText w:val=""/>
      <w:lvlJc w:val="left"/>
      <w:pPr>
        <w:tabs>
          <w:tab w:val="left" w:pos="360"/>
        </w:tabs>
        <w:ind w:left="0" w:firstLine="0"/>
      </w:pPr>
      <w:rPr>
        <w:rFonts w:hint="eastAsia"/>
      </w:rPr>
    </w:lvl>
    <w:lvl w:ilvl="5" w:tentative="0">
      <w:start w:val="0"/>
      <w:numFmt w:val="none"/>
      <w:lvlText w:val=""/>
      <w:lvlJc w:val="left"/>
      <w:pPr>
        <w:tabs>
          <w:tab w:val="left" w:pos="360"/>
        </w:tabs>
        <w:ind w:left="0" w:firstLine="0"/>
      </w:pPr>
      <w:rPr>
        <w:rFonts w:hint="eastAsia"/>
      </w:rPr>
    </w:lvl>
    <w:lvl w:ilvl="6" w:tentative="0">
      <w:start w:val="0"/>
      <w:numFmt w:val="none"/>
      <w:lvlText w:val=""/>
      <w:lvlJc w:val="left"/>
      <w:pPr>
        <w:tabs>
          <w:tab w:val="left" w:pos="360"/>
        </w:tabs>
        <w:ind w:left="0" w:firstLine="0"/>
      </w:pPr>
      <w:rPr>
        <w:rFonts w:hint="eastAsia"/>
      </w:rPr>
    </w:lvl>
    <w:lvl w:ilvl="7" w:tentative="0">
      <w:start w:val="0"/>
      <w:numFmt w:val="none"/>
      <w:lvlText w:val=""/>
      <w:lvlJc w:val="left"/>
      <w:pPr>
        <w:tabs>
          <w:tab w:val="left" w:pos="360"/>
        </w:tabs>
        <w:ind w:left="0" w:firstLine="0"/>
      </w:pPr>
      <w:rPr>
        <w:rFonts w:hint="eastAsia"/>
      </w:rPr>
    </w:lvl>
    <w:lvl w:ilvl="8" w:tentative="0">
      <w:start w:val="0"/>
      <w:numFmt w:val="none"/>
      <w:lvlText w:val=""/>
      <w:lvlJc w:val="left"/>
      <w:pPr>
        <w:tabs>
          <w:tab w:val="left" w:pos="360"/>
        </w:tabs>
        <w:ind w:left="0" w:firstLine="0"/>
      </w:pPr>
      <w:rPr>
        <w:rFonts w:hint="eastAsia"/>
      </w:rPr>
    </w:lvl>
  </w:abstractNum>
  <w:abstractNum w:abstractNumId="3">
    <w:nsid w:val="42E210F2"/>
    <w:multiLevelType w:val="multilevel"/>
    <w:tmpl w:val="42E210F2"/>
    <w:lvl w:ilvl="0" w:tentative="0">
      <w:start w:val="1"/>
      <w:numFmt w:val="decimal"/>
      <w:lvlText w:val="（%1）"/>
      <w:lvlJc w:val="left"/>
      <w:pPr>
        <w:tabs>
          <w:tab w:val="left" w:pos="420"/>
        </w:tabs>
        <w:ind w:left="420" w:hanging="420"/>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4">
    <w:nsid w:val="45506400"/>
    <w:multiLevelType w:val="multilevel"/>
    <w:tmpl w:val="45506400"/>
    <w:lvl w:ilvl="0" w:tentative="0">
      <w:start w:val="20"/>
      <w:numFmt w:val="decimal"/>
      <w:lvlText w:val="%1"/>
      <w:lvlJc w:val="left"/>
      <w:pPr>
        <w:ind w:left="480" w:hanging="480"/>
      </w:pPr>
      <w:rPr>
        <w:rFonts w:hint="default"/>
      </w:rPr>
    </w:lvl>
    <w:lvl w:ilvl="1" w:tentative="0">
      <w:start w:val="5"/>
      <w:numFmt w:val="decimal"/>
      <w:lvlText w:val="%1.%2"/>
      <w:lvlJc w:val="left"/>
      <w:pPr>
        <w:ind w:left="480" w:hanging="480"/>
      </w:pPr>
      <w:rPr>
        <w:rFonts w:hint="default"/>
      </w:rPr>
    </w:lvl>
    <w:lvl w:ilvl="2" w:tentative="0">
      <w:start w:val="1"/>
      <w:numFmt w:val="decimal"/>
      <w:lvlText w:val="%1.%2.%3"/>
      <w:lvlJc w:val="left"/>
      <w:pPr>
        <w:ind w:left="720" w:hanging="720"/>
      </w:pPr>
      <w:rPr>
        <w:rFonts w:hint="default"/>
      </w:rPr>
    </w:lvl>
    <w:lvl w:ilvl="3" w:tentative="0">
      <w:start w:val="1"/>
      <w:numFmt w:val="decimal"/>
      <w:lvlText w:val="%1.%2.%3.%4"/>
      <w:lvlJc w:val="left"/>
      <w:pPr>
        <w:ind w:left="1080" w:hanging="1080"/>
      </w:pPr>
      <w:rPr>
        <w:rFonts w:hint="default"/>
      </w:rPr>
    </w:lvl>
    <w:lvl w:ilvl="4" w:tentative="0">
      <w:start w:val="1"/>
      <w:numFmt w:val="decimal"/>
      <w:lvlText w:val="%1.%2.%3.%4.%5"/>
      <w:lvlJc w:val="left"/>
      <w:pPr>
        <w:ind w:left="1080" w:hanging="1080"/>
      </w:pPr>
      <w:rPr>
        <w:rFonts w:hint="default"/>
      </w:rPr>
    </w:lvl>
    <w:lvl w:ilvl="5" w:tentative="0">
      <w:start w:val="1"/>
      <w:numFmt w:val="decimal"/>
      <w:lvlText w:val="%1.%2.%3.%4.%5.%6"/>
      <w:lvlJc w:val="left"/>
      <w:pPr>
        <w:ind w:left="1440" w:hanging="1440"/>
      </w:pPr>
      <w:rPr>
        <w:rFonts w:hint="default"/>
      </w:rPr>
    </w:lvl>
    <w:lvl w:ilvl="6" w:tentative="0">
      <w:start w:val="1"/>
      <w:numFmt w:val="decimal"/>
      <w:lvlText w:val="%1.%2.%3.%4.%5.%6.%7"/>
      <w:lvlJc w:val="left"/>
      <w:pPr>
        <w:ind w:left="1440" w:hanging="1440"/>
      </w:pPr>
      <w:rPr>
        <w:rFonts w:hint="default"/>
      </w:rPr>
    </w:lvl>
    <w:lvl w:ilvl="7" w:tentative="0">
      <w:start w:val="1"/>
      <w:numFmt w:val="decimal"/>
      <w:lvlText w:val="%1.%2.%3.%4.%5.%6.%7.%8"/>
      <w:lvlJc w:val="left"/>
      <w:pPr>
        <w:ind w:left="1800" w:hanging="1800"/>
      </w:pPr>
      <w:rPr>
        <w:rFonts w:hint="default"/>
      </w:rPr>
    </w:lvl>
    <w:lvl w:ilvl="8" w:tentative="0">
      <w:start w:val="1"/>
      <w:numFmt w:val="decimal"/>
      <w:lvlText w:val="%1.%2.%3.%4.%5.%6.%7.%8.%9"/>
      <w:lvlJc w:val="left"/>
      <w:pPr>
        <w:ind w:left="2160" w:hanging="2160"/>
      </w:pPr>
      <w:rPr>
        <w:rFonts w:hint="default"/>
      </w:rPr>
    </w:lvl>
  </w:abstractNum>
  <w:abstractNum w:abstractNumId="5">
    <w:nsid w:val="4D35C8C6"/>
    <w:multiLevelType w:val="singleLevel"/>
    <w:tmpl w:val="4D35C8C6"/>
    <w:lvl w:ilvl="0" w:tentative="0">
      <w:start w:val="27"/>
      <w:numFmt w:val="decimal"/>
      <w:lvlText w:val="%1."/>
      <w:lvlJc w:val="left"/>
      <w:pPr>
        <w:tabs>
          <w:tab w:val="left" w:pos="312"/>
        </w:tabs>
      </w:pPr>
    </w:lvl>
  </w:abstractNum>
  <w:abstractNum w:abstractNumId="6">
    <w:nsid w:val="4DE33280"/>
    <w:multiLevelType w:val="multilevel"/>
    <w:tmpl w:val="4DE33280"/>
    <w:lvl w:ilvl="0" w:tentative="0">
      <w:start w:val="1"/>
      <w:numFmt w:val="none"/>
      <w:lvlText w:val="2"/>
      <w:lvlJc w:val="left"/>
      <w:pPr>
        <w:tabs>
          <w:tab w:val="left" w:pos="425"/>
        </w:tabs>
        <w:ind w:left="425" w:hanging="425"/>
      </w:pPr>
      <w:rPr>
        <w:rFonts w:hint="eastAsia"/>
      </w:rPr>
    </w:lvl>
    <w:lvl w:ilvl="1" w:tentative="0">
      <w:start w:val="1"/>
      <w:numFmt w:val="decimal"/>
      <w:lvlText w:val="%17.%2"/>
      <w:lvlJc w:val="left"/>
      <w:pPr>
        <w:tabs>
          <w:tab w:val="left" w:pos="992"/>
        </w:tabs>
        <w:ind w:left="992" w:hanging="567"/>
      </w:pPr>
      <w:rPr>
        <w:rFonts w:hint="eastAsia" w:ascii="新宋体" w:hAnsi="新宋体" w:eastAsia="新宋体" w:cs="Tahoma"/>
      </w:rPr>
    </w:lvl>
    <w:lvl w:ilvl="2" w:tentative="0">
      <w:start w:val="1"/>
      <w:numFmt w:val="decimal"/>
      <w:lvlText w:val="%1.%2.%3"/>
      <w:lvlJc w:val="left"/>
      <w:pPr>
        <w:tabs>
          <w:tab w:val="left" w:pos="1571"/>
        </w:tabs>
        <w:ind w:left="1418" w:hanging="567"/>
      </w:pPr>
      <w:rPr>
        <w:rFonts w:hint="eastAsia"/>
      </w:rPr>
    </w:lvl>
    <w:lvl w:ilvl="3" w:tentative="0">
      <w:start w:val="1"/>
      <w:numFmt w:val="decimal"/>
      <w:lvlText w:val="%1.%2.%3.%4"/>
      <w:lvlJc w:val="left"/>
      <w:pPr>
        <w:tabs>
          <w:tab w:val="left" w:pos="2356"/>
        </w:tabs>
        <w:ind w:left="1984" w:hanging="708"/>
      </w:pPr>
      <w:rPr>
        <w:rFonts w:hint="eastAsia"/>
      </w:rPr>
    </w:lvl>
    <w:lvl w:ilvl="4" w:tentative="0">
      <w:start w:val="1"/>
      <w:numFmt w:val="decimal"/>
      <w:lvlText w:val="%1.%2.%3.%4.%5"/>
      <w:lvlJc w:val="left"/>
      <w:pPr>
        <w:tabs>
          <w:tab w:val="left" w:pos="2781"/>
        </w:tabs>
        <w:ind w:left="2551" w:hanging="850"/>
      </w:pPr>
      <w:rPr>
        <w:rFonts w:hint="eastAsia"/>
      </w:rPr>
    </w:lvl>
    <w:lvl w:ilvl="5" w:tentative="0">
      <w:start w:val="1"/>
      <w:numFmt w:val="decimal"/>
      <w:lvlText w:val="%1.%2.%3.%4.%5.%6"/>
      <w:lvlJc w:val="left"/>
      <w:pPr>
        <w:tabs>
          <w:tab w:val="left" w:pos="3566"/>
        </w:tabs>
        <w:ind w:left="3260" w:hanging="1134"/>
      </w:pPr>
      <w:rPr>
        <w:rFonts w:hint="eastAsia"/>
      </w:rPr>
    </w:lvl>
    <w:lvl w:ilvl="6" w:tentative="0">
      <w:start w:val="1"/>
      <w:numFmt w:val="decimal"/>
      <w:lvlText w:val="%1.%2.%3.%4.%5.%6.%7"/>
      <w:lvlJc w:val="left"/>
      <w:pPr>
        <w:tabs>
          <w:tab w:val="left" w:pos="4351"/>
        </w:tabs>
        <w:ind w:left="3827" w:hanging="1276"/>
      </w:pPr>
      <w:rPr>
        <w:rFonts w:hint="eastAsia"/>
      </w:rPr>
    </w:lvl>
    <w:lvl w:ilvl="7" w:tentative="0">
      <w:start w:val="1"/>
      <w:numFmt w:val="decimal"/>
      <w:lvlText w:val="%1.%2.%3.%4.%5.%6.%7.%8"/>
      <w:lvlJc w:val="left"/>
      <w:pPr>
        <w:tabs>
          <w:tab w:val="left" w:pos="4776"/>
        </w:tabs>
        <w:ind w:left="4394" w:hanging="1418"/>
      </w:pPr>
      <w:rPr>
        <w:rFonts w:hint="eastAsia"/>
      </w:rPr>
    </w:lvl>
    <w:lvl w:ilvl="8" w:tentative="0">
      <w:start w:val="1"/>
      <w:numFmt w:val="decimal"/>
      <w:lvlText w:val="%1.%2.%3.%4.%5.%6.%7.%8.%9"/>
      <w:lvlJc w:val="left"/>
      <w:pPr>
        <w:tabs>
          <w:tab w:val="left" w:pos="5562"/>
        </w:tabs>
        <w:ind w:left="5102" w:hanging="1700"/>
      </w:pPr>
      <w:rPr>
        <w:rFonts w:hint="eastAsia"/>
      </w:rPr>
    </w:lvl>
  </w:abstractNum>
  <w:abstractNum w:abstractNumId="7">
    <w:nsid w:val="50CC72CE"/>
    <w:multiLevelType w:val="multilevel"/>
    <w:tmpl w:val="50CC72CE"/>
    <w:lvl w:ilvl="0" w:tentative="0">
      <w:start w:val="1"/>
      <w:numFmt w:val="none"/>
      <w:lvlText w:val="2"/>
      <w:lvlJc w:val="left"/>
      <w:pPr>
        <w:tabs>
          <w:tab w:val="left" w:pos="425"/>
        </w:tabs>
        <w:ind w:left="425" w:hanging="425"/>
      </w:pPr>
      <w:rPr>
        <w:rFonts w:hint="eastAsia"/>
      </w:rPr>
    </w:lvl>
    <w:lvl w:ilvl="1" w:tentative="0">
      <w:start w:val="1"/>
      <w:numFmt w:val="decimal"/>
      <w:lvlText w:val="%113.%2"/>
      <w:lvlJc w:val="left"/>
      <w:pPr>
        <w:tabs>
          <w:tab w:val="left" w:pos="992"/>
        </w:tabs>
        <w:ind w:left="992" w:hanging="567"/>
      </w:pPr>
      <w:rPr>
        <w:rFonts w:hint="eastAsia" w:ascii="新宋体" w:hAnsi="新宋体" w:eastAsia="新宋体" w:cs="黑体"/>
      </w:rPr>
    </w:lvl>
    <w:lvl w:ilvl="2" w:tentative="0">
      <w:start w:val="1"/>
      <w:numFmt w:val="decimal"/>
      <w:lvlText w:val="%1.%2.%3"/>
      <w:lvlJc w:val="left"/>
      <w:pPr>
        <w:tabs>
          <w:tab w:val="left" w:pos="1571"/>
        </w:tabs>
        <w:ind w:left="1418" w:hanging="567"/>
      </w:pPr>
      <w:rPr>
        <w:rFonts w:hint="eastAsia"/>
      </w:rPr>
    </w:lvl>
    <w:lvl w:ilvl="3" w:tentative="0">
      <w:start w:val="1"/>
      <w:numFmt w:val="decimal"/>
      <w:lvlText w:val="%1.%2.%3.%4"/>
      <w:lvlJc w:val="left"/>
      <w:pPr>
        <w:tabs>
          <w:tab w:val="left" w:pos="2356"/>
        </w:tabs>
        <w:ind w:left="1984" w:hanging="708"/>
      </w:pPr>
      <w:rPr>
        <w:rFonts w:hint="eastAsia"/>
      </w:rPr>
    </w:lvl>
    <w:lvl w:ilvl="4" w:tentative="0">
      <w:start w:val="1"/>
      <w:numFmt w:val="decimal"/>
      <w:lvlText w:val="%1.%2.%3.%4.%5"/>
      <w:lvlJc w:val="left"/>
      <w:pPr>
        <w:tabs>
          <w:tab w:val="left" w:pos="2781"/>
        </w:tabs>
        <w:ind w:left="2551" w:hanging="850"/>
      </w:pPr>
      <w:rPr>
        <w:rFonts w:hint="eastAsia"/>
      </w:rPr>
    </w:lvl>
    <w:lvl w:ilvl="5" w:tentative="0">
      <w:start w:val="1"/>
      <w:numFmt w:val="decimal"/>
      <w:lvlText w:val="%1.%2.%3.%4.%5.%6"/>
      <w:lvlJc w:val="left"/>
      <w:pPr>
        <w:tabs>
          <w:tab w:val="left" w:pos="3566"/>
        </w:tabs>
        <w:ind w:left="3260" w:hanging="1134"/>
      </w:pPr>
      <w:rPr>
        <w:rFonts w:hint="eastAsia"/>
      </w:rPr>
    </w:lvl>
    <w:lvl w:ilvl="6" w:tentative="0">
      <w:start w:val="1"/>
      <w:numFmt w:val="decimal"/>
      <w:lvlText w:val="%1.%2.%3.%4.%5.%6.%7"/>
      <w:lvlJc w:val="left"/>
      <w:pPr>
        <w:tabs>
          <w:tab w:val="left" w:pos="4351"/>
        </w:tabs>
        <w:ind w:left="3827" w:hanging="1276"/>
      </w:pPr>
      <w:rPr>
        <w:rFonts w:hint="eastAsia"/>
      </w:rPr>
    </w:lvl>
    <w:lvl w:ilvl="7" w:tentative="0">
      <w:start w:val="1"/>
      <w:numFmt w:val="decimal"/>
      <w:lvlText w:val="%1.%2.%3.%4.%5.%6.%7.%8"/>
      <w:lvlJc w:val="left"/>
      <w:pPr>
        <w:tabs>
          <w:tab w:val="left" w:pos="4776"/>
        </w:tabs>
        <w:ind w:left="4394" w:hanging="1418"/>
      </w:pPr>
      <w:rPr>
        <w:rFonts w:hint="eastAsia"/>
      </w:rPr>
    </w:lvl>
    <w:lvl w:ilvl="8" w:tentative="0">
      <w:start w:val="1"/>
      <w:numFmt w:val="decimal"/>
      <w:lvlText w:val="%1.%2.%3.%4.%5.%6.%7.%8.%9"/>
      <w:lvlJc w:val="left"/>
      <w:pPr>
        <w:tabs>
          <w:tab w:val="left" w:pos="5562"/>
        </w:tabs>
        <w:ind w:left="5102" w:hanging="1700"/>
      </w:pPr>
      <w:rPr>
        <w:rFonts w:hint="eastAsia"/>
      </w:rPr>
    </w:lvl>
  </w:abstractNum>
  <w:abstractNum w:abstractNumId="8">
    <w:nsid w:val="54F403B5"/>
    <w:multiLevelType w:val="singleLevel"/>
    <w:tmpl w:val="54F403B5"/>
    <w:lvl w:ilvl="0" w:tentative="0">
      <w:start w:val="1"/>
      <w:numFmt w:val="chineseCounting"/>
      <w:suff w:val="nothing"/>
      <w:lvlText w:val="%1、"/>
      <w:lvlJc w:val="left"/>
      <w:pPr>
        <w:ind w:left="13"/>
      </w:pPr>
    </w:lvl>
  </w:abstractNum>
  <w:abstractNum w:abstractNumId="9">
    <w:nsid w:val="557FD3DA"/>
    <w:multiLevelType w:val="singleLevel"/>
    <w:tmpl w:val="557FD3DA"/>
    <w:lvl w:ilvl="0" w:tentative="0">
      <w:start w:val="3"/>
      <w:numFmt w:val="chineseCounting"/>
      <w:suff w:val="nothing"/>
      <w:lvlText w:val="%1、"/>
      <w:lvlJc w:val="left"/>
    </w:lvl>
  </w:abstractNum>
  <w:abstractNum w:abstractNumId="10">
    <w:nsid w:val="76DF1F21"/>
    <w:multiLevelType w:val="multilevel"/>
    <w:tmpl w:val="76DF1F21"/>
    <w:lvl w:ilvl="0" w:tentative="0">
      <w:start w:val="1"/>
      <w:numFmt w:val="none"/>
      <w:lvlText w:val="2"/>
      <w:lvlJc w:val="left"/>
      <w:pPr>
        <w:tabs>
          <w:tab w:val="left" w:pos="425"/>
        </w:tabs>
        <w:ind w:left="425" w:hanging="425"/>
      </w:pPr>
      <w:rPr>
        <w:rFonts w:hint="eastAsia"/>
      </w:rPr>
    </w:lvl>
    <w:lvl w:ilvl="1" w:tentative="0">
      <w:start w:val="1"/>
      <w:numFmt w:val="decimal"/>
      <w:lvlText w:val="%111.%2"/>
      <w:lvlJc w:val="left"/>
      <w:pPr>
        <w:tabs>
          <w:tab w:val="left" w:pos="709"/>
        </w:tabs>
        <w:ind w:left="709" w:hanging="567"/>
      </w:pPr>
      <w:rPr>
        <w:rFonts w:hint="eastAsia" w:ascii="新宋体" w:hAnsi="新宋体" w:eastAsia="新宋体" w:cs="黑体"/>
        <w:b w:val="0"/>
      </w:rPr>
    </w:lvl>
    <w:lvl w:ilvl="2" w:tentative="0">
      <w:start w:val="1"/>
      <w:numFmt w:val="decimal"/>
      <w:lvlText w:val="%1.%2.%3"/>
      <w:lvlJc w:val="left"/>
      <w:pPr>
        <w:tabs>
          <w:tab w:val="left" w:pos="1571"/>
        </w:tabs>
        <w:ind w:left="1418" w:hanging="567"/>
      </w:pPr>
      <w:rPr>
        <w:rFonts w:hint="eastAsia"/>
      </w:rPr>
    </w:lvl>
    <w:lvl w:ilvl="3" w:tentative="0">
      <w:start w:val="1"/>
      <w:numFmt w:val="decimal"/>
      <w:lvlText w:val="%1.%2.%3.%4"/>
      <w:lvlJc w:val="left"/>
      <w:pPr>
        <w:tabs>
          <w:tab w:val="left" w:pos="2356"/>
        </w:tabs>
        <w:ind w:left="1984" w:hanging="708"/>
      </w:pPr>
      <w:rPr>
        <w:rFonts w:hint="eastAsia"/>
      </w:rPr>
    </w:lvl>
    <w:lvl w:ilvl="4" w:tentative="0">
      <w:start w:val="1"/>
      <w:numFmt w:val="decimal"/>
      <w:lvlText w:val="%1.%2.%3.%4.%5"/>
      <w:lvlJc w:val="left"/>
      <w:pPr>
        <w:tabs>
          <w:tab w:val="left" w:pos="2781"/>
        </w:tabs>
        <w:ind w:left="2551" w:hanging="850"/>
      </w:pPr>
      <w:rPr>
        <w:rFonts w:hint="eastAsia"/>
      </w:rPr>
    </w:lvl>
    <w:lvl w:ilvl="5" w:tentative="0">
      <w:start w:val="1"/>
      <w:numFmt w:val="decimal"/>
      <w:lvlText w:val="%1.%2.%3.%4.%5.%6"/>
      <w:lvlJc w:val="left"/>
      <w:pPr>
        <w:tabs>
          <w:tab w:val="left" w:pos="3566"/>
        </w:tabs>
        <w:ind w:left="3260" w:hanging="1134"/>
      </w:pPr>
      <w:rPr>
        <w:rFonts w:hint="eastAsia"/>
      </w:rPr>
    </w:lvl>
    <w:lvl w:ilvl="6" w:tentative="0">
      <w:start w:val="1"/>
      <w:numFmt w:val="decimal"/>
      <w:lvlText w:val="%1.%2.%3.%4.%5.%6.%7"/>
      <w:lvlJc w:val="left"/>
      <w:pPr>
        <w:tabs>
          <w:tab w:val="left" w:pos="4351"/>
        </w:tabs>
        <w:ind w:left="3827" w:hanging="1276"/>
      </w:pPr>
      <w:rPr>
        <w:rFonts w:hint="eastAsia"/>
      </w:rPr>
    </w:lvl>
    <w:lvl w:ilvl="7" w:tentative="0">
      <w:start w:val="1"/>
      <w:numFmt w:val="decimal"/>
      <w:lvlText w:val="%1.%2.%3.%4.%5.%6.%7.%8"/>
      <w:lvlJc w:val="left"/>
      <w:pPr>
        <w:tabs>
          <w:tab w:val="left" w:pos="4776"/>
        </w:tabs>
        <w:ind w:left="4394" w:hanging="1418"/>
      </w:pPr>
      <w:rPr>
        <w:rFonts w:hint="eastAsia"/>
      </w:rPr>
    </w:lvl>
    <w:lvl w:ilvl="8" w:tentative="0">
      <w:start w:val="1"/>
      <w:numFmt w:val="decimal"/>
      <w:lvlText w:val="%1.%2.%3.%4.%5.%6.%7.%8.%9"/>
      <w:lvlJc w:val="left"/>
      <w:pPr>
        <w:tabs>
          <w:tab w:val="left" w:pos="5562"/>
        </w:tabs>
        <w:ind w:left="5102" w:hanging="1700"/>
      </w:pPr>
      <w:rPr>
        <w:rFonts w:hint="eastAsia"/>
      </w:rPr>
    </w:lvl>
  </w:abstractNum>
  <w:num w:numId="1">
    <w:abstractNumId w:val="2"/>
  </w:num>
  <w:num w:numId="2">
    <w:abstractNumId w:val="6"/>
  </w:num>
  <w:num w:numId="3">
    <w:abstractNumId w:val="10"/>
  </w:num>
  <w:num w:numId="4">
    <w:abstractNumId w:val="7"/>
  </w:num>
  <w:num w:numId="5">
    <w:abstractNumId w:val="0"/>
  </w:num>
  <w:num w:numId="6">
    <w:abstractNumId w:val="1"/>
  </w:num>
  <w:num w:numId="7">
    <w:abstractNumId w:val="4"/>
  </w:num>
  <w:num w:numId="8">
    <w:abstractNumId w:val="3"/>
  </w:num>
  <w:num w:numId="9">
    <w:abstractNumId w:val="5"/>
  </w:num>
  <w:num w:numId="10">
    <w:abstractNumId w:val="8"/>
  </w:num>
  <w:num w:numId="11">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NotTrackMoves/>
  <w:documentProtection w:enforcement="0"/>
  <w:defaultTabStop w:val="420"/>
  <w:drawingGridVerticalSpacing w:val="156"/>
  <w:noPunctuationKerning w:val="1"/>
  <w:characterSpacingControl w:val="compressPunctuation"/>
  <w:hdrShapeDefaults>
    <o:shapelayout v:ext="edit">
      <o:idmap v:ext="edit" data="1,3"/>
    </o:shapelayout>
  </w:hdrShapeDefaults>
  <w:compat>
    <w:spaceForUL/>
    <w:balanceSingleByteDoubleByteWidth/>
    <w:doNotLeaveBackslashAlon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gxM2FkMDg1NDQ0YWJjMWZlNThkM2ZiY2UwY2E2NjIifQ=="/>
  </w:docVars>
  <w:rsids>
    <w:rsidRoot w:val="329233C9"/>
    <w:rsid w:val="00034253"/>
    <w:rsid w:val="00034F6A"/>
    <w:rsid w:val="00046BAD"/>
    <w:rsid w:val="00054182"/>
    <w:rsid w:val="00063DC8"/>
    <w:rsid w:val="0007485F"/>
    <w:rsid w:val="00083BDE"/>
    <w:rsid w:val="00092712"/>
    <w:rsid w:val="000953EA"/>
    <w:rsid w:val="000968C8"/>
    <w:rsid w:val="000A01F2"/>
    <w:rsid w:val="000C278E"/>
    <w:rsid w:val="000D60EB"/>
    <w:rsid w:val="000E3056"/>
    <w:rsid w:val="000F686B"/>
    <w:rsid w:val="00106745"/>
    <w:rsid w:val="00121FF2"/>
    <w:rsid w:val="00126D15"/>
    <w:rsid w:val="001476B3"/>
    <w:rsid w:val="00163514"/>
    <w:rsid w:val="001673C0"/>
    <w:rsid w:val="001868C4"/>
    <w:rsid w:val="0019071A"/>
    <w:rsid w:val="001A7A92"/>
    <w:rsid w:val="001B4042"/>
    <w:rsid w:val="001D2BE3"/>
    <w:rsid w:val="001D2E83"/>
    <w:rsid w:val="001F1CC2"/>
    <w:rsid w:val="00237760"/>
    <w:rsid w:val="002401F2"/>
    <w:rsid w:val="0024109A"/>
    <w:rsid w:val="00247868"/>
    <w:rsid w:val="00284509"/>
    <w:rsid w:val="00295CBF"/>
    <w:rsid w:val="002A73F1"/>
    <w:rsid w:val="002B3540"/>
    <w:rsid w:val="002B3FF9"/>
    <w:rsid w:val="002B50EF"/>
    <w:rsid w:val="002C072C"/>
    <w:rsid w:val="002C65C8"/>
    <w:rsid w:val="002D1A4F"/>
    <w:rsid w:val="002D5F8A"/>
    <w:rsid w:val="002E11A5"/>
    <w:rsid w:val="002F23FD"/>
    <w:rsid w:val="00323242"/>
    <w:rsid w:val="0034083A"/>
    <w:rsid w:val="00347EE7"/>
    <w:rsid w:val="00370052"/>
    <w:rsid w:val="00370AED"/>
    <w:rsid w:val="003809F9"/>
    <w:rsid w:val="003849B4"/>
    <w:rsid w:val="00393CC3"/>
    <w:rsid w:val="003A07E7"/>
    <w:rsid w:val="003D2CB8"/>
    <w:rsid w:val="003D7C7C"/>
    <w:rsid w:val="003E10C1"/>
    <w:rsid w:val="003E445E"/>
    <w:rsid w:val="003F47C5"/>
    <w:rsid w:val="004005EC"/>
    <w:rsid w:val="00403992"/>
    <w:rsid w:val="00404022"/>
    <w:rsid w:val="00405294"/>
    <w:rsid w:val="00413EBD"/>
    <w:rsid w:val="004218C1"/>
    <w:rsid w:val="00423663"/>
    <w:rsid w:val="00437708"/>
    <w:rsid w:val="00440C54"/>
    <w:rsid w:val="00465ADB"/>
    <w:rsid w:val="00465E01"/>
    <w:rsid w:val="00471364"/>
    <w:rsid w:val="00477480"/>
    <w:rsid w:val="00477EFA"/>
    <w:rsid w:val="004876A4"/>
    <w:rsid w:val="004A2D92"/>
    <w:rsid w:val="004A7233"/>
    <w:rsid w:val="004B23CA"/>
    <w:rsid w:val="004B721B"/>
    <w:rsid w:val="004C223A"/>
    <w:rsid w:val="004C2983"/>
    <w:rsid w:val="004C3214"/>
    <w:rsid w:val="004C7068"/>
    <w:rsid w:val="004C7A14"/>
    <w:rsid w:val="004D34B6"/>
    <w:rsid w:val="0050583B"/>
    <w:rsid w:val="00516F14"/>
    <w:rsid w:val="00517553"/>
    <w:rsid w:val="00523A3D"/>
    <w:rsid w:val="00530FAB"/>
    <w:rsid w:val="005624A2"/>
    <w:rsid w:val="00565168"/>
    <w:rsid w:val="0057321E"/>
    <w:rsid w:val="005765DB"/>
    <w:rsid w:val="00580F62"/>
    <w:rsid w:val="00591ACE"/>
    <w:rsid w:val="005A7C81"/>
    <w:rsid w:val="005C35A6"/>
    <w:rsid w:val="005C6331"/>
    <w:rsid w:val="005F38B5"/>
    <w:rsid w:val="0060339C"/>
    <w:rsid w:val="006138D2"/>
    <w:rsid w:val="006161BD"/>
    <w:rsid w:val="006258A9"/>
    <w:rsid w:val="006274FD"/>
    <w:rsid w:val="00637396"/>
    <w:rsid w:val="0068246A"/>
    <w:rsid w:val="00692ECC"/>
    <w:rsid w:val="006E4422"/>
    <w:rsid w:val="006E5F91"/>
    <w:rsid w:val="006F1259"/>
    <w:rsid w:val="006F183B"/>
    <w:rsid w:val="00701FD0"/>
    <w:rsid w:val="00716811"/>
    <w:rsid w:val="00726544"/>
    <w:rsid w:val="00730C9F"/>
    <w:rsid w:val="0075492F"/>
    <w:rsid w:val="007808AA"/>
    <w:rsid w:val="007B1DAC"/>
    <w:rsid w:val="007D1E66"/>
    <w:rsid w:val="007D51C1"/>
    <w:rsid w:val="007E2E46"/>
    <w:rsid w:val="007E761C"/>
    <w:rsid w:val="007E7E33"/>
    <w:rsid w:val="00827CDE"/>
    <w:rsid w:val="00837180"/>
    <w:rsid w:val="008375CC"/>
    <w:rsid w:val="00841766"/>
    <w:rsid w:val="00841BC6"/>
    <w:rsid w:val="00842B09"/>
    <w:rsid w:val="008474DB"/>
    <w:rsid w:val="008514AC"/>
    <w:rsid w:val="0085786B"/>
    <w:rsid w:val="0087537A"/>
    <w:rsid w:val="00875B59"/>
    <w:rsid w:val="00876DB2"/>
    <w:rsid w:val="00881617"/>
    <w:rsid w:val="008A65D8"/>
    <w:rsid w:val="008C2E46"/>
    <w:rsid w:val="008F1F3D"/>
    <w:rsid w:val="009252D0"/>
    <w:rsid w:val="00926A1B"/>
    <w:rsid w:val="00937599"/>
    <w:rsid w:val="0094313A"/>
    <w:rsid w:val="009A2C41"/>
    <w:rsid w:val="009A4B62"/>
    <w:rsid w:val="009B2AB2"/>
    <w:rsid w:val="009B5C15"/>
    <w:rsid w:val="009B6561"/>
    <w:rsid w:val="009B72DA"/>
    <w:rsid w:val="009C0BA4"/>
    <w:rsid w:val="009C1518"/>
    <w:rsid w:val="009C62CD"/>
    <w:rsid w:val="009F0647"/>
    <w:rsid w:val="009F58CD"/>
    <w:rsid w:val="009F7B5D"/>
    <w:rsid w:val="00A07A8C"/>
    <w:rsid w:val="00A12684"/>
    <w:rsid w:val="00A27EA2"/>
    <w:rsid w:val="00A403DA"/>
    <w:rsid w:val="00A573E9"/>
    <w:rsid w:val="00A7118A"/>
    <w:rsid w:val="00A7642B"/>
    <w:rsid w:val="00A90D95"/>
    <w:rsid w:val="00A92824"/>
    <w:rsid w:val="00AB151B"/>
    <w:rsid w:val="00AF1923"/>
    <w:rsid w:val="00AF4E4D"/>
    <w:rsid w:val="00AF6169"/>
    <w:rsid w:val="00AF6664"/>
    <w:rsid w:val="00AF78CE"/>
    <w:rsid w:val="00B25C0C"/>
    <w:rsid w:val="00B65D48"/>
    <w:rsid w:val="00B71503"/>
    <w:rsid w:val="00B75790"/>
    <w:rsid w:val="00B75BE2"/>
    <w:rsid w:val="00B776BD"/>
    <w:rsid w:val="00B91EA5"/>
    <w:rsid w:val="00BA370B"/>
    <w:rsid w:val="00BE13C5"/>
    <w:rsid w:val="00C11D19"/>
    <w:rsid w:val="00C11FA4"/>
    <w:rsid w:val="00C162F3"/>
    <w:rsid w:val="00C24A04"/>
    <w:rsid w:val="00C25826"/>
    <w:rsid w:val="00C43DF5"/>
    <w:rsid w:val="00C55BBC"/>
    <w:rsid w:val="00C56783"/>
    <w:rsid w:val="00C6326B"/>
    <w:rsid w:val="00C671CF"/>
    <w:rsid w:val="00C83C97"/>
    <w:rsid w:val="00C91DE1"/>
    <w:rsid w:val="00C94338"/>
    <w:rsid w:val="00CA7020"/>
    <w:rsid w:val="00CB4A5C"/>
    <w:rsid w:val="00CC4038"/>
    <w:rsid w:val="00CC540B"/>
    <w:rsid w:val="00CE0169"/>
    <w:rsid w:val="00CE4A34"/>
    <w:rsid w:val="00CF0195"/>
    <w:rsid w:val="00D04871"/>
    <w:rsid w:val="00D04D3C"/>
    <w:rsid w:val="00D311A3"/>
    <w:rsid w:val="00D33CCD"/>
    <w:rsid w:val="00D5664E"/>
    <w:rsid w:val="00D62582"/>
    <w:rsid w:val="00D743FB"/>
    <w:rsid w:val="00D7670F"/>
    <w:rsid w:val="00DB1616"/>
    <w:rsid w:val="00DB6EBC"/>
    <w:rsid w:val="00DC5119"/>
    <w:rsid w:val="00DC58BB"/>
    <w:rsid w:val="00DD3A0B"/>
    <w:rsid w:val="00DD78B5"/>
    <w:rsid w:val="00E022FA"/>
    <w:rsid w:val="00E05849"/>
    <w:rsid w:val="00E1313E"/>
    <w:rsid w:val="00E16C14"/>
    <w:rsid w:val="00E215B9"/>
    <w:rsid w:val="00E3003E"/>
    <w:rsid w:val="00E30D92"/>
    <w:rsid w:val="00E523C6"/>
    <w:rsid w:val="00E71BC5"/>
    <w:rsid w:val="00E9471F"/>
    <w:rsid w:val="00EA0808"/>
    <w:rsid w:val="00EA307E"/>
    <w:rsid w:val="00EC0CB8"/>
    <w:rsid w:val="00EC457C"/>
    <w:rsid w:val="00EE49CD"/>
    <w:rsid w:val="00EF3373"/>
    <w:rsid w:val="00F42DDB"/>
    <w:rsid w:val="00F66D79"/>
    <w:rsid w:val="00F77085"/>
    <w:rsid w:val="00F779C5"/>
    <w:rsid w:val="00F95BD8"/>
    <w:rsid w:val="00FA6067"/>
    <w:rsid w:val="00FD72E3"/>
    <w:rsid w:val="00FE5375"/>
    <w:rsid w:val="00FF11EE"/>
    <w:rsid w:val="0110697B"/>
    <w:rsid w:val="01133D7D"/>
    <w:rsid w:val="0144106C"/>
    <w:rsid w:val="01896475"/>
    <w:rsid w:val="01C830FE"/>
    <w:rsid w:val="01DB7FC1"/>
    <w:rsid w:val="024E7EAF"/>
    <w:rsid w:val="02571D2A"/>
    <w:rsid w:val="0278558D"/>
    <w:rsid w:val="02917E5C"/>
    <w:rsid w:val="0292458D"/>
    <w:rsid w:val="0297122F"/>
    <w:rsid w:val="02A85616"/>
    <w:rsid w:val="02C054FD"/>
    <w:rsid w:val="02D16894"/>
    <w:rsid w:val="03212302"/>
    <w:rsid w:val="03307C40"/>
    <w:rsid w:val="033506C2"/>
    <w:rsid w:val="03421E0F"/>
    <w:rsid w:val="03601C5E"/>
    <w:rsid w:val="03775713"/>
    <w:rsid w:val="038474EC"/>
    <w:rsid w:val="039C028D"/>
    <w:rsid w:val="03B34F45"/>
    <w:rsid w:val="03F67D1C"/>
    <w:rsid w:val="044E739D"/>
    <w:rsid w:val="047E7068"/>
    <w:rsid w:val="04E3224B"/>
    <w:rsid w:val="04E54047"/>
    <w:rsid w:val="05032738"/>
    <w:rsid w:val="050C3C76"/>
    <w:rsid w:val="05152B08"/>
    <w:rsid w:val="052D4B4E"/>
    <w:rsid w:val="05380422"/>
    <w:rsid w:val="054D57A5"/>
    <w:rsid w:val="055B46D1"/>
    <w:rsid w:val="05694FA2"/>
    <w:rsid w:val="056F0A65"/>
    <w:rsid w:val="057F4205"/>
    <w:rsid w:val="05B45C98"/>
    <w:rsid w:val="05C57D64"/>
    <w:rsid w:val="05F5518B"/>
    <w:rsid w:val="05F6792C"/>
    <w:rsid w:val="05F76BBB"/>
    <w:rsid w:val="05FF1405"/>
    <w:rsid w:val="06053A8F"/>
    <w:rsid w:val="061A36DB"/>
    <w:rsid w:val="06354F42"/>
    <w:rsid w:val="06523F2A"/>
    <w:rsid w:val="06964F26"/>
    <w:rsid w:val="06AA751C"/>
    <w:rsid w:val="06C462EA"/>
    <w:rsid w:val="07014837"/>
    <w:rsid w:val="07192610"/>
    <w:rsid w:val="074F2C9B"/>
    <w:rsid w:val="07AA3772"/>
    <w:rsid w:val="07CB7A9B"/>
    <w:rsid w:val="081B4956"/>
    <w:rsid w:val="086F2CD6"/>
    <w:rsid w:val="089F3513"/>
    <w:rsid w:val="08BE5530"/>
    <w:rsid w:val="08FF517F"/>
    <w:rsid w:val="0904268C"/>
    <w:rsid w:val="0906738F"/>
    <w:rsid w:val="090F0BA7"/>
    <w:rsid w:val="0918159D"/>
    <w:rsid w:val="0932383A"/>
    <w:rsid w:val="0935565E"/>
    <w:rsid w:val="09776735"/>
    <w:rsid w:val="09932B53"/>
    <w:rsid w:val="099439FE"/>
    <w:rsid w:val="099F34E2"/>
    <w:rsid w:val="09BD4C42"/>
    <w:rsid w:val="0A11697E"/>
    <w:rsid w:val="0A582EBF"/>
    <w:rsid w:val="0ADD7FBE"/>
    <w:rsid w:val="0AF14233"/>
    <w:rsid w:val="0AF52878"/>
    <w:rsid w:val="0B933E64"/>
    <w:rsid w:val="0B94465C"/>
    <w:rsid w:val="0BB91429"/>
    <w:rsid w:val="0BC96FF0"/>
    <w:rsid w:val="0BD807DD"/>
    <w:rsid w:val="0BFE4E6C"/>
    <w:rsid w:val="0C48147E"/>
    <w:rsid w:val="0C976AB5"/>
    <w:rsid w:val="0CA47C0F"/>
    <w:rsid w:val="0CB11E68"/>
    <w:rsid w:val="0CB145CB"/>
    <w:rsid w:val="0CBF146E"/>
    <w:rsid w:val="0D1B768F"/>
    <w:rsid w:val="0D1D5758"/>
    <w:rsid w:val="0D873302"/>
    <w:rsid w:val="0DA511A1"/>
    <w:rsid w:val="0DAE47E7"/>
    <w:rsid w:val="0DCE60A6"/>
    <w:rsid w:val="0DD45A7E"/>
    <w:rsid w:val="0DE93867"/>
    <w:rsid w:val="0DF578E2"/>
    <w:rsid w:val="0E043385"/>
    <w:rsid w:val="0EAA1504"/>
    <w:rsid w:val="0ECD0CC1"/>
    <w:rsid w:val="0F067FD7"/>
    <w:rsid w:val="10126C36"/>
    <w:rsid w:val="10316367"/>
    <w:rsid w:val="103A09E9"/>
    <w:rsid w:val="1054179D"/>
    <w:rsid w:val="10884F18"/>
    <w:rsid w:val="108E035E"/>
    <w:rsid w:val="10A20F61"/>
    <w:rsid w:val="10E7449D"/>
    <w:rsid w:val="10E828CC"/>
    <w:rsid w:val="10FE2997"/>
    <w:rsid w:val="11041468"/>
    <w:rsid w:val="11166611"/>
    <w:rsid w:val="116A7C92"/>
    <w:rsid w:val="12166CA4"/>
    <w:rsid w:val="1233755D"/>
    <w:rsid w:val="1237694F"/>
    <w:rsid w:val="12461B5D"/>
    <w:rsid w:val="127F3DFF"/>
    <w:rsid w:val="12887D25"/>
    <w:rsid w:val="12A745F4"/>
    <w:rsid w:val="12E1446B"/>
    <w:rsid w:val="130D1658"/>
    <w:rsid w:val="13341458"/>
    <w:rsid w:val="135A3084"/>
    <w:rsid w:val="136B67ED"/>
    <w:rsid w:val="13710943"/>
    <w:rsid w:val="13AC310E"/>
    <w:rsid w:val="13C35A4F"/>
    <w:rsid w:val="13E34353"/>
    <w:rsid w:val="14365764"/>
    <w:rsid w:val="143C043C"/>
    <w:rsid w:val="14546A86"/>
    <w:rsid w:val="146E3487"/>
    <w:rsid w:val="14853AA2"/>
    <w:rsid w:val="14D956BA"/>
    <w:rsid w:val="15186CC2"/>
    <w:rsid w:val="153E45AB"/>
    <w:rsid w:val="156963A4"/>
    <w:rsid w:val="157B1A65"/>
    <w:rsid w:val="158463FD"/>
    <w:rsid w:val="15D46CBD"/>
    <w:rsid w:val="15DD7340"/>
    <w:rsid w:val="16136FE1"/>
    <w:rsid w:val="16225F66"/>
    <w:rsid w:val="16246357"/>
    <w:rsid w:val="1647092B"/>
    <w:rsid w:val="16527082"/>
    <w:rsid w:val="16CD6C1E"/>
    <w:rsid w:val="171A4165"/>
    <w:rsid w:val="1733268E"/>
    <w:rsid w:val="175E1181"/>
    <w:rsid w:val="175E75B2"/>
    <w:rsid w:val="17614D1E"/>
    <w:rsid w:val="17956226"/>
    <w:rsid w:val="179F20DA"/>
    <w:rsid w:val="17A95DDB"/>
    <w:rsid w:val="17C83D31"/>
    <w:rsid w:val="17D85333"/>
    <w:rsid w:val="182D7B9A"/>
    <w:rsid w:val="187106C4"/>
    <w:rsid w:val="189F6BF4"/>
    <w:rsid w:val="1918329C"/>
    <w:rsid w:val="19406C08"/>
    <w:rsid w:val="19864CDA"/>
    <w:rsid w:val="19C03DD7"/>
    <w:rsid w:val="19C34572"/>
    <w:rsid w:val="19FD2056"/>
    <w:rsid w:val="1A0F03AB"/>
    <w:rsid w:val="1A2514ED"/>
    <w:rsid w:val="1A35209A"/>
    <w:rsid w:val="1A3A7558"/>
    <w:rsid w:val="1A3F4832"/>
    <w:rsid w:val="1A4C1861"/>
    <w:rsid w:val="1A791DE6"/>
    <w:rsid w:val="1AF95A46"/>
    <w:rsid w:val="1B5678EC"/>
    <w:rsid w:val="1B767DB8"/>
    <w:rsid w:val="1BD3604C"/>
    <w:rsid w:val="1BF135C3"/>
    <w:rsid w:val="1C124560"/>
    <w:rsid w:val="1C53458D"/>
    <w:rsid w:val="1C98337A"/>
    <w:rsid w:val="1CB17138"/>
    <w:rsid w:val="1CF70C70"/>
    <w:rsid w:val="1CF73E96"/>
    <w:rsid w:val="1D134F6B"/>
    <w:rsid w:val="1D4D7705"/>
    <w:rsid w:val="1D4F37F5"/>
    <w:rsid w:val="1D592517"/>
    <w:rsid w:val="1D5D1883"/>
    <w:rsid w:val="1D746FDB"/>
    <w:rsid w:val="1D7F380F"/>
    <w:rsid w:val="1D805F8F"/>
    <w:rsid w:val="1DB36C78"/>
    <w:rsid w:val="1DF4147E"/>
    <w:rsid w:val="1DF72C9D"/>
    <w:rsid w:val="1E2635D8"/>
    <w:rsid w:val="1E3962E7"/>
    <w:rsid w:val="1E3B50CE"/>
    <w:rsid w:val="1E4B4AAB"/>
    <w:rsid w:val="1E573F7D"/>
    <w:rsid w:val="1E820E89"/>
    <w:rsid w:val="1E8974CA"/>
    <w:rsid w:val="1E954B3D"/>
    <w:rsid w:val="1E956E8A"/>
    <w:rsid w:val="1FC469A8"/>
    <w:rsid w:val="1FC87683"/>
    <w:rsid w:val="200F70A9"/>
    <w:rsid w:val="203D3162"/>
    <w:rsid w:val="206206B7"/>
    <w:rsid w:val="2069603F"/>
    <w:rsid w:val="209A2C1D"/>
    <w:rsid w:val="20ED0662"/>
    <w:rsid w:val="21776D75"/>
    <w:rsid w:val="217C77D6"/>
    <w:rsid w:val="21C80F30"/>
    <w:rsid w:val="21CB5D0D"/>
    <w:rsid w:val="21F309DB"/>
    <w:rsid w:val="2212389E"/>
    <w:rsid w:val="22565F37"/>
    <w:rsid w:val="228A24DE"/>
    <w:rsid w:val="22C60FC0"/>
    <w:rsid w:val="233C6FA1"/>
    <w:rsid w:val="239075E5"/>
    <w:rsid w:val="23D943F3"/>
    <w:rsid w:val="23EB6054"/>
    <w:rsid w:val="24085868"/>
    <w:rsid w:val="243F118D"/>
    <w:rsid w:val="243F5437"/>
    <w:rsid w:val="246E0AA4"/>
    <w:rsid w:val="247649DD"/>
    <w:rsid w:val="247D37EC"/>
    <w:rsid w:val="24DF0A50"/>
    <w:rsid w:val="24E01D3B"/>
    <w:rsid w:val="24EE220E"/>
    <w:rsid w:val="25295D7A"/>
    <w:rsid w:val="252F4DF7"/>
    <w:rsid w:val="25652567"/>
    <w:rsid w:val="256A35B0"/>
    <w:rsid w:val="256C6961"/>
    <w:rsid w:val="257C0433"/>
    <w:rsid w:val="259E768E"/>
    <w:rsid w:val="25BA55A1"/>
    <w:rsid w:val="25DA5EEB"/>
    <w:rsid w:val="25DA67C9"/>
    <w:rsid w:val="25F83184"/>
    <w:rsid w:val="25FD05A5"/>
    <w:rsid w:val="26034670"/>
    <w:rsid w:val="26247CFE"/>
    <w:rsid w:val="26750A7F"/>
    <w:rsid w:val="267B4E1B"/>
    <w:rsid w:val="26936210"/>
    <w:rsid w:val="26B51BB7"/>
    <w:rsid w:val="27157F1D"/>
    <w:rsid w:val="27190705"/>
    <w:rsid w:val="274D49E7"/>
    <w:rsid w:val="27822899"/>
    <w:rsid w:val="27876158"/>
    <w:rsid w:val="27950D2A"/>
    <w:rsid w:val="27A02B78"/>
    <w:rsid w:val="27A27E4C"/>
    <w:rsid w:val="27BB00CE"/>
    <w:rsid w:val="27C13C9D"/>
    <w:rsid w:val="27FA0A0F"/>
    <w:rsid w:val="28005748"/>
    <w:rsid w:val="28292151"/>
    <w:rsid w:val="28584CFE"/>
    <w:rsid w:val="28A3567C"/>
    <w:rsid w:val="28E369E3"/>
    <w:rsid w:val="29037444"/>
    <w:rsid w:val="291D797C"/>
    <w:rsid w:val="2941424B"/>
    <w:rsid w:val="295F1707"/>
    <w:rsid w:val="29C977D5"/>
    <w:rsid w:val="29DD0B53"/>
    <w:rsid w:val="29DD41C2"/>
    <w:rsid w:val="29E54C17"/>
    <w:rsid w:val="29F9711E"/>
    <w:rsid w:val="2A177552"/>
    <w:rsid w:val="2A3C3357"/>
    <w:rsid w:val="2A3E0D60"/>
    <w:rsid w:val="2A674B8F"/>
    <w:rsid w:val="2AA53905"/>
    <w:rsid w:val="2ABC0EEC"/>
    <w:rsid w:val="2AF27911"/>
    <w:rsid w:val="2AFA1C41"/>
    <w:rsid w:val="2B6A7EAE"/>
    <w:rsid w:val="2B7021AA"/>
    <w:rsid w:val="2B973130"/>
    <w:rsid w:val="2BD3493D"/>
    <w:rsid w:val="2BDD6A9E"/>
    <w:rsid w:val="2BFC2C3E"/>
    <w:rsid w:val="2C0B5A07"/>
    <w:rsid w:val="2C11194E"/>
    <w:rsid w:val="2C12452B"/>
    <w:rsid w:val="2C1615ED"/>
    <w:rsid w:val="2C33709C"/>
    <w:rsid w:val="2C752C60"/>
    <w:rsid w:val="2CA60ADB"/>
    <w:rsid w:val="2CA86B72"/>
    <w:rsid w:val="2CFA1490"/>
    <w:rsid w:val="2D0E6725"/>
    <w:rsid w:val="2D0F6940"/>
    <w:rsid w:val="2D420DBE"/>
    <w:rsid w:val="2D534023"/>
    <w:rsid w:val="2D605CC5"/>
    <w:rsid w:val="2DC775F4"/>
    <w:rsid w:val="2E050B5F"/>
    <w:rsid w:val="2E2F7935"/>
    <w:rsid w:val="2E3515EF"/>
    <w:rsid w:val="2E66403B"/>
    <w:rsid w:val="2E6A0D4C"/>
    <w:rsid w:val="2E6D64CC"/>
    <w:rsid w:val="2EB36C48"/>
    <w:rsid w:val="2EB86D24"/>
    <w:rsid w:val="2EE422B1"/>
    <w:rsid w:val="2EE47D00"/>
    <w:rsid w:val="2F0872E3"/>
    <w:rsid w:val="2F923F9E"/>
    <w:rsid w:val="2FB0039A"/>
    <w:rsid w:val="2FBA4350"/>
    <w:rsid w:val="2FDB68CC"/>
    <w:rsid w:val="2FEF2802"/>
    <w:rsid w:val="3004057E"/>
    <w:rsid w:val="302E1C34"/>
    <w:rsid w:val="306C1A4D"/>
    <w:rsid w:val="30852572"/>
    <w:rsid w:val="30BA404E"/>
    <w:rsid w:val="30CC0905"/>
    <w:rsid w:val="30DE59EC"/>
    <w:rsid w:val="31047AC3"/>
    <w:rsid w:val="312F33F5"/>
    <w:rsid w:val="31643D96"/>
    <w:rsid w:val="316B5305"/>
    <w:rsid w:val="318E3747"/>
    <w:rsid w:val="31931B8C"/>
    <w:rsid w:val="31934F94"/>
    <w:rsid w:val="320306A2"/>
    <w:rsid w:val="321426BB"/>
    <w:rsid w:val="321438D4"/>
    <w:rsid w:val="321605A1"/>
    <w:rsid w:val="32791110"/>
    <w:rsid w:val="329233C9"/>
    <w:rsid w:val="329834CF"/>
    <w:rsid w:val="32B533B3"/>
    <w:rsid w:val="32CB7E15"/>
    <w:rsid w:val="32E84DF7"/>
    <w:rsid w:val="32F45E39"/>
    <w:rsid w:val="330B0CD2"/>
    <w:rsid w:val="331471CB"/>
    <w:rsid w:val="331C1ACE"/>
    <w:rsid w:val="3324368A"/>
    <w:rsid w:val="3385282A"/>
    <w:rsid w:val="34293CFD"/>
    <w:rsid w:val="343A68BE"/>
    <w:rsid w:val="3442156A"/>
    <w:rsid w:val="34582725"/>
    <w:rsid w:val="346D4D09"/>
    <w:rsid w:val="34A569BE"/>
    <w:rsid w:val="34CB1405"/>
    <w:rsid w:val="34F068C5"/>
    <w:rsid w:val="351677C4"/>
    <w:rsid w:val="35347612"/>
    <w:rsid w:val="35466291"/>
    <w:rsid w:val="35584D69"/>
    <w:rsid w:val="35607937"/>
    <w:rsid w:val="35994F6B"/>
    <w:rsid w:val="35AB282F"/>
    <w:rsid w:val="35FE501A"/>
    <w:rsid w:val="363A56E2"/>
    <w:rsid w:val="364F3CF4"/>
    <w:rsid w:val="368543FA"/>
    <w:rsid w:val="36C42C74"/>
    <w:rsid w:val="36CD6D87"/>
    <w:rsid w:val="37012A18"/>
    <w:rsid w:val="37134101"/>
    <w:rsid w:val="371C5477"/>
    <w:rsid w:val="372021C1"/>
    <w:rsid w:val="37384887"/>
    <w:rsid w:val="37553D7E"/>
    <w:rsid w:val="37702EC9"/>
    <w:rsid w:val="37854F03"/>
    <w:rsid w:val="37907968"/>
    <w:rsid w:val="380657AE"/>
    <w:rsid w:val="381052C9"/>
    <w:rsid w:val="382A7EB4"/>
    <w:rsid w:val="38333A2E"/>
    <w:rsid w:val="384572A5"/>
    <w:rsid w:val="384C6C67"/>
    <w:rsid w:val="38523D9C"/>
    <w:rsid w:val="385D502E"/>
    <w:rsid w:val="389F1603"/>
    <w:rsid w:val="38AE19A6"/>
    <w:rsid w:val="390D35B4"/>
    <w:rsid w:val="391C6014"/>
    <w:rsid w:val="392655EF"/>
    <w:rsid w:val="39352C3A"/>
    <w:rsid w:val="396B5564"/>
    <w:rsid w:val="3976289D"/>
    <w:rsid w:val="39777B1A"/>
    <w:rsid w:val="397E70FD"/>
    <w:rsid w:val="39BC5956"/>
    <w:rsid w:val="39F04F83"/>
    <w:rsid w:val="39FF7374"/>
    <w:rsid w:val="3A116EAD"/>
    <w:rsid w:val="3A440D1B"/>
    <w:rsid w:val="3A544E2A"/>
    <w:rsid w:val="3A621B91"/>
    <w:rsid w:val="3A675025"/>
    <w:rsid w:val="3A6C65EE"/>
    <w:rsid w:val="3A746523"/>
    <w:rsid w:val="3A777EBA"/>
    <w:rsid w:val="3A8D585B"/>
    <w:rsid w:val="3A955468"/>
    <w:rsid w:val="3AA829CE"/>
    <w:rsid w:val="3AAB197C"/>
    <w:rsid w:val="3ACF073F"/>
    <w:rsid w:val="3AD92272"/>
    <w:rsid w:val="3AF70BD4"/>
    <w:rsid w:val="3B1635B7"/>
    <w:rsid w:val="3B617B68"/>
    <w:rsid w:val="3B9E493D"/>
    <w:rsid w:val="3BAF57C2"/>
    <w:rsid w:val="3BE94166"/>
    <w:rsid w:val="3BED5DA0"/>
    <w:rsid w:val="3C0D5A93"/>
    <w:rsid w:val="3C3064C2"/>
    <w:rsid w:val="3C4332E6"/>
    <w:rsid w:val="3C653E25"/>
    <w:rsid w:val="3C825CFD"/>
    <w:rsid w:val="3CB15756"/>
    <w:rsid w:val="3CE664C1"/>
    <w:rsid w:val="3CF15E01"/>
    <w:rsid w:val="3CFF17DA"/>
    <w:rsid w:val="3D997E2E"/>
    <w:rsid w:val="3DC54AF9"/>
    <w:rsid w:val="3DC666AB"/>
    <w:rsid w:val="3DF151A5"/>
    <w:rsid w:val="3DF57CB4"/>
    <w:rsid w:val="3E2A0F2C"/>
    <w:rsid w:val="3E495188"/>
    <w:rsid w:val="3E9000D1"/>
    <w:rsid w:val="3E9632C1"/>
    <w:rsid w:val="3EA24835"/>
    <w:rsid w:val="3EA40566"/>
    <w:rsid w:val="3EBD713F"/>
    <w:rsid w:val="3EC447FA"/>
    <w:rsid w:val="3ED42BE8"/>
    <w:rsid w:val="3F162CE5"/>
    <w:rsid w:val="3F445544"/>
    <w:rsid w:val="3F706974"/>
    <w:rsid w:val="3FC173B8"/>
    <w:rsid w:val="3FF03BDE"/>
    <w:rsid w:val="404E1439"/>
    <w:rsid w:val="404E5C38"/>
    <w:rsid w:val="405431F2"/>
    <w:rsid w:val="409857F3"/>
    <w:rsid w:val="40CA1804"/>
    <w:rsid w:val="40D668C1"/>
    <w:rsid w:val="411056EE"/>
    <w:rsid w:val="41280C61"/>
    <w:rsid w:val="415A1A04"/>
    <w:rsid w:val="41D3503C"/>
    <w:rsid w:val="41E332DB"/>
    <w:rsid w:val="426E143F"/>
    <w:rsid w:val="4283626A"/>
    <w:rsid w:val="431B2682"/>
    <w:rsid w:val="43200DB4"/>
    <w:rsid w:val="43273972"/>
    <w:rsid w:val="43527C6A"/>
    <w:rsid w:val="43856B23"/>
    <w:rsid w:val="43A9146E"/>
    <w:rsid w:val="43FC5F5C"/>
    <w:rsid w:val="440A31D5"/>
    <w:rsid w:val="446A0933"/>
    <w:rsid w:val="44721321"/>
    <w:rsid w:val="44777B1F"/>
    <w:rsid w:val="44973997"/>
    <w:rsid w:val="451051E3"/>
    <w:rsid w:val="45720E55"/>
    <w:rsid w:val="4594232D"/>
    <w:rsid w:val="45A80B22"/>
    <w:rsid w:val="45BE6D50"/>
    <w:rsid w:val="45CA29A4"/>
    <w:rsid w:val="46073F4F"/>
    <w:rsid w:val="461A3148"/>
    <w:rsid w:val="4628040D"/>
    <w:rsid w:val="46340C7C"/>
    <w:rsid w:val="463B6043"/>
    <w:rsid w:val="466574D2"/>
    <w:rsid w:val="468845FA"/>
    <w:rsid w:val="46B34549"/>
    <w:rsid w:val="46D874EC"/>
    <w:rsid w:val="47054B04"/>
    <w:rsid w:val="470C3FBB"/>
    <w:rsid w:val="473C7171"/>
    <w:rsid w:val="475D1238"/>
    <w:rsid w:val="476C7728"/>
    <w:rsid w:val="476F13F7"/>
    <w:rsid w:val="4779102B"/>
    <w:rsid w:val="47907AB1"/>
    <w:rsid w:val="48242489"/>
    <w:rsid w:val="482715C0"/>
    <w:rsid w:val="48357C20"/>
    <w:rsid w:val="48B60D85"/>
    <w:rsid w:val="48BF7544"/>
    <w:rsid w:val="48C22707"/>
    <w:rsid w:val="48CA6279"/>
    <w:rsid w:val="49204C20"/>
    <w:rsid w:val="49340CEC"/>
    <w:rsid w:val="495826C9"/>
    <w:rsid w:val="495F2D7C"/>
    <w:rsid w:val="49826E7B"/>
    <w:rsid w:val="498573C8"/>
    <w:rsid w:val="498C5082"/>
    <w:rsid w:val="49993598"/>
    <w:rsid w:val="49B51324"/>
    <w:rsid w:val="49BB60C3"/>
    <w:rsid w:val="49C77983"/>
    <w:rsid w:val="49CD4876"/>
    <w:rsid w:val="49DF0D6E"/>
    <w:rsid w:val="49F0233D"/>
    <w:rsid w:val="4A042CAF"/>
    <w:rsid w:val="4A276999"/>
    <w:rsid w:val="4A681F38"/>
    <w:rsid w:val="4AE1444D"/>
    <w:rsid w:val="4AEC1BC1"/>
    <w:rsid w:val="4AF14D83"/>
    <w:rsid w:val="4B1A29EA"/>
    <w:rsid w:val="4B754C9C"/>
    <w:rsid w:val="4B7E1193"/>
    <w:rsid w:val="4B7F259B"/>
    <w:rsid w:val="4BB0707F"/>
    <w:rsid w:val="4BDE59C6"/>
    <w:rsid w:val="4BE85CAC"/>
    <w:rsid w:val="4BF6138C"/>
    <w:rsid w:val="4C302B65"/>
    <w:rsid w:val="4C5A7712"/>
    <w:rsid w:val="4CE04160"/>
    <w:rsid w:val="4CF84EBE"/>
    <w:rsid w:val="4D0F6B31"/>
    <w:rsid w:val="4D14315A"/>
    <w:rsid w:val="4D5F5528"/>
    <w:rsid w:val="4D6A3852"/>
    <w:rsid w:val="4D920BF6"/>
    <w:rsid w:val="4D97166D"/>
    <w:rsid w:val="4D974B57"/>
    <w:rsid w:val="4E2A5857"/>
    <w:rsid w:val="4E350BDF"/>
    <w:rsid w:val="4E3B706A"/>
    <w:rsid w:val="4E4629C1"/>
    <w:rsid w:val="4E566727"/>
    <w:rsid w:val="4E662D59"/>
    <w:rsid w:val="4EA62914"/>
    <w:rsid w:val="4EC12F6E"/>
    <w:rsid w:val="4EEA627A"/>
    <w:rsid w:val="4EFC24C3"/>
    <w:rsid w:val="4F0C6BC7"/>
    <w:rsid w:val="4F34316E"/>
    <w:rsid w:val="4F3C35F4"/>
    <w:rsid w:val="4F5345A4"/>
    <w:rsid w:val="4FBB63F3"/>
    <w:rsid w:val="4FD74DF5"/>
    <w:rsid w:val="4FDB7C07"/>
    <w:rsid w:val="4FE653AE"/>
    <w:rsid w:val="50162D6A"/>
    <w:rsid w:val="501D05DE"/>
    <w:rsid w:val="507B4720"/>
    <w:rsid w:val="507E67BD"/>
    <w:rsid w:val="50921243"/>
    <w:rsid w:val="50A26676"/>
    <w:rsid w:val="50B813FB"/>
    <w:rsid w:val="5110787F"/>
    <w:rsid w:val="514D5661"/>
    <w:rsid w:val="515B42CB"/>
    <w:rsid w:val="517F1298"/>
    <w:rsid w:val="51A36EDB"/>
    <w:rsid w:val="51A97222"/>
    <w:rsid w:val="51E141F2"/>
    <w:rsid w:val="51F341BA"/>
    <w:rsid w:val="523009BF"/>
    <w:rsid w:val="5255559B"/>
    <w:rsid w:val="52711D0E"/>
    <w:rsid w:val="527538E9"/>
    <w:rsid w:val="52B60B83"/>
    <w:rsid w:val="52C61BE4"/>
    <w:rsid w:val="52D678BA"/>
    <w:rsid w:val="531E66F5"/>
    <w:rsid w:val="533D5308"/>
    <w:rsid w:val="533D62EA"/>
    <w:rsid w:val="538E2DFF"/>
    <w:rsid w:val="53B94CB4"/>
    <w:rsid w:val="54146E98"/>
    <w:rsid w:val="541E0413"/>
    <w:rsid w:val="5457011E"/>
    <w:rsid w:val="546E314E"/>
    <w:rsid w:val="54B0505F"/>
    <w:rsid w:val="54CF02C4"/>
    <w:rsid w:val="54CF06F9"/>
    <w:rsid w:val="55707651"/>
    <w:rsid w:val="55993B5F"/>
    <w:rsid w:val="55A739B5"/>
    <w:rsid w:val="55B033A9"/>
    <w:rsid w:val="55D67352"/>
    <w:rsid w:val="55DB3E0F"/>
    <w:rsid w:val="562D10FE"/>
    <w:rsid w:val="562D45F5"/>
    <w:rsid w:val="56693409"/>
    <w:rsid w:val="56967C37"/>
    <w:rsid w:val="56D54877"/>
    <w:rsid w:val="56E45ABB"/>
    <w:rsid w:val="57126254"/>
    <w:rsid w:val="57170887"/>
    <w:rsid w:val="574C2781"/>
    <w:rsid w:val="5798584E"/>
    <w:rsid w:val="57CA2EA4"/>
    <w:rsid w:val="57E42AEB"/>
    <w:rsid w:val="57FC5C61"/>
    <w:rsid w:val="581D4B9C"/>
    <w:rsid w:val="58232B20"/>
    <w:rsid w:val="584C47D4"/>
    <w:rsid w:val="585C7D94"/>
    <w:rsid w:val="58620624"/>
    <w:rsid w:val="5864602C"/>
    <w:rsid w:val="58A97C74"/>
    <w:rsid w:val="58B6475B"/>
    <w:rsid w:val="58C55E95"/>
    <w:rsid w:val="58D73440"/>
    <w:rsid w:val="59221C4B"/>
    <w:rsid w:val="59341E43"/>
    <w:rsid w:val="59752FAE"/>
    <w:rsid w:val="598E796A"/>
    <w:rsid w:val="59E175E3"/>
    <w:rsid w:val="59E25358"/>
    <w:rsid w:val="59EB7A8B"/>
    <w:rsid w:val="5A0D1109"/>
    <w:rsid w:val="5A2A19D3"/>
    <w:rsid w:val="5A2C47A0"/>
    <w:rsid w:val="5A4F6A23"/>
    <w:rsid w:val="5A51375B"/>
    <w:rsid w:val="5A7552F8"/>
    <w:rsid w:val="5A793E23"/>
    <w:rsid w:val="5A8B0322"/>
    <w:rsid w:val="5AD20E4C"/>
    <w:rsid w:val="5AFE1408"/>
    <w:rsid w:val="5B116E6D"/>
    <w:rsid w:val="5B6D5E83"/>
    <w:rsid w:val="5BBF3F23"/>
    <w:rsid w:val="5BF850F9"/>
    <w:rsid w:val="5C167E7A"/>
    <w:rsid w:val="5D105240"/>
    <w:rsid w:val="5D575320"/>
    <w:rsid w:val="5D63153F"/>
    <w:rsid w:val="5D966D22"/>
    <w:rsid w:val="5DA834D8"/>
    <w:rsid w:val="5DAC5BD2"/>
    <w:rsid w:val="5DC35175"/>
    <w:rsid w:val="5DC430E9"/>
    <w:rsid w:val="5DDB256D"/>
    <w:rsid w:val="5DEB2499"/>
    <w:rsid w:val="5E5220DF"/>
    <w:rsid w:val="5E686AF3"/>
    <w:rsid w:val="5E76410D"/>
    <w:rsid w:val="5EA466EF"/>
    <w:rsid w:val="5EE27322"/>
    <w:rsid w:val="5F1859A9"/>
    <w:rsid w:val="5F2B735B"/>
    <w:rsid w:val="5F346108"/>
    <w:rsid w:val="5F966BB6"/>
    <w:rsid w:val="5F9A40AE"/>
    <w:rsid w:val="5FA85D1C"/>
    <w:rsid w:val="5FAB7737"/>
    <w:rsid w:val="5FFE0930"/>
    <w:rsid w:val="600269CC"/>
    <w:rsid w:val="6012546B"/>
    <w:rsid w:val="60731F04"/>
    <w:rsid w:val="607833D1"/>
    <w:rsid w:val="60C66F1B"/>
    <w:rsid w:val="60CB4426"/>
    <w:rsid w:val="60CD5262"/>
    <w:rsid w:val="60F2305A"/>
    <w:rsid w:val="610852B6"/>
    <w:rsid w:val="61236F24"/>
    <w:rsid w:val="615E574D"/>
    <w:rsid w:val="61841C62"/>
    <w:rsid w:val="61996600"/>
    <w:rsid w:val="619E5152"/>
    <w:rsid w:val="61CD2DF9"/>
    <w:rsid w:val="61FA3D8D"/>
    <w:rsid w:val="620A0D39"/>
    <w:rsid w:val="621F72E6"/>
    <w:rsid w:val="62422A33"/>
    <w:rsid w:val="62631387"/>
    <w:rsid w:val="627F4E3B"/>
    <w:rsid w:val="62BB515A"/>
    <w:rsid w:val="62C71B4D"/>
    <w:rsid w:val="62CD66A2"/>
    <w:rsid w:val="62E058C3"/>
    <w:rsid w:val="635B4561"/>
    <w:rsid w:val="6367429A"/>
    <w:rsid w:val="6377024A"/>
    <w:rsid w:val="639446C3"/>
    <w:rsid w:val="63AB59CE"/>
    <w:rsid w:val="63DC05C7"/>
    <w:rsid w:val="63EF4797"/>
    <w:rsid w:val="642F1F23"/>
    <w:rsid w:val="6434386D"/>
    <w:rsid w:val="643E5407"/>
    <w:rsid w:val="649A2D93"/>
    <w:rsid w:val="650761D3"/>
    <w:rsid w:val="65315149"/>
    <w:rsid w:val="654E3E1C"/>
    <w:rsid w:val="654E71FB"/>
    <w:rsid w:val="655C3E84"/>
    <w:rsid w:val="655D2377"/>
    <w:rsid w:val="65684582"/>
    <w:rsid w:val="65925BC3"/>
    <w:rsid w:val="65B23E90"/>
    <w:rsid w:val="65D91057"/>
    <w:rsid w:val="66073768"/>
    <w:rsid w:val="66237EE1"/>
    <w:rsid w:val="66850AD8"/>
    <w:rsid w:val="668D44F2"/>
    <w:rsid w:val="66A07DC4"/>
    <w:rsid w:val="672120D2"/>
    <w:rsid w:val="674E692D"/>
    <w:rsid w:val="67671C6F"/>
    <w:rsid w:val="67777631"/>
    <w:rsid w:val="67854A27"/>
    <w:rsid w:val="67B16D48"/>
    <w:rsid w:val="67CF0681"/>
    <w:rsid w:val="67DD767B"/>
    <w:rsid w:val="67F6553C"/>
    <w:rsid w:val="67F72705"/>
    <w:rsid w:val="6856341E"/>
    <w:rsid w:val="685A2777"/>
    <w:rsid w:val="685A5B67"/>
    <w:rsid w:val="686A4359"/>
    <w:rsid w:val="68A33C4D"/>
    <w:rsid w:val="68A73D60"/>
    <w:rsid w:val="68B64906"/>
    <w:rsid w:val="68CE4A61"/>
    <w:rsid w:val="68DC6D2F"/>
    <w:rsid w:val="68DF078F"/>
    <w:rsid w:val="693B5FAA"/>
    <w:rsid w:val="69511C66"/>
    <w:rsid w:val="69586BF7"/>
    <w:rsid w:val="69652D02"/>
    <w:rsid w:val="69660078"/>
    <w:rsid w:val="69721F01"/>
    <w:rsid w:val="69795DB7"/>
    <w:rsid w:val="69A25F74"/>
    <w:rsid w:val="6A053F55"/>
    <w:rsid w:val="6A0A2939"/>
    <w:rsid w:val="6A3C64F3"/>
    <w:rsid w:val="6A5722B2"/>
    <w:rsid w:val="6AA56DE3"/>
    <w:rsid w:val="6AB600FA"/>
    <w:rsid w:val="6B4149F6"/>
    <w:rsid w:val="6B477301"/>
    <w:rsid w:val="6B4B633D"/>
    <w:rsid w:val="6B594D2F"/>
    <w:rsid w:val="6BD80FE6"/>
    <w:rsid w:val="6BD91E4C"/>
    <w:rsid w:val="6BEC1A9C"/>
    <w:rsid w:val="6BEE7A9D"/>
    <w:rsid w:val="6BF013B9"/>
    <w:rsid w:val="6BFC6E53"/>
    <w:rsid w:val="6C0435BD"/>
    <w:rsid w:val="6C7B752A"/>
    <w:rsid w:val="6C7D7F60"/>
    <w:rsid w:val="6C8A0DC3"/>
    <w:rsid w:val="6C8A75C6"/>
    <w:rsid w:val="6CDC2760"/>
    <w:rsid w:val="6CDC28DF"/>
    <w:rsid w:val="6CE94068"/>
    <w:rsid w:val="6D15687E"/>
    <w:rsid w:val="6D163D3A"/>
    <w:rsid w:val="6D1928C4"/>
    <w:rsid w:val="6D4353BE"/>
    <w:rsid w:val="6D4A2362"/>
    <w:rsid w:val="6D5266AF"/>
    <w:rsid w:val="6D8C6652"/>
    <w:rsid w:val="6D992057"/>
    <w:rsid w:val="6DF102FC"/>
    <w:rsid w:val="6DFB3573"/>
    <w:rsid w:val="6E0B1BAB"/>
    <w:rsid w:val="6E2807F4"/>
    <w:rsid w:val="6E282585"/>
    <w:rsid w:val="6E343B1E"/>
    <w:rsid w:val="6E4B14D8"/>
    <w:rsid w:val="6E69536A"/>
    <w:rsid w:val="6E70036D"/>
    <w:rsid w:val="6E815160"/>
    <w:rsid w:val="6E873705"/>
    <w:rsid w:val="6E9E468C"/>
    <w:rsid w:val="6EAD3514"/>
    <w:rsid w:val="6EB8189D"/>
    <w:rsid w:val="6EFB1C21"/>
    <w:rsid w:val="6F0F42E3"/>
    <w:rsid w:val="6F474A27"/>
    <w:rsid w:val="6F7277ED"/>
    <w:rsid w:val="6FE447FF"/>
    <w:rsid w:val="70335697"/>
    <w:rsid w:val="703D6C99"/>
    <w:rsid w:val="70522CFC"/>
    <w:rsid w:val="70572BF9"/>
    <w:rsid w:val="70672692"/>
    <w:rsid w:val="707F19FA"/>
    <w:rsid w:val="70B412B3"/>
    <w:rsid w:val="70CD51DF"/>
    <w:rsid w:val="70DC46EC"/>
    <w:rsid w:val="710F1A8F"/>
    <w:rsid w:val="71280921"/>
    <w:rsid w:val="715C7F8B"/>
    <w:rsid w:val="719C6739"/>
    <w:rsid w:val="71A51ED4"/>
    <w:rsid w:val="721E2EB4"/>
    <w:rsid w:val="724E123D"/>
    <w:rsid w:val="72650204"/>
    <w:rsid w:val="729B1254"/>
    <w:rsid w:val="72D04A8F"/>
    <w:rsid w:val="72EC3CF3"/>
    <w:rsid w:val="735613FA"/>
    <w:rsid w:val="73690B92"/>
    <w:rsid w:val="73FA0252"/>
    <w:rsid w:val="74262B90"/>
    <w:rsid w:val="747D570B"/>
    <w:rsid w:val="74942005"/>
    <w:rsid w:val="74CA10EC"/>
    <w:rsid w:val="74DC0BC5"/>
    <w:rsid w:val="74FD1650"/>
    <w:rsid w:val="75077569"/>
    <w:rsid w:val="7516675F"/>
    <w:rsid w:val="752561BE"/>
    <w:rsid w:val="75772268"/>
    <w:rsid w:val="75C95039"/>
    <w:rsid w:val="75DC5DFC"/>
    <w:rsid w:val="75E62D07"/>
    <w:rsid w:val="760A3379"/>
    <w:rsid w:val="76234CD2"/>
    <w:rsid w:val="76560C4B"/>
    <w:rsid w:val="76877C3A"/>
    <w:rsid w:val="770328F1"/>
    <w:rsid w:val="77074E1D"/>
    <w:rsid w:val="777219E7"/>
    <w:rsid w:val="77A424EA"/>
    <w:rsid w:val="77AD1BFF"/>
    <w:rsid w:val="77B8057F"/>
    <w:rsid w:val="77E844E5"/>
    <w:rsid w:val="783F1385"/>
    <w:rsid w:val="78581168"/>
    <w:rsid w:val="78731105"/>
    <w:rsid w:val="78A0392A"/>
    <w:rsid w:val="78A46F2B"/>
    <w:rsid w:val="78C05978"/>
    <w:rsid w:val="790A217D"/>
    <w:rsid w:val="7924502A"/>
    <w:rsid w:val="79654FDA"/>
    <w:rsid w:val="79661E63"/>
    <w:rsid w:val="79817A0B"/>
    <w:rsid w:val="798A4777"/>
    <w:rsid w:val="7994182B"/>
    <w:rsid w:val="79C73C08"/>
    <w:rsid w:val="79CD121C"/>
    <w:rsid w:val="79D94FD8"/>
    <w:rsid w:val="7A0342A4"/>
    <w:rsid w:val="7A1E02BD"/>
    <w:rsid w:val="7A4E1E7A"/>
    <w:rsid w:val="7A5E1132"/>
    <w:rsid w:val="7ABB4E17"/>
    <w:rsid w:val="7AC8259B"/>
    <w:rsid w:val="7AD92F8D"/>
    <w:rsid w:val="7AF355A4"/>
    <w:rsid w:val="7B211BD6"/>
    <w:rsid w:val="7B4216F2"/>
    <w:rsid w:val="7B6651EE"/>
    <w:rsid w:val="7B873572"/>
    <w:rsid w:val="7B8E3471"/>
    <w:rsid w:val="7BFD7586"/>
    <w:rsid w:val="7C5C74C4"/>
    <w:rsid w:val="7C5E2ABB"/>
    <w:rsid w:val="7C884AEB"/>
    <w:rsid w:val="7CA23644"/>
    <w:rsid w:val="7CB562C1"/>
    <w:rsid w:val="7D1110C6"/>
    <w:rsid w:val="7D184637"/>
    <w:rsid w:val="7D4A2855"/>
    <w:rsid w:val="7D56379C"/>
    <w:rsid w:val="7D7160CC"/>
    <w:rsid w:val="7D7D2BA4"/>
    <w:rsid w:val="7DDA6306"/>
    <w:rsid w:val="7DE734E0"/>
    <w:rsid w:val="7E0870DD"/>
    <w:rsid w:val="7E0952E3"/>
    <w:rsid w:val="7E3513AE"/>
    <w:rsid w:val="7E373B2C"/>
    <w:rsid w:val="7E472B7A"/>
    <w:rsid w:val="7E540702"/>
    <w:rsid w:val="7E8B3B3F"/>
    <w:rsid w:val="7EA10420"/>
    <w:rsid w:val="7F0B51FB"/>
    <w:rsid w:val="7F4770D8"/>
    <w:rsid w:val="7F547859"/>
    <w:rsid w:val="7F5C5170"/>
    <w:rsid w:val="7F6607EA"/>
    <w:rsid w:val="7F976A6F"/>
    <w:rsid w:val="7FE167DC"/>
    <w:rsid w:val="7FEF356D"/>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qFormat="1"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qFormat="1"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Calibri" w:hAnsi="Calibri" w:eastAsia="宋体" w:cs="Times New Roman"/>
      <w:kern w:val="2"/>
      <w:sz w:val="21"/>
      <w:szCs w:val="22"/>
      <w:lang w:val="en-US" w:eastAsia="zh-CN" w:bidi="ar-SA"/>
    </w:rPr>
  </w:style>
  <w:style w:type="paragraph" w:styleId="5">
    <w:name w:val="heading 1"/>
    <w:basedOn w:val="1"/>
    <w:next w:val="1"/>
    <w:autoRedefine/>
    <w:qFormat/>
    <w:uiPriority w:val="0"/>
    <w:pPr>
      <w:keepNext/>
      <w:keepLines/>
      <w:spacing w:before="340" w:after="330" w:line="578" w:lineRule="auto"/>
      <w:outlineLvl w:val="0"/>
    </w:pPr>
    <w:rPr>
      <w:rFonts w:cs="Calibri"/>
      <w:b/>
      <w:bCs/>
      <w:kern w:val="44"/>
      <w:sz w:val="36"/>
      <w:szCs w:val="36"/>
    </w:rPr>
  </w:style>
  <w:style w:type="paragraph" w:styleId="6">
    <w:name w:val="heading 2"/>
    <w:basedOn w:val="1"/>
    <w:next w:val="1"/>
    <w:link w:val="35"/>
    <w:autoRedefine/>
    <w:qFormat/>
    <w:uiPriority w:val="0"/>
    <w:pPr>
      <w:keepNext/>
      <w:keepLines/>
      <w:spacing w:before="260" w:after="260" w:line="416" w:lineRule="auto"/>
      <w:outlineLvl w:val="1"/>
    </w:pPr>
    <w:rPr>
      <w:rFonts w:ascii="Calibri Light" w:hAnsi="Calibri Light"/>
      <w:b/>
      <w:bCs/>
      <w:kern w:val="0"/>
      <w:sz w:val="30"/>
      <w:szCs w:val="30"/>
    </w:rPr>
  </w:style>
  <w:style w:type="paragraph" w:styleId="7">
    <w:name w:val="heading 3"/>
    <w:basedOn w:val="1"/>
    <w:next w:val="1"/>
    <w:autoRedefine/>
    <w:qFormat/>
    <w:uiPriority w:val="0"/>
    <w:pPr>
      <w:spacing w:before="100" w:beforeAutospacing="1" w:after="100" w:afterAutospacing="1"/>
      <w:jc w:val="left"/>
      <w:outlineLvl w:val="2"/>
    </w:pPr>
    <w:rPr>
      <w:rFonts w:hint="eastAsia" w:ascii="宋体" w:hAnsi="宋体"/>
      <w:b/>
      <w:kern w:val="0"/>
      <w:sz w:val="27"/>
      <w:szCs w:val="27"/>
    </w:rPr>
  </w:style>
  <w:style w:type="character" w:default="1" w:styleId="26">
    <w:name w:val="Default Paragraph Font"/>
    <w:autoRedefine/>
    <w:unhideWhenUsed/>
    <w:qFormat/>
    <w:uiPriority w:val="1"/>
  </w:style>
  <w:style w:type="table" w:default="1" w:styleId="24">
    <w:name w:val="Normal Table"/>
    <w:autoRedefine/>
    <w:semiHidden/>
    <w:unhideWhenUsed/>
    <w:qFormat/>
    <w:uiPriority w:val="99"/>
    <w:tblPr>
      <w:tblCellMar>
        <w:top w:w="0" w:type="dxa"/>
        <w:left w:w="108" w:type="dxa"/>
        <w:bottom w:w="0" w:type="dxa"/>
        <w:right w:w="108" w:type="dxa"/>
      </w:tblCellMar>
    </w:tblPr>
  </w:style>
  <w:style w:type="paragraph" w:styleId="2">
    <w:name w:val="Body Text First Indent"/>
    <w:basedOn w:val="3"/>
    <w:next w:val="4"/>
    <w:autoRedefine/>
    <w:qFormat/>
    <w:uiPriority w:val="0"/>
    <w:pPr>
      <w:spacing w:after="0" w:line="360" w:lineRule="auto"/>
      <w:ind w:firstLine="433" w:firstLineChars="196"/>
    </w:pPr>
    <w:rPr>
      <w:rFonts w:ascii="Times New Roman"/>
    </w:rPr>
  </w:style>
  <w:style w:type="paragraph" w:styleId="3">
    <w:name w:val="Body Text"/>
    <w:basedOn w:val="1"/>
    <w:next w:val="2"/>
    <w:autoRedefine/>
    <w:qFormat/>
    <w:uiPriority w:val="0"/>
    <w:pPr>
      <w:spacing w:after="120"/>
    </w:pPr>
  </w:style>
  <w:style w:type="paragraph" w:styleId="4">
    <w:name w:val="toc 6"/>
    <w:basedOn w:val="1"/>
    <w:next w:val="1"/>
    <w:autoRedefine/>
    <w:qFormat/>
    <w:uiPriority w:val="0"/>
    <w:pPr>
      <w:ind w:left="2100" w:leftChars="1000"/>
    </w:pPr>
  </w:style>
  <w:style w:type="paragraph" w:styleId="8">
    <w:name w:val="Normal Indent"/>
    <w:basedOn w:val="1"/>
    <w:autoRedefine/>
    <w:qFormat/>
    <w:uiPriority w:val="0"/>
    <w:pPr>
      <w:ind w:firstLine="420" w:firstLineChars="200"/>
    </w:pPr>
    <w:rPr>
      <w:rFonts w:ascii="仿宋_GB2312" w:hAnsi="宋体" w:eastAsia="仿宋_GB2312" w:cs="宋体"/>
      <w:color w:val="000000"/>
      <w:szCs w:val="21"/>
    </w:rPr>
  </w:style>
  <w:style w:type="paragraph" w:styleId="9">
    <w:name w:val="toa heading"/>
    <w:basedOn w:val="1"/>
    <w:next w:val="1"/>
    <w:autoRedefine/>
    <w:qFormat/>
    <w:uiPriority w:val="0"/>
    <w:pPr>
      <w:spacing w:before="120"/>
    </w:pPr>
    <w:rPr>
      <w:rFonts w:ascii="Arial" w:hAnsi="Arial" w:cs="Arial"/>
      <w:sz w:val="24"/>
    </w:rPr>
  </w:style>
  <w:style w:type="paragraph" w:styleId="10">
    <w:name w:val="annotation text"/>
    <w:basedOn w:val="1"/>
    <w:autoRedefine/>
    <w:qFormat/>
    <w:uiPriority w:val="0"/>
    <w:pPr>
      <w:jc w:val="left"/>
    </w:pPr>
  </w:style>
  <w:style w:type="paragraph" w:styleId="11">
    <w:name w:val="Body Text Indent"/>
    <w:basedOn w:val="1"/>
    <w:link w:val="70"/>
    <w:autoRedefine/>
    <w:qFormat/>
    <w:uiPriority w:val="0"/>
    <w:pPr>
      <w:spacing w:after="120"/>
      <w:ind w:left="420" w:leftChars="200"/>
    </w:pPr>
    <w:rPr>
      <w:szCs w:val="24"/>
    </w:rPr>
  </w:style>
  <w:style w:type="paragraph" w:styleId="12">
    <w:name w:val="Plain Text"/>
    <w:basedOn w:val="1"/>
    <w:autoRedefine/>
    <w:qFormat/>
    <w:uiPriority w:val="0"/>
    <w:rPr>
      <w:rFonts w:ascii="宋体" w:hAnsi="Courier New" w:eastAsia="仿宋_GB2312" w:cs="宋体"/>
      <w:b/>
      <w:bCs/>
      <w:color w:val="000000"/>
    </w:rPr>
  </w:style>
  <w:style w:type="paragraph" w:styleId="13">
    <w:name w:val="Date"/>
    <w:basedOn w:val="1"/>
    <w:next w:val="1"/>
    <w:autoRedefine/>
    <w:qFormat/>
    <w:uiPriority w:val="0"/>
    <w:pPr>
      <w:adjustRightInd w:val="0"/>
      <w:spacing w:line="360" w:lineRule="atLeast"/>
      <w:textAlignment w:val="baseline"/>
    </w:pPr>
    <w:rPr>
      <w:rFonts w:ascii="Times New Roman" w:hAnsi="Times New Roman"/>
    </w:rPr>
  </w:style>
  <w:style w:type="paragraph" w:styleId="14">
    <w:name w:val="Body Text Indent 2"/>
    <w:basedOn w:val="1"/>
    <w:autoRedefine/>
    <w:qFormat/>
    <w:uiPriority w:val="0"/>
    <w:pPr>
      <w:widowControl/>
      <w:spacing w:line="480" w:lineRule="atLeast"/>
      <w:ind w:firstLine="480"/>
    </w:pPr>
    <w:rPr>
      <w:rFonts w:ascii="宋体"/>
      <w:kern w:val="0"/>
      <w:sz w:val="24"/>
      <w:szCs w:val="20"/>
    </w:rPr>
  </w:style>
  <w:style w:type="paragraph" w:styleId="15">
    <w:name w:val="Balloon Text"/>
    <w:basedOn w:val="1"/>
    <w:link w:val="36"/>
    <w:autoRedefine/>
    <w:qFormat/>
    <w:uiPriority w:val="0"/>
    <w:rPr>
      <w:sz w:val="18"/>
      <w:szCs w:val="18"/>
    </w:rPr>
  </w:style>
  <w:style w:type="paragraph" w:styleId="16">
    <w:name w:val="footer"/>
    <w:basedOn w:val="1"/>
    <w:autoRedefine/>
    <w:qFormat/>
    <w:uiPriority w:val="0"/>
    <w:pPr>
      <w:tabs>
        <w:tab w:val="center" w:pos="4153"/>
        <w:tab w:val="right" w:pos="8306"/>
      </w:tabs>
      <w:snapToGrid w:val="0"/>
      <w:jc w:val="left"/>
    </w:pPr>
    <w:rPr>
      <w:rFonts w:ascii="仿宋_GB2312" w:hAnsi="宋体" w:eastAsia="仿宋_GB2312" w:cs="宋体"/>
      <w:b/>
      <w:bCs/>
      <w:color w:val="000000"/>
      <w:sz w:val="18"/>
      <w:szCs w:val="18"/>
    </w:rPr>
  </w:style>
  <w:style w:type="paragraph" w:styleId="17">
    <w:name w:val="header"/>
    <w:basedOn w:val="1"/>
    <w:autoRedefine/>
    <w:qFormat/>
    <w:uiPriority w:val="0"/>
    <w:pPr>
      <w:pBdr>
        <w:bottom w:val="single" w:color="auto" w:sz="6" w:space="1"/>
      </w:pBdr>
      <w:tabs>
        <w:tab w:val="center" w:pos="4153"/>
        <w:tab w:val="right" w:pos="8306"/>
      </w:tabs>
      <w:snapToGrid w:val="0"/>
      <w:jc w:val="center"/>
    </w:pPr>
    <w:rPr>
      <w:rFonts w:ascii="仿宋_GB2312" w:hAnsi="宋体" w:eastAsia="仿宋_GB2312" w:cs="宋体"/>
      <w:b/>
      <w:bCs/>
      <w:color w:val="000000"/>
      <w:sz w:val="18"/>
      <w:szCs w:val="18"/>
    </w:rPr>
  </w:style>
  <w:style w:type="paragraph" w:styleId="18">
    <w:name w:val="toc 1"/>
    <w:basedOn w:val="1"/>
    <w:next w:val="1"/>
    <w:autoRedefine/>
    <w:qFormat/>
    <w:uiPriority w:val="39"/>
    <w:pPr>
      <w:spacing w:line="360" w:lineRule="atLeast"/>
    </w:pPr>
    <w:rPr>
      <w:rFonts w:ascii="宋体"/>
      <w:bCs/>
      <w:sz w:val="22"/>
    </w:rPr>
  </w:style>
  <w:style w:type="paragraph" w:styleId="19">
    <w:name w:val="Body Text Indent 3"/>
    <w:basedOn w:val="1"/>
    <w:autoRedefine/>
    <w:qFormat/>
    <w:uiPriority w:val="0"/>
    <w:pPr>
      <w:spacing w:line="500" w:lineRule="exact"/>
      <w:ind w:left="511" w:hanging="511" w:hangingChars="213"/>
    </w:pPr>
    <w:rPr>
      <w:sz w:val="24"/>
    </w:rPr>
  </w:style>
  <w:style w:type="paragraph" w:styleId="20">
    <w:name w:val="HTML Preformatted"/>
    <w:basedOn w:val="1"/>
    <w:autoRedefine/>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kern w:val="0"/>
      <w:sz w:val="24"/>
    </w:rPr>
  </w:style>
  <w:style w:type="paragraph" w:styleId="21">
    <w:name w:val="Normal (Web)"/>
    <w:basedOn w:val="1"/>
    <w:autoRedefine/>
    <w:qFormat/>
    <w:uiPriority w:val="99"/>
    <w:pPr>
      <w:widowControl/>
      <w:spacing w:before="100" w:beforeAutospacing="1" w:after="100" w:afterAutospacing="1"/>
      <w:jc w:val="left"/>
    </w:pPr>
    <w:rPr>
      <w:rFonts w:ascii="宋体" w:hAnsi="宋体"/>
      <w:kern w:val="0"/>
      <w:sz w:val="24"/>
      <w:szCs w:val="24"/>
    </w:rPr>
  </w:style>
  <w:style w:type="paragraph" w:styleId="22">
    <w:name w:val="Title"/>
    <w:basedOn w:val="1"/>
    <w:autoRedefine/>
    <w:qFormat/>
    <w:uiPriority w:val="0"/>
    <w:pPr>
      <w:spacing w:before="240" w:after="60"/>
      <w:jc w:val="center"/>
      <w:outlineLvl w:val="0"/>
    </w:pPr>
    <w:rPr>
      <w:rFonts w:ascii="Arial" w:hAnsi="Arial" w:cs="Arial"/>
      <w:sz w:val="32"/>
      <w:szCs w:val="32"/>
    </w:rPr>
  </w:style>
  <w:style w:type="paragraph" w:styleId="23">
    <w:name w:val="Body Text First Indent 2"/>
    <w:basedOn w:val="11"/>
    <w:link w:val="71"/>
    <w:autoRedefine/>
    <w:qFormat/>
    <w:uiPriority w:val="0"/>
    <w:pPr>
      <w:ind w:firstLine="420" w:firstLineChars="200"/>
    </w:pPr>
    <w:rPr>
      <w:szCs w:val="22"/>
    </w:rPr>
  </w:style>
  <w:style w:type="table" w:styleId="25">
    <w:name w:val="Table Grid"/>
    <w:basedOn w:val="24"/>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7">
    <w:name w:val="Strong"/>
    <w:autoRedefine/>
    <w:qFormat/>
    <w:uiPriority w:val="0"/>
    <w:rPr>
      <w:b/>
    </w:rPr>
  </w:style>
  <w:style w:type="character" w:styleId="28">
    <w:name w:val="page number"/>
    <w:autoRedefine/>
    <w:qFormat/>
    <w:uiPriority w:val="0"/>
  </w:style>
  <w:style w:type="character" w:styleId="29">
    <w:name w:val="FollowedHyperlink"/>
    <w:autoRedefine/>
    <w:qFormat/>
    <w:uiPriority w:val="0"/>
    <w:rPr>
      <w:color w:val="800080"/>
      <w:u w:val="none"/>
    </w:rPr>
  </w:style>
  <w:style w:type="character" w:styleId="30">
    <w:name w:val="HTML Definition"/>
    <w:autoRedefine/>
    <w:qFormat/>
    <w:uiPriority w:val="0"/>
    <w:rPr>
      <w:i/>
    </w:rPr>
  </w:style>
  <w:style w:type="character" w:styleId="31">
    <w:name w:val="Hyperlink"/>
    <w:autoRedefine/>
    <w:qFormat/>
    <w:uiPriority w:val="99"/>
    <w:rPr>
      <w:color w:val="0000FF"/>
      <w:u w:val="none"/>
    </w:rPr>
  </w:style>
  <w:style w:type="character" w:styleId="32">
    <w:name w:val="HTML Code"/>
    <w:autoRedefine/>
    <w:qFormat/>
    <w:uiPriority w:val="0"/>
    <w:rPr>
      <w:rFonts w:ascii="Monaco" w:hAnsi="Monaco" w:eastAsia="Monaco" w:cs="Monaco"/>
      <w:sz w:val="21"/>
      <w:szCs w:val="21"/>
    </w:rPr>
  </w:style>
  <w:style w:type="character" w:styleId="33">
    <w:name w:val="HTML Keyboard"/>
    <w:autoRedefine/>
    <w:qFormat/>
    <w:uiPriority w:val="0"/>
    <w:rPr>
      <w:rFonts w:hint="default" w:ascii="Monaco" w:hAnsi="Monaco" w:eastAsia="Monaco" w:cs="Monaco"/>
      <w:sz w:val="21"/>
      <w:szCs w:val="21"/>
    </w:rPr>
  </w:style>
  <w:style w:type="character" w:styleId="34">
    <w:name w:val="HTML Sample"/>
    <w:autoRedefine/>
    <w:qFormat/>
    <w:uiPriority w:val="0"/>
    <w:rPr>
      <w:rFonts w:hint="default" w:ascii="Monaco" w:hAnsi="Monaco" w:eastAsia="Monaco" w:cs="Monaco"/>
      <w:sz w:val="21"/>
      <w:szCs w:val="21"/>
    </w:rPr>
  </w:style>
  <w:style w:type="character" w:customStyle="1" w:styleId="35">
    <w:name w:val="标题 2 Char"/>
    <w:link w:val="6"/>
    <w:autoRedefine/>
    <w:qFormat/>
    <w:uiPriority w:val="0"/>
    <w:rPr>
      <w:rFonts w:ascii="Calibri Light" w:hAnsi="Calibri Light" w:cs="Calibri Light"/>
      <w:b/>
      <w:bCs/>
      <w:sz w:val="30"/>
      <w:szCs w:val="30"/>
    </w:rPr>
  </w:style>
  <w:style w:type="character" w:customStyle="1" w:styleId="36">
    <w:name w:val="批注框文本 Char"/>
    <w:link w:val="15"/>
    <w:autoRedefine/>
    <w:qFormat/>
    <w:uiPriority w:val="0"/>
    <w:rPr>
      <w:rFonts w:ascii="Calibri" w:hAnsi="Calibri" w:eastAsia="宋体" w:cs="Times New Roman"/>
      <w:kern w:val="2"/>
      <w:sz w:val="18"/>
      <w:szCs w:val="18"/>
    </w:rPr>
  </w:style>
  <w:style w:type="paragraph" w:customStyle="1" w:styleId="37">
    <w:name w:val="段"/>
    <w:next w:val="1"/>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character" w:customStyle="1" w:styleId="38">
    <w:name w:val="current"/>
    <w:autoRedefine/>
    <w:qFormat/>
    <w:uiPriority w:val="0"/>
    <w:rPr>
      <w:color w:val="FFFFFF"/>
      <w:bdr w:val="single" w:color="197AFF" w:sz="4" w:space="0"/>
      <w:shd w:val="clear" w:color="auto" w:fill="197AFF"/>
    </w:rPr>
  </w:style>
  <w:style w:type="character" w:customStyle="1" w:styleId="39">
    <w:name w:val="font41"/>
    <w:autoRedefine/>
    <w:qFormat/>
    <w:uiPriority w:val="0"/>
    <w:rPr>
      <w:rFonts w:hint="eastAsia" w:ascii="宋体" w:hAnsi="宋体" w:eastAsia="宋体" w:cs="宋体"/>
      <w:color w:val="000000"/>
      <w:sz w:val="20"/>
      <w:szCs w:val="20"/>
      <w:u w:val="none"/>
    </w:rPr>
  </w:style>
  <w:style w:type="character" w:customStyle="1" w:styleId="40">
    <w:name w:val="px14"/>
    <w:autoRedefine/>
    <w:qFormat/>
    <w:uiPriority w:val="99"/>
  </w:style>
  <w:style w:type="character" w:customStyle="1" w:styleId="41">
    <w:name w:val="font21"/>
    <w:autoRedefine/>
    <w:qFormat/>
    <w:uiPriority w:val="0"/>
    <w:rPr>
      <w:rFonts w:hint="eastAsia" w:ascii="宋体" w:hAnsi="宋体" w:eastAsia="宋体" w:cs="宋体"/>
      <w:b/>
      <w:color w:val="806000"/>
      <w:sz w:val="20"/>
      <w:szCs w:val="20"/>
      <w:u w:val="none"/>
    </w:rPr>
  </w:style>
  <w:style w:type="character" w:customStyle="1" w:styleId="42">
    <w:name w:val="hover16"/>
    <w:autoRedefine/>
    <w:qFormat/>
    <w:uiPriority w:val="0"/>
    <w:rPr>
      <w:bdr w:val="single" w:color="197AFF" w:sz="4" w:space="0"/>
    </w:rPr>
  </w:style>
  <w:style w:type="character" w:customStyle="1" w:styleId="43">
    <w:name w:val="error"/>
    <w:autoRedefine/>
    <w:qFormat/>
    <w:uiPriority w:val="0"/>
    <w:rPr>
      <w:color w:val="FF625C"/>
    </w:rPr>
  </w:style>
  <w:style w:type="character" w:customStyle="1" w:styleId="44">
    <w:name w:val="current2"/>
    <w:autoRedefine/>
    <w:qFormat/>
    <w:uiPriority w:val="0"/>
    <w:rPr>
      <w:color w:val="197AFF"/>
      <w:shd w:val="clear" w:color="auto" w:fill="EBECF0"/>
    </w:rPr>
  </w:style>
  <w:style w:type="character" w:customStyle="1" w:styleId="45">
    <w:name w:val="success"/>
    <w:autoRedefine/>
    <w:qFormat/>
    <w:uiPriority w:val="0"/>
    <w:rPr>
      <w:color w:val="2DC12D"/>
    </w:rPr>
  </w:style>
  <w:style w:type="character" w:customStyle="1" w:styleId="46">
    <w:name w:val="textcolor1"/>
    <w:autoRedefine/>
    <w:qFormat/>
    <w:uiPriority w:val="0"/>
    <w:rPr>
      <w:color w:val="FF6600"/>
    </w:rPr>
  </w:style>
  <w:style w:type="character" w:customStyle="1" w:styleId="47">
    <w:name w:val="hover15"/>
    <w:autoRedefine/>
    <w:qFormat/>
    <w:uiPriority w:val="0"/>
    <w:rPr>
      <w:bdr w:val="single" w:color="197AFF" w:sz="4" w:space="0"/>
    </w:rPr>
  </w:style>
  <w:style w:type="character" w:customStyle="1" w:styleId="48">
    <w:name w:val="caret4"/>
    <w:autoRedefine/>
    <w:qFormat/>
    <w:uiPriority w:val="0"/>
  </w:style>
  <w:style w:type="character" w:customStyle="1" w:styleId="49">
    <w:name w:val="error1"/>
    <w:autoRedefine/>
    <w:qFormat/>
    <w:uiPriority w:val="0"/>
    <w:rPr>
      <w:color w:val="FF625C"/>
    </w:rPr>
  </w:style>
  <w:style w:type="character" w:customStyle="1" w:styleId="50">
    <w:name w:val="danger"/>
    <w:autoRedefine/>
    <w:qFormat/>
    <w:uiPriority w:val="0"/>
    <w:rPr>
      <w:color w:val="FF2200"/>
    </w:rPr>
  </w:style>
  <w:style w:type="character" w:customStyle="1" w:styleId="51">
    <w:name w:val="current1"/>
    <w:autoRedefine/>
    <w:qFormat/>
    <w:uiPriority w:val="0"/>
    <w:rPr>
      <w:color w:val="FFFFFF"/>
      <w:bdr w:val="single" w:color="197AFF" w:sz="4" w:space="0"/>
      <w:shd w:val="clear" w:color="auto" w:fill="197AFF"/>
    </w:rPr>
  </w:style>
  <w:style w:type="character" w:customStyle="1" w:styleId="52">
    <w:name w:val="font51"/>
    <w:autoRedefine/>
    <w:qFormat/>
    <w:uiPriority w:val="0"/>
    <w:rPr>
      <w:rFonts w:hint="eastAsia" w:ascii="宋体" w:hAnsi="宋体" w:eastAsia="宋体" w:cs="宋体"/>
      <w:b/>
      <w:color w:val="000000"/>
      <w:sz w:val="20"/>
      <w:szCs w:val="20"/>
      <w:u w:val="none"/>
    </w:rPr>
  </w:style>
  <w:style w:type="paragraph" w:customStyle="1" w:styleId="53">
    <w:name w:val="表内文字"/>
    <w:basedOn w:val="1"/>
    <w:autoRedefine/>
    <w:qFormat/>
    <w:uiPriority w:val="0"/>
    <w:pPr>
      <w:spacing w:line="240" w:lineRule="atLeast"/>
      <w:jc w:val="center"/>
    </w:pPr>
    <w:rPr>
      <w:rFonts w:ascii="Arial" w:hAnsi="Arial" w:cs="Arial"/>
      <w:b/>
      <w:bCs/>
      <w:szCs w:val="24"/>
    </w:rPr>
  </w:style>
  <w:style w:type="paragraph" w:customStyle="1" w:styleId="54">
    <w:name w:val="列出段落2"/>
    <w:basedOn w:val="1"/>
    <w:autoRedefine/>
    <w:unhideWhenUsed/>
    <w:qFormat/>
    <w:uiPriority w:val="99"/>
    <w:pPr>
      <w:ind w:firstLine="420" w:firstLineChars="200"/>
    </w:pPr>
  </w:style>
  <w:style w:type="paragraph" w:styleId="55">
    <w:name w:val="List Paragraph"/>
    <w:basedOn w:val="1"/>
    <w:autoRedefine/>
    <w:qFormat/>
    <w:uiPriority w:val="99"/>
    <w:pPr>
      <w:ind w:firstLine="420" w:firstLineChars="200"/>
    </w:pPr>
  </w:style>
  <w:style w:type="paragraph" w:customStyle="1" w:styleId="56">
    <w:name w:val="_正文段落"/>
    <w:basedOn w:val="1"/>
    <w:autoRedefine/>
    <w:qFormat/>
    <w:uiPriority w:val="0"/>
    <w:pPr>
      <w:spacing w:beforeLines="15" w:afterLines="15" w:line="360" w:lineRule="auto"/>
      <w:ind w:firstLine="200" w:firstLineChars="200"/>
    </w:pPr>
    <w:rPr>
      <w:rFonts w:ascii="等线" w:hAnsi="等线" w:eastAsia="等线"/>
      <w:color w:val="000000"/>
      <w:sz w:val="24"/>
    </w:rPr>
  </w:style>
  <w:style w:type="paragraph" w:customStyle="1" w:styleId="57">
    <w:name w:val="xl35"/>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textAlignment w:val="center"/>
    </w:pPr>
    <w:rPr>
      <w:rFonts w:ascii="Arial Unicode MS" w:hAnsi="Arial Unicode MS" w:eastAsia="Arial Unicode MS"/>
      <w:sz w:val="24"/>
      <w:szCs w:val="24"/>
    </w:rPr>
  </w:style>
  <w:style w:type="paragraph" w:customStyle="1" w:styleId="58">
    <w:name w:val="_Style 3"/>
    <w:basedOn w:val="1"/>
    <w:next w:val="1"/>
    <w:autoRedefine/>
    <w:qFormat/>
    <w:uiPriority w:val="0"/>
    <w:pPr>
      <w:pBdr>
        <w:bottom w:val="single" w:color="auto" w:sz="6" w:space="1"/>
      </w:pBdr>
      <w:jc w:val="center"/>
    </w:pPr>
    <w:rPr>
      <w:rFonts w:ascii="Arial"/>
      <w:vanish/>
      <w:sz w:val="16"/>
    </w:rPr>
  </w:style>
  <w:style w:type="paragraph" w:customStyle="1" w:styleId="59">
    <w:name w:val="表格文字"/>
    <w:basedOn w:val="1"/>
    <w:next w:val="3"/>
    <w:autoRedefine/>
    <w:qFormat/>
    <w:uiPriority w:val="0"/>
    <w:pPr>
      <w:adjustRightInd w:val="0"/>
      <w:spacing w:line="420" w:lineRule="atLeast"/>
      <w:jc w:val="left"/>
      <w:textAlignment w:val="baseline"/>
    </w:pPr>
    <w:rPr>
      <w:rFonts w:ascii="Times New Roman" w:hAnsi="Times New Roman"/>
      <w:kern w:val="0"/>
      <w:szCs w:val="24"/>
    </w:rPr>
  </w:style>
  <w:style w:type="paragraph" w:customStyle="1" w:styleId="60">
    <w:name w:val="Fließtext"/>
    <w:basedOn w:val="1"/>
    <w:autoRedefine/>
    <w:qFormat/>
    <w:uiPriority w:val="0"/>
    <w:pPr>
      <w:overflowPunct w:val="0"/>
      <w:autoSpaceDE w:val="0"/>
      <w:autoSpaceDN w:val="0"/>
      <w:adjustRightInd w:val="0"/>
      <w:textAlignment w:val="baseline"/>
    </w:pPr>
    <w:rPr>
      <w:kern w:val="28"/>
      <w:szCs w:val="20"/>
    </w:rPr>
  </w:style>
  <w:style w:type="paragraph" w:customStyle="1" w:styleId="61">
    <w:name w:val="_Style 4"/>
    <w:basedOn w:val="1"/>
    <w:next w:val="1"/>
    <w:autoRedefine/>
    <w:qFormat/>
    <w:uiPriority w:val="0"/>
    <w:pPr>
      <w:pBdr>
        <w:top w:val="single" w:color="auto" w:sz="6" w:space="1"/>
      </w:pBdr>
      <w:jc w:val="center"/>
    </w:pPr>
    <w:rPr>
      <w:rFonts w:ascii="Arial"/>
      <w:vanish/>
      <w:sz w:val="16"/>
    </w:rPr>
  </w:style>
  <w:style w:type="paragraph" w:customStyle="1" w:styleId="62">
    <w:name w:val="列出段落3"/>
    <w:basedOn w:val="1"/>
    <w:autoRedefine/>
    <w:qFormat/>
    <w:uiPriority w:val="34"/>
    <w:pPr>
      <w:spacing w:line="360" w:lineRule="auto"/>
      <w:ind w:firstLine="420" w:firstLineChars="200"/>
    </w:pPr>
    <w:rPr>
      <w:rFonts w:eastAsia="仿宋"/>
      <w:sz w:val="24"/>
    </w:rPr>
  </w:style>
  <w:style w:type="paragraph" w:customStyle="1" w:styleId="63">
    <w:name w:val="aa.正文"/>
    <w:basedOn w:val="1"/>
    <w:autoRedefine/>
    <w:qFormat/>
    <w:uiPriority w:val="0"/>
    <w:pPr>
      <w:spacing w:line="360" w:lineRule="auto"/>
      <w:ind w:firstLine="560" w:firstLineChars="200"/>
    </w:pPr>
    <w:rPr>
      <w:rFonts w:ascii="仿宋_GB2312" w:hAnsi="仿宋" w:eastAsia="仿宋_GB2312" w:cs="宋体"/>
      <w:sz w:val="28"/>
      <w:szCs w:val="28"/>
    </w:rPr>
  </w:style>
  <w:style w:type="paragraph" w:customStyle="1" w:styleId="64">
    <w:name w:val="正文 New New New New"/>
    <w:autoRedefine/>
    <w:qFormat/>
    <w:uiPriority w:val="0"/>
    <w:pPr>
      <w:widowControl w:val="0"/>
      <w:jc w:val="both"/>
    </w:pPr>
    <w:rPr>
      <w:rFonts w:ascii="Times New Roman" w:hAnsi="Times New Roman" w:eastAsia="宋体" w:cs="Times New Roman"/>
      <w:sz w:val="21"/>
      <w:szCs w:val="24"/>
      <w:lang w:val="en-US" w:eastAsia="zh-CN" w:bidi="ar-SA"/>
    </w:rPr>
  </w:style>
  <w:style w:type="paragraph" w:customStyle="1" w:styleId="65">
    <w:name w:val="xl77"/>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sz w:val="28"/>
      <w:szCs w:val="28"/>
    </w:rPr>
  </w:style>
  <w:style w:type="paragraph" w:customStyle="1" w:styleId="66">
    <w:name w:val="列出段落1"/>
    <w:basedOn w:val="1"/>
    <w:autoRedefine/>
    <w:qFormat/>
    <w:uiPriority w:val="0"/>
    <w:pPr>
      <w:spacing w:line="415" w:lineRule="auto"/>
      <w:ind w:left="420" w:firstLine="420" w:firstLineChars="200"/>
      <w:jc w:val="left"/>
    </w:pPr>
    <w:rPr>
      <w:sz w:val="28"/>
    </w:rPr>
  </w:style>
  <w:style w:type="paragraph" w:customStyle="1" w:styleId="67">
    <w:name w:val="默认段落字体 Para Char Char Char Char"/>
    <w:basedOn w:val="1"/>
    <w:autoRedefine/>
    <w:qFormat/>
    <w:uiPriority w:val="0"/>
    <w:rPr>
      <w:rFonts w:ascii="仿宋_GB2312" w:hAnsi="宋体" w:eastAsia="仿宋_GB2312" w:cs="宋体"/>
      <w:b/>
      <w:bCs/>
      <w:color w:val="000000"/>
      <w:kern w:val="0"/>
      <w:szCs w:val="21"/>
    </w:rPr>
  </w:style>
  <w:style w:type="paragraph" w:customStyle="1" w:styleId="68">
    <w:name w:val="列出段落11"/>
    <w:basedOn w:val="1"/>
    <w:autoRedefine/>
    <w:qFormat/>
    <w:uiPriority w:val="34"/>
    <w:pPr>
      <w:ind w:firstLine="420" w:firstLineChars="200"/>
    </w:pPr>
  </w:style>
  <w:style w:type="paragraph" w:customStyle="1" w:styleId="69">
    <w:name w:val="正文－恩普"/>
    <w:basedOn w:val="8"/>
    <w:autoRedefine/>
    <w:qFormat/>
    <w:uiPriority w:val="0"/>
    <w:pPr>
      <w:widowControl/>
      <w:spacing w:before="100" w:beforeAutospacing="1" w:afterLines="50" w:afterAutospacing="1" w:line="360" w:lineRule="auto"/>
      <w:ind w:firstLine="480"/>
      <w:jc w:val="left"/>
    </w:pPr>
    <w:rPr>
      <w:b/>
      <w:bCs/>
      <w:kern w:val="0"/>
      <w:sz w:val="24"/>
      <w:szCs w:val="20"/>
    </w:rPr>
  </w:style>
  <w:style w:type="character" w:customStyle="1" w:styleId="70">
    <w:name w:val="正文文本缩进 Char"/>
    <w:basedOn w:val="26"/>
    <w:link w:val="11"/>
    <w:autoRedefine/>
    <w:qFormat/>
    <w:uiPriority w:val="0"/>
    <w:rPr>
      <w:rFonts w:ascii="Calibri" w:hAnsi="Calibri"/>
      <w:kern w:val="2"/>
      <w:sz w:val="21"/>
      <w:szCs w:val="24"/>
    </w:rPr>
  </w:style>
  <w:style w:type="character" w:customStyle="1" w:styleId="71">
    <w:name w:val="正文首行缩进 2 Char"/>
    <w:basedOn w:val="70"/>
    <w:link w:val="23"/>
    <w:autoRedefine/>
    <w:qFormat/>
    <w:uiPriority w:val="0"/>
  </w:style>
  <w:style w:type="paragraph" w:customStyle="1" w:styleId="72">
    <w:name w:val="纯文本1"/>
    <w:autoRedefine/>
    <w:qFormat/>
    <w:uiPriority w:val="0"/>
    <w:rPr>
      <w:rFonts w:hint="eastAsia" w:ascii="宋体" w:hAnsi="Courier New" w:eastAsia="宋体" w:cs="Times New Roman"/>
      <w:kern w:val="2"/>
      <w:sz w:val="21"/>
      <w:lang w:val="en-US" w:eastAsia="zh-CN" w:bidi="ar-SA"/>
    </w:rPr>
  </w:style>
  <w:style w:type="paragraph" w:customStyle="1" w:styleId="73">
    <w:name w:val="正文1"/>
    <w:basedOn w:val="1"/>
    <w:autoRedefine/>
    <w:qFormat/>
    <w:uiPriority w:val="0"/>
    <w:pPr>
      <w:spacing w:line="500" w:lineRule="exact"/>
    </w:pPr>
    <w:rPr>
      <w:rFonts w:ascii="黑体" w:hAnsi="黑体"/>
      <w:sz w:val="24"/>
      <w:szCs w:val="20"/>
    </w:rPr>
  </w:style>
  <w:style w:type="paragraph" w:customStyle="1" w:styleId="74">
    <w:name w:val="引文目录标题1"/>
    <w:basedOn w:val="1"/>
    <w:next w:val="1"/>
    <w:autoRedefine/>
    <w:qFormat/>
    <w:uiPriority w:val="0"/>
    <w:pPr>
      <w:adjustRightInd w:val="0"/>
      <w:spacing w:before="120"/>
    </w:pPr>
    <w:rPr>
      <w:rFonts w:ascii="Arial" w:hAnsi="Arial"/>
      <w:sz w:val="24"/>
      <w:szCs w:val="24"/>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4.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customXml" Target="../customXml/item2.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theme" Target="theme/theme1.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GB.XSL" StyleName="GB7714"/>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AD64B549-DBAA-4BA2-A2AA-6FDD5ADDF399}">
  <ds:schemaRefs/>
</ds:datastoreItem>
</file>

<file path=docProps/app.xml><?xml version="1.0" encoding="utf-8"?>
<Properties xmlns="http://schemas.openxmlformats.org/officeDocument/2006/extended-properties" xmlns:vt="http://schemas.openxmlformats.org/officeDocument/2006/docPropsVTypes">
  <Template>Normal.dotm</Template>
  <Company>china</Company>
  <Pages>42</Pages>
  <Words>25343</Words>
  <Characters>26550</Characters>
  <Lines>209</Lines>
  <Paragraphs>59</Paragraphs>
  <TotalTime>15</TotalTime>
  <ScaleCrop>false</ScaleCrop>
  <LinksUpToDate>false</LinksUpToDate>
  <CharactersWithSpaces>27061</CharactersWithSpaces>
  <Application>WPS Office_12.1.0.16364_F1E327BC-269C-435d-A152-05C5408002CA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2024-10-09T02:33:00Z</dcterms:created>
  <dc:creator>Administrator</dc:creator>
  <cp:lastModifiedBy>丙寅白羊虎</cp:lastModifiedBy>
  <cp:lastPrinted>2024-09-12T00:34:00Z</cp:lastPrinted>
  <dcterms:modified xsi:type="dcterms:W3CDTF">2024-10-28T02:48:07Z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2052-12.1.0.16364</vt:lpwstr>
  </property>
  <property fmtid="{D5CDD505-2E9C-101B-9397-08002B2CF9AE}" pid="3" name="ICV">
    <vt:lpwstr>0FB32F1ACC55441DB0C58A74175E7AEB_13</vt:lpwstr>
  </property>
</Properties>
</file>