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27011D">
      <w:pPr>
        <w:pStyle w:val="5"/>
        <w:keepNext/>
        <w:keepLines/>
        <w:pageBreakBefore w:val="0"/>
        <w:widowControl w:val="0"/>
        <w:kinsoku/>
        <w:wordWrap/>
        <w:overflowPunct/>
        <w:topLinePunct w:val="0"/>
        <w:autoSpaceDE/>
        <w:autoSpaceDN/>
        <w:bidi w:val="0"/>
        <w:adjustRightInd/>
        <w:snapToGrid/>
        <w:spacing w:before="1093" w:beforeLines="350" w:line="780" w:lineRule="exact"/>
        <w:jc w:val="center"/>
        <w:textAlignment w:val="auto"/>
        <w:rPr>
          <w:rFonts w:hint="eastAsia" w:ascii="仿宋" w:hAnsi="仿宋" w:eastAsia="仿宋" w:cs="仿宋"/>
          <w:b/>
          <w:bCs w:val="0"/>
          <w:color w:val="000000" w:themeColor="text1"/>
          <w:sz w:val="52"/>
          <w:szCs w:val="52"/>
          <w:highlight w:val="none"/>
          <w:lang w:eastAsia="zh-CN"/>
          <w14:textFill>
            <w14:solidFill>
              <w14:schemeClr w14:val="tx1"/>
            </w14:solidFill>
          </w14:textFill>
        </w:rPr>
      </w:pPr>
      <w:r>
        <w:rPr>
          <w:rFonts w:hint="eastAsia" w:ascii="仿宋" w:hAnsi="仿宋" w:eastAsia="仿宋" w:cs="仿宋"/>
          <w:b/>
          <w:bCs w:val="0"/>
          <w:color w:val="000000" w:themeColor="text1"/>
          <w:sz w:val="52"/>
          <w:szCs w:val="52"/>
          <w:highlight w:val="none"/>
          <w:lang w:eastAsia="zh-CN"/>
          <w14:textFill>
            <w14:solidFill>
              <w14:schemeClr w14:val="tx1"/>
            </w14:solidFill>
          </w14:textFill>
        </w:rPr>
        <w:t>嵊州市浦口</w:t>
      </w:r>
      <w:r>
        <w:rPr>
          <w:rFonts w:hint="eastAsia" w:ascii="仿宋" w:hAnsi="仿宋" w:eastAsia="仿宋" w:cs="仿宋"/>
          <w:b/>
          <w:bCs w:val="0"/>
          <w:color w:val="000000" w:themeColor="text1"/>
          <w:sz w:val="52"/>
          <w:szCs w:val="52"/>
          <w:highlight w:val="none"/>
          <w:lang w:val="en-US" w:eastAsia="zh-CN"/>
          <w14:textFill>
            <w14:solidFill>
              <w14:schemeClr w14:val="tx1"/>
            </w14:solidFill>
          </w14:textFill>
        </w:rPr>
        <w:t>街道月亮湖畔共富驿站</w:t>
      </w:r>
      <w:r>
        <w:rPr>
          <w:rFonts w:hint="eastAsia" w:ascii="仿宋" w:hAnsi="仿宋" w:eastAsia="仿宋" w:cs="仿宋"/>
          <w:b/>
          <w:bCs w:val="0"/>
          <w:color w:val="000000" w:themeColor="text1"/>
          <w:sz w:val="52"/>
          <w:szCs w:val="52"/>
          <w:highlight w:val="none"/>
          <w:lang w:eastAsia="zh-CN"/>
          <w14:textFill>
            <w14:solidFill>
              <w14:schemeClr w14:val="tx1"/>
            </w14:solidFill>
          </w14:textFill>
        </w:rPr>
        <w:t>智能化建设项目</w:t>
      </w:r>
    </w:p>
    <w:p w14:paraId="33646266">
      <w:pPr>
        <w:pStyle w:val="5"/>
        <w:keepNext/>
        <w:keepLines/>
        <w:pageBreakBefore w:val="0"/>
        <w:widowControl w:val="0"/>
        <w:kinsoku/>
        <w:wordWrap/>
        <w:overflowPunct/>
        <w:topLinePunct w:val="0"/>
        <w:autoSpaceDE/>
        <w:autoSpaceDN/>
        <w:bidi w:val="0"/>
        <w:adjustRightInd/>
        <w:snapToGrid/>
        <w:spacing w:before="1093" w:beforeLines="350"/>
        <w:jc w:val="center"/>
        <w:textAlignment w:val="auto"/>
        <w:rPr>
          <w:rFonts w:hint="eastAsia" w:ascii="仿宋" w:hAnsi="仿宋" w:eastAsia="仿宋" w:cs="仿宋"/>
          <w:color w:val="auto"/>
          <w:sz w:val="44"/>
          <w:szCs w:val="44"/>
        </w:rPr>
      </w:pPr>
      <w:r>
        <w:rPr>
          <w:rFonts w:hint="eastAsia" w:ascii="仿宋" w:hAnsi="仿宋" w:eastAsia="仿宋" w:cs="仿宋"/>
          <w:color w:val="auto"/>
          <w:sz w:val="44"/>
          <w:szCs w:val="44"/>
        </w:rPr>
        <w:t>（编号：</w:t>
      </w:r>
      <w:r>
        <w:rPr>
          <w:rFonts w:hint="eastAsia" w:ascii="仿宋" w:hAnsi="仿宋" w:eastAsia="仿宋" w:cs="仿宋"/>
          <w:color w:val="auto"/>
          <w:sz w:val="44"/>
          <w:szCs w:val="44"/>
          <w:lang w:eastAsia="zh-CN"/>
        </w:rPr>
        <w:t>SXWH2024-12-16</w:t>
      </w:r>
      <w:r>
        <w:rPr>
          <w:rFonts w:hint="eastAsia" w:ascii="仿宋" w:hAnsi="仿宋" w:eastAsia="仿宋" w:cs="仿宋"/>
          <w:color w:val="auto"/>
          <w:sz w:val="44"/>
          <w:szCs w:val="44"/>
        </w:rPr>
        <w:t>）</w:t>
      </w:r>
    </w:p>
    <w:p w14:paraId="190255B6">
      <w:pPr>
        <w:spacing w:line="500" w:lineRule="exact"/>
        <w:jc w:val="center"/>
        <w:rPr>
          <w:rFonts w:hint="eastAsia" w:ascii="仿宋" w:hAnsi="仿宋" w:eastAsia="仿宋" w:cs="仿宋"/>
          <w:b/>
          <w:color w:val="auto"/>
          <w:w w:val="150"/>
          <w:sz w:val="44"/>
        </w:rPr>
      </w:pPr>
    </w:p>
    <w:p w14:paraId="043E2D85">
      <w:pPr>
        <w:pStyle w:val="78"/>
        <w:rPr>
          <w:rFonts w:hint="eastAsia" w:ascii="仿宋" w:hAnsi="仿宋" w:eastAsia="仿宋" w:cs="仿宋"/>
        </w:rPr>
      </w:pPr>
    </w:p>
    <w:p w14:paraId="7B0B703D">
      <w:pPr>
        <w:keepNext w:val="0"/>
        <w:keepLines w:val="0"/>
        <w:pageBreakBefore w:val="0"/>
        <w:widowControl w:val="0"/>
        <w:kinsoku/>
        <w:wordWrap/>
        <w:overflowPunct/>
        <w:topLinePunct w:val="0"/>
        <w:autoSpaceDE/>
        <w:autoSpaceDN/>
        <w:bidi w:val="0"/>
        <w:adjustRightInd/>
        <w:snapToGrid w:val="0"/>
        <w:spacing w:line="700" w:lineRule="exact"/>
        <w:jc w:val="both"/>
        <w:textAlignment w:val="auto"/>
        <w:rPr>
          <w:rFonts w:hint="eastAsia" w:ascii="仿宋" w:hAnsi="仿宋" w:eastAsia="仿宋" w:cs="仿宋"/>
          <w:b/>
          <w:color w:val="auto"/>
          <w:sz w:val="52"/>
          <w:szCs w:val="52"/>
        </w:rPr>
      </w:pPr>
    </w:p>
    <w:p w14:paraId="33A7881E">
      <w:pPr>
        <w:snapToGrid w:val="0"/>
        <w:spacing w:line="800" w:lineRule="exact"/>
        <w:jc w:val="center"/>
        <w:rPr>
          <w:rFonts w:hint="eastAsia" w:ascii="仿宋" w:hAnsi="仿宋" w:eastAsia="仿宋" w:cs="仿宋"/>
          <w:b/>
          <w:color w:val="auto"/>
          <w:sz w:val="52"/>
          <w:szCs w:val="52"/>
        </w:rPr>
      </w:pPr>
    </w:p>
    <w:p w14:paraId="26D9C248">
      <w:pPr>
        <w:keepNext w:val="0"/>
        <w:keepLines w:val="0"/>
        <w:pageBreakBefore w:val="0"/>
        <w:widowControl w:val="0"/>
        <w:kinsoku/>
        <w:wordWrap/>
        <w:overflowPunct/>
        <w:topLinePunct w:val="0"/>
        <w:autoSpaceDE/>
        <w:autoSpaceDN/>
        <w:bidi w:val="0"/>
        <w:adjustRightInd/>
        <w:snapToGrid w:val="0"/>
        <w:spacing w:before="157" w:beforeLines="50" w:line="800" w:lineRule="exact"/>
        <w:jc w:val="center"/>
        <w:textAlignment w:val="auto"/>
        <w:rPr>
          <w:rFonts w:hint="eastAsia" w:ascii="仿宋" w:hAnsi="仿宋" w:eastAsia="仿宋" w:cs="仿宋"/>
          <w:b/>
          <w:color w:val="auto"/>
          <w:sz w:val="48"/>
          <w:szCs w:val="48"/>
        </w:rPr>
      </w:pPr>
      <w:r>
        <w:rPr>
          <w:rFonts w:hint="eastAsia" w:ascii="仿宋" w:hAnsi="仿宋" w:eastAsia="仿宋" w:cs="仿宋"/>
          <w:b/>
          <w:color w:val="auto"/>
          <w:sz w:val="48"/>
          <w:szCs w:val="48"/>
        </w:rPr>
        <w:t>公开招标采购文件</w:t>
      </w:r>
    </w:p>
    <w:p w14:paraId="5352BAAC">
      <w:pPr>
        <w:keepNext w:val="0"/>
        <w:keepLines w:val="0"/>
        <w:pageBreakBefore w:val="0"/>
        <w:widowControl w:val="0"/>
        <w:kinsoku/>
        <w:wordWrap/>
        <w:overflowPunct/>
        <w:topLinePunct w:val="0"/>
        <w:autoSpaceDE/>
        <w:autoSpaceDN/>
        <w:bidi w:val="0"/>
        <w:adjustRightInd/>
        <w:spacing w:before="157" w:beforeLines="50" w:line="360" w:lineRule="auto"/>
        <w:jc w:val="center"/>
        <w:textAlignment w:val="auto"/>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w:t>
      </w:r>
      <w:r>
        <w:rPr>
          <w:rFonts w:hint="eastAsia" w:ascii="仿宋" w:hAnsi="仿宋" w:eastAsia="仿宋" w:cs="仿宋"/>
          <w:b/>
          <w:color w:val="000000" w:themeColor="text1"/>
          <w:sz w:val="44"/>
          <w:szCs w:val="44"/>
          <w:lang w:val="en-US" w:eastAsia="zh-CN"/>
          <w14:textFill>
            <w14:solidFill>
              <w14:schemeClr w14:val="tx1"/>
            </w14:solidFill>
          </w14:textFill>
        </w:rPr>
        <w:t>国企采购</w:t>
      </w:r>
      <w:r>
        <w:rPr>
          <w:rFonts w:hint="eastAsia" w:ascii="仿宋" w:hAnsi="仿宋" w:eastAsia="仿宋" w:cs="仿宋"/>
          <w:b/>
          <w:color w:val="000000" w:themeColor="text1"/>
          <w:sz w:val="44"/>
          <w:szCs w:val="44"/>
          <w14:textFill>
            <w14:solidFill>
              <w14:schemeClr w14:val="tx1"/>
            </w14:solidFill>
          </w14:textFill>
        </w:rPr>
        <w:t>）</w:t>
      </w:r>
    </w:p>
    <w:p w14:paraId="084892E4">
      <w:pPr>
        <w:pStyle w:val="78"/>
        <w:rPr>
          <w:rFonts w:hint="eastAsia" w:ascii="仿宋" w:hAnsi="仿宋" w:eastAsia="仿宋" w:cs="仿宋"/>
          <w:color w:val="auto"/>
        </w:rPr>
      </w:pPr>
    </w:p>
    <w:p w14:paraId="465C2D77">
      <w:pPr>
        <w:rPr>
          <w:rFonts w:hint="eastAsia" w:ascii="仿宋" w:hAnsi="仿宋" w:eastAsia="仿宋" w:cs="仿宋"/>
          <w:color w:val="auto"/>
          <w:sz w:val="44"/>
        </w:rPr>
      </w:pPr>
    </w:p>
    <w:p w14:paraId="2216C786">
      <w:pPr>
        <w:spacing w:line="580" w:lineRule="exact"/>
        <w:jc w:val="center"/>
        <w:rPr>
          <w:rFonts w:hint="eastAsia" w:ascii="仿宋" w:hAnsi="仿宋" w:eastAsia="仿宋" w:cs="仿宋"/>
          <w:bCs/>
          <w:color w:val="auto"/>
          <w:sz w:val="36"/>
        </w:rPr>
      </w:pPr>
    </w:p>
    <w:p w14:paraId="2A5ED548">
      <w:pPr>
        <w:keepNext w:val="0"/>
        <w:keepLines w:val="0"/>
        <w:pageBreakBefore w:val="0"/>
        <w:widowControl w:val="0"/>
        <w:kinsoku/>
        <w:wordWrap/>
        <w:overflowPunct/>
        <w:topLinePunct w:val="0"/>
        <w:autoSpaceDE/>
        <w:autoSpaceDN/>
        <w:bidi w:val="0"/>
        <w:adjustRightInd/>
        <w:snapToGrid/>
        <w:spacing w:line="660" w:lineRule="exact"/>
        <w:ind w:firstLine="1084" w:firstLineChars="300"/>
        <w:textAlignment w:val="auto"/>
        <w:rPr>
          <w:rFonts w:hint="eastAsia" w:ascii="仿宋" w:hAnsi="仿宋" w:eastAsia="仿宋" w:cs="仿宋"/>
          <w:b/>
          <w:bCs w:val="0"/>
          <w:color w:val="auto"/>
          <w:sz w:val="36"/>
        </w:rPr>
      </w:pPr>
    </w:p>
    <w:p w14:paraId="207C383B">
      <w:pPr>
        <w:keepNext w:val="0"/>
        <w:keepLines w:val="0"/>
        <w:pageBreakBefore w:val="0"/>
        <w:widowControl w:val="0"/>
        <w:kinsoku/>
        <w:wordWrap/>
        <w:overflowPunct/>
        <w:topLinePunct w:val="0"/>
        <w:autoSpaceDE/>
        <w:autoSpaceDN/>
        <w:bidi w:val="0"/>
        <w:adjustRightInd/>
        <w:snapToGrid/>
        <w:spacing w:before="313" w:beforeLines="100" w:line="780" w:lineRule="exact"/>
        <w:ind w:firstLine="1205" w:firstLineChars="300"/>
        <w:textAlignment w:val="auto"/>
        <w:rPr>
          <w:rFonts w:hint="eastAsia" w:ascii="仿宋" w:hAnsi="仿宋" w:eastAsia="仿宋" w:cs="仿宋"/>
          <w:b/>
          <w:bCs w:val="0"/>
          <w:color w:val="auto"/>
          <w:sz w:val="40"/>
          <w:szCs w:val="21"/>
          <w:lang w:eastAsia="zh-CN"/>
        </w:rPr>
      </w:pPr>
      <w:r>
        <w:rPr>
          <w:rFonts w:hint="eastAsia" w:ascii="仿宋" w:hAnsi="仿宋" w:eastAsia="仿宋" w:cs="仿宋"/>
          <w:b/>
          <w:bCs w:val="0"/>
          <w:color w:val="auto"/>
          <w:sz w:val="40"/>
          <w:szCs w:val="21"/>
        </w:rPr>
        <w:t>采购单位：</w:t>
      </w:r>
      <w:r>
        <w:rPr>
          <w:rFonts w:hint="eastAsia" w:ascii="仿宋" w:hAnsi="仿宋" w:eastAsia="仿宋" w:cs="仿宋"/>
          <w:b/>
          <w:bCs w:val="0"/>
          <w:color w:val="auto"/>
          <w:sz w:val="40"/>
          <w:szCs w:val="21"/>
          <w:lang w:eastAsia="zh-CN"/>
        </w:rPr>
        <w:t>嵊州市经济开发区投资有限公司</w:t>
      </w:r>
    </w:p>
    <w:p w14:paraId="7DE6AB87">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仿宋" w:hAnsi="仿宋" w:eastAsia="仿宋" w:cs="仿宋"/>
          <w:b/>
          <w:bCs w:val="0"/>
          <w:color w:val="auto"/>
          <w:sz w:val="36"/>
          <w:lang w:eastAsia="zh-CN"/>
        </w:rPr>
      </w:pPr>
      <w:r>
        <w:rPr>
          <w:rFonts w:hint="eastAsia" w:ascii="仿宋" w:hAnsi="仿宋" w:eastAsia="仿宋" w:cs="仿宋"/>
          <w:b/>
          <w:bCs w:val="0"/>
          <w:color w:val="auto"/>
          <w:sz w:val="40"/>
          <w:szCs w:val="21"/>
          <w:lang w:val="en-US" w:eastAsia="zh-CN"/>
        </w:rPr>
        <w:t xml:space="preserve"> </w:t>
      </w:r>
      <w:r>
        <w:rPr>
          <w:rFonts w:hint="eastAsia" w:ascii="仿宋" w:hAnsi="仿宋" w:eastAsia="仿宋" w:cs="仿宋"/>
          <w:b/>
          <w:bCs w:val="0"/>
          <w:color w:val="auto"/>
          <w:sz w:val="40"/>
          <w:szCs w:val="21"/>
        </w:rPr>
        <w:t>采购代理机构：</w:t>
      </w:r>
      <w:r>
        <w:rPr>
          <w:rFonts w:hint="eastAsia" w:ascii="仿宋" w:hAnsi="仿宋" w:eastAsia="仿宋" w:cs="仿宋"/>
          <w:b/>
          <w:bCs w:val="0"/>
          <w:color w:val="auto"/>
          <w:sz w:val="40"/>
          <w:szCs w:val="21"/>
          <w:lang w:eastAsia="zh-CN"/>
        </w:rPr>
        <w:t>绍兴市文汇项目管理有限公司</w:t>
      </w:r>
    </w:p>
    <w:p w14:paraId="618C7A0C">
      <w:pPr>
        <w:pStyle w:val="46"/>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宋体" w:hAnsi="宋体" w:eastAsia="宋体" w:cs="宋体"/>
          <w:color w:val="auto"/>
        </w:rPr>
      </w:pPr>
      <w:bookmarkStart w:id="0" w:name="用户单位名称"/>
      <w:bookmarkEnd w:id="0"/>
      <w:bookmarkStart w:id="1" w:name="_Toc180555915"/>
      <w:bookmarkStart w:id="2" w:name="_Toc105829294"/>
      <w:r>
        <w:rPr>
          <w:rFonts w:hint="eastAsia" w:ascii="仿宋" w:hAnsi="仿宋" w:eastAsia="仿宋" w:cs="仿宋"/>
          <w:b/>
          <w:bCs w:val="0"/>
          <w:color w:val="auto"/>
          <w:sz w:val="36"/>
          <w:szCs w:val="36"/>
          <w:lang w:eastAsia="zh-CN"/>
        </w:rPr>
        <w:t>日期：</w:t>
      </w:r>
      <w:r>
        <w:rPr>
          <w:rFonts w:hint="eastAsia" w:ascii="仿宋" w:hAnsi="仿宋" w:eastAsia="仿宋" w:cs="仿宋"/>
          <w:b/>
          <w:bCs w:val="0"/>
          <w:color w:val="auto"/>
          <w:sz w:val="36"/>
          <w:szCs w:val="36"/>
        </w:rPr>
        <w:t>202</w:t>
      </w:r>
      <w:r>
        <w:rPr>
          <w:rFonts w:hint="eastAsia" w:ascii="仿宋" w:hAnsi="仿宋" w:eastAsia="仿宋" w:cs="仿宋"/>
          <w:b/>
          <w:bCs w:val="0"/>
          <w:color w:val="auto"/>
          <w:sz w:val="36"/>
          <w:szCs w:val="36"/>
          <w:lang w:val="en-US" w:eastAsia="zh-CN"/>
        </w:rPr>
        <w:t>5</w:t>
      </w:r>
      <w:r>
        <w:rPr>
          <w:rFonts w:hint="eastAsia" w:ascii="仿宋" w:hAnsi="仿宋" w:eastAsia="仿宋" w:cs="仿宋"/>
          <w:b/>
          <w:bCs w:val="0"/>
          <w:color w:val="auto"/>
          <w:sz w:val="36"/>
          <w:szCs w:val="36"/>
        </w:rPr>
        <w:t>年</w:t>
      </w:r>
      <w:r>
        <w:rPr>
          <w:rFonts w:hint="eastAsia" w:ascii="仿宋" w:hAnsi="仿宋" w:eastAsia="仿宋" w:cs="仿宋"/>
          <w:b/>
          <w:bCs w:val="0"/>
          <w:color w:val="auto"/>
          <w:sz w:val="36"/>
          <w:szCs w:val="36"/>
          <w:lang w:val="en-US" w:eastAsia="zh-CN"/>
        </w:rPr>
        <w:t>1</w:t>
      </w:r>
      <w:r>
        <w:rPr>
          <w:rFonts w:hint="eastAsia" w:ascii="仿宋" w:hAnsi="仿宋" w:eastAsia="仿宋" w:cs="仿宋"/>
          <w:b/>
          <w:bCs w:val="0"/>
          <w:color w:val="auto"/>
          <w:sz w:val="36"/>
          <w:szCs w:val="36"/>
        </w:rPr>
        <w:t>月</w:t>
      </w:r>
      <w:r>
        <w:rPr>
          <w:rFonts w:hint="eastAsia" w:ascii="宋体" w:hAnsi="宋体" w:eastAsia="宋体" w:cs="宋体"/>
          <w:b/>
          <w:bCs w:val="0"/>
          <w:color w:val="auto"/>
        </w:rPr>
        <w:br w:type="page"/>
      </w:r>
      <w:bookmarkStart w:id="3" w:name="_Toc248065034"/>
      <w:bookmarkStart w:id="4" w:name="_Toc226337756"/>
      <w:bookmarkStart w:id="5" w:name="_Toc304551308"/>
      <w:bookmarkStart w:id="6" w:name="_Toc340321907"/>
      <w:bookmarkStart w:id="7" w:name="_Toc340322162"/>
      <w:bookmarkStart w:id="8" w:name="_Toc339302123"/>
      <w:bookmarkStart w:id="9" w:name="_Toc10071"/>
    </w:p>
    <w:p w14:paraId="3CAFC925">
      <w:pPr>
        <w:rPr>
          <w:rFonts w:hint="eastAsia" w:ascii="宋体" w:hAnsi="宋体"/>
          <w:color w:val="auto"/>
        </w:rPr>
      </w:pPr>
    </w:p>
    <w:p w14:paraId="13ABFD5C">
      <w:pPr>
        <w:pStyle w:val="46"/>
        <w:widowControl w:val="0"/>
        <w:spacing w:line="580" w:lineRule="exact"/>
        <w:jc w:val="center"/>
        <w:rPr>
          <w:rFonts w:hint="eastAsia" w:ascii="仿宋" w:hAnsi="仿宋" w:eastAsia="仿宋" w:cs="仿宋"/>
          <w:b/>
          <w:bCs/>
          <w:color w:val="auto"/>
          <w:sz w:val="44"/>
          <w:szCs w:val="44"/>
        </w:rPr>
      </w:pPr>
    </w:p>
    <w:p w14:paraId="6BB96BD3">
      <w:pPr>
        <w:pStyle w:val="46"/>
        <w:widowControl w:val="0"/>
        <w:spacing w:line="58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14:paraId="29E345C3">
      <w:pPr>
        <w:rPr>
          <w:rFonts w:hint="eastAsia" w:ascii="仿宋" w:hAnsi="仿宋" w:eastAsia="仿宋" w:cs="仿宋"/>
          <w:color w:val="auto"/>
        </w:rPr>
      </w:pPr>
    </w:p>
    <w:p w14:paraId="282529AD">
      <w:pPr>
        <w:rPr>
          <w:rFonts w:hint="eastAsia" w:ascii="仿宋" w:hAnsi="仿宋" w:eastAsia="仿宋" w:cs="仿宋"/>
          <w:color w:val="auto"/>
        </w:rPr>
      </w:pPr>
    </w:p>
    <w:p w14:paraId="77D0D785">
      <w:pPr>
        <w:pStyle w:val="54"/>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rPr>
        <w:fldChar w:fldCharType="begin"/>
      </w:r>
      <w:r>
        <w:rPr>
          <w:rFonts w:hint="eastAsia" w:ascii="仿宋" w:hAnsi="仿宋" w:eastAsia="仿宋" w:cs="仿宋"/>
          <w:color w:val="auto"/>
        </w:rPr>
        <w:instrText xml:space="preserve"> TOC \o "1-2" \h \z \u </w:instrText>
      </w:r>
      <w:r>
        <w:rPr>
          <w:rFonts w:hint="eastAsia" w:ascii="仿宋" w:hAnsi="仿宋" w:eastAsia="仿宋" w:cs="仿宋"/>
          <w:color w:val="auto"/>
        </w:rPr>
        <w:fldChar w:fldCharType="separate"/>
      </w: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"_Toc54978887"</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 xml:space="preserve">第一部分  </w:t>
      </w:r>
      <w:r>
        <w:rPr>
          <w:rStyle w:val="87"/>
          <w:rFonts w:hint="eastAsia" w:ascii="仿宋" w:hAnsi="仿宋" w:eastAsia="仿宋" w:cs="仿宋"/>
          <w:color w:val="auto"/>
          <w:sz w:val="30"/>
          <w:szCs w:val="30"/>
          <w:lang w:eastAsia="zh-CN"/>
        </w:rPr>
        <w:t>招标</w:t>
      </w:r>
      <w:r>
        <w:rPr>
          <w:rStyle w:val="87"/>
          <w:rFonts w:hint="eastAsia" w:ascii="仿宋" w:hAnsi="仿宋" w:eastAsia="仿宋" w:cs="仿宋"/>
          <w:color w:val="auto"/>
          <w:sz w:val="30"/>
          <w:szCs w:val="30"/>
        </w:rPr>
        <w:t>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_Toc54978887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4510813F">
      <w:pPr>
        <w:pStyle w:val="54"/>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"_Toc54978888"</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第二部分  投标须知</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fldChar w:fldCharType="end"/>
      </w:r>
    </w:p>
    <w:p w14:paraId="454913A1">
      <w:pPr>
        <w:pStyle w:val="54"/>
        <w:tabs>
          <w:tab w:val="right" w:leader="dot" w:pos="9110"/>
        </w:tabs>
        <w:spacing w:line="700" w:lineRule="exact"/>
        <w:rPr>
          <w:rFonts w:hint="eastAsia" w:ascii="仿宋" w:hAnsi="仿宋" w:eastAsia="仿宋" w:cs="仿宋"/>
          <w:caps w:val="0"/>
          <w:color w:val="auto"/>
          <w:sz w:val="30"/>
          <w:szCs w:val="30"/>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"_Toc54978898"</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第三部分  项目招标范围及</w:t>
      </w:r>
      <w:r>
        <w:rPr>
          <w:rStyle w:val="87"/>
          <w:rFonts w:hint="eastAsia" w:ascii="仿宋" w:hAnsi="仿宋" w:eastAsia="仿宋" w:cs="仿宋"/>
          <w:color w:val="auto"/>
          <w:sz w:val="30"/>
          <w:szCs w:val="30"/>
          <w:lang w:eastAsia="zh-CN"/>
        </w:rPr>
        <w:t>技术</w:t>
      </w:r>
      <w:r>
        <w:rPr>
          <w:rStyle w:val="87"/>
          <w:rFonts w:hint="eastAsia" w:ascii="仿宋" w:hAnsi="仿宋" w:eastAsia="仿宋" w:cs="仿宋"/>
          <w:color w:val="auto"/>
          <w:sz w:val="30"/>
          <w:szCs w:val="30"/>
        </w:rPr>
        <w:t>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_Toc54978898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54885BCF">
      <w:pPr>
        <w:pStyle w:val="54"/>
        <w:tabs>
          <w:tab w:val="right" w:leader="dot" w:pos="9110"/>
        </w:tabs>
        <w:spacing w:line="700" w:lineRule="exact"/>
        <w:rPr>
          <w:rFonts w:hint="eastAsia" w:ascii="仿宋" w:hAnsi="仿宋" w:eastAsia="仿宋" w:cs="仿宋"/>
          <w:caps w:val="0"/>
          <w:color w:val="auto"/>
          <w:sz w:val="30"/>
          <w:szCs w:val="30"/>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"_Toc54978899"</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第四部分  评标办法</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4</w:t>
      </w:r>
    </w:p>
    <w:p w14:paraId="1A73E909">
      <w:pPr>
        <w:pStyle w:val="54"/>
        <w:tabs>
          <w:tab w:val="right" w:leader="dot" w:pos="9110"/>
        </w:tabs>
        <w:spacing w:line="700" w:lineRule="exact"/>
        <w:rPr>
          <w:rFonts w:hint="eastAsia" w:ascii="仿宋" w:hAnsi="仿宋" w:eastAsia="仿宋" w:cs="仿宋"/>
          <w:caps w:val="0"/>
          <w:color w:val="auto"/>
          <w:sz w:val="30"/>
          <w:szCs w:val="30"/>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"_Toc54978900"</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bCs/>
          <w:color w:val="auto"/>
          <w:sz w:val="30"/>
          <w:szCs w:val="30"/>
        </w:rPr>
        <w:t>第五部分  拟签订合同范本</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14:paraId="2D2C555E">
      <w:pPr>
        <w:pStyle w:val="54"/>
        <w:tabs>
          <w:tab w:val="right" w:leader="dot" w:pos="9110"/>
        </w:tabs>
        <w:spacing w:line="700" w:lineRule="exact"/>
        <w:rPr>
          <w:rFonts w:hint="eastAsia" w:ascii="仿宋" w:hAnsi="仿宋" w:eastAsia="仿宋" w:cs="仿宋"/>
          <w:caps w:val="0"/>
          <w:color w:val="auto"/>
          <w:sz w:val="28"/>
          <w:szCs w:val="28"/>
          <w:lang w:val="en-US" w:eastAsia="zh-CN"/>
        </w:rPr>
      </w:pPr>
      <w:r>
        <w:rPr>
          <w:rFonts w:hint="eastAsia" w:ascii="仿宋" w:hAnsi="仿宋" w:eastAsia="仿宋" w:cs="仿宋"/>
          <w:color w:val="auto"/>
          <w:sz w:val="30"/>
          <w:szCs w:val="30"/>
        </w:rPr>
        <w:fldChar w:fldCharType="begin"/>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instrText xml:space="preserve">HYPERLINK \l "_Toc54978901"</w:instrText>
      </w:r>
      <w:r>
        <w:rPr>
          <w:rStyle w:val="87"/>
          <w:rFonts w:hint="eastAsia" w:ascii="仿宋" w:hAnsi="仿宋" w:eastAsia="仿宋" w:cs="仿宋"/>
          <w:color w:val="auto"/>
          <w:sz w:val="30"/>
          <w:szCs w:val="30"/>
        </w:rPr>
        <w:instrText xml:space="preserve"> </w:instrText>
      </w:r>
      <w:r>
        <w:rPr>
          <w:rFonts w:hint="eastAsia" w:ascii="仿宋" w:hAnsi="仿宋" w:eastAsia="仿宋" w:cs="仿宋"/>
          <w:color w:val="auto"/>
          <w:sz w:val="30"/>
          <w:szCs w:val="30"/>
        </w:rPr>
        <w:fldChar w:fldCharType="separate"/>
      </w:r>
      <w:r>
        <w:rPr>
          <w:rStyle w:val="87"/>
          <w:rFonts w:hint="eastAsia" w:ascii="仿宋" w:hAnsi="仿宋" w:eastAsia="仿宋" w:cs="仿宋"/>
          <w:color w:val="auto"/>
          <w:sz w:val="30"/>
          <w:szCs w:val="30"/>
        </w:rPr>
        <w:t>第六部分  投标文件</w:t>
      </w:r>
      <w:r>
        <w:rPr>
          <w:rStyle w:val="87"/>
          <w:rFonts w:hint="eastAsia" w:ascii="仿宋" w:hAnsi="仿宋" w:eastAsia="仿宋" w:cs="仿宋"/>
          <w:color w:val="auto"/>
          <w:sz w:val="30"/>
          <w:szCs w:val="30"/>
          <w:lang w:val="en-US" w:eastAsia="zh-CN"/>
        </w:rPr>
        <w:t>及其附件</w:t>
      </w:r>
      <w:r>
        <w:rPr>
          <w:rStyle w:val="87"/>
          <w:rFonts w:hint="eastAsia" w:ascii="仿宋" w:hAnsi="仿宋" w:eastAsia="仿宋" w:cs="仿宋"/>
          <w:color w:val="auto"/>
          <w:sz w:val="30"/>
          <w:szCs w:val="30"/>
        </w:rPr>
        <w:t>格式</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fldChar w:fldCharType="end"/>
      </w:r>
      <w:r>
        <w:rPr>
          <w:rFonts w:hint="eastAsia" w:ascii="仿宋" w:hAnsi="仿宋" w:eastAsia="仿宋" w:cs="仿宋"/>
          <w:color w:val="auto"/>
          <w:sz w:val="28"/>
          <w:szCs w:val="28"/>
          <w:lang w:val="en-US" w:eastAsia="zh-CN"/>
        </w:rPr>
        <w:t>3</w:t>
      </w:r>
    </w:p>
    <w:p w14:paraId="5AF68C40">
      <w:pPr>
        <w:pStyle w:val="3"/>
        <w:spacing w:line="700" w:lineRule="exact"/>
        <w:rPr>
          <w:rFonts w:hint="eastAsia" w:ascii="仿宋" w:hAnsi="仿宋" w:eastAsia="仿宋" w:cs="仿宋"/>
          <w:b/>
          <w:bCs/>
          <w:color w:val="auto"/>
          <w:sz w:val="32"/>
          <w:szCs w:val="32"/>
        </w:rPr>
      </w:pPr>
      <w:r>
        <w:rPr>
          <w:rFonts w:hint="eastAsia" w:ascii="仿宋" w:hAnsi="仿宋" w:eastAsia="仿宋" w:cs="仿宋"/>
          <w:color w:val="auto"/>
        </w:rPr>
        <w:fldChar w:fldCharType="end"/>
      </w:r>
      <w:bookmarkStart w:id="10" w:name="_Toc54978887"/>
      <w:r>
        <w:rPr>
          <w:rFonts w:hint="eastAsia" w:ascii="仿宋" w:hAnsi="仿宋" w:eastAsia="仿宋" w:cs="仿宋"/>
          <w:b/>
          <w:bCs/>
          <w:color w:val="auto"/>
          <w:sz w:val="32"/>
          <w:szCs w:val="32"/>
        </w:rPr>
        <w:t>第一部分</w:t>
      </w:r>
      <w:bookmarkEnd w:id="1"/>
      <w:bookmarkEnd w:id="2"/>
      <w:bookmarkEnd w:id="3"/>
      <w:bookmarkEnd w:id="4"/>
      <w:bookmarkEnd w:id="5"/>
      <w:r>
        <w:rPr>
          <w:rFonts w:hint="eastAsia" w:ascii="仿宋" w:hAnsi="仿宋" w:eastAsia="仿宋" w:cs="仿宋"/>
          <w:b/>
          <w:bCs/>
          <w:color w:val="auto"/>
          <w:sz w:val="32"/>
          <w:szCs w:val="32"/>
        </w:rPr>
        <w:t xml:space="preserve">  </w:t>
      </w:r>
      <w:bookmarkEnd w:id="6"/>
      <w:bookmarkEnd w:id="7"/>
      <w:bookmarkEnd w:id="8"/>
      <w:bookmarkEnd w:id="9"/>
      <w:r>
        <w:rPr>
          <w:rFonts w:hint="eastAsia" w:ascii="仿宋" w:hAnsi="仿宋" w:eastAsia="仿宋" w:cs="仿宋"/>
          <w:b/>
          <w:bCs/>
          <w:color w:val="auto"/>
          <w:sz w:val="32"/>
          <w:szCs w:val="32"/>
          <w:lang w:eastAsia="zh-CN"/>
        </w:rPr>
        <w:t>招标</w:t>
      </w:r>
      <w:r>
        <w:rPr>
          <w:rFonts w:hint="eastAsia" w:ascii="仿宋" w:hAnsi="仿宋" w:eastAsia="仿宋" w:cs="仿宋"/>
          <w:b/>
          <w:bCs/>
          <w:color w:val="auto"/>
          <w:sz w:val="32"/>
          <w:szCs w:val="32"/>
        </w:rPr>
        <w:t>公告</w:t>
      </w:r>
      <w:bookmarkEnd w:id="10"/>
    </w:p>
    <w:p w14:paraId="2A4B85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bookmarkStart w:id="11" w:name="_Toc339302124"/>
      <w:bookmarkStart w:id="12" w:name="_Toc340322163"/>
      <w:bookmarkStart w:id="13" w:name="_Toc54978888"/>
      <w:bookmarkStart w:id="14" w:name="_Toc340321908"/>
      <w:bookmarkStart w:id="15" w:name="_Toc226337757"/>
      <w:bookmarkStart w:id="16" w:name="_Toc180555916"/>
      <w:bookmarkStart w:id="17" w:name="_Toc248065035"/>
      <w:bookmarkStart w:id="18" w:name="_Toc5837"/>
      <w:bookmarkStart w:id="19" w:name="_Toc304551309"/>
      <w:r>
        <w:rPr>
          <w:rFonts w:hint="eastAsia" w:ascii="仿宋" w:hAnsi="仿宋" w:eastAsia="仿宋" w:cs="仿宋"/>
          <w:color w:val="auto"/>
          <w:sz w:val="24"/>
          <w:szCs w:val="24"/>
        </w:rPr>
        <w:t>项目概况</w:t>
      </w:r>
      <w:r>
        <w:rPr>
          <w:rFonts w:hint="eastAsia" w:ascii="仿宋" w:hAnsi="仿宋" w:eastAsia="仿宋" w:cs="仿宋"/>
          <w:color w:val="auto"/>
          <w:sz w:val="24"/>
          <w:szCs w:val="24"/>
          <w:lang w:val="en-US" w:eastAsia="zh-CN"/>
        </w:rPr>
        <w:t>:</w:t>
      </w:r>
    </w:p>
    <w:p w14:paraId="7F0081D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u w:val="single"/>
          <w:lang w:eastAsia="zh-CN"/>
        </w:rPr>
        <w:t>嵊州市浦口街道月亮湖畔共富驿站智能化建设项目</w:t>
      </w:r>
      <w:r>
        <w:rPr>
          <w:rFonts w:hint="eastAsia" w:ascii="仿宋" w:hAnsi="仿宋" w:eastAsia="仿宋" w:cs="仿宋"/>
          <w:color w:val="auto"/>
          <w:sz w:val="24"/>
          <w:szCs w:val="24"/>
          <w:u w:val="single"/>
        </w:rPr>
        <w:t>的潜在供应商应在</w:t>
      </w:r>
      <w:r>
        <w:rPr>
          <w:rFonts w:hint="eastAsia" w:ascii="仿宋" w:hAnsi="仿宋" w:eastAsia="仿宋" w:cs="仿宋"/>
          <w:color w:val="auto"/>
          <w:sz w:val="24"/>
          <w:szCs w:val="24"/>
          <w:u w:val="single"/>
          <w:lang w:eastAsia="zh-CN"/>
        </w:rPr>
        <w:t>乐采云平台（https://www.lecaiyun.com/）</w:t>
      </w:r>
      <w:r>
        <w:rPr>
          <w:rFonts w:hint="eastAsia" w:ascii="仿宋" w:hAnsi="仿宋" w:eastAsia="仿宋" w:cs="仿宋"/>
          <w:color w:val="auto"/>
          <w:sz w:val="24"/>
          <w:szCs w:val="24"/>
          <w:u w:val="single"/>
        </w:rPr>
        <w:t>获取采购文件，并于</w:t>
      </w:r>
      <w:r>
        <w:rPr>
          <w:rFonts w:hint="eastAsia" w:ascii="仿宋" w:hAnsi="仿宋" w:eastAsia="仿宋" w:cs="仿宋"/>
          <w:color w:val="auto"/>
          <w:sz w:val="24"/>
          <w:szCs w:val="24"/>
          <w:u w:val="single"/>
          <w:lang w:val="en-US" w:eastAsia="zh-CN"/>
        </w:rPr>
        <w:t>2025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eastAsia="zh-CN"/>
        </w:rPr>
        <w:t>下午</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分（北京时间）前提交</w:t>
      </w:r>
      <w:r>
        <w:rPr>
          <w:rFonts w:hint="eastAsia" w:ascii="仿宋" w:hAnsi="仿宋" w:eastAsia="仿宋" w:cs="仿宋"/>
          <w:color w:val="auto"/>
          <w:sz w:val="24"/>
          <w:szCs w:val="24"/>
          <w:u w:val="single"/>
          <w:lang w:eastAsia="zh-CN"/>
        </w:rPr>
        <w:t>投标</w:t>
      </w:r>
      <w:r>
        <w:rPr>
          <w:rFonts w:hint="eastAsia" w:ascii="仿宋" w:hAnsi="仿宋" w:eastAsia="仿宋" w:cs="仿宋"/>
          <w:color w:val="auto"/>
          <w:sz w:val="24"/>
          <w:szCs w:val="24"/>
          <w:u w:val="single"/>
        </w:rPr>
        <w:t>文件</w:t>
      </w:r>
      <w:r>
        <w:rPr>
          <w:rFonts w:hint="eastAsia" w:ascii="仿宋" w:hAnsi="仿宋" w:eastAsia="仿宋" w:cs="仿宋"/>
          <w:color w:val="auto"/>
          <w:sz w:val="24"/>
          <w:szCs w:val="24"/>
          <w:u w:val="none"/>
        </w:rPr>
        <w:t>。</w:t>
      </w:r>
    </w:p>
    <w:p w14:paraId="6BCC2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pacing w:val="6"/>
          <w:sz w:val="24"/>
          <w:szCs w:val="24"/>
        </w:rPr>
      </w:pPr>
      <w:bookmarkStart w:id="20" w:name="_Toc28359002"/>
      <w:bookmarkStart w:id="21" w:name="_Toc35393790"/>
      <w:bookmarkStart w:id="22" w:name="_Toc35393621"/>
      <w:bookmarkStart w:id="23" w:name="_Toc28359079"/>
      <w:bookmarkStart w:id="24" w:name="_Hlk24379207"/>
      <w:r>
        <w:rPr>
          <w:rFonts w:hint="eastAsia" w:ascii="仿宋" w:hAnsi="仿宋" w:eastAsia="仿宋" w:cs="仿宋"/>
          <w:b/>
          <w:bCs/>
          <w:color w:val="auto"/>
          <w:spacing w:val="6"/>
          <w:sz w:val="24"/>
          <w:szCs w:val="24"/>
        </w:rPr>
        <w:t>一、项目基本情况</w:t>
      </w:r>
      <w:bookmarkEnd w:id="20"/>
      <w:bookmarkEnd w:id="21"/>
      <w:bookmarkEnd w:id="22"/>
      <w:bookmarkEnd w:id="23"/>
    </w:p>
    <w:p w14:paraId="3F5FD25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eastAsia="zh-CN"/>
        </w:rPr>
        <w:t>SXWH2024-12-16</w:t>
      </w:r>
    </w:p>
    <w:p w14:paraId="7248B72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rPr>
        <w:t>2.项目名称：</w:t>
      </w:r>
      <w:r>
        <w:rPr>
          <w:rFonts w:hint="eastAsia" w:ascii="仿宋" w:hAnsi="仿宋" w:eastAsia="仿宋" w:cs="仿宋"/>
          <w:color w:val="000000" w:themeColor="text1"/>
          <w:sz w:val="24"/>
          <w:szCs w:val="24"/>
          <w:highlight w:val="none"/>
          <w:lang w:eastAsia="zh-CN"/>
          <w14:textFill>
            <w14:solidFill>
              <w14:schemeClr w14:val="tx1"/>
            </w14:solidFill>
          </w14:textFill>
        </w:rPr>
        <w:t>嵊州市浦口街道月亮湖畔共富驿站智能化建设项目</w:t>
      </w:r>
    </w:p>
    <w:bookmarkEnd w:id="24"/>
    <w:p w14:paraId="695441E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3.预算金额：</w:t>
      </w:r>
      <w:r>
        <w:rPr>
          <w:rFonts w:hint="eastAsia" w:ascii="仿宋" w:hAnsi="仿宋" w:eastAsia="仿宋" w:cs="仿宋"/>
          <w:color w:val="000000" w:themeColor="text1"/>
          <w:sz w:val="24"/>
          <w:szCs w:val="24"/>
          <w:lang w:val="en-US" w:eastAsia="zh-CN"/>
          <w14:textFill>
            <w14:solidFill>
              <w14:schemeClr w14:val="tx1"/>
            </w14:solidFill>
          </w14:textFill>
        </w:rPr>
        <w:t>2139153.80元</w:t>
      </w:r>
    </w:p>
    <w:p w14:paraId="705FEED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.最高限价：</w:t>
      </w:r>
      <w:r>
        <w:rPr>
          <w:rFonts w:hint="eastAsia" w:ascii="仿宋" w:hAnsi="仿宋" w:eastAsia="仿宋" w:cs="仿宋"/>
          <w:color w:val="000000" w:themeColor="text1"/>
          <w:sz w:val="24"/>
          <w:szCs w:val="24"/>
          <w:lang w:val="en-US" w:eastAsia="zh-CN"/>
          <w14:textFill>
            <w14:solidFill>
              <w14:schemeClr w14:val="tx1"/>
            </w14:solidFill>
          </w14:textFill>
        </w:rPr>
        <w:t>2139153.80元</w:t>
      </w:r>
    </w:p>
    <w:p w14:paraId="67D31C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采购需求：详见招标文件第三部分</w:t>
      </w:r>
    </w:p>
    <w:tbl>
      <w:tblPr>
        <w:tblStyle w:val="80"/>
        <w:tblW w:w="921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472"/>
        <w:gridCol w:w="1384"/>
        <w:gridCol w:w="2001"/>
        <w:gridCol w:w="1549"/>
      </w:tblGrid>
      <w:tr w14:paraId="108F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Align w:val="center"/>
          </w:tcPr>
          <w:p w14:paraId="6CFA6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序号</w:t>
            </w:r>
          </w:p>
        </w:tc>
        <w:tc>
          <w:tcPr>
            <w:tcW w:w="3472" w:type="dxa"/>
            <w:vAlign w:val="center"/>
          </w:tcPr>
          <w:p w14:paraId="22D72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采购项目</w:t>
            </w:r>
          </w:p>
        </w:tc>
        <w:tc>
          <w:tcPr>
            <w:tcW w:w="1384" w:type="dxa"/>
            <w:vAlign w:val="center"/>
          </w:tcPr>
          <w:p w14:paraId="090A3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数量</w:t>
            </w:r>
          </w:p>
        </w:tc>
        <w:tc>
          <w:tcPr>
            <w:tcW w:w="2001" w:type="dxa"/>
            <w:vAlign w:val="center"/>
          </w:tcPr>
          <w:p w14:paraId="58812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预算金额（元）</w:t>
            </w:r>
          </w:p>
        </w:tc>
        <w:tc>
          <w:tcPr>
            <w:tcW w:w="1549" w:type="dxa"/>
            <w:vAlign w:val="center"/>
          </w:tcPr>
          <w:p w14:paraId="619F4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备注</w:t>
            </w:r>
          </w:p>
        </w:tc>
      </w:tr>
      <w:tr w14:paraId="1402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09" w:type="dxa"/>
            <w:vAlign w:val="center"/>
          </w:tcPr>
          <w:p w14:paraId="0A0D9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1</w:t>
            </w:r>
          </w:p>
        </w:tc>
        <w:tc>
          <w:tcPr>
            <w:tcW w:w="3472" w:type="dxa"/>
            <w:vAlign w:val="center"/>
          </w:tcPr>
          <w:p w14:paraId="61F13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eastAsia="zh-CN"/>
              </w:rPr>
              <w:t>嵊州市浦口街道月亮湖畔共富驿站智能化建设项目</w:t>
            </w:r>
          </w:p>
        </w:tc>
        <w:tc>
          <w:tcPr>
            <w:tcW w:w="1384" w:type="dxa"/>
            <w:vAlign w:val="center"/>
          </w:tcPr>
          <w:p w14:paraId="2AAC5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001" w:type="dxa"/>
            <w:vAlign w:val="center"/>
          </w:tcPr>
          <w:p w14:paraId="4C160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2139153.80</w:t>
            </w:r>
          </w:p>
        </w:tc>
        <w:tc>
          <w:tcPr>
            <w:tcW w:w="1549" w:type="dxa"/>
            <w:vAlign w:val="center"/>
          </w:tcPr>
          <w:p w14:paraId="75AEC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rPr>
                <w:rFonts w:hint="eastAsia" w:ascii="仿宋" w:hAnsi="仿宋" w:eastAsia="仿宋" w:cs="仿宋"/>
                <w:color w:val="auto"/>
                <w:sz w:val="24"/>
                <w:szCs w:val="24"/>
                <w:vertAlign w:val="baseline"/>
                <w:lang w:val="en-US" w:eastAsia="zh-CN"/>
              </w:rPr>
            </w:pPr>
          </w:p>
        </w:tc>
      </w:tr>
    </w:tbl>
    <w:p w14:paraId="227C50D4">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仿宋" w:hAnsi="仿宋" w:eastAsia="仿宋" w:cs="仿宋"/>
          <w:color w:val="auto"/>
          <w:sz w:val="24"/>
          <w:szCs w:val="24"/>
          <w:highlight w:val="none"/>
          <w:lang w:val="en-US" w:eastAsia="zh-CN"/>
        </w:rPr>
      </w:pPr>
      <w:bookmarkStart w:id="25" w:name="_Toc28359080"/>
      <w:bookmarkStart w:id="26" w:name="_Toc35393622"/>
      <w:bookmarkStart w:id="27" w:name="_Toc28359003"/>
      <w:bookmarkStart w:id="28" w:name="_Toc35393791"/>
      <w:r>
        <w:rPr>
          <w:rFonts w:hint="eastAsia" w:ascii="仿宋" w:hAnsi="仿宋" w:eastAsia="仿宋" w:cs="仿宋"/>
          <w:color w:val="auto"/>
          <w:sz w:val="24"/>
          <w:szCs w:val="24"/>
          <w:highlight w:val="none"/>
          <w:lang w:val="en-US" w:eastAsia="zh-CN"/>
        </w:rPr>
        <w:t>6.合同履约期限：详见招标文件。</w:t>
      </w:r>
    </w:p>
    <w:p w14:paraId="4399F996">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二、申请人的资格要求：</w:t>
      </w:r>
      <w:bookmarkEnd w:id="25"/>
      <w:bookmarkEnd w:id="26"/>
      <w:bookmarkEnd w:id="27"/>
      <w:bookmarkEnd w:id="28"/>
    </w:p>
    <w:p w14:paraId="639A6D60">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lang w:val="en-US" w:eastAsia="zh-CN"/>
        </w:rPr>
      </w:pPr>
      <w:bookmarkStart w:id="29" w:name="_Toc35393623"/>
      <w:bookmarkStart w:id="30" w:name="_Toc28359004"/>
      <w:bookmarkStart w:id="31" w:name="_Toc28359081"/>
      <w:bookmarkStart w:id="32" w:name="_Toc35393792"/>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347EB34E">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2.投标人未被列入失信被执行人名单、重大税收违法案件当事人名单、政府采购严重违法失信行为记录名单，信息以信用中国网站（www.creditchina.gov.cn）、中国政府采购网（www.ccgp.gov.cn）公布和查询为准。</w:t>
      </w:r>
    </w:p>
    <w:p w14:paraId="7EAA748E">
      <w:pPr>
        <w:keepNext w:val="0"/>
        <w:keepLines w:val="0"/>
        <w:pageBreakBefore w:val="0"/>
        <w:kinsoku/>
        <w:wordWrap/>
        <w:overflowPunct/>
        <w:topLinePunct w:val="0"/>
        <w:bidi w:val="0"/>
        <w:snapToGrid w:val="0"/>
        <w:spacing w:line="360" w:lineRule="auto"/>
        <w:ind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lang w:val="en-US" w:eastAsia="zh-CN"/>
        </w:rPr>
        <w:t>3.</w:t>
      </w:r>
      <w:r>
        <w:rPr>
          <w:rFonts w:hint="eastAsia" w:ascii="仿宋" w:hAnsi="仿宋" w:eastAsia="仿宋" w:cs="仿宋"/>
          <w:color w:val="auto"/>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526AD81">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pacing w:val="6"/>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r>
        <w:rPr>
          <w:rFonts w:hint="eastAsia" w:ascii="仿宋" w:hAnsi="仿宋" w:eastAsia="仿宋" w:cs="仿宋"/>
          <w:color w:val="auto"/>
          <w:sz w:val="24"/>
          <w:szCs w:val="24"/>
          <w:lang w:eastAsia="zh-CN"/>
        </w:rPr>
        <w:t>。</w:t>
      </w:r>
    </w:p>
    <w:p w14:paraId="31E80B58">
      <w:pPr>
        <w:keepNext w:val="0"/>
        <w:keepLines w:val="0"/>
        <w:pageBreakBefore w:val="0"/>
        <w:kinsoku/>
        <w:wordWrap/>
        <w:overflowPunct/>
        <w:topLinePunct w:val="0"/>
        <w:bidi w:val="0"/>
        <w:snapToGrid w:val="0"/>
        <w:spacing w:line="360" w:lineRule="auto"/>
        <w:ind w:firstLine="504" w:firstLineChars="200"/>
        <w:textAlignment w:val="auto"/>
        <w:rPr>
          <w:rFonts w:hint="eastAsia" w:ascii="仿宋" w:hAnsi="仿宋" w:eastAsia="仿宋" w:cs="仿宋"/>
          <w:color w:val="0000FF"/>
          <w:sz w:val="24"/>
          <w:szCs w:val="24"/>
          <w:highlight w:val="none"/>
          <w:lang w:eastAsia="zh-CN"/>
        </w:rPr>
      </w:pPr>
      <w:r>
        <w:rPr>
          <w:rFonts w:hint="eastAsia" w:ascii="仿宋" w:hAnsi="仿宋" w:eastAsia="仿宋" w:cs="仿宋"/>
          <w:b w:val="0"/>
          <w:bCs w:val="0"/>
          <w:color w:val="auto"/>
          <w:spacing w:val="6"/>
          <w:sz w:val="24"/>
          <w:szCs w:val="24"/>
          <w:lang w:val="en-US" w:eastAsia="zh-CN"/>
        </w:rPr>
        <w:t>5</w:t>
      </w:r>
      <w:r>
        <w:rPr>
          <w:rFonts w:hint="eastAsia" w:ascii="仿宋" w:hAnsi="仿宋" w:eastAsia="仿宋" w:cs="仿宋"/>
          <w:b w:val="0"/>
          <w:bCs w:val="0"/>
          <w:color w:val="auto"/>
          <w:spacing w:val="6"/>
          <w:sz w:val="24"/>
          <w:szCs w:val="24"/>
        </w:rPr>
        <w:t>.特定资格要求</w:t>
      </w:r>
      <w:r>
        <w:rPr>
          <w:rFonts w:hint="eastAsia" w:ascii="仿宋" w:hAnsi="仿宋" w:eastAsia="仿宋" w:cs="仿宋"/>
          <w:b w:val="0"/>
          <w:bCs w:val="0"/>
          <w:color w:val="auto"/>
          <w:spacing w:val="6"/>
          <w:sz w:val="24"/>
          <w:szCs w:val="24"/>
          <w:lang w:val="en-US" w:eastAsia="zh-CN"/>
        </w:rPr>
        <w:t>:</w:t>
      </w:r>
      <w:r>
        <w:rPr>
          <w:rFonts w:hint="eastAsia" w:ascii="仿宋" w:hAnsi="仿宋" w:eastAsia="仿宋" w:cs="仿宋"/>
          <w:color w:val="auto"/>
          <w:spacing w:val="6"/>
          <w:sz w:val="24"/>
          <w:szCs w:val="24"/>
          <w:lang w:val="en-US" w:eastAsia="zh-CN"/>
        </w:rPr>
        <w:t>无。</w:t>
      </w:r>
    </w:p>
    <w:p w14:paraId="72CCE175">
      <w:pPr>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lang w:val="en-US" w:eastAsia="zh-CN"/>
        </w:rPr>
        <w:t>6.</w:t>
      </w:r>
      <w:r>
        <w:rPr>
          <w:rFonts w:hint="eastAsia" w:ascii="仿宋" w:hAnsi="仿宋" w:eastAsia="仿宋" w:cs="仿宋"/>
          <w:color w:val="auto"/>
          <w:spacing w:val="6"/>
          <w:sz w:val="24"/>
          <w:szCs w:val="24"/>
        </w:rPr>
        <w:t>本项目</w:t>
      </w:r>
      <w:r>
        <w:rPr>
          <w:rFonts w:hint="eastAsia" w:ascii="仿宋" w:hAnsi="仿宋" w:eastAsia="仿宋" w:cs="仿宋"/>
          <w:color w:val="auto"/>
          <w:spacing w:val="6"/>
          <w:sz w:val="24"/>
          <w:szCs w:val="24"/>
          <w:lang w:eastAsia="zh-CN"/>
        </w:rPr>
        <w:t>不</w:t>
      </w:r>
      <w:r>
        <w:rPr>
          <w:rFonts w:hint="eastAsia" w:ascii="仿宋" w:hAnsi="仿宋" w:eastAsia="仿宋" w:cs="仿宋"/>
          <w:color w:val="auto"/>
          <w:spacing w:val="6"/>
          <w:sz w:val="24"/>
          <w:szCs w:val="24"/>
        </w:rPr>
        <w:t>接受联合体</w:t>
      </w:r>
      <w:r>
        <w:rPr>
          <w:rFonts w:hint="eastAsia" w:ascii="仿宋" w:hAnsi="仿宋" w:eastAsia="仿宋" w:cs="仿宋"/>
          <w:color w:val="auto"/>
          <w:spacing w:val="6"/>
          <w:sz w:val="24"/>
          <w:szCs w:val="24"/>
          <w:lang w:eastAsia="zh-CN"/>
        </w:rPr>
        <w:t>投标</w:t>
      </w:r>
      <w:r>
        <w:rPr>
          <w:rFonts w:hint="eastAsia" w:ascii="仿宋" w:hAnsi="仿宋" w:eastAsia="仿宋" w:cs="仿宋"/>
          <w:color w:val="auto"/>
          <w:spacing w:val="6"/>
          <w:sz w:val="24"/>
          <w:szCs w:val="24"/>
        </w:rPr>
        <w:t>。</w:t>
      </w:r>
    </w:p>
    <w:p w14:paraId="10D2D0B0">
      <w:pPr>
        <w:pStyle w:val="2"/>
        <w:keepNext w:val="0"/>
        <w:keepLines w:val="0"/>
        <w:pageBreakBefore w:val="0"/>
        <w:widowControl w:val="0"/>
        <w:kinsoku/>
        <w:wordWrap/>
        <w:overflowPunct/>
        <w:topLinePunct w:val="0"/>
        <w:bidi w:val="0"/>
        <w:snapToGrid/>
        <w:spacing w:line="360" w:lineRule="auto"/>
        <w:ind w:firstLine="253" w:firstLineChars="100"/>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三、获取</w:t>
      </w:r>
      <w:bookmarkEnd w:id="29"/>
      <w:bookmarkEnd w:id="30"/>
      <w:bookmarkEnd w:id="31"/>
      <w:bookmarkEnd w:id="32"/>
      <w:r>
        <w:rPr>
          <w:rFonts w:hint="eastAsia" w:ascii="仿宋" w:hAnsi="仿宋" w:eastAsia="仿宋" w:cs="仿宋"/>
          <w:b/>
          <w:bCs/>
          <w:color w:val="auto"/>
          <w:spacing w:val="6"/>
          <w:sz w:val="24"/>
          <w:szCs w:val="24"/>
        </w:rPr>
        <w:t>采购文件</w:t>
      </w:r>
      <w:bookmarkStart w:id="33" w:name="_Toc28359005"/>
      <w:bookmarkStart w:id="34" w:name="_Toc28359082"/>
      <w:bookmarkStart w:id="35" w:name="_Toc35393624"/>
      <w:bookmarkStart w:id="36" w:name="_Toc35393793"/>
    </w:p>
    <w:p w14:paraId="47E06C61">
      <w:pPr>
        <w:pStyle w:val="2"/>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1.采购文件获取时间：</w:t>
      </w:r>
      <w:r>
        <w:rPr>
          <w:rFonts w:hint="eastAsia" w:ascii="仿宋" w:hAnsi="仿宋" w:eastAsia="仿宋" w:cs="仿宋"/>
          <w:color w:val="auto"/>
          <w:spacing w:val="6"/>
          <w:sz w:val="24"/>
          <w:szCs w:val="24"/>
          <w:lang w:val="en-US" w:eastAsia="zh-CN"/>
        </w:rPr>
        <w:t>2025年1</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8</w:t>
      </w:r>
      <w:r>
        <w:rPr>
          <w:rFonts w:hint="eastAsia" w:ascii="仿宋" w:hAnsi="仿宋" w:eastAsia="仿宋" w:cs="仿宋"/>
          <w:color w:val="auto"/>
          <w:spacing w:val="6"/>
          <w:sz w:val="24"/>
          <w:szCs w:val="24"/>
        </w:rPr>
        <w:t>日至</w:t>
      </w:r>
      <w:r>
        <w:rPr>
          <w:rFonts w:hint="eastAsia" w:ascii="仿宋" w:hAnsi="仿宋" w:eastAsia="仿宋" w:cs="仿宋"/>
          <w:color w:val="auto"/>
          <w:spacing w:val="6"/>
          <w:sz w:val="24"/>
          <w:szCs w:val="24"/>
          <w:lang w:val="en-US" w:eastAsia="zh-CN"/>
        </w:rPr>
        <w:t>2025年2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日，每天上午00:00至12:00，下午12:00至23:59（北京时间，线上获取法定节假日均可，线下获取文件法定节假日除外）</w:t>
      </w:r>
    </w:p>
    <w:p w14:paraId="408E7327">
      <w:pPr>
        <w:pStyle w:val="2"/>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 </w:t>
      </w:r>
    </w:p>
    <w:p w14:paraId="13C166BA">
      <w:pPr>
        <w:pStyle w:val="2"/>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3.获取方式：供应商登录</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，在线申请获取采购文件（进入“项目采购”应用，在获取采购文件菜单中选择项目，申请获取采购文件,仅需浏览采购文件的供应商可点击“游客，浏览采购文件”直接下载采购文件浏览）。</w:t>
      </w:r>
    </w:p>
    <w:p w14:paraId="21ACEDBF">
      <w:pPr>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b/>
          <w:bCs/>
          <w:color w:val="auto"/>
          <w:spacing w:val="6"/>
          <w:sz w:val="24"/>
          <w:szCs w:val="24"/>
        </w:rPr>
      </w:pPr>
      <w:r>
        <w:rPr>
          <w:rFonts w:hint="eastAsia" w:ascii="仿宋" w:hAnsi="仿宋" w:eastAsia="仿宋" w:cs="仿宋"/>
          <w:color w:val="auto"/>
          <w:spacing w:val="6"/>
          <w:sz w:val="24"/>
          <w:szCs w:val="24"/>
        </w:rPr>
        <w:t>4.采购文件售价：免费。</w:t>
      </w:r>
    </w:p>
    <w:p w14:paraId="0037EB1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四、提交投标文件</w:t>
      </w:r>
      <w:bookmarkEnd w:id="33"/>
      <w:bookmarkEnd w:id="34"/>
      <w:r>
        <w:rPr>
          <w:rFonts w:hint="eastAsia" w:ascii="仿宋" w:hAnsi="仿宋" w:eastAsia="仿宋" w:cs="仿宋"/>
          <w:b/>
          <w:bCs/>
          <w:color w:val="auto"/>
          <w:spacing w:val="6"/>
          <w:sz w:val="24"/>
          <w:szCs w:val="24"/>
        </w:rPr>
        <w:t>截止时间、开标时间和地点</w:t>
      </w:r>
      <w:bookmarkEnd w:id="35"/>
      <w:bookmarkEnd w:id="36"/>
    </w:p>
    <w:p w14:paraId="7BDC98D8">
      <w:pPr>
        <w:keepNext w:val="0"/>
        <w:keepLines w:val="0"/>
        <w:pageBreakBefore w:val="0"/>
        <w:widowControl w:val="0"/>
        <w:kinsoku/>
        <w:wordWrap/>
        <w:overflowPunct/>
        <w:topLinePunct w:val="0"/>
        <w:bidi w:val="0"/>
        <w:snapToGrid/>
        <w:spacing w:line="360" w:lineRule="auto"/>
        <w:ind w:firstLine="504" w:firstLineChars="200"/>
        <w:textAlignment w:val="auto"/>
        <w:rPr>
          <w:rFonts w:hint="eastAsia" w:ascii="仿宋" w:hAnsi="仿宋" w:eastAsia="仿宋" w:cs="仿宋"/>
          <w:color w:val="auto"/>
          <w:spacing w:val="6"/>
          <w:sz w:val="24"/>
          <w:szCs w:val="24"/>
        </w:rPr>
      </w:pPr>
      <w:bookmarkStart w:id="37" w:name="_Toc35393794"/>
      <w:bookmarkStart w:id="38" w:name="_Toc28359007"/>
      <w:bookmarkStart w:id="39" w:name="_Toc28359084"/>
      <w:bookmarkStart w:id="40" w:name="_Toc35393625"/>
      <w:r>
        <w:rPr>
          <w:rFonts w:hint="eastAsia" w:ascii="仿宋" w:hAnsi="仿宋" w:eastAsia="仿宋" w:cs="仿宋"/>
          <w:color w:val="auto"/>
          <w:spacing w:val="6"/>
          <w:sz w:val="24"/>
          <w:szCs w:val="24"/>
        </w:rPr>
        <w:t>1.提交投标文件截止时间：</w:t>
      </w:r>
      <w:r>
        <w:rPr>
          <w:rFonts w:hint="eastAsia" w:ascii="仿宋" w:hAnsi="仿宋" w:eastAsia="仿宋" w:cs="仿宋"/>
          <w:color w:val="auto"/>
          <w:spacing w:val="6"/>
          <w:sz w:val="24"/>
          <w:szCs w:val="24"/>
          <w:lang w:val="en-US" w:eastAsia="zh-CN"/>
        </w:rPr>
        <w:t>2025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日</w:t>
      </w:r>
      <w:r>
        <w:rPr>
          <w:rFonts w:hint="eastAsia" w:ascii="仿宋" w:hAnsi="仿宋" w:eastAsia="仿宋" w:cs="仿宋"/>
          <w:color w:val="auto"/>
          <w:spacing w:val="6"/>
          <w:sz w:val="24"/>
          <w:szCs w:val="24"/>
          <w:lang w:eastAsia="zh-CN"/>
        </w:rPr>
        <w:t>下午</w:t>
      </w:r>
      <w:r>
        <w:rPr>
          <w:rFonts w:hint="eastAsia" w:ascii="仿宋" w:hAnsi="仿宋" w:eastAsia="仿宋" w:cs="仿宋"/>
          <w:color w:val="auto"/>
          <w:spacing w:val="6"/>
          <w:sz w:val="24"/>
          <w:szCs w:val="24"/>
          <w:lang w:val="en-US" w:eastAsia="zh-CN"/>
        </w:rPr>
        <w:t>14：00</w:t>
      </w:r>
      <w:r>
        <w:rPr>
          <w:rFonts w:hint="eastAsia" w:ascii="仿宋" w:hAnsi="仿宋" w:eastAsia="仿宋" w:cs="仿宋"/>
          <w:color w:val="auto"/>
          <w:spacing w:val="6"/>
          <w:sz w:val="24"/>
          <w:szCs w:val="24"/>
        </w:rPr>
        <w:t>（北京时间）。</w:t>
      </w:r>
    </w:p>
    <w:p w14:paraId="2DA6A8E1">
      <w:pPr>
        <w:keepNext w:val="0"/>
        <w:keepLines w:val="0"/>
        <w:pageBreakBefore w:val="0"/>
        <w:kinsoku/>
        <w:wordWrap/>
        <w:overflowPunct/>
        <w:topLinePunct w:val="0"/>
        <w:bidi w:val="0"/>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2.投标地点（网址）：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w:t>
      </w:r>
    </w:p>
    <w:p w14:paraId="52971F9F">
      <w:pPr>
        <w:keepNext w:val="0"/>
        <w:keepLines w:val="0"/>
        <w:pageBreakBefore w:val="0"/>
        <w:kinsoku/>
        <w:wordWrap/>
        <w:overflowPunct/>
        <w:topLinePunct w:val="0"/>
        <w:bidi w:val="0"/>
        <w:spacing w:line="360" w:lineRule="auto"/>
        <w:ind w:firstLine="504" w:firstLineChars="200"/>
        <w:textAlignment w:val="auto"/>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3.</w:t>
      </w:r>
      <w:r>
        <w:rPr>
          <w:rFonts w:hint="eastAsia" w:ascii="仿宋" w:hAnsi="仿宋" w:eastAsia="仿宋" w:cs="仿宋"/>
          <w:color w:val="auto"/>
          <w:spacing w:val="6"/>
          <w:sz w:val="24"/>
          <w:szCs w:val="24"/>
          <w:lang w:val="en-US" w:eastAsia="zh-CN"/>
        </w:rPr>
        <w:t>开标时间：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日</w:t>
      </w:r>
      <w:r>
        <w:rPr>
          <w:rFonts w:hint="eastAsia" w:ascii="仿宋" w:hAnsi="仿宋" w:eastAsia="仿宋" w:cs="仿宋"/>
          <w:color w:val="auto"/>
          <w:spacing w:val="6"/>
          <w:sz w:val="24"/>
          <w:szCs w:val="24"/>
          <w:lang w:eastAsia="zh-CN"/>
        </w:rPr>
        <w:t>下午</w:t>
      </w:r>
      <w:r>
        <w:rPr>
          <w:rFonts w:hint="eastAsia" w:ascii="仿宋" w:hAnsi="仿宋" w:eastAsia="仿宋" w:cs="仿宋"/>
          <w:color w:val="auto"/>
          <w:spacing w:val="6"/>
          <w:sz w:val="24"/>
          <w:szCs w:val="24"/>
          <w:lang w:val="en-US" w:eastAsia="zh-CN"/>
        </w:rPr>
        <w:t>14：00分</w:t>
      </w:r>
      <w:r>
        <w:rPr>
          <w:rFonts w:hint="eastAsia" w:ascii="仿宋" w:hAnsi="仿宋" w:eastAsia="仿宋" w:cs="仿宋"/>
          <w:color w:val="auto"/>
          <w:spacing w:val="6"/>
          <w:sz w:val="24"/>
          <w:szCs w:val="24"/>
        </w:rPr>
        <w:t>整</w:t>
      </w:r>
      <w:r>
        <w:rPr>
          <w:rFonts w:hint="eastAsia" w:ascii="仿宋" w:hAnsi="仿宋" w:eastAsia="仿宋" w:cs="仿宋"/>
          <w:color w:val="auto"/>
          <w:spacing w:val="6"/>
          <w:sz w:val="24"/>
          <w:szCs w:val="24"/>
          <w:lang w:eastAsia="zh-CN"/>
        </w:rPr>
        <w:t>。</w:t>
      </w:r>
    </w:p>
    <w:p w14:paraId="7CC8A262">
      <w:pPr>
        <w:keepNext w:val="0"/>
        <w:keepLines w:val="0"/>
        <w:pageBreakBefore w:val="0"/>
        <w:kinsoku/>
        <w:wordWrap/>
        <w:overflowPunct/>
        <w:topLinePunct w:val="0"/>
        <w:bidi w:val="0"/>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4.开标地点（网址）</w:t>
      </w:r>
      <w:r>
        <w:rPr>
          <w:rFonts w:hint="eastAsia" w:ascii="仿宋" w:hAnsi="仿宋" w:eastAsia="仿宋" w:cs="仿宋"/>
          <w:color w:val="auto"/>
          <w:spacing w:val="6"/>
          <w:sz w:val="24"/>
          <w:szCs w:val="24"/>
          <w:lang w:eastAsia="zh-CN"/>
        </w:rPr>
        <w:t>：乐采云平台（https://www.lecaiyun.com/）</w:t>
      </w:r>
      <w:r>
        <w:rPr>
          <w:rFonts w:hint="eastAsia" w:ascii="仿宋" w:hAnsi="仿宋" w:eastAsia="仿宋" w:cs="仿宋"/>
          <w:color w:val="auto"/>
          <w:spacing w:val="6"/>
          <w:sz w:val="24"/>
          <w:szCs w:val="24"/>
        </w:rPr>
        <w:t>。</w:t>
      </w:r>
    </w:p>
    <w:p w14:paraId="6E6D3469">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五、公告期限</w:t>
      </w:r>
      <w:bookmarkEnd w:id="37"/>
      <w:bookmarkEnd w:id="38"/>
      <w:bookmarkEnd w:id="39"/>
      <w:bookmarkEnd w:id="40"/>
    </w:p>
    <w:p w14:paraId="417168E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1246D6E">
      <w:pPr>
        <w:pStyle w:val="42"/>
        <w:adjustRightInd w:val="0"/>
        <w:snapToGrid w:val="0"/>
        <w:spacing w:line="360" w:lineRule="auto"/>
        <w:rPr>
          <w:rFonts w:ascii="仿宋" w:hAnsi="仿宋" w:eastAsia="仿宋" w:cs="仿宋"/>
          <w:b/>
          <w:bCs/>
          <w:color w:val="auto"/>
          <w:spacing w:val="6"/>
          <w:sz w:val="24"/>
          <w:szCs w:val="24"/>
          <w:highlight w:val="none"/>
        </w:rPr>
      </w:pPr>
      <w:bookmarkStart w:id="41" w:name="_Toc35393626"/>
      <w:bookmarkStart w:id="42" w:name="_Toc35393795"/>
      <w:r>
        <w:rPr>
          <w:rFonts w:hint="eastAsia" w:ascii="仿宋" w:hAnsi="仿宋" w:eastAsia="仿宋" w:cs="仿宋"/>
          <w:b/>
          <w:bCs/>
          <w:color w:val="auto"/>
          <w:spacing w:val="6"/>
          <w:sz w:val="24"/>
          <w:szCs w:val="24"/>
          <w:lang w:val="en-US" w:eastAsia="zh-CN"/>
        </w:rPr>
        <w:t>六、</w:t>
      </w:r>
      <w:r>
        <w:rPr>
          <w:rFonts w:hint="eastAsia" w:ascii="仿宋" w:hAnsi="仿宋" w:eastAsia="仿宋" w:cs="仿宋"/>
          <w:b/>
          <w:bCs/>
          <w:color w:val="auto"/>
          <w:spacing w:val="6"/>
          <w:sz w:val="24"/>
          <w:szCs w:val="24"/>
          <w:highlight w:val="none"/>
        </w:rPr>
        <w:t>投标保证金</w:t>
      </w:r>
    </w:p>
    <w:p w14:paraId="6CF86C49">
      <w:pPr>
        <w:pStyle w:val="42"/>
        <w:adjustRightInd w:val="0"/>
        <w:snapToGrid w:val="0"/>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投标保证金额：</w:t>
      </w:r>
      <w:r>
        <w:rPr>
          <w:rFonts w:hint="eastAsia" w:ascii="仿宋" w:hAnsi="仿宋" w:eastAsia="仿宋" w:cs="仿宋"/>
          <w:color w:val="auto"/>
          <w:spacing w:val="6"/>
          <w:sz w:val="24"/>
          <w:szCs w:val="24"/>
          <w:highlight w:val="none"/>
          <w:lang w:val="en-US" w:eastAsia="zh-CN"/>
        </w:rPr>
        <w:t>42000元（大写：肆万贰仟元整）</w:t>
      </w:r>
      <w:r>
        <w:rPr>
          <w:rFonts w:hint="eastAsia" w:ascii="仿宋" w:hAnsi="仿宋" w:eastAsia="仿宋" w:cs="仿宋"/>
          <w:color w:val="auto"/>
          <w:spacing w:val="6"/>
          <w:sz w:val="24"/>
          <w:szCs w:val="24"/>
          <w:highlight w:val="none"/>
        </w:rPr>
        <w:t xml:space="preserve">。  </w:t>
      </w:r>
    </w:p>
    <w:p w14:paraId="0F85537A">
      <w:pPr>
        <w:pStyle w:val="42"/>
        <w:keepNext w:val="0"/>
        <w:keepLines w:val="0"/>
        <w:pageBreakBefore w:val="0"/>
        <w:numPr>
          <w:ilvl w:val="0"/>
          <w:numId w:val="0"/>
        </w:numPr>
        <w:kinsoku/>
        <w:wordWrap/>
        <w:overflowPunct/>
        <w:topLinePunct w:val="0"/>
        <w:bidi w:val="0"/>
        <w:adjustRightInd w:val="0"/>
        <w:snapToGrid w:val="0"/>
        <w:spacing w:line="360" w:lineRule="auto"/>
        <w:ind w:firstLine="504" w:firstLineChars="200"/>
        <w:textAlignment w:val="auto"/>
        <w:rPr>
          <w:rFonts w:hint="eastAsia" w:ascii="仿宋" w:hAnsi="仿宋" w:eastAsia="仿宋" w:cs="仿宋"/>
          <w:b/>
          <w:bCs/>
          <w:color w:val="auto"/>
          <w:spacing w:val="6"/>
          <w:sz w:val="24"/>
          <w:szCs w:val="24"/>
          <w:lang w:val="en-US" w:eastAsia="zh-CN"/>
        </w:rPr>
      </w:pPr>
      <w:r>
        <w:rPr>
          <w:rFonts w:hint="eastAsia" w:ascii="仿宋" w:hAnsi="仿宋" w:eastAsia="仿宋" w:cs="仿宋"/>
          <w:color w:val="auto"/>
          <w:spacing w:val="6"/>
          <w:sz w:val="24"/>
          <w:szCs w:val="24"/>
          <w:highlight w:val="none"/>
        </w:rPr>
        <w:t>投标人应于202</w:t>
      </w:r>
      <w:r>
        <w:rPr>
          <w:rFonts w:hint="eastAsia" w:ascii="仿宋" w:hAnsi="仿宋" w:eastAsia="仿宋" w:cs="仿宋"/>
          <w:color w:val="auto"/>
          <w:spacing w:val="6"/>
          <w:sz w:val="24"/>
          <w:szCs w:val="24"/>
          <w:highlight w:val="none"/>
          <w:lang w:val="en-US" w:eastAsia="zh-CN"/>
        </w:rPr>
        <w:t>5</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日16：</w:t>
      </w:r>
      <w:r>
        <w:rPr>
          <w:rFonts w:hint="eastAsia" w:ascii="仿宋" w:hAnsi="仿宋" w:eastAsia="仿宋" w:cs="仿宋"/>
          <w:color w:val="auto"/>
          <w:spacing w:val="6"/>
          <w:sz w:val="24"/>
          <w:szCs w:val="24"/>
          <w:highlight w:val="none"/>
          <w:lang w:val="en-US" w:eastAsia="zh-CN"/>
        </w:rPr>
        <w:t>0</w:t>
      </w:r>
      <w:r>
        <w:rPr>
          <w:rFonts w:hint="eastAsia" w:ascii="仿宋" w:hAnsi="仿宋" w:eastAsia="仿宋" w:cs="仿宋"/>
          <w:color w:val="auto"/>
          <w:spacing w:val="6"/>
          <w:sz w:val="24"/>
          <w:szCs w:val="24"/>
          <w:highlight w:val="none"/>
        </w:rPr>
        <w:t>0时前将投标保证金以电汇、转账、网上银行等形式交至</w:t>
      </w:r>
      <w:r>
        <w:rPr>
          <w:rFonts w:hint="eastAsia" w:ascii="仿宋" w:hAnsi="仿宋" w:eastAsia="仿宋" w:cs="仿宋"/>
          <w:color w:val="auto"/>
          <w:sz w:val="24"/>
          <w:szCs w:val="24"/>
          <w:highlight w:val="none"/>
        </w:rPr>
        <w:t>绍兴市文汇项目管理有限公司</w:t>
      </w:r>
      <w:r>
        <w:rPr>
          <w:rFonts w:hint="eastAsia" w:ascii="仿宋" w:hAnsi="仿宋" w:eastAsia="仿宋" w:cs="仿宋"/>
          <w:color w:val="auto"/>
          <w:spacing w:val="6"/>
          <w:sz w:val="24"/>
          <w:szCs w:val="24"/>
          <w:highlight w:val="none"/>
        </w:rPr>
        <w:t>（开户名称：</w:t>
      </w:r>
      <w:r>
        <w:rPr>
          <w:rFonts w:hint="eastAsia" w:ascii="仿宋" w:hAnsi="仿宋" w:eastAsia="仿宋" w:cs="仿宋"/>
          <w:color w:val="auto"/>
          <w:sz w:val="24"/>
          <w:szCs w:val="24"/>
          <w:highlight w:val="none"/>
        </w:rPr>
        <w:t>绍兴市文汇项目管理有限公司</w:t>
      </w:r>
      <w:r>
        <w:rPr>
          <w:rFonts w:hint="eastAsia" w:ascii="仿宋" w:hAnsi="仿宋" w:eastAsia="仿宋" w:cs="仿宋"/>
          <w:color w:val="auto"/>
          <w:spacing w:val="6"/>
          <w:sz w:val="24"/>
          <w:szCs w:val="24"/>
          <w:highlight w:val="none"/>
        </w:rPr>
        <w:t>，开户行：工商银行嵊州支行，账号：1211026009200820957），投标保证金以到账时间为准。如因投标人自身原因，造成投标单位保证金未及时到账的，一律视为不响应招标文件，投标文件不予接收。投标人的投标保证金必须从其基本账户转出。</w:t>
      </w:r>
    </w:p>
    <w:p w14:paraId="22A3CDD7">
      <w:pPr>
        <w:pStyle w:val="42"/>
        <w:keepNext w:val="0"/>
        <w:keepLines w:val="0"/>
        <w:pageBreakBefore w:val="0"/>
        <w:numPr>
          <w:ilvl w:val="0"/>
          <w:numId w:val="0"/>
        </w:numPr>
        <w:kinsoku/>
        <w:wordWrap/>
        <w:overflowPunct/>
        <w:topLinePunct w:val="0"/>
        <w:bidi w:val="0"/>
        <w:adjustRightInd w:val="0"/>
        <w:snapToGrid w:val="0"/>
        <w:spacing w:line="360" w:lineRule="auto"/>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lang w:val="en-US" w:eastAsia="zh-CN"/>
        </w:rPr>
        <w:t>七、</w:t>
      </w:r>
      <w:r>
        <w:rPr>
          <w:rFonts w:hint="eastAsia" w:ascii="仿宋" w:hAnsi="仿宋" w:eastAsia="仿宋" w:cs="仿宋"/>
          <w:b/>
          <w:bCs/>
          <w:color w:val="auto"/>
          <w:spacing w:val="6"/>
          <w:sz w:val="24"/>
          <w:szCs w:val="24"/>
        </w:rPr>
        <w:t>其他补充事宜</w:t>
      </w:r>
    </w:p>
    <w:p w14:paraId="3C2AA542">
      <w:pPr>
        <w:pStyle w:val="42"/>
        <w:keepNext w:val="0"/>
        <w:keepLines w:val="0"/>
        <w:pageBreakBefore w:val="0"/>
        <w:numPr>
          <w:ilvl w:val="0"/>
          <w:numId w:val="0"/>
        </w:numPr>
        <w:kinsoku/>
        <w:wordWrap/>
        <w:overflowPunct/>
        <w:topLinePunct w:val="0"/>
        <w:bidi w:val="0"/>
        <w:adjustRightInd w:val="0"/>
        <w:snapToGrid w:val="0"/>
        <w:spacing w:line="360" w:lineRule="auto"/>
        <w:ind w:firstLine="504"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1.本项目通过“</w:t>
      </w:r>
      <w:r>
        <w:rPr>
          <w:rFonts w:hint="eastAsia" w:ascii="仿宋" w:hAnsi="仿宋" w:eastAsia="仿宋" w:cs="仿宋"/>
          <w:color w:val="auto"/>
          <w:spacing w:val="6"/>
          <w:sz w:val="24"/>
          <w:szCs w:val="24"/>
          <w:lang w:val="en-US" w:eastAsia="zh-CN"/>
        </w:rPr>
        <w:t>采购云平台</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www.lecaiyun.com</w:t>
      </w:r>
      <w:r>
        <w:rPr>
          <w:rFonts w:hint="eastAsia" w:ascii="仿宋" w:hAnsi="仿宋" w:eastAsia="仿宋" w:cs="仿宋"/>
          <w:color w:val="auto"/>
          <w:spacing w:val="6"/>
          <w:sz w:val="24"/>
          <w:szCs w:val="24"/>
        </w:rPr>
        <w:t>）”实行在线投标响应（电子投标），供应商应先安装“</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电子交易客户端”，并按照本采购文件和“</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”的要求，通过“</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电子交易客户端”编制并加密投标文件。供应商未按规定加密的投标文件，“</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”将予以拒收。</w:t>
      </w:r>
    </w:p>
    <w:p w14:paraId="78849740">
      <w:pPr>
        <w:pStyle w:val="42"/>
        <w:keepNext w:val="0"/>
        <w:keepLines w:val="0"/>
        <w:pageBreakBefore w:val="0"/>
        <w:kinsoku/>
        <w:wordWrap/>
        <w:overflowPunct/>
        <w:topLinePunct w:val="0"/>
        <w:bidi w:val="0"/>
        <w:adjustRightInd w:val="0"/>
        <w:snapToGrid w:val="0"/>
        <w:spacing w:line="360"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电子交易客户端”请自行前往“浙江政府采购网-下载专区-电子交易客户端”进行下载；电子投标具体操作流程详见本公告附件《供应商项目采购-电子招投标操作指南》；通过“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”参与在线投标时如遇平台技术问题详询</w:t>
      </w:r>
      <w:r>
        <w:rPr>
          <w:rFonts w:hint="eastAsia" w:ascii="仿宋" w:hAnsi="仿宋" w:eastAsia="仿宋" w:cs="仿宋"/>
          <w:color w:val="auto"/>
          <w:spacing w:val="6"/>
          <w:sz w:val="24"/>
          <w:szCs w:val="24"/>
          <w:lang w:val="en-US" w:eastAsia="zh-CN"/>
        </w:rPr>
        <w:t>95763</w:t>
      </w:r>
      <w:r>
        <w:rPr>
          <w:rFonts w:hint="eastAsia" w:ascii="仿宋" w:hAnsi="仿宋" w:eastAsia="仿宋" w:cs="仿宋"/>
          <w:color w:val="auto"/>
          <w:spacing w:val="6"/>
          <w:sz w:val="24"/>
          <w:szCs w:val="24"/>
        </w:rPr>
        <w:t>。</w:t>
      </w:r>
    </w:p>
    <w:p w14:paraId="7AB143C0">
      <w:pPr>
        <w:pStyle w:val="42"/>
        <w:keepNext w:val="0"/>
        <w:keepLines w:val="0"/>
        <w:pageBreakBefore w:val="0"/>
        <w:kinsoku/>
        <w:wordWrap/>
        <w:overflowPunct/>
        <w:topLinePunct w:val="0"/>
        <w:bidi w:val="0"/>
        <w:adjustRightInd w:val="0"/>
        <w:snapToGrid w:val="0"/>
        <w:spacing w:line="360"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2.为确保网上操作合法、有效和安全，供应商应当在投标截止时间前完成在“</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”的身份认证，确保在电子投标过程中能够对相关数据电文进行加密和使用电子签章。使用“</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电子交易客户端”需要提前申领CA数字证书，申领流程请自行前往“浙江政府采购网-下载专区-电子交易客户端-CA驱动和申领流程”进行查阅；在使用</w:t>
      </w:r>
      <w:r>
        <w:rPr>
          <w:rFonts w:hint="eastAsia" w:ascii="仿宋" w:hAnsi="仿宋" w:eastAsia="仿宋" w:cs="仿宋"/>
          <w:color w:val="auto"/>
          <w:spacing w:val="6"/>
          <w:sz w:val="24"/>
          <w:szCs w:val="24"/>
          <w:lang w:eastAsia="zh-CN"/>
        </w:rPr>
        <w:t>乐采云</w:t>
      </w:r>
      <w:r>
        <w:rPr>
          <w:rFonts w:hint="eastAsia" w:ascii="仿宋" w:hAnsi="仿宋" w:eastAsia="仿宋" w:cs="仿宋"/>
          <w:color w:val="auto"/>
          <w:spacing w:val="6"/>
          <w:sz w:val="24"/>
          <w:szCs w:val="24"/>
        </w:rPr>
        <w:t>投标客户端时，建议使用WIN7及以上操作系统。完成CA数字证书办理在资料齐全的情况下预计7个工作日左右，建议供应商获取</w:t>
      </w:r>
      <w:r>
        <w:rPr>
          <w:rFonts w:hint="eastAsia" w:ascii="仿宋" w:hAnsi="仿宋" w:eastAsia="仿宋" w:cs="仿宋"/>
          <w:color w:val="auto"/>
          <w:spacing w:val="6"/>
          <w:sz w:val="24"/>
          <w:szCs w:val="24"/>
          <w:lang w:eastAsia="zh-CN"/>
        </w:rPr>
        <w:t>采购文件</w:t>
      </w:r>
      <w:r>
        <w:rPr>
          <w:rFonts w:hint="eastAsia" w:ascii="仿宋" w:hAnsi="仿宋" w:eastAsia="仿宋" w:cs="仿宋"/>
          <w:color w:val="auto"/>
          <w:spacing w:val="6"/>
          <w:sz w:val="24"/>
          <w:szCs w:val="24"/>
        </w:rPr>
        <w:t>后立即办理。</w:t>
      </w:r>
    </w:p>
    <w:p w14:paraId="585AD756">
      <w:pPr>
        <w:pStyle w:val="42"/>
        <w:keepNext w:val="0"/>
        <w:keepLines w:val="0"/>
        <w:pageBreakBefore w:val="0"/>
        <w:kinsoku/>
        <w:wordWrap/>
        <w:overflowPunct/>
        <w:topLinePunct w:val="0"/>
        <w:bidi w:val="0"/>
        <w:adjustRightInd w:val="0"/>
        <w:snapToGrid w:val="0"/>
        <w:spacing w:line="360"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3.投标供应商应当在投标截止时间前，将生成的“电子加密投标文件”上传至“</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”。投标截止时间以后上传递交的投标文件将被“</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”拒收。</w:t>
      </w:r>
    </w:p>
    <w:p w14:paraId="5E832420">
      <w:pPr>
        <w:pStyle w:val="42"/>
        <w:keepNext w:val="0"/>
        <w:keepLines w:val="0"/>
        <w:pageBreakBefore w:val="0"/>
        <w:kinsoku/>
        <w:wordWrap/>
        <w:overflowPunct/>
        <w:topLinePunct w:val="0"/>
        <w:bidi w:val="0"/>
        <w:adjustRightInd w:val="0"/>
        <w:snapToGrid w:val="0"/>
        <w:spacing w:line="360" w:lineRule="auto"/>
        <w:ind w:firstLine="506" w:firstLineChars="201"/>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4.投标供应商在“</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8C88519">
      <w:pPr>
        <w:pStyle w:val="42"/>
        <w:keepNext w:val="0"/>
        <w:keepLines w:val="0"/>
        <w:pageBreakBefore w:val="0"/>
        <w:kinsoku/>
        <w:wordWrap/>
        <w:overflowPunct/>
        <w:topLinePunct w:val="0"/>
        <w:bidi w:val="0"/>
        <w:adjustRightInd w:val="0"/>
        <w:snapToGrid w:val="0"/>
        <w:spacing w:line="360" w:lineRule="auto"/>
        <w:ind w:firstLine="506" w:firstLineChars="201"/>
        <w:textAlignment w:val="auto"/>
        <w:rPr>
          <w:rFonts w:hint="eastAsia" w:ascii="仿宋" w:hAnsi="仿宋" w:eastAsia="仿宋" w:cs="仿宋"/>
          <w:b/>
          <w:bCs/>
          <w:color w:val="auto"/>
          <w:spacing w:val="6"/>
          <w:sz w:val="24"/>
          <w:szCs w:val="24"/>
          <w:lang w:eastAsia="zh-CN"/>
        </w:rPr>
      </w:pPr>
      <w:r>
        <w:rPr>
          <w:rFonts w:hint="eastAsia" w:ascii="仿宋" w:hAnsi="仿宋" w:eastAsia="仿宋" w:cs="仿宋"/>
          <w:color w:val="auto"/>
          <w:spacing w:val="6"/>
          <w:sz w:val="24"/>
          <w:szCs w:val="24"/>
        </w:rPr>
        <w:t>5.通过“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”上传递交的“电子加密投标文件”无法按时解密，投标供应商递交了备份投标文件的，以备份投标文件为依据，否则视为投标文件撤回。通过“</w:t>
      </w:r>
      <w:r>
        <w:rPr>
          <w:rFonts w:hint="eastAsia" w:ascii="仿宋" w:hAnsi="仿宋" w:eastAsia="仿宋" w:cs="仿宋"/>
          <w:color w:val="auto"/>
          <w:spacing w:val="6"/>
          <w:sz w:val="24"/>
          <w:szCs w:val="24"/>
          <w:lang w:eastAsia="zh-CN"/>
        </w:rPr>
        <w:t>采购云平台</w:t>
      </w:r>
      <w:r>
        <w:rPr>
          <w:rFonts w:hint="eastAsia" w:ascii="仿宋" w:hAnsi="仿宋" w:eastAsia="仿宋" w:cs="仿宋"/>
          <w:color w:val="auto"/>
          <w:spacing w:val="6"/>
          <w:sz w:val="24"/>
          <w:szCs w:val="24"/>
        </w:rPr>
        <w:t>”上传递交的“电子加密投标文件”已按时解密的，“备份投标文件”自动失效。投标供应商仅递交备份投标文件的，投标无效。</w:t>
      </w:r>
      <w:bookmarkEnd w:id="41"/>
      <w:bookmarkEnd w:id="42"/>
    </w:p>
    <w:p w14:paraId="76502F75">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pacing w:val="6"/>
          <w:sz w:val="24"/>
          <w:szCs w:val="24"/>
        </w:rPr>
      </w:pPr>
      <w:bookmarkStart w:id="43" w:name="_Toc35393796"/>
      <w:bookmarkStart w:id="44" w:name="_Toc35393627"/>
      <w:bookmarkStart w:id="45" w:name="_Toc28359085"/>
      <w:bookmarkStart w:id="46" w:name="_Toc28359008"/>
      <w:r>
        <w:rPr>
          <w:rFonts w:hint="eastAsia" w:ascii="仿宋" w:hAnsi="仿宋" w:eastAsia="仿宋" w:cs="仿宋"/>
          <w:b/>
          <w:bCs/>
          <w:color w:val="auto"/>
          <w:spacing w:val="6"/>
          <w:sz w:val="24"/>
          <w:szCs w:val="24"/>
          <w:lang w:val="en-US" w:eastAsia="zh-CN"/>
        </w:rPr>
        <w:t>八</w:t>
      </w:r>
      <w:r>
        <w:rPr>
          <w:rFonts w:hint="eastAsia" w:ascii="仿宋" w:hAnsi="仿宋" w:eastAsia="仿宋" w:cs="仿宋"/>
          <w:b/>
          <w:bCs/>
          <w:color w:val="auto"/>
          <w:spacing w:val="6"/>
          <w:sz w:val="24"/>
          <w:szCs w:val="24"/>
        </w:rPr>
        <w:t>、对本次采购提出询问，请按以下方式联系</w:t>
      </w:r>
      <w:bookmarkEnd w:id="43"/>
      <w:bookmarkEnd w:id="44"/>
      <w:bookmarkEnd w:id="45"/>
      <w:bookmarkEnd w:id="46"/>
    </w:p>
    <w:p w14:paraId="32CBAEE5">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2F0D02ED">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嵊州市经济开发区投资有限公司</w:t>
      </w:r>
      <w:r>
        <w:rPr>
          <w:rFonts w:hint="eastAsia" w:ascii="仿宋" w:hAnsi="仿宋" w:eastAsia="仿宋" w:cs="仿宋"/>
          <w:color w:val="auto"/>
          <w:sz w:val="24"/>
          <w:szCs w:val="24"/>
        </w:rPr>
        <w:t xml:space="preserve">      　</w:t>
      </w:r>
    </w:p>
    <w:p w14:paraId="609CB7B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地址：嵊州市</w:t>
      </w:r>
      <w:r>
        <w:rPr>
          <w:rFonts w:hint="eastAsia" w:ascii="仿宋" w:hAnsi="仿宋" w:eastAsia="仿宋" w:cs="仿宋"/>
          <w:b w:val="0"/>
          <w:bCs w:val="0"/>
          <w:color w:val="auto"/>
          <w:sz w:val="24"/>
          <w:szCs w:val="24"/>
          <w:lang w:val="zh-CN" w:eastAsia="zh-CN"/>
        </w:rPr>
        <w:t>浦口街道浦南大道388号</w:t>
      </w:r>
      <w:r>
        <w:rPr>
          <w:rFonts w:hint="eastAsia" w:ascii="仿宋" w:hAnsi="仿宋" w:eastAsia="仿宋" w:cs="仿宋"/>
          <w:color w:val="auto"/>
          <w:sz w:val="24"/>
          <w:szCs w:val="24"/>
          <w:lang w:eastAsia="zh-CN"/>
        </w:rPr>
        <w:t xml:space="preserve">    </w:t>
      </w:r>
    </w:p>
    <w:p w14:paraId="3BE01E1E">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项目联系人（询问）：魏先生 　 　        　　  </w:t>
      </w:r>
    </w:p>
    <w:p w14:paraId="4FF45A98">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项目联系方式（询问）：15988299668 </w:t>
      </w:r>
    </w:p>
    <w:p w14:paraId="7B39509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质疑联系人：宋先生           </w:t>
      </w:r>
    </w:p>
    <w:p w14:paraId="666F9D1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lang w:val="en-US" w:eastAsia="zh-CN"/>
        </w:rPr>
        <w:t>质疑联系方式：0575-83193929</w:t>
      </w:r>
      <w:r>
        <w:rPr>
          <w:rFonts w:hint="eastAsia" w:ascii="仿宋" w:hAnsi="仿宋" w:eastAsia="仿宋" w:cs="仿宋"/>
          <w:color w:val="FF0000"/>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w:t>
      </w:r>
    </w:p>
    <w:p w14:paraId="4159D9B9">
      <w:pPr>
        <w:spacing w:line="360" w:lineRule="auto"/>
        <w:ind w:firstLine="480" w:firstLineChars="200"/>
        <w:jc w:val="left"/>
        <w:rPr>
          <w:rFonts w:ascii="仿宋" w:hAnsi="仿宋" w:eastAsia="仿宋" w:cs="仿宋"/>
          <w:color w:val="auto"/>
          <w:szCs w:val="24"/>
          <w:highlight w:val="none"/>
        </w:rPr>
      </w:pPr>
      <w:bookmarkStart w:id="47" w:name="_Toc28359009"/>
      <w:bookmarkStart w:id="48" w:name="_Toc28359086"/>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w:t>
      </w:r>
      <w:bookmarkEnd w:id="47"/>
      <w:bookmarkEnd w:id="48"/>
      <w:r>
        <w:rPr>
          <w:rFonts w:hint="eastAsia" w:ascii="仿宋" w:hAnsi="仿宋" w:eastAsia="仿宋" w:cs="仿宋"/>
          <w:color w:val="auto"/>
          <w:szCs w:val="24"/>
          <w:highlight w:val="none"/>
        </w:rPr>
        <w:t>采购代理机构信息</w:t>
      </w:r>
    </w:p>
    <w:p w14:paraId="66FDD7FF">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名 称：绍兴市文汇项目管理有限公司      </w:t>
      </w:r>
    </w:p>
    <w:p w14:paraId="4A6112D5">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地　址：嵊州市官河南路339号量子芯座11楼1105室</w:t>
      </w:r>
    </w:p>
    <w:p w14:paraId="463CAAA8">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项目联系人（询问）：</w:t>
      </w:r>
      <w:r>
        <w:rPr>
          <w:rFonts w:hint="eastAsia" w:ascii="仿宋" w:hAnsi="仿宋" w:eastAsia="仿宋" w:cs="仿宋"/>
          <w:color w:val="auto"/>
          <w:szCs w:val="24"/>
          <w:highlight w:val="none"/>
          <w:lang w:eastAsia="zh-CN"/>
        </w:rPr>
        <w:t>邹秋莉</w:t>
      </w:r>
      <w:r>
        <w:rPr>
          <w:rFonts w:hint="eastAsia" w:ascii="仿宋" w:hAnsi="仿宋" w:eastAsia="仿宋" w:cs="仿宋"/>
          <w:color w:val="auto"/>
          <w:szCs w:val="24"/>
          <w:highlight w:val="none"/>
        </w:rPr>
        <w:t xml:space="preserve">         </w:t>
      </w:r>
    </w:p>
    <w:p w14:paraId="54731AE4">
      <w:pPr>
        <w:spacing w:line="360" w:lineRule="auto"/>
        <w:ind w:firstLine="480" w:firstLineChars="20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项目联系方式（询问）：0575-8327556</w:t>
      </w:r>
      <w:r>
        <w:rPr>
          <w:rFonts w:hint="eastAsia" w:ascii="仿宋" w:hAnsi="仿宋" w:eastAsia="仿宋" w:cs="仿宋"/>
          <w:color w:val="auto"/>
          <w:szCs w:val="24"/>
          <w:highlight w:val="none"/>
          <w:lang w:val="en-US" w:eastAsia="zh-CN"/>
        </w:rPr>
        <w:t>0</w:t>
      </w:r>
    </w:p>
    <w:p w14:paraId="27076819">
      <w:pPr>
        <w:spacing w:line="360"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质疑联系人：裘文燕              </w:t>
      </w:r>
    </w:p>
    <w:p w14:paraId="760F7BC8">
      <w:pPr>
        <w:spacing w:line="360" w:lineRule="auto"/>
        <w:ind w:firstLine="480" w:firstLineChars="20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质疑联系方式：0575-8327556</w:t>
      </w:r>
      <w:r>
        <w:rPr>
          <w:rFonts w:hint="eastAsia" w:ascii="仿宋" w:hAnsi="仿宋" w:eastAsia="仿宋" w:cs="仿宋"/>
          <w:color w:val="auto"/>
          <w:szCs w:val="24"/>
          <w:highlight w:val="none"/>
          <w:lang w:val="en-US" w:eastAsia="zh-CN"/>
        </w:rPr>
        <w:t>1</w:t>
      </w:r>
    </w:p>
    <w:p w14:paraId="56E12893">
      <w:pPr>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3.采购监督管理部门</w:t>
      </w:r>
    </w:p>
    <w:p w14:paraId="2BEA12B2">
      <w:pPr>
        <w:spacing w:line="360" w:lineRule="auto"/>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名称：</w:t>
      </w:r>
      <w:r>
        <w:rPr>
          <w:rFonts w:hint="eastAsia" w:ascii="仿宋" w:hAnsi="仿宋" w:eastAsia="仿宋" w:cs="仿宋"/>
          <w:color w:val="auto"/>
          <w:szCs w:val="24"/>
          <w:highlight w:val="none"/>
          <w:lang w:eastAsia="zh-CN"/>
        </w:rPr>
        <w:t>嵊州市经济开发区投资有限公司</w:t>
      </w:r>
    </w:p>
    <w:p w14:paraId="0769995B">
      <w:pPr>
        <w:spacing w:line="360" w:lineRule="auto"/>
        <w:ind w:firstLine="480" w:firstLineChars="20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val="en-US" w:eastAsia="zh-CN"/>
        </w:rPr>
        <w:t>张先生</w:t>
      </w:r>
    </w:p>
    <w:p w14:paraId="196AC5D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lang w:val="en-US" w:eastAsia="zh-CN"/>
        </w:rPr>
        <w:t>0575-83193929</w:t>
      </w:r>
      <w:r>
        <w:rPr>
          <w:rFonts w:hint="eastAsia" w:ascii="仿宋" w:hAnsi="仿宋" w:eastAsia="仿宋" w:cs="仿宋"/>
          <w:color w:val="auto"/>
          <w:sz w:val="24"/>
          <w:szCs w:val="24"/>
          <w:u w:val="none"/>
        </w:rPr>
        <w:t>　　　</w:t>
      </w:r>
    </w:p>
    <w:p w14:paraId="0DA345C7">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若对项目采购电子交易系统操作有疑问，可登录</w:t>
      </w:r>
      <w:r>
        <w:rPr>
          <w:rFonts w:hint="eastAsia" w:ascii="仿宋" w:hAnsi="仿宋" w:eastAsia="仿宋" w:cs="仿宋"/>
          <w:b/>
          <w:bCs/>
          <w:color w:val="auto"/>
          <w:sz w:val="24"/>
          <w:szCs w:val="24"/>
          <w:u w:val="none"/>
          <w:lang w:eastAsia="zh-CN"/>
        </w:rPr>
        <w:t>乐采云</w:t>
      </w:r>
      <w:r>
        <w:rPr>
          <w:rFonts w:hint="eastAsia" w:ascii="仿宋" w:hAnsi="仿宋" w:eastAsia="仿宋" w:cs="仿宋"/>
          <w:b/>
          <w:bCs/>
          <w:color w:val="auto"/>
          <w:sz w:val="24"/>
          <w:szCs w:val="24"/>
          <w:u w:val="none"/>
        </w:rPr>
        <w:t>（https://www.lecaiyun.com/），点击右侧咨询小采，获取采小蜜智能服务管家帮助，或拨打</w:t>
      </w:r>
      <w:r>
        <w:rPr>
          <w:rFonts w:hint="eastAsia" w:ascii="仿宋" w:hAnsi="仿宋" w:eastAsia="仿宋" w:cs="仿宋"/>
          <w:b/>
          <w:bCs/>
          <w:color w:val="auto"/>
          <w:sz w:val="24"/>
          <w:szCs w:val="24"/>
          <w:u w:val="none"/>
          <w:lang w:eastAsia="zh-CN"/>
        </w:rPr>
        <w:t>乐采云</w:t>
      </w:r>
      <w:r>
        <w:rPr>
          <w:rFonts w:hint="eastAsia" w:ascii="仿宋" w:hAnsi="仿宋" w:eastAsia="仿宋" w:cs="仿宋"/>
          <w:b/>
          <w:bCs/>
          <w:color w:val="auto"/>
          <w:sz w:val="24"/>
          <w:szCs w:val="24"/>
          <w:u w:val="none"/>
        </w:rPr>
        <w:t>服务热线</w:t>
      </w:r>
      <w:r>
        <w:rPr>
          <w:rFonts w:hint="eastAsia" w:ascii="仿宋" w:hAnsi="仿宋" w:eastAsia="仿宋" w:cs="仿宋"/>
          <w:b/>
          <w:bCs/>
          <w:color w:val="auto"/>
          <w:sz w:val="24"/>
          <w:szCs w:val="24"/>
          <w:u w:val="none"/>
          <w:lang w:val="en-US" w:eastAsia="zh-CN"/>
        </w:rPr>
        <w:t>95763</w:t>
      </w:r>
      <w:r>
        <w:rPr>
          <w:rFonts w:hint="eastAsia" w:ascii="仿宋" w:hAnsi="仿宋" w:eastAsia="仿宋" w:cs="仿宋"/>
          <w:b/>
          <w:bCs/>
          <w:color w:val="auto"/>
          <w:sz w:val="24"/>
          <w:szCs w:val="24"/>
          <w:u w:val="none"/>
        </w:rPr>
        <w:t>获取热线服务帮助。</w:t>
      </w:r>
    </w:p>
    <w:p w14:paraId="055CDB6B">
      <w:pPr>
        <w:keepNext w:val="0"/>
        <w:keepLines w:val="0"/>
        <w:pageBreakBefore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CA问题联系电话（人工）：汇信CA 400-888-4636；天谷CA 400-087-8198。</w:t>
      </w:r>
    </w:p>
    <w:p w14:paraId="25CBBACD">
      <w:pPr>
        <w:pStyle w:val="3"/>
        <w:spacing w:line="7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第二部分  投标须知</w:t>
      </w:r>
      <w:bookmarkEnd w:id="11"/>
      <w:bookmarkEnd w:id="12"/>
      <w:bookmarkEnd w:id="13"/>
      <w:bookmarkEnd w:id="14"/>
      <w:bookmarkEnd w:id="15"/>
      <w:bookmarkEnd w:id="16"/>
      <w:bookmarkEnd w:id="17"/>
      <w:bookmarkEnd w:id="18"/>
      <w:bookmarkEnd w:id="19"/>
    </w:p>
    <w:p w14:paraId="2FE81076">
      <w:pPr>
        <w:pStyle w:val="4"/>
        <w:spacing w:line="500" w:lineRule="exact"/>
        <w:ind w:left="357"/>
        <w:rPr>
          <w:rFonts w:hint="eastAsia" w:ascii="仿宋" w:hAnsi="仿宋" w:eastAsia="仿宋" w:cs="仿宋"/>
          <w:b/>
          <w:bCs w:val="0"/>
          <w:color w:val="auto"/>
          <w:sz w:val="24"/>
          <w:szCs w:val="24"/>
        </w:rPr>
      </w:pPr>
      <w:bookmarkStart w:id="49" w:name="_Toc19659"/>
      <w:bookmarkStart w:id="50" w:name="_Toc489481887"/>
      <w:bookmarkStart w:id="51" w:name="_Toc54978889"/>
      <w:bookmarkStart w:id="52" w:name="_Toc226337758"/>
      <w:bookmarkStart w:id="53" w:name="_Toc180555917"/>
      <w:bookmarkStart w:id="54" w:name="_Toc513456140"/>
      <w:bookmarkStart w:id="55" w:name="_Toc339302125"/>
      <w:bookmarkStart w:id="56" w:name="_Toc304551310"/>
      <w:bookmarkStart w:id="57" w:name="_Toc340321909"/>
      <w:bookmarkStart w:id="58" w:name="_Toc248065036"/>
      <w:bookmarkStart w:id="59" w:name="_Toc340322164"/>
      <w:r>
        <w:rPr>
          <w:rFonts w:hint="eastAsia" w:ascii="仿宋" w:hAnsi="仿宋" w:eastAsia="仿宋" w:cs="仿宋"/>
          <w:b w:val="0"/>
          <w:bCs/>
          <w:color w:val="auto"/>
          <w:sz w:val="24"/>
          <w:szCs w:val="24"/>
        </w:rPr>
        <w:t>一、</w:t>
      </w:r>
      <w:r>
        <w:rPr>
          <w:rFonts w:hint="eastAsia" w:ascii="仿宋" w:hAnsi="仿宋" w:eastAsia="仿宋" w:cs="仿宋"/>
          <w:b/>
          <w:bCs w:val="0"/>
          <w:color w:val="auto"/>
          <w:sz w:val="24"/>
          <w:szCs w:val="24"/>
        </w:rPr>
        <w:t>投标须知前附表</w:t>
      </w:r>
      <w:bookmarkEnd w:id="49"/>
      <w:bookmarkEnd w:id="50"/>
      <w:bookmarkEnd w:id="51"/>
      <w:bookmarkEnd w:id="52"/>
      <w:bookmarkEnd w:id="53"/>
      <w:bookmarkEnd w:id="54"/>
      <w:bookmarkEnd w:id="55"/>
      <w:bookmarkEnd w:id="56"/>
      <w:bookmarkEnd w:id="57"/>
      <w:bookmarkEnd w:id="58"/>
      <w:bookmarkEnd w:id="59"/>
    </w:p>
    <w:tbl>
      <w:tblPr>
        <w:tblStyle w:val="79"/>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88"/>
        <w:gridCol w:w="7412"/>
      </w:tblGrid>
      <w:tr w14:paraId="77F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32" w:type="dxa"/>
            <w:noWrap w:val="0"/>
            <w:vAlign w:val="center"/>
          </w:tcPr>
          <w:p w14:paraId="2AF3943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bookmarkStart w:id="60" w:name="_Toc82873322"/>
            <w:bookmarkStart w:id="61" w:name="_Toc82338239"/>
            <w:bookmarkStart w:id="62" w:name="_Toc35261571"/>
            <w:r>
              <w:rPr>
                <w:rFonts w:hint="eastAsia" w:ascii="仿宋" w:hAnsi="仿宋" w:eastAsia="仿宋" w:cs="仿宋"/>
                <w:color w:val="auto"/>
                <w:sz w:val="24"/>
                <w:szCs w:val="24"/>
              </w:rPr>
              <w:t>序号</w:t>
            </w:r>
          </w:p>
        </w:tc>
        <w:tc>
          <w:tcPr>
            <w:tcW w:w="1788" w:type="dxa"/>
            <w:noWrap w:val="0"/>
            <w:vAlign w:val="center"/>
          </w:tcPr>
          <w:p w14:paraId="5648BDA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7412" w:type="dxa"/>
            <w:noWrap w:val="0"/>
            <w:vAlign w:val="center"/>
          </w:tcPr>
          <w:p w14:paraId="095636E5">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编  例  内  容</w:t>
            </w:r>
          </w:p>
        </w:tc>
      </w:tr>
      <w:tr w14:paraId="7D62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32" w:type="dxa"/>
            <w:noWrap w:val="0"/>
            <w:vAlign w:val="center"/>
          </w:tcPr>
          <w:p w14:paraId="7644015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88" w:type="dxa"/>
            <w:noWrap w:val="0"/>
            <w:vAlign w:val="center"/>
          </w:tcPr>
          <w:p w14:paraId="27915C5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00" w:lineRule="exact"/>
              <w:ind w:left="0" w:leftChars="0" w:right="0" w:firstLine="0" w:firstLineChars="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项目属性与核心产品</w:t>
            </w:r>
          </w:p>
        </w:tc>
        <w:tc>
          <w:tcPr>
            <w:tcW w:w="7412" w:type="dxa"/>
            <w:noWrap w:val="0"/>
            <w:vAlign w:val="center"/>
          </w:tcPr>
          <w:p w14:paraId="74FBCDC0">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40" w:lineRule="exact"/>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lang w:eastAsia="zh-CN"/>
              </w:rPr>
              <w:t>货物类，单一产品或核心产品为：</w:t>
            </w:r>
            <w:r>
              <w:rPr>
                <w:rFonts w:hint="eastAsia" w:ascii="仿宋" w:hAnsi="仿宋" w:eastAsia="仿宋" w:cs="仿宋"/>
                <w:color w:val="auto"/>
                <w:kern w:val="0"/>
                <w:sz w:val="24"/>
                <w:szCs w:val="24"/>
                <w:u w:val="single"/>
                <w:lang w:val="en-US" w:eastAsia="zh-CN"/>
              </w:rPr>
              <w:t xml:space="preserve">LED显示屏，扩声设备 </w:t>
            </w:r>
            <w:r>
              <w:rPr>
                <w:rFonts w:hint="eastAsia" w:ascii="仿宋" w:hAnsi="仿宋" w:eastAsia="仿宋" w:cs="仿宋"/>
                <w:color w:val="auto"/>
                <w:kern w:val="0"/>
                <w:sz w:val="24"/>
                <w:szCs w:val="24"/>
              </w:rPr>
              <w:t>。</w:t>
            </w:r>
          </w:p>
          <w:p w14:paraId="6ED7CB7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400" w:lineRule="exact"/>
              <w:ind w:left="0" w:right="0" w:firstLine="0" w:firstLineChars="0"/>
              <w:jc w:val="both"/>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服务类</w:t>
            </w:r>
            <w:r>
              <w:rPr>
                <w:rFonts w:hint="eastAsia" w:ascii="仿宋" w:hAnsi="仿宋" w:eastAsia="仿宋" w:cs="仿宋"/>
                <w:color w:val="auto"/>
                <w:kern w:val="0"/>
                <w:sz w:val="24"/>
                <w:szCs w:val="24"/>
              </w:rPr>
              <w:t>。</w:t>
            </w:r>
          </w:p>
        </w:tc>
      </w:tr>
      <w:tr w14:paraId="4F4C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732" w:type="dxa"/>
            <w:noWrap w:val="0"/>
            <w:vAlign w:val="center"/>
          </w:tcPr>
          <w:p w14:paraId="7CCFDFC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788" w:type="dxa"/>
            <w:noWrap w:val="0"/>
            <w:vAlign w:val="center"/>
          </w:tcPr>
          <w:p w14:paraId="408F0D6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val="0"/>
                <w:bCs/>
                <w:color w:val="auto"/>
                <w:sz w:val="24"/>
                <w:szCs w:val="24"/>
              </w:rPr>
            </w:pPr>
            <w:r>
              <w:rPr>
                <w:rFonts w:hint="eastAsia" w:ascii="仿宋" w:hAnsi="仿宋" w:eastAsia="仿宋" w:cs="仿宋"/>
                <w:b/>
                <w:color w:val="auto"/>
                <w:sz w:val="24"/>
                <w:szCs w:val="24"/>
              </w:rPr>
              <w:t>是否允许采购进口产品</w:t>
            </w:r>
          </w:p>
        </w:tc>
        <w:tc>
          <w:tcPr>
            <w:tcW w:w="7412" w:type="dxa"/>
            <w:noWrap w:val="0"/>
            <w:vAlign w:val="center"/>
          </w:tcPr>
          <w:p w14:paraId="009A4A1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440" w:lineRule="exact"/>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14:paraId="5B71BC8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44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rPr>
              <w:t>☐可以就</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采购进口产品。</w:t>
            </w:r>
          </w:p>
        </w:tc>
      </w:tr>
      <w:tr w14:paraId="0C82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732" w:type="dxa"/>
            <w:noWrap w:val="0"/>
            <w:vAlign w:val="center"/>
          </w:tcPr>
          <w:p w14:paraId="6D0F626F">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88" w:type="dxa"/>
            <w:noWrap w:val="0"/>
            <w:vAlign w:val="center"/>
          </w:tcPr>
          <w:p w14:paraId="764DFDC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分包</w:t>
            </w:r>
          </w:p>
        </w:tc>
        <w:tc>
          <w:tcPr>
            <w:tcW w:w="7412" w:type="dxa"/>
            <w:noWrap w:val="0"/>
            <w:vAlign w:val="center"/>
          </w:tcPr>
          <w:p w14:paraId="75D7CCC8">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p>
          <w:p w14:paraId="4B4AAB8C">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B</w:t>
            </w:r>
            <w:r>
              <w:rPr>
                <w:rFonts w:hint="eastAsia" w:ascii="仿宋" w:hAnsi="仿宋" w:eastAsia="仿宋" w:cs="仿宋"/>
                <w:color w:val="auto"/>
                <w:sz w:val="24"/>
                <w:szCs w:val="24"/>
              </w:rPr>
              <w:t>不同意分包</w:t>
            </w:r>
            <w:r>
              <w:rPr>
                <w:rFonts w:hint="eastAsia" w:ascii="仿宋" w:hAnsi="仿宋" w:eastAsia="仿宋" w:cs="仿宋"/>
                <w:color w:val="auto"/>
                <w:sz w:val="24"/>
                <w:szCs w:val="24"/>
                <w:lang w:eastAsia="zh-CN"/>
              </w:rPr>
              <w:t>。</w:t>
            </w:r>
          </w:p>
        </w:tc>
      </w:tr>
      <w:tr w14:paraId="6445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6A819F3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88" w:type="dxa"/>
            <w:noWrap w:val="0"/>
            <w:vAlign w:val="center"/>
          </w:tcPr>
          <w:p w14:paraId="054E6F2D">
            <w:pPr>
              <w:keepNext w:val="0"/>
              <w:keepLines w:val="0"/>
              <w:suppressLineNumbers w:val="0"/>
              <w:snapToGrid w:val="0"/>
              <w:spacing w:before="0" w:beforeAutospacing="0" w:after="0" w:afterAutospacing="0"/>
              <w:ind w:left="0" w:right="0"/>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开标前答疑会或现场考察</w:t>
            </w:r>
          </w:p>
        </w:tc>
        <w:tc>
          <w:tcPr>
            <w:tcW w:w="7412" w:type="dxa"/>
            <w:noWrap w:val="0"/>
            <w:vAlign w:val="center"/>
          </w:tcPr>
          <w:p w14:paraId="39756ECF">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74811FE6">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45F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24A2A05C">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88" w:type="dxa"/>
            <w:noWrap w:val="0"/>
            <w:vAlign w:val="center"/>
          </w:tcPr>
          <w:p w14:paraId="6A7D38F3">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7412" w:type="dxa"/>
            <w:noWrap w:val="0"/>
            <w:vAlign w:val="center"/>
          </w:tcPr>
          <w:p w14:paraId="3A3A8755">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62999B06">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B要求提供，</w:t>
            </w:r>
          </w:p>
          <w:p w14:paraId="10A485B8">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详见项目招标范围及服务要求</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687E2D9A">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详见项目招标范围及服务要求</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58C1EC2D">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14:paraId="2692C268">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w:t>
            </w: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否；☐是，检测机构的要求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44F61F5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；联系人：</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14:paraId="12786505">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sz w:val="24"/>
                <w:szCs w:val="24"/>
              </w:rPr>
              <w:t>（6）采购活动结束后，对于未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提供的样品，采购人、采购机构将通知未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在规定的时间内取回，逾期未取回的，采购人、采购机构不负保管义务；对于</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提供的样品，采购人将进行保管、封存，并作为履约验收的参考。</w:t>
            </w:r>
          </w:p>
          <w:p w14:paraId="05CDBB7C">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sz w:val="24"/>
                <w:szCs w:val="24"/>
              </w:rPr>
              <w:t>（7）制作、运输、安装和保管样品所发生的一切费用由投标人自理。</w:t>
            </w:r>
          </w:p>
        </w:tc>
      </w:tr>
      <w:tr w14:paraId="1672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22EFF5A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88" w:type="dxa"/>
            <w:noWrap w:val="0"/>
            <w:vAlign w:val="center"/>
          </w:tcPr>
          <w:p w14:paraId="2FCC2B1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质疑与澄清</w:t>
            </w:r>
          </w:p>
        </w:tc>
        <w:tc>
          <w:tcPr>
            <w:tcW w:w="7412" w:type="dxa"/>
            <w:noWrap w:val="0"/>
            <w:vAlign w:val="center"/>
          </w:tcPr>
          <w:p w14:paraId="244C0D91">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pacing w:val="6"/>
                <w:sz w:val="24"/>
                <w:szCs w:val="24"/>
                <w:lang w:val="en-US" w:eastAsia="zh-CN"/>
              </w:rPr>
              <w:t>投标人</w:t>
            </w:r>
            <w:r>
              <w:rPr>
                <w:rFonts w:hint="eastAsia" w:ascii="仿宋" w:hAnsi="仿宋" w:eastAsia="仿宋" w:cs="仿宋"/>
                <w:color w:val="auto"/>
                <w:spacing w:val="6"/>
                <w:sz w:val="24"/>
                <w:szCs w:val="24"/>
              </w:rPr>
              <w:t>如对采购文件有异议应该按财政部第94号令《政府采购质疑和投诉办法》规定的时间</w:t>
            </w:r>
            <w:r>
              <w:rPr>
                <w:rFonts w:hint="eastAsia" w:ascii="仿宋" w:hAnsi="仿宋" w:eastAsia="仿宋" w:cs="仿宋"/>
                <w:color w:val="auto"/>
                <w:sz w:val="24"/>
                <w:szCs w:val="24"/>
              </w:rPr>
              <w:t>要求一次性提出针对同一采购程序环节的质疑</w:t>
            </w:r>
            <w:r>
              <w:rPr>
                <w:rFonts w:hint="eastAsia" w:ascii="仿宋" w:hAnsi="仿宋" w:eastAsia="仿宋" w:cs="仿宋"/>
                <w:color w:val="auto"/>
                <w:spacing w:val="6"/>
                <w:sz w:val="24"/>
                <w:szCs w:val="24"/>
              </w:rPr>
              <w:t>，逾期提出的，代理机构不予受理、答复。对未按上述方式获取采购文件的供应商对该文件提出的质疑，</w:t>
            </w:r>
            <w:r>
              <w:rPr>
                <w:rFonts w:hint="eastAsia" w:ascii="仿宋" w:hAnsi="仿宋" w:eastAsia="仿宋" w:cs="仿宋"/>
                <w:color w:val="auto"/>
                <w:spacing w:val="6"/>
                <w:sz w:val="24"/>
                <w:szCs w:val="24"/>
                <w:lang w:eastAsia="zh-CN"/>
              </w:rPr>
              <w:t>采购人</w:t>
            </w:r>
            <w:r>
              <w:rPr>
                <w:rFonts w:hint="eastAsia" w:ascii="仿宋" w:hAnsi="仿宋" w:eastAsia="仿宋" w:cs="仿宋"/>
                <w:color w:val="auto"/>
                <w:spacing w:val="6"/>
                <w:sz w:val="24"/>
                <w:szCs w:val="24"/>
              </w:rPr>
              <w:t>或采购代理机构将不予处理。</w:t>
            </w:r>
          </w:p>
        </w:tc>
      </w:tr>
      <w:tr w14:paraId="607A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45D5F81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88" w:type="dxa"/>
            <w:noWrap w:val="0"/>
            <w:vAlign w:val="center"/>
          </w:tcPr>
          <w:p w14:paraId="5CE18BFC">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b/>
                <w:color w:val="auto"/>
                <w:sz w:val="24"/>
                <w:szCs w:val="24"/>
              </w:rPr>
              <w:t>方案讲解演示</w:t>
            </w:r>
          </w:p>
        </w:tc>
        <w:tc>
          <w:tcPr>
            <w:tcW w:w="7412" w:type="dxa"/>
            <w:noWrap w:val="0"/>
            <w:vAlign w:val="center"/>
          </w:tcPr>
          <w:p w14:paraId="4249E231">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61D38B2D">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B组织。</w:t>
            </w:r>
          </w:p>
          <w:p w14:paraId="3EE73479">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14:paraId="7346472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（2）方案讲解演示可选择以下其中一种方式：</w:t>
            </w:r>
          </w:p>
          <w:p w14:paraId="19BCBF8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方式一：</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平台在线讲解演示。</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平台在线讲解需投标人根据</w:t>
            </w:r>
            <w:r>
              <w:rPr>
                <w:rFonts w:hint="eastAsia" w:ascii="仿宋" w:hAnsi="仿宋" w:eastAsia="仿宋" w:cs="仿宋"/>
                <w:color w:val="auto"/>
                <w:kern w:val="0"/>
                <w:sz w:val="24"/>
                <w:szCs w:val="24"/>
                <w:lang w:eastAsia="zh-CN"/>
              </w:rPr>
              <w:t>乐采云</w:t>
            </w:r>
            <w:r>
              <w:rPr>
                <w:rFonts w:hint="eastAsia" w:ascii="仿宋" w:hAnsi="仿宋" w:eastAsia="仿宋" w:cs="仿宋"/>
                <w:color w:val="auto"/>
                <w:kern w:val="0"/>
                <w:sz w:val="24"/>
                <w:szCs w:val="24"/>
              </w:rPr>
              <w:t>平台操作要求做好准备工作，提前完善软硬件配置环境。</w:t>
            </w:r>
          </w:p>
          <w:p w14:paraId="0454B3D7">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b/>
                <w:bCs/>
                <w:color w:val="auto"/>
                <w:kern w:val="0"/>
                <w:sz w:val="24"/>
                <w:szCs w:val="24"/>
              </w:rPr>
              <w:t>方式二：</w:t>
            </w:r>
            <w:r>
              <w:rPr>
                <w:rFonts w:hint="eastAsia" w:ascii="仿宋" w:hAnsi="仿宋" w:eastAsia="仿宋" w:cs="仿宋"/>
                <w:color w:val="auto"/>
                <w:kern w:val="0"/>
                <w:sz w:val="24"/>
                <w:szCs w:val="24"/>
              </w:rPr>
              <w:t>代理机构评标场所现场讲解演示。现场讲解地点为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14:paraId="372C5B9B">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方式三：</w:t>
            </w:r>
            <w:r>
              <w:rPr>
                <w:rFonts w:hint="eastAsia" w:ascii="仿宋" w:hAnsi="仿宋" w:eastAsia="仿宋" w:cs="仿宋"/>
                <w:color w:val="auto"/>
                <w:kern w:val="0"/>
                <w:sz w:val="24"/>
                <w:szCs w:val="24"/>
              </w:rPr>
              <w:t>采用视频录制方式，用U盘介质储存快递或邮寄至代理机构（公告中列明的地址），视频中演示人应出示身份证。</w:t>
            </w:r>
            <w:r>
              <w:rPr>
                <w:rFonts w:hint="eastAsia" w:ascii="仿宋" w:hAnsi="仿宋" w:eastAsia="仿宋" w:cs="仿宋"/>
                <w:b/>
                <w:bCs/>
                <w:color w:val="auto"/>
                <w:kern w:val="0"/>
                <w:sz w:val="24"/>
                <w:szCs w:val="24"/>
              </w:rPr>
              <w:t>未派遣投标文件中的</w:t>
            </w:r>
            <w:r>
              <w:rPr>
                <w:rFonts w:hint="eastAsia" w:ascii="仿宋" w:hAnsi="仿宋" w:eastAsia="仿宋" w:cs="仿宋"/>
                <w:b/>
                <w:bCs/>
                <w:color w:val="auto"/>
                <w:kern w:val="0"/>
                <w:sz w:val="24"/>
                <w:szCs w:val="24"/>
                <w:u w:val="single"/>
              </w:rPr>
              <w:t>项目组人员</w:t>
            </w:r>
            <w:r>
              <w:rPr>
                <w:rFonts w:hint="eastAsia" w:ascii="仿宋" w:hAnsi="仿宋" w:eastAsia="仿宋" w:cs="仿宋"/>
                <w:b/>
                <w:bCs/>
                <w:color w:val="auto"/>
                <w:kern w:val="0"/>
                <w:sz w:val="24"/>
                <w:szCs w:val="24"/>
              </w:rPr>
              <w:t>进行演示讲解或未提供身份证明的，评分项不得分。</w:t>
            </w:r>
            <w:r>
              <w:rPr>
                <w:rFonts w:hint="eastAsia" w:ascii="仿宋" w:hAnsi="仿宋" w:eastAsia="仿宋" w:cs="仿宋"/>
                <w:color w:val="auto"/>
                <w:kern w:val="0"/>
                <w:sz w:val="24"/>
                <w:szCs w:val="24"/>
              </w:rPr>
              <w:t>若因U盘损坏或打不开则按视为未提交。</w:t>
            </w:r>
          </w:p>
          <w:p w14:paraId="498F259D">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方式四：</w:t>
            </w:r>
            <w:r>
              <w:rPr>
                <w:rFonts w:hint="eastAsia" w:ascii="仿宋" w:hAnsi="仿宋" w:eastAsia="仿宋" w:cs="仿宋"/>
                <w:color w:val="auto"/>
                <w:kern w:val="0"/>
                <w:sz w:val="24"/>
                <w:szCs w:val="24"/>
              </w:rPr>
              <w:t xml:space="preserve">采用现场钉钉直播演示的。开标后，演示人请加钉钉号：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3FE5BC58">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pacing w:val="6"/>
                <w:sz w:val="24"/>
                <w:szCs w:val="24"/>
                <w:lang w:val="en-US" w:eastAsia="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7F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2" w:type="dxa"/>
            <w:vMerge w:val="restart"/>
            <w:noWrap w:val="0"/>
            <w:vAlign w:val="center"/>
          </w:tcPr>
          <w:p w14:paraId="3A21CA75">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88" w:type="dxa"/>
            <w:vMerge w:val="restart"/>
            <w:noWrap w:val="0"/>
            <w:vAlign w:val="center"/>
          </w:tcPr>
          <w:p w14:paraId="66E35B02">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b/>
                <w:color w:val="auto"/>
                <w:sz w:val="24"/>
                <w:szCs w:val="24"/>
              </w:rPr>
              <w:t>投标人应当提供的资格、资信证明文件</w:t>
            </w:r>
          </w:p>
        </w:tc>
        <w:tc>
          <w:tcPr>
            <w:tcW w:w="7412" w:type="dxa"/>
            <w:noWrap w:val="0"/>
            <w:vAlign w:val="center"/>
          </w:tcPr>
          <w:p w14:paraId="52B8E846">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（1）资格文件</w:t>
            </w:r>
            <w:r>
              <w:rPr>
                <w:rFonts w:hint="eastAsia" w:ascii="仿宋" w:hAnsi="仿宋" w:eastAsia="仿宋" w:cs="仿宋"/>
                <w:color w:val="auto"/>
                <w:sz w:val="24"/>
                <w:szCs w:val="24"/>
                <w:lang w:val="en-US" w:eastAsia="zh-CN"/>
              </w:rPr>
              <w:t>见招标文件第二部分4.2.1</w:t>
            </w:r>
          </w:p>
          <w:p w14:paraId="62F9DB12">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投标人未提供有效的资格证明文件的，视为投标人不具备采购文件中规定的资格要求，投标无效。</w:t>
            </w:r>
          </w:p>
        </w:tc>
      </w:tr>
      <w:tr w14:paraId="299C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2" w:type="dxa"/>
            <w:vMerge w:val="continue"/>
            <w:noWrap w:val="0"/>
            <w:vAlign w:val="center"/>
          </w:tcPr>
          <w:p w14:paraId="03850510">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p>
        </w:tc>
        <w:tc>
          <w:tcPr>
            <w:tcW w:w="1788" w:type="dxa"/>
            <w:vMerge w:val="continue"/>
            <w:noWrap w:val="0"/>
            <w:vAlign w:val="center"/>
          </w:tcPr>
          <w:p w14:paraId="7349809E">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sz w:val="24"/>
                <w:szCs w:val="24"/>
              </w:rPr>
            </w:pPr>
          </w:p>
        </w:tc>
        <w:tc>
          <w:tcPr>
            <w:tcW w:w="7412" w:type="dxa"/>
            <w:noWrap w:val="0"/>
            <w:vAlign w:val="center"/>
          </w:tcPr>
          <w:p w14:paraId="0F578D85">
            <w:pPr>
              <w:keepNext w:val="0"/>
              <w:keepLines w:val="0"/>
              <w:suppressLineNumbers w:val="0"/>
              <w:snapToGrid w:val="0"/>
              <w:spacing w:before="0" w:beforeAutospacing="0" w:after="0" w:afterAutospacing="0" w:line="360" w:lineRule="auto"/>
              <w:ind w:left="0" w:right="0"/>
              <w:contextualSpacing/>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技术文件：根据采购文件第四部分评标标准提供。</w:t>
            </w:r>
          </w:p>
        </w:tc>
      </w:tr>
      <w:tr w14:paraId="2E6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0D2BCCE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788" w:type="dxa"/>
            <w:noWrap w:val="0"/>
            <w:vAlign w:val="center"/>
          </w:tcPr>
          <w:p w14:paraId="31F43F2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投标文件编制</w:t>
            </w:r>
          </w:p>
        </w:tc>
        <w:tc>
          <w:tcPr>
            <w:tcW w:w="7412" w:type="dxa"/>
            <w:noWrap w:val="0"/>
            <w:vAlign w:val="center"/>
          </w:tcPr>
          <w:p w14:paraId="4A0A528C">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供应商应先安装“</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电子交易客户端”，并按照本采购文件和“</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”的要求，通过“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电子交易客户端”编制并加密投标文件。</w:t>
            </w:r>
          </w:p>
        </w:tc>
      </w:tr>
      <w:tr w14:paraId="45FE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1A47FC8A">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788" w:type="dxa"/>
            <w:noWrap w:val="0"/>
            <w:vAlign w:val="center"/>
          </w:tcPr>
          <w:p w14:paraId="38BCB908">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签字或盖章要求</w:t>
            </w:r>
          </w:p>
        </w:tc>
        <w:tc>
          <w:tcPr>
            <w:tcW w:w="7412" w:type="dxa"/>
            <w:noWrap w:val="0"/>
            <w:vAlign w:val="center"/>
          </w:tcPr>
          <w:p w14:paraId="2FE3EBF5">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）电子投标文件必须有电子签章；</w:t>
            </w:r>
          </w:p>
          <w:p w14:paraId="7C293AB9">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）开标后，相关信息记录确认、澄清说明、回复等内容，电子签章、或者签章后上传相关文件，均认可；</w:t>
            </w:r>
          </w:p>
          <w:p w14:paraId="0BBF8E2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）乐采云系统平台有新的操作流程的，按其规定。</w:t>
            </w:r>
          </w:p>
        </w:tc>
      </w:tr>
      <w:tr w14:paraId="3E55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64AF127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788" w:type="dxa"/>
            <w:noWrap w:val="0"/>
            <w:vAlign w:val="center"/>
          </w:tcPr>
          <w:p w14:paraId="7733B2B0">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投标文件的形式</w:t>
            </w:r>
          </w:p>
        </w:tc>
        <w:tc>
          <w:tcPr>
            <w:tcW w:w="7412" w:type="dxa"/>
            <w:noWrap w:val="0"/>
            <w:vAlign w:val="center"/>
          </w:tcPr>
          <w:p w14:paraId="6334B7A1">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电子投标文件（包括“电子加密投标文件”和“备份投标文件”，在投标文件编制完成后同时生成）；</w:t>
            </w:r>
          </w:p>
          <w:p w14:paraId="080EEA1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（1）“电子加密投标文件”是指通过“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电子交易客户端”完成投标文件编制后生成并加密的数据电文形式的投标文件。</w:t>
            </w:r>
          </w:p>
          <w:p w14:paraId="6B78C33D">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（2）“备份投标文件”是指与“电子加密投标文件”同时生成的以介质（U盘）存储的数据电文形式的电子文件（备份标书），其他方式编制的备份投标文件视为无效备份投标文件。</w:t>
            </w:r>
          </w:p>
        </w:tc>
      </w:tr>
      <w:tr w14:paraId="64C9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225712C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788" w:type="dxa"/>
            <w:noWrap w:val="0"/>
            <w:vAlign w:val="center"/>
          </w:tcPr>
          <w:p w14:paraId="3A31719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投标文件份数</w:t>
            </w:r>
          </w:p>
        </w:tc>
        <w:tc>
          <w:tcPr>
            <w:tcW w:w="7412" w:type="dxa"/>
            <w:noWrap w:val="0"/>
            <w:vAlign w:val="center"/>
          </w:tcPr>
          <w:p w14:paraId="688E7370">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一份电子加密标书（后缀格式为.jmbs），一份备份标书文件（后缀格式为.bfbs）。</w:t>
            </w:r>
          </w:p>
          <w:p w14:paraId="30C221CE">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每份电子投标文件应包括资格证明文件、资信技术文件及报价文件三部分内容。</w:t>
            </w:r>
          </w:p>
          <w:p w14:paraId="7C5BE352">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如中标，</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需根据</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要求提供纸质投标文件至少</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份。采购人有权要求</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提供原版技术资料。</w:t>
            </w:r>
          </w:p>
          <w:p w14:paraId="1645DA39">
            <w:pPr>
              <w:keepNext w:val="0"/>
              <w:keepLines w:val="0"/>
              <w:numPr>
                <w:ilvl w:val="0"/>
                <w:numId w:val="0"/>
              </w:numPr>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“备份投标文件”：密封包装后（邮寄形式）投标截止时间前递交一份（邮寄地址：嵊州市官河南路339号量子芯座11楼1105室，裘老师收）</w:t>
            </w:r>
          </w:p>
        </w:tc>
      </w:tr>
      <w:tr w14:paraId="52E3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7363B04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788" w:type="dxa"/>
            <w:noWrap w:val="0"/>
            <w:vAlign w:val="center"/>
          </w:tcPr>
          <w:p w14:paraId="007D7868">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电子加密投标文件的上传、递交</w:t>
            </w:r>
          </w:p>
        </w:tc>
        <w:tc>
          <w:tcPr>
            <w:tcW w:w="7412" w:type="dxa"/>
            <w:noWrap w:val="0"/>
            <w:vAlign w:val="center"/>
          </w:tcPr>
          <w:p w14:paraId="46948BD2">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（1）投标供应商应在投标截止时间前将“电子加密投标文件”成功上传递交至“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”，否则投标无效。</w:t>
            </w:r>
          </w:p>
          <w:p w14:paraId="65EE5197">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（2）“电子加密投标文件”成功上传递交后，供应商可自行打印投标文件接收回执。</w:t>
            </w:r>
          </w:p>
        </w:tc>
      </w:tr>
      <w:tr w14:paraId="380D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6CFC685B">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788" w:type="dxa"/>
            <w:noWrap w:val="0"/>
            <w:vAlign w:val="center"/>
          </w:tcPr>
          <w:p w14:paraId="3507CEB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备份投标文件的密封包装、递交</w:t>
            </w:r>
          </w:p>
        </w:tc>
        <w:tc>
          <w:tcPr>
            <w:tcW w:w="7412" w:type="dxa"/>
            <w:noWrap w:val="0"/>
            <w:vAlign w:val="center"/>
          </w:tcPr>
          <w:p w14:paraId="557EC864">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（1）投标供应商在“</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”完成“电子加密投标文件”的上传递交后，还可以（邮寄形式）在投标截止时间前递交以介质（U盘）存储的“备份投标文件”（一份）；</w:t>
            </w:r>
          </w:p>
          <w:p w14:paraId="1FABFB58">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（2）“备份投标文件”应当密封包装，并在包装上标注投标项目名称、</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名称并加盖公章。没有密封包装或者逾期邮寄送达至投标地点的“备份投标文件”将不予接收；</w:t>
            </w:r>
          </w:p>
          <w:p w14:paraId="28C508A8">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tc>
      </w:tr>
      <w:tr w14:paraId="6329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2" w:type="dxa"/>
            <w:noWrap w:val="0"/>
            <w:vAlign w:val="center"/>
          </w:tcPr>
          <w:p w14:paraId="04FF489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788" w:type="dxa"/>
            <w:noWrap w:val="0"/>
            <w:vAlign w:val="center"/>
          </w:tcPr>
          <w:p w14:paraId="01B58083">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电子加密投标文件的解密和异常情况处理</w:t>
            </w:r>
          </w:p>
        </w:tc>
        <w:tc>
          <w:tcPr>
            <w:tcW w:w="7412" w:type="dxa"/>
            <w:noWrap w:val="0"/>
            <w:vAlign w:val="center"/>
          </w:tcPr>
          <w:p w14:paraId="790EF665">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（1）开标后，采购组织机构将向各投标供应商发出“电子加密投标文件”的解密通知，各投标供应商代表应当在接到解密通知后30分钟内自行完成“电子加密投标文件”的在线解密。</w:t>
            </w:r>
          </w:p>
          <w:p w14:paraId="29AA18FB">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”操作规范将“备份投标文件”上传至“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”，上传成功后，“电子加密投标文件”自动失效），否则视为投标文件撤回。</w:t>
            </w:r>
          </w:p>
          <w:p w14:paraId="28F05365">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（3）投标截止时间前，投标供应商仅递交了“备份投标文件”而未将电子加密投标文件上传至“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tc>
      </w:tr>
      <w:tr w14:paraId="69D8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2" w:type="dxa"/>
            <w:noWrap w:val="0"/>
            <w:vAlign w:val="center"/>
          </w:tcPr>
          <w:p w14:paraId="71D47EC6">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788" w:type="dxa"/>
            <w:noWrap w:val="0"/>
            <w:vAlign w:val="center"/>
          </w:tcPr>
          <w:p w14:paraId="2D96DAEF">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投标有效期</w:t>
            </w:r>
          </w:p>
        </w:tc>
        <w:tc>
          <w:tcPr>
            <w:tcW w:w="7412" w:type="dxa"/>
            <w:noWrap w:val="0"/>
            <w:vAlign w:val="center"/>
          </w:tcPr>
          <w:p w14:paraId="21D6463F">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投标截止时间后90天。</w:t>
            </w:r>
          </w:p>
        </w:tc>
      </w:tr>
      <w:tr w14:paraId="4318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2" w:type="dxa"/>
            <w:noWrap w:val="0"/>
            <w:vAlign w:val="center"/>
          </w:tcPr>
          <w:p w14:paraId="0FBC9AA9">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788" w:type="dxa"/>
            <w:noWrap w:val="0"/>
            <w:vAlign w:val="center"/>
          </w:tcPr>
          <w:p w14:paraId="10B5A164">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特别说明</w:t>
            </w:r>
          </w:p>
        </w:tc>
        <w:tc>
          <w:tcPr>
            <w:tcW w:w="7412" w:type="dxa"/>
            <w:noWrap w:val="0"/>
            <w:vAlign w:val="center"/>
          </w:tcPr>
          <w:p w14:paraId="543D6429">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5D41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32" w:type="dxa"/>
            <w:noWrap w:val="0"/>
            <w:vAlign w:val="center"/>
          </w:tcPr>
          <w:p w14:paraId="601DC38D">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788" w:type="dxa"/>
            <w:noWrap w:val="0"/>
            <w:vAlign w:val="center"/>
          </w:tcPr>
          <w:p w14:paraId="640099C2">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有关费用</w:t>
            </w:r>
          </w:p>
        </w:tc>
        <w:tc>
          <w:tcPr>
            <w:tcW w:w="7412" w:type="dxa"/>
            <w:noWrap w:val="0"/>
            <w:vAlign w:val="center"/>
          </w:tcPr>
          <w:p w14:paraId="3BA29302">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ascii="仿宋" w:hAnsi="仿宋" w:eastAsia="仿宋" w:cs="仿宋"/>
                <w:color w:val="auto"/>
                <w:szCs w:val="24"/>
                <w:highlight w:val="none"/>
              </w:rPr>
            </w:pPr>
            <w:r>
              <w:rPr>
                <w:rFonts w:hint="default" w:ascii="仿宋" w:hAnsi="仿宋" w:eastAsia="仿宋" w:cs="仿宋"/>
                <w:snapToGrid w:val="0"/>
                <w:color w:val="000000" w:themeColor="text1"/>
                <w:kern w:val="28"/>
                <w:sz w:val="24"/>
                <w:szCs w:val="22"/>
                <w14:textFill>
                  <w14:solidFill>
                    <w14:schemeClr w14:val="tx1"/>
                  </w14:solidFill>
                </w14:textFill>
              </w:rPr>
              <w:t>①</w:t>
            </w:r>
            <w:r>
              <w:rPr>
                <w:rFonts w:hint="eastAsia" w:ascii="仿宋" w:hAnsi="仿宋" w:eastAsia="仿宋" w:cs="仿宋"/>
                <w:color w:val="auto"/>
                <w:szCs w:val="24"/>
                <w:highlight w:val="none"/>
              </w:rPr>
              <w:t>中标人须向招标代理机构支付以下费用，根据本项目的中标金额，采用差额定率累进法进行计算，具体费率按如下标准规定下浮40%执行，其他费用按实结算，请在投标报价中自行考虑：</w:t>
            </w:r>
          </w:p>
          <w:tbl>
            <w:tblPr>
              <w:tblStyle w:val="79"/>
              <w:tblW w:w="6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9"/>
              <w:gridCol w:w="1973"/>
              <w:gridCol w:w="1846"/>
            </w:tblGrid>
            <w:tr w14:paraId="6C71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8EC850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采购类型金额（万元）        </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3F9D1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53C288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1D36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5FB352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D9EAB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4AD804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031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3B747D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C7456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19F173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5706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1EA92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46F3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261FB0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r w14:paraId="31A7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979" w:type="dxa"/>
                  <w:tcBorders>
                    <w:top w:val="single" w:color="000000" w:sz="4" w:space="0"/>
                    <w:left w:val="single" w:color="000000" w:sz="4" w:space="0"/>
                    <w:bottom w:val="single" w:color="000000" w:sz="4" w:space="0"/>
                    <w:right w:val="single" w:color="000000" w:sz="4" w:space="0"/>
                  </w:tcBorders>
                  <w:noWrap/>
                  <w:vAlign w:val="center"/>
                </w:tcPr>
                <w:p w14:paraId="0FE812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1000-5000</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44332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w:t>
                  </w:r>
                </w:p>
              </w:tc>
              <w:tc>
                <w:tcPr>
                  <w:tcW w:w="1846" w:type="dxa"/>
                  <w:tcBorders>
                    <w:top w:val="single" w:color="000000" w:sz="4" w:space="0"/>
                    <w:left w:val="single" w:color="000000" w:sz="4" w:space="0"/>
                    <w:bottom w:val="single" w:color="000000" w:sz="4" w:space="0"/>
                    <w:right w:val="single" w:color="000000" w:sz="4" w:space="0"/>
                  </w:tcBorders>
                  <w:noWrap/>
                  <w:vAlign w:val="center"/>
                </w:tcPr>
                <w:p w14:paraId="1AFAE6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0.25%</w:t>
                  </w:r>
                </w:p>
              </w:tc>
            </w:tr>
          </w:tbl>
          <w:p w14:paraId="536D6E55">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②中标服务费的交纳方式：</w:t>
            </w:r>
          </w:p>
          <w:p w14:paraId="7D669353">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用银行支票、汇票、电汇、现金等付款方式直接交纳中标服务费。</w:t>
            </w:r>
          </w:p>
          <w:p w14:paraId="0F10E0A7">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公司名称：</w:t>
            </w:r>
            <w:r>
              <w:rPr>
                <w:rFonts w:hint="eastAsia" w:ascii="仿宋" w:hAnsi="仿宋" w:eastAsia="仿宋" w:cs="仿宋"/>
                <w:color w:val="auto"/>
                <w:sz w:val="24"/>
                <w:szCs w:val="24"/>
                <w:lang w:eastAsia="zh-CN"/>
              </w:rPr>
              <w:t>绍兴市文汇项目管理有限公司</w:t>
            </w:r>
          </w:p>
          <w:p w14:paraId="0B47A060">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ascii="仿宋" w:hAnsi="仿宋" w:eastAsia="仿宋" w:cs="仿宋"/>
                <w:color w:val="auto"/>
                <w:szCs w:val="24"/>
                <w:highlight w:val="none"/>
              </w:rPr>
            </w:pPr>
            <w:r>
              <w:rPr>
                <w:rFonts w:hint="eastAsia" w:ascii="仿宋" w:hAnsi="仿宋" w:eastAsia="仿宋" w:cs="仿宋"/>
                <w:color w:val="auto"/>
                <w:szCs w:val="24"/>
                <w:highlight w:val="none"/>
              </w:rPr>
              <w:t>开户行：工商银行嵊州支行</w:t>
            </w:r>
          </w:p>
          <w:p w14:paraId="07770DF2">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Cs w:val="24"/>
                <w:highlight w:val="none"/>
              </w:rPr>
              <w:t>账  号：1211026009200820957</w:t>
            </w:r>
          </w:p>
        </w:tc>
      </w:tr>
      <w:tr w14:paraId="700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32" w:type="dxa"/>
            <w:noWrap w:val="0"/>
            <w:vAlign w:val="center"/>
          </w:tcPr>
          <w:p w14:paraId="293AFB51">
            <w:pPr>
              <w:keepNext w:val="0"/>
              <w:keepLines w:val="0"/>
              <w:suppressLineNumbers w:val="0"/>
              <w:autoSpaceDE w:val="0"/>
              <w:autoSpaceDN w:val="0"/>
              <w:snapToGrid w:val="0"/>
              <w:spacing w:before="0" w:beforeAutospacing="0" w:after="0" w:afterAutospacing="0" w:line="400" w:lineRule="exact"/>
              <w:ind w:left="0" w:right="0"/>
              <w:jc w:val="center"/>
              <w:textAlignment w:val="bottom"/>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19</w:t>
            </w:r>
          </w:p>
        </w:tc>
        <w:tc>
          <w:tcPr>
            <w:tcW w:w="1788" w:type="dxa"/>
            <w:noWrap w:val="0"/>
            <w:vAlign w:val="center"/>
          </w:tcPr>
          <w:p w14:paraId="6B3898C1">
            <w:pPr>
              <w:pStyle w:val="292"/>
              <w:keepNext w:val="0"/>
              <w:keepLines w:val="0"/>
              <w:widowControl w:val="0"/>
              <w:suppressLineNumbers w:val="0"/>
              <w:autoSpaceDE w:val="0"/>
              <w:autoSpaceDN w:val="0"/>
              <w:snapToGrid w:val="0"/>
              <w:spacing w:before="0" w:beforeAutospacing="0" w:after="0" w:afterAutospacing="0" w:line="400" w:lineRule="exact"/>
              <w:ind w:left="0" w:right="0"/>
              <w:jc w:val="center"/>
              <w:textAlignment w:val="bottom"/>
              <w:rPr>
                <w:rFonts w:hint="eastAsia" w:ascii="仿宋" w:hAnsi="仿宋" w:eastAsia="仿宋" w:cs="仿宋"/>
                <w:color w:val="auto"/>
                <w:sz w:val="24"/>
                <w:szCs w:val="24"/>
              </w:rPr>
            </w:pPr>
            <w:r>
              <w:rPr>
                <w:rFonts w:hint="eastAsia" w:ascii="仿宋" w:hAnsi="仿宋" w:eastAsia="仿宋" w:cs="仿宋"/>
                <w:b/>
                <w:bCs/>
                <w:color w:val="auto"/>
                <w:sz w:val="24"/>
                <w:szCs w:val="24"/>
              </w:rPr>
              <w:t>解释</w:t>
            </w:r>
          </w:p>
        </w:tc>
        <w:tc>
          <w:tcPr>
            <w:tcW w:w="7412" w:type="dxa"/>
            <w:noWrap w:val="0"/>
            <w:vAlign w:val="center"/>
          </w:tcPr>
          <w:p w14:paraId="0DBDCFCC">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凡涉及本采购文件的解释权属于招标采购人</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采购机构。</w:t>
            </w:r>
          </w:p>
        </w:tc>
      </w:tr>
      <w:tr w14:paraId="128C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932" w:type="dxa"/>
            <w:gridSpan w:val="3"/>
            <w:noWrap w:val="0"/>
            <w:vAlign w:val="center"/>
          </w:tcPr>
          <w:p w14:paraId="64411AA9">
            <w:pPr>
              <w:pStyle w:val="292"/>
              <w:keepNext w:val="0"/>
              <w:keepLines w:val="0"/>
              <w:widowControl w:val="0"/>
              <w:suppressLineNumbers w:val="0"/>
              <w:autoSpaceDE w:val="0"/>
              <w:autoSpaceDN w:val="0"/>
              <w:snapToGrid w:val="0"/>
              <w:spacing w:before="0" w:beforeAutospacing="0" w:after="0" w:afterAutospacing="0" w:line="400" w:lineRule="exact"/>
              <w:ind w:left="0" w:right="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注：中标人放弃中标资格或因质疑、投诉被取消预中标资格或不能履行合同的，</w:t>
            </w:r>
            <w:r>
              <w:rPr>
                <w:rFonts w:hint="eastAsia" w:ascii="仿宋" w:hAnsi="仿宋" w:eastAsia="仿宋" w:cs="仿宋"/>
                <w:color w:val="auto"/>
                <w:sz w:val="24"/>
                <w:szCs w:val="24"/>
                <w:lang w:val="en-US" w:eastAsia="zh-CN"/>
              </w:rPr>
              <w:t>本项目组织</w:t>
            </w:r>
            <w:r>
              <w:rPr>
                <w:rFonts w:hint="eastAsia" w:ascii="仿宋" w:hAnsi="仿宋" w:eastAsia="仿宋" w:cs="仿宋"/>
                <w:color w:val="auto"/>
                <w:sz w:val="24"/>
                <w:szCs w:val="24"/>
              </w:rPr>
              <w:t>重新招标。</w:t>
            </w:r>
          </w:p>
        </w:tc>
      </w:tr>
    </w:tbl>
    <w:p w14:paraId="0E9A4721">
      <w:pPr>
        <w:pStyle w:val="4"/>
        <w:spacing w:line="460" w:lineRule="exact"/>
        <w:jc w:val="center"/>
        <w:rPr>
          <w:rFonts w:hint="eastAsia" w:ascii="仿宋" w:hAnsi="仿宋" w:eastAsia="仿宋" w:cs="仿宋"/>
          <w:color w:val="auto"/>
          <w:sz w:val="32"/>
          <w:szCs w:val="32"/>
        </w:rPr>
      </w:pPr>
      <w:bookmarkStart w:id="63" w:name="_Toc54978890"/>
      <w:r>
        <w:rPr>
          <w:rFonts w:hint="eastAsia" w:ascii="仿宋" w:hAnsi="仿宋" w:eastAsia="仿宋" w:cs="仿宋"/>
          <w:color w:val="auto"/>
          <w:sz w:val="32"/>
          <w:szCs w:val="32"/>
        </w:rPr>
        <w:t>二、</w:t>
      </w:r>
      <w:bookmarkEnd w:id="60"/>
      <w:bookmarkEnd w:id="61"/>
      <w:r>
        <w:rPr>
          <w:rFonts w:hint="eastAsia" w:ascii="仿宋" w:hAnsi="仿宋" w:eastAsia="仿宋" w:cs="仿宋"/>
          <w:color w:val="auto"/>
          <w:sz w:val="32"/>
          <w:szCs w:val="32"/>
        </w:rPr>
        <w:t>总则</w:t>
      </w:r>
      <w:bookmarkEnd w:id="62"/>
      <w:bookmarkEnd w:id="63"/>
    </w:p>
    <w:p w14:paraId="508B1A8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bookmarkStart w:id="64" w:name="_Toc82873323"/>
      <w:bookmarkStart w:id="65" w:name="_Toc82338240"/>
      <w:r>
        <w:rPr>
          <w:rFonts w:hint="eastAsia" w:ascii="仿宋" w:hAnsi="仿宋" w:eastAsia="仿宋" w:cs="仿宋"/>
          <w:color w:val="auto"/>
          <w:sz w:val="24"/>
          <w:szCs w:val="24"/>
        </w:rPr>
        <w:t>1、实施依据</w:t>
      </w:r>
    </w:p>
    <w:p w14:paraId="4CB650D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本次招标工作是按照</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嵊州市市属国有企业货物和服务采购管理办法</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等招标投标有关法律、法规、规章、文件的规定组织和实施。</w:t>
      </w:r>
    </w:p>
    <w:p w14:paraId="2F8AE8E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2、定义</w:t>
      </w:r>
    </w:p>
    <w:p w14:paraId="7856BED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“采购人”系指采购公告中载明的本项目的采购人。</w:t>
      </w:r>
    </w:p>
    <w:p w14:paraId="0A82DADB">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 “采购机构”系指采购公告中载明的本项目的采购代理机构。</w:t>
      </w:r>
    </w:p>
    <w:p w14:paraId="5E21B54C">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 “投标人”系指是指响应招标、参加投标竞争的法人、其他组织或者自然人。</w:t>
      </w:r>
    </w:p>
    <w:p w14:paraId="4E681711">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 “负责人”系指法人企业的法定负责人，或其他组织为法律、行政法规规定代表单位行使职权的主要负责人，或自然人本人。</w:t>
      </w:r>
    </w:p>
    <w:p w14:paraId="668CD8F4">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格式见附件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2E40F68E">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2.6“电子交易平台”是指本项目采购活动所依托的</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（https://</w:t>
      </w:r>
      <w:r>
        <w:rPr>
          <w:rFonts w:hint="eastAsia" w:ascii="仿宋" w:hAnsi="仿宋" w:eastAsia="仿宋" w:cs="仿宋"/>
          <w:color w:val="auto"/>
          <w:sz w:val="24"/>
          <w:szCs w:val="24"/>
          <w:lang w:eastAsia="zh-CN"/>
        </w:rPr>
        <w:t>www.lecaiyun.com</w:t>
      </w:r>
      <w:r>
        <w:rPr>
          <w:rFonts w:hint="eastAsia" w:ascii="仿宋" w:hAnsi="仿宋" w:eastAsia="仿宋" w:cs="仿宋"/>
          <w:color w:val="auto"/>
          <w:sz w:val="24"/>
          <w:szCs w:val="24"/>
        </w:rPr>
        <w:t>/）。</w:t>
      </w:r>
    </w:p>
    <w:p w14:paraId="06EADF7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 “★”系指实质性指标要求条款，“▲”系指主要性能指标要求条款。如任意一条打“★”的指标出现负偏离视为实质性不响应招标文件要求，作无效投标处理；如任意一条打“▲”的指标出现负偏离按评分标准规定处理。</w:t>
      </w:r>
    </w:p>
    <w:p w14:paraId="010E8B3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rPr>
        <w:sym w:font="Wingdings" w:char="F0FE"/>
      </w:r>
      <w:r>
        <w:rPr>
          <w:rFonts w:hint="eastAsia" w:ascii="仿宋" w:hAnsi="仿宋" w:eastAsia="仿宋" w:cs="仿宋"/>
          <w:color w:val="auto"/>
          <w:sz w:val="24"/>
          <w:szCs w:val="24"/>
        </w:rPr>
        <w:t>” 系指适用本项目的要求，“☐” 系指不适用本项目的要求。</w:t>
      </w:r>
    </w:p>
    <w:p w14:paraId="16E66BF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投标联合体：是指两个以上供应商组成联合体，以一个投标人的身份参加投标；</w:t>
      </w:r>
    </w:p>
    <w:p w14:paraId="543FB74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货物和服务：是指按采购文件要求的货物和服务；</w:t>
      </w:r>
    </w:p>
    <w:p w14:paraId="2507D0B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3、投标人须知前附表规定接受联合体投标的，应遵守以下规定：</w:t>
      </w:r>
      <w:r>
        <w:rPr>
          <w:rFonts w:hint="eastAsia" w:ascii="仿宋" w:hAnsi="仿宋" w:eastAsia="仿宋" w:cs="仿宋"/>
          <w:b/>
          <w:color w:val="auto"/>
          <w:sz w:val="24"/>
          <w:szCs w:val="24"/>
        </w:rPr>
        <w:t>（本项目不适用）</w:t>
      </w:r>
    </w:p>
    <w:p w14:paraId="6F591BC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两个以上供应商可以组成一个联合体，以一个供应商的身份共同参加投标；</w:t>
      </w:r>
    </w:p>
    <w:p w14:paraId="2A73D8F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组成联合体参加本项目投标的，投标人须在购买采购文件时向采购代理机构作出相关书面说明，否则投标无效；</w:t>
      </w:r>
    </w:p>
    <w:p w14:paraId="16472DD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以联合体形式参加本项目投标的，联合体各方中至少应当有一方符合采购人规定的特定条件，但同一专业的投标人组成的联合体以资质最低的一方为依据；</w:t>
      </w:r>
    </w:p>
    <w:p w14:paraId="0401F9B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30500D7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联合体各方签订投标联合协议后，不得再以自己名义单独在本项目中参加投标，也不得组成新的联合体参加本项目投标；</w:t>
      </w:r>
    </w:p>
    <w:p w14:paraId="15996CC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联合体各方共同与采购人签订采购合同，就采购合同约定的事项对采购人承担连带责任；</w:t>
      </w:r>
    </w:p>
    <w:p w14:paraId="182F29B7">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4、费用</w:t>
      </w:r>
    </w:p>
    <w:p w14:paraId="4FF57582">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无论招投标过程中的做法和结果如何，投标人自行承担招投标活动中所发生的全部费用。</w:t>
      </w:r>
    </w:p>
    <w:p w14:paraId="463B0B0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5、保密</w:t>
      </w:r>
    </w:p>
    <w:p w14:paraId="030D2AC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参与招标投标活动的各方应对采购文件和投标文件中的商业和技术等秘密保密，违者应对此造成的后果承担法律责任。</w:t>
      </w:r>
    </w:p>
    <w:p w14:paraId="44CD2FF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6、语言文字</w:t>
      </w:r>
    </w:p>
    <w:p w14:paraId="41F06D7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除专用术语外，与招标投标有关的语言使用中文。专用术语应附有中文注释。</w:t>
      </w:r>
    </w:p>
    <w:p w14:paraId="040AEC0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7、计量单位</w:t>
      </w:r>
    </w:p>
    <w:p w14:paraId="75FF388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所有计量均采用中华人民共和国法定计量单位。</w:t>
      </w:r>
    </w:p>
    <w:p w14:paraId="71F43BF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8、踏勘现场</w:t>
      </w:r>
    </w:p>
    <w:p w14:paraId="68183FC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8.1投标人须知前附表规定组织踏勘现场的，采购人按投标人须知前附表规定的时间、地点组织投标人踏勘项目现场。</w:t>
      </w:r>
    </w:p>
    <w:p w14:paraId="1DD7453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8.2投标人踏勘现场发生的费用自理。</w:t>
      </w:r>
    </w:p>
    <w:p w14:paraId="0EF782A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8.3除采购人的原因外，投标人自行负责在踏勘现场中所发生的人员伤亡和财产损失。</w:t>
      </w:r>
    </w:p>
    <w:p w14:paraId="44597BA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8.4采购人在踏勘现场中介绍的场地和相关的周边环境情况，供投标人在编制投标文件时参考，采购人不对投标人据此作出的判断和决策负责。</w:t>
      </w:r>
    </w:p>
    <w:p w14:paraId="59D019D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9、答疑会</w:t>
      </w:r>
    </w:p>
    <w:p w14:paraId="481720B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9.1投标人须知前附表规定召开答疑会的，采购人按投标人须知前附表规定的时间和地点召开答疑会，澄清投标人提出的问题。</w:t>
      </w:r>
    </w:p>
    <w:p w14:paraId="01719EE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9.2投标人应在答疑会时间的前一天，以书面形式将提出的问题送达采购人，以便采购人在会议期间澄清。</w:t>
      </w:r>
    </w:p>
    <w:p w14:paraId="5D3D3B6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9.3答疑会后，采购人按本章3.4款规定对投标人所提问题进行澄清答复。</w:t>
      </w:r>
    </w:p>
    <w:p w14:paraId="41A8129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10、转包与分包</w:t>
      </w:r>
    </w:p>
    <w:p w14:paraId="529CDBB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本项目不允许转包及分包。</w:t>
      </w:r>
    </w:p>
    <w:p w14:paraId="07D0F92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11、偏离</w:t>
      </w:r>
    </w:p>
    <w:p w14:paraId="0251FD2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投标文件应完全响应采购文件规定的实质性内容和条件。</w:t>
      </w:r>
    </w:p>
    <w:p w14:paraId="72D8DCC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12、其他</w:t>
      </w:r>
    </w:p>
    <w:p w14:paraId="73F54934">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u w:val="single"/>
        </w:rPr>
      </w:pPr>
      <w:r>
        <w:rPr>
          <w:rFonts w:hint="eastAsia" w:ascii="仿宋" w:hAnsi="仿宋" w:eastAsia="仿宋" w:cs="仿宋"/>
          <w:color w:val="auto"/>
          <w:sz w:val="24"/>
          <w:szCs w:val="24"/>
        </w:rPr>
        <w:t>12.1★</w:t>
      </w:r>
      <w:r>
        <w:rPr>
          <w:rFonts w:hint="eastAsia" w:ascii="仿宋" w:hAnsi="仿宋" w:eastAsia="仿宋" w:cs="仿宋"/>
          <w:b/>
          <w:bCs/>
          <w:color w:val="auto"/>
          <w:sz w:val="24"/>
          <w:szCs w:val="24"/>
          <w:u w:val="single"/>
        </w:rPr>
        <w:t>投标人对所投标项内的产品或服务必须按采购数量全部进行报价。</w:t>
      </w:r>
    </w:p>
    <w:p w14:paraId="65B89328">
      <w:pPr>
        <w:pageBreakBefore w:val="0"/>
        <w:kinsoku/>
        <w:wordWrap/>
        <w:overflowPunct/>
        <w:topLinePunct w:val="0"/>
        <w:bidi w:val="0"/>
        <w:adjustRightInd/>
        <w:spacing w:line="460" w:lineRule="exact"/>
        <w:ind w:firstLine="420"/>
        <w:textAlignment w:val="auto"/>
        <w:rPr>
          <w:rFonts w:hint="eastAsia" w:ascii="仿宋" w:hAnsi="仿宋" w:eastAsia="仿宋" w:cs="仿宋"/>
          <w:b/>
          <w:bCs w:val="0"/>
          <w:color w:val="auto"/>
          <w:sz w:val="24"/>
          <w:szCs w:val="24"/>
          <w:u w:val="single"/>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2</w:t>
      </w:r>
      <w:r>
        <w:rPr>
          <w:rFonts w:hint="eastAsia" w:ascii="仿宋" w:hAnsi="仿宋" w:eastAsia="仿宋" w:cs="仿宋"/>
          <w:b/>
          <w:bCs w:val="0"/>
          <w:color w:val="auto"/>
          <w:sz w:val="24"/>
          <w:szCs w:val="24"/>
          <w:u w:val="single"/>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b/>
          <w:bCs w:val="0"/>
          <w:color w:val="auto"/>
          <w:sz w:val="24"/>
          <w:szCs w:val="24"/>
          <w:u w:val="single"/>
          <w:lang w:val="en-US" w:eastAsia="zh-CN"/>
        </w:rPr>
        <w:t>招标</w:t>
      </w:r>
      <w:r>
        <w:rPr>
          <w:rFonts w:hint="eastAsia" w:ascii="仿宋" w:hAnsi="仿宋" w:eastAsia="仿宋" w:cs="仿宋"/>
          <w:b/>
          <w:bCs w:val="0"/>
          <w:color w:val="auto"/>
          <w:sz w:val="24"/>
          <w:szCs w:val="24"/>
          <w:u w:val="single"/>
        </w:rPr>
        <w:t>文件规定的方式确定一个投标人获得中标人推荐资格，</w:t>
      </w:r>
      <w:r>
        <w:rPr>
          <w:rFonts w:hint="eastAsia" w:ascii="仿宋" w:hAnsi="仿宋" w:eastAsia="仿宋" w:cs="仿宋"/>
          <w:b/>
          <w:bCs w:val="0"/>
          <w:color w:val="auto"/>
          <w:sz w:val="24"/>
          <w:szCs w:val="24"/>
          <w:u w:val="single"/>
          <w:lang w:val="en-US" w:eastAsia="zh-CN"/>
        </w:rPr>
        <w:t>招标</w:t>
      </w:r>
      <w:r>
        <w:rPr>
          <w:rFonts w:hint="eastAsia" w:ascii="仿宋" w:hAnsi="仿宋" w:eastAsia="仿宋" w:cs="仿宋"/>
          <w:b/>
          <w:bCs w:val="0"/>
          <w:color w:val="auto"/>
          <w:sz w:val="24"/>
          <w:szCs w:val="24"/>
          <w:u w:val="single"/>
        </w:rPr>
        <w:t>文件未规定的采取随机抽取方式确定，其他同品牌投标人不作为中标候选人。</w:t>
      </w:r>
    </w:p>
    <w:p w14:paraId="70D992D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b w:val="0"/>
          <w:bCs/>
          <w:color w:val="auto"/>
          <w:sz w:val="24"/>
          <w:szCs w:val="24"/>
          <w:u w:val="none"/>
          <w:lang w:val="en-US" w:eastAsia="zh-CN"/>
        </w:rPr>
        <w:t>12.3</w:t>
      </w:r>
      <w:r>
        <w:rPr>
          <w:rFonts w:hint="eastAsia" w:ascii="仿宋" w:hAnsi="仿宋" w:eastAsia="仿宋" w:cs="仿宋"/>
          <w:color w:val="auto"/>
          <w:sz w:val="24"/>
          <w:szCs w:val="24"/>
        </w:rPr>
        <w:t>投标截止后投标人不足3家或者通过资格审查或符合性审查的投标人不足3家的，除采购任务取消情形外，按照以下方式处理：采购文件存在不合理条款或者招标程序不符合规定的，采购人、采购代理机构改正后依法重新招标；</w:t>
      </w:r>
    </w:p>
    <w:p w14:paraId="7206DF26">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4</w:t>
      </w:r>
      <w:r>
        <w:rPr>
          <w:rFonts w:hint="eastAsia" w:ascii="仿宋" w:hAnsi="仿宋" w:eastAsia="仿宋" w:cs="仿宋"/>
          <w:bCs/>
          <w:color w:val="auto"/>
          <w:sz w:val="24"/>
          <w:szCs w:val="24"/>
        </w:rPr>
        <w:t>采购文件中如有描述歧义或前后不一致的地方，评标委员会有权按公平、合理的原则进行评判，但对同一条款的评判适用于每个投标人。</w:t>
      </w:r>
    </w:p>
    <w:p w14:paraId="053716E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投标文件的响应内容必须真实、明确、准确。否则，评标委员会将对其作出不利的评审。</w:t>
      </w:r>
    </w:p>
    <w:p w14:paraId="07E0CAC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12.</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乙</w:t>
      </w:r>
      <w:r>
        <w:rPr>
          <w:rFonts w:hint="eastAsia" w:ascii="仿宋" w:hAnsi="仿宋" w:eastAsia="仿宋" w:cs="仿宋"/>
          <w:color w:val="auto"/>
          <w:sz w:val="24"/>
          <w:szCs w:val="24"/>
        </w:rPr>
        <w:t>方为履行合同引起的相关人员的差旅费、食宿费以及其它不可预知的费用由乙方自理。合同实施过程中，须与甲</w:t>
      </w:r>
      <w:r>
        <w:rPr>
          <w:rFonts w:hint="eastAsia" w:ascii="仿宋" w:hAnsi="仿宋" w:eastAsia="仿宋" w:cs="仿宋"/>
          <w:color w:val="auto"/>
          <w:sz w:val="24"/>
          <w:szCs w:val="24"/>
          <w:lang w:eastAsia="zh-CN"/>
        </w:rPr>
        <w:t>、丙双</w:t>
      </w:r>
      <w:r>
        <w:rPr>
          <w:rFonts w:hint="eastAsia" w:ascii="仿宋" w:hAnsi="仿宋" w:eastAsia="仿宋" w:cs="仿宋"/>
          <w:color w:val="auto"/>
          <w:sz w:val="24"/>
          <w:szCs w:val="24"/>
        </w:rPr>
        <w:t>方积极配合。</w:t>
      </w:r>
    </w:p>
    <w:p w14:paraId="0845C0C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12.7项目资金已落实。</w:t>
      </w:r>
    </w:p>
    <w:p w14:paraId="61795CF0">
      <w:pPr>
        <w:pStyle w:val="4"/>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lang w:eastAsia="zh-CN"/>
        </w:rPr>
      </w:pPr>
      <w:bookmarkStart w:id="66" w:name="_Toc54978891"/>
      <w:bookmarkStart w:id="67" w:name="_Toc35261572"/>
      <w:r>
        <w:rPr>
          <w:rFonts w:hint="eastAsia" w:ascii="仿宋" w:hAnsi="仿宋" w:eastAsia="仿宋" w:cs="仿宋"/>
          <w:color w:val="auto"/>
          <w:sz w:val="32"/>
          <w:szCs w:val="32"/>
        </w:rPr>
        <w:t>三、采购文件</w:t>
      </w:r>
      <w:bookmarkEnd w:id="64"/>
      <w:bookmarkEnd w:id="65"/>
      <w:bookmarkEnd w:id="66"/>
      <w:bookmarkEnd w:id="67"/>
      <w:r>
        <w:rPr>
          <w:rFonts w:hint="eastAsia" w:ascii="仿宋" w:hAnsi="仿宋" w:eastAsia="仿宋" w:cs="仿宋"/>
          <w:color w:val="auto"/>
          <w:sz w:val="32"/>
          <w:szCs w:val="32"/>
          <w:lang w:eastAsia="zh-CN"/>
        </w:rPr>
        <w:t>的构成、澄清、修改</w:t>
      </w:r>
    </w:p>
    <w:p w14:paraId="3989CBB9">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bookmarkStart w:id="68" w:name="_Toc82873324"/>
      <w:bookmarkStart w:id="69" w:name="_Toc82338241"/>
      <w:r>
        <w:rPr>
          <w:rFonts w:hint="eastAsia" w:ascii="仿宋" w:hAnsi="仿宋" w:eastAsia="仿宋" w:cs="仿宋"/>
          <w:b/>
          <w:bCs/>
          <w:color w:val="auto"/>
          <w:sz w:val="24"/>
          <w:szCs w:val="24"/>
        </w:rPr>
        <w:t>3.1、采购文件组成</w:t>
      </w:r>
    </w:p>
    <w:p w14:paraId="63A66AB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3.1.1第一章 </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公告</w:t>
      </w:r>
    </w:p>
    <w:p w14:paraId="6391742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3.1.2第二章 投标须知</w:t>
      </w:r>
    </w:p>
    <w:p w14:paraId="7712E2E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3.1.3第三章 项目招标范围及</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要求</w:t>
      </w:r>
    </w:p>
    <w:p w14:paraId="27506C6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3.1.4第四章 评标办法</w:t>
      </w:r>
    </w:p>
    <w:p w14:paraId="5246D2F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3.1.5第五章 </w:t>
      </w:r>
      <w:r>
        <w:rPr>
          <w:rFonts w:hint="eastAsia" w:ascii="仿宋" w:hAnsi="仿宋" w:eastAsia="仿宋" w:cs="仿宋"/>
          <w:color w:val="auto"/>
          <w:sz w:val="24"/>
          <w:szCs w:val="24"/>
          <w:lang w:val="en-US" w:eastAsia="zh-CN"/>
        </w:rPr>
        <w:t>拟签订合同范本</w:t>
      </w:r>
    </w:p>
    <w:p w14:paraId="3A503D3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3.1.6第六章 投标文件格式</w:t>
      </w:r>
      <w:r>
        <w:rPr>
          <w:rFonts w:hint="eastAsia" w:ascii="仿宋" w:hAnsi="仿宋" w:eastAsia="仿宋" w:cs="仿宋"/>
          <w:color w:val="auto"/>
          <w:sz w:val="24"/>
          <w:szCs w:val="24"/>
          <w:lang w:val="en-US" w:eastAsia="zh-CN"/>
        </w:rPr>
        <w:t>及其附件</w:t>
      </w:r>
      <w:r>
        <w:rPr>
          <w:rFonts w:hint="eastAsia" w:ascii="仿宋" w:hAnsi="仿宋" w:eastAsia="仿宋" w:cs="仿宋"/>
          <w:color w:val="auto"/>
          <w:sz w:val="24"/>
          <w:szCs w:val="24"/>
        </w:rPr>
        <w:t>格式</w:t>
      </w:r>
    </w:p>
    <w:p w14:paraId="10A71CF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3.1.7补充文件（如有）</w:t>
      </w:r>
    </w:p>
    <w:p w14:paraId="09075ED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与本项目有关的</w:t>
      </w:r>
      <w:r>
        <w:rPr>
          <w:rFonts w:hint="eastAsia" w:ascii="仿宋" w:hAnsi="仿宋" w:eastAsia="仿宋" w:cs="仿宋"/>
          <w:bCs/>
          <w:color w:val="auto"/>
          <w:sz w:val="24"/>
          <w:szCs w:val="24"/>
        </w:rPr>
        <w:t>澄清或者修改的内容为采购文件的组成部分</w:t>
      </w:r>
      <w:r>
        <w:rPr>
          <w:rFonts w:hint="eastAsia" w:ascii="仿宋" w:hAnsi="仿宋" w:eastAsia="仿宋" w:cs="仿宋"/>
          <w:color w:val="auto"/>
          <w:sz w:val="24"/>
          <w:szCs w:val="24"/>
        </w:rPr>
        <w:t>。</w:t>
      </w:r>
    </w:p>
    <w:p w14:paraId="3C5C5B5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采购文件的解释权归采购组织机构所有。</w:t>
      </w:r>
    </w:p>
    <w:p w14:paraId="1D9C1006">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、采购文件的澄清</w:t>
      </w:r>
    </w:p>
    <w:p w14:paraId="6B4BDF9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.1投标人在获取采购文件后，若有问题需要澄清或认为有必要与采购人进行技术交流，应于前附表规定的时间前，将问题发电子邮件至</w:t>
      </w:r>
      <w:r>
        <w:rPr>
          <w:rFonts w:hint="eastAsia" w:ascii="仿宋" w:hAnsi="仿宋" w:eastAsia="仿宋" w:cs="仿宋"/>
          <w:color w:val="auto"/>
          <w:sz w:val="24"/>
          <w:szCs w:val="24"/>
          <w:lang w:eastAsia="zh-CN"/>
        </w:rPr>
        <w:t>821712838</w:t>
      </w:r>
      <w:r>
        <w:rPr>
          <w:rFonts w:hint="eastAsia" w:ascii="仿宋" w:hAnsi="仿宋" w:eastAsia="仿宋" w:cs="仿宋"/>
          <w:color w:val="auto"/>
          <w:sz w:val="24"/>
          <w:szCs w:val="24"/>
        </w:rPr>
        <w:t>@qq.com（电子邮件与书面文件有不一致的，以书面文件为准）。截止期后的疑问将不予受理、答复。</w:t>
      </w:r>
    </w:p>
    <w:p w14:paraId="4C6B942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 投标人要求解释或澄清的问题应以书面形式送达，并加盖公章、写明日期。</w:t>
      </w:r>
    </w:p>
    <w:p w14:paraId="2041515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 所有要求解释或澄清的问题都予以解答，答疑内容与补充内容以更正（澄清）公告形式告知所有购买采购文件的投标人。</w:t>
      </w:r>
    </w:p>
    <w:p w14:paraId="38A6B9EC">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、采购文件的修改</w:t>
      </w:r>
    </w:p>
    <w:p w14:paraId="2C295C1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6EFF446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 采购文件的修改将以更正（澄清）公告通知所有购买采购文件的投标人，并对其具有约束力。投标人应及时关注浙江政府采购网、</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rPr>
        <w:t>公共资源交易网上该项目的公告信息。</w:t>
      </w:r>
    </w:p>
    <w:p w14:paraId="5590A8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 在更正（澄清）公告发布后，如果投标人认为编制投标文件的时间不充分的，必须在公告发布之日的24小时内通知采购人和采购代理机构。否则，视同投标人有充足时间编制投标文件。</w:t>
      </w:r>
    </w:p>
    <w:p w14:paraId="3A17910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.4采购文件澄清、答复、修改、补充的内容为采购文件的组成部分。当采购文件与采购文件的答复、澄清、修改、补充通知就同一内容的表述不一致时，以最后发出的更正（澄清）公告为准。</w:t>
      </w:r>
    </w:p>
    <w:p w14:paraId="19EC20DE">
      <w:pPr>
        <w:snapToGrid w:val="0"/>
        <w:spacing w:line="44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采购文件的澄清、答复、修改或补充都应该通过本代理机构以法定形式发布，除此以外的发布不属于采购文件的组成部分。</w:t>
      </w:r>
    </w:p>
    <w:bookmarkEnd w:id="68"/>
    <w:bookmarkEnd w:id="69"/>
    <w:p w14:paraId="7936C947">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rPr>
      </w:pPr>
      <w:bookmarkStart w:id="70" w:name="_Toc450482498"/>
      <w:bookmarkStart w:id="71" w:name="_Toc54978892"/>
      <w:bookmarkStart w:id="72" w:name="_Toc35261573"/>
      <w:bookmarkStart w:id="73" w:name="_Toc82873325"/>
      <w:bookmarkStart w:id="74" w:name="_Toc82338242"/>
      <w:r>
        <w:rPr>
          <w:rFonts w:hint="eastAsia" w:ascii="仿宋" w:hAnsi="仿宋" w:eastAsia="仿宋" w:cs="仿宋"/>
          <w:color w:val="auto"/>
          <w:sz w:val="32"/>
          <w:szCs w:val="32"/>
        </w:rPr>
        <w:t>四、投标文件</w:t>
      </w:r>
      <w:bookmarkEnd w:id="70"/>
      <w:bookmarkEnd w:id="71"/>
      <w:bookmarkEnd w:id="72"/>
    </w:p>
    <w:p w14:paraId="25C7642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4.1、投标文件</w:t>
      </w:r>
    </w:p>
    <w:p w14:paraId="3B96EC2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4.1.1 投标人应仔细阅读采购文件规定的所有内容，以保证能全面准确理解采购文件，并按照采购文件要求，详细编制投标文件，投标文件内容必须针对本次招标响应。</w:t>
      </w:r>
    </w:p>
    <w:p w14:paraId="563FE0AD">
      <w:pPr>
        <w:pageBreakBefore w:val="0"/>
        <w:kinsoku/>
        <w:wordWrap/>
        <w:overflowPunct/>
        <w:topLinePunct w:val="0"/>
        <w:bidi w:val="0"/>
        <w:adjustRightInd/>
        <w:spacing w:line="460" w:lineRule="exact"/>
        <w:ind w:firstLine="42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4.1.2投标人必须按采购文件的要求提供相关资料，并对采购文件中提出的所有内容要求给予实质性响应，须保证投标文件的准确、真实、明确</w:t>
      </w:r>
      <w:r>
        <w:rPr>
          <w:rFonts w:hint="eastAsia" w:ascii="仿宋" w:hAnsi="仿宋" w:eastAsia="仿宋" w:cs="仿宋"/>
          <w:bCs/>
          <w:color w:val="auto"/>
          <w:sz w:val="24"/>
          <w:szCs w:val="24"/>
        </w:rPr>
        <w:t>。投标文件响应内容对采购文件要求如有偏离均应填写偏离表，如不填写，采购人有权视作投标文件完全响应采购文件要求。</w:t>
      </w:r>
    </w:p>
    <w:p w14:paraId="4E24D25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4.2、投标文件组成</w:t>
      </w:r>
    </w:p>
    <w:p w14:paraId="1C48663E">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4.2.1资格文件</w:t>
      </w:r>
    </w:p>
    <w:p w14:paraId="1CA568EB">
      <w:pPr>
        <w:pageBreakBefore w:val="0"/>
        <w:widowControl/>
        <w:kinsoku/>
        <w:wordWrap/>
        <w:overflowPunct/>
        <w:topLinePunct w:val="0"/>
        <w:bidi w:val="0"/>
        <w:adjustRightInd/>
        <w:spacing w:line="46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14:paraId="1D34BD6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）符合参加政企采购活动应当具备的一般条件的承诺函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14:paraId="5C8A3D20">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hint="eastAsia" w:ascii="仿宋" w:hAnsi="仿宋" w:eastAsia="仿宋" w:cs="仿宋"/>
          <w:b w:val="0"/>
          <w:bCs/>
          <w:color w:val="auto"/>
          <w:sz w:val="24"/>
          <w:szCs w:val="24"/>
        </w:rPr>
        <w:t>。</w:t>
      </w:r>
    </w:p>
    <w:p w14:paraId="4619206E">
      <w:pPr>
        <w:pageBreakBefore w:val="0"/>
        <w:kinsoku/>
        <w:wordWrap/>
        <w:overflowPunct/>
        <w:topLinePunct w:val="0"/>
        <w:bidi w:val="0"/>
        <w:adjustRightInd/>
        <w:spacing w:line="460" w:lineRule="exact"/>
        <w:ind w:firstLine="420"/>
        <w:textAlignment w:val="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4.2.2</w:t>
      </w:r>
      <w:r>
        <w:rPr>
          <w:rFonts w:hint="eastAsia" w:ascii="仿宋" w:hAnsi="仿宋" w:eastAsia="仿宋" w:cs="仿宋"/>
          <w:b/>
          <w:bCs w:val="0"/>
          <w:color w:val="auto"/>
          <w:sz w:val="24"/>
          <w:szCs w:val="24"/>
          <w:lang w:eastAsia="zh-CN"/>
        </w:rPr>
        <w:t>商务</w:t>
      </w:r>
      <w:r>
        <w:rPr>
          <w:rFonts w:hint="eastAsia" w:ascii="仿宋" w:hAnsi="仿宋" w:eastAsia="仿宋" w:cs="仿宋"/>
          <w:b/>
          <w:bCs w:val="0"/>
          <w:color w:val="auto"/>
          <w:sz w:val="24"/>
          <w:szCs w:val="24"/>
        </w:rPr>
        <w:t>技术</w:t>
      </w:r>
      <w:r>
        <w:rPr>
          <w:rFonts w:hint="eastAsia" w:ascii="仿宋" w:hAnsi="仿宋" w:eastAsia="仿宋" w:cs="仿宋"/>
          <w:b/>
          <w:bCs w:val="0"/>
          <w:color w:val="auto"/>
          <w:sz w:val="24"/>
          <w:szCs w:val="24"/>
          <w:lang w:eastAsia="zh-CN"/>
        </w:rPr>
        <w:t>文件</w:t>
      </w:r>
    </w:p>
    <w:p w14:paraId="402CCD5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1）评分索引表（格式见附件）；</w:t>
      </w:r>
    </w:p>
    <w:p w14:paraId="4E251F4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2）投标函（格式见附件）；</w:t>
      </w:r>
    </w:p>
    <w:p w14:paraId="0B2199A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3）营业执照扫描件；</w:t>
      </w:r>
    </w:p>
    <w:p w14:paraId="0BFDB7B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4）法定代表人授权委托书、法定代表人身份证扫描件、授权委托人身份证扫描件；</w:t>
      </w:r>
    </w:p>
    <w:p w14:paraId="34675FD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评标标准相应的商务技术</w:t>
      </w:r>
      <w:r>
        <w:rPr>
          <w:rFonts w:hint="eastAsia" w:ascii="仿宋" w:hAnsi="仿宋" w:eastAsia="仿宋" w:cs="仿宋"/>
          <w:color w:val="auto"/>
          <w:sz w:val="24"/>
          <w:szCs w:val="24"/>
          <w:lang w:val="zh-CN"/>
        </w:rPr>
        <w:t>资料；</w:t>
      </w:r>
    </w:p>
    <w:p w14:paraId="28E7E93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zh-CN"/>
        </w:rPr>
        <w:t>商务资信响应表、</w:t>
      </w:r>
      <w:r>
        <w:rPr>
          <w:rFonts w:hint="eastAsia" w:ascii="仿宋" w:hAnsi="仿宋" w:eastAsia="仿宋" w:cs="仿宋"/>
          <w:color w:val="auto"/>
          <w:sz w:val="24"/>
          <w:szCs w:val="24"/>
          <w:lang w:val="zh-CN" w:eastAsia="zh-CN"/>
        </w:rPr>
        <w:t>技术偏离</w:t>
      </w:r>
      <w:r>
        <w:rPr>
          <w:rFonts w:hint="eastAsia" w:ascii="仿宋" w:hAnsi="仿宋" w:eastAsia="仿宋" w:cs="仿宋"/>
          <w:color w:val="auto"/>
          <w:sz w:val="24"/>
          <w:szCs w:val="24"/>
          <w:lang w:val="zh-CN"/>
        </w:rPr>
        <w:t>表；</w:t>
      </w:r>
    </w:p>
    <w:p w14:paraId="696B62D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rPr>
        <w:t>）廉政承诺书；</w:t>
      </w:r>
    </w:p>
    <w:p w14:paraId="2F28779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rPr>
        <w:t>）投标人认为需要提供的与投标评标有关的其他资料。</w:t>
      </w:r>
    </w:p>
    <w:p w14:paraId="0D2BCD01">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4.2.3报价</w:t>
      </w:r>
      <w:r>
        <w:rPr>
          <w:rFonts w:hint="eastAsia" w:ascii="仿宋" w:hAnsi="仿宋" w:eastAsia="仿宋" w:cs="仿宋"/>
          <w:b/>
          <w:bCs/>
          <w:color w:val="auto"/>
          <w:sz w:val="24"/>
          <w:szCs w:val="24"/>
          <w:lang w:eastAsia="zh-CN"/>
        </w:rPr>
        <w:t>文件</w:t>
      </w:r>
    </w:p>
    <w:p w14:paraId="3E79B6EB">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val="zh-CN"/>
        </w:rPr>
        <w:t>开标一览表（</w:t>
      </w:r>
      <w:r>
        <w:rPr>
          <w:rFonts w:hint="eastAsia" w:ascii="仿宋" w:hAnsi="仿宋" w:eastAsia="仿宋" w:cs="仿宋"/>
          <w:b w:val="0"/>
          <w:bCs w:val="0"/>
          <w:color w:val="auto"/>
          <w:sz w:val="24"/>
          <w:szCs w:val="24"/>
        </w:rPr>
        <w:t>格式见附件</w:t>
      </w:r>
      <w:r>
        <w:rPr>
          <w:rFonts w:hint="eastAsia" w:ascii="仿宋" w:hAnsi="仿宋" w:eastAsia="仿宋" w:cs="仿宋"/>
          <w:b w:val="0"/>
          <w:bCs w:val="0"/>
          <w:color w:val="auto"/>
          <w:sz w:val="24"/>
          <w:szCs w:val="24"/>
          <w:lang w:val="zh-CN"/>
        </w:rPr>
        <w:t>）；</w:t>
      </w:r>
    </w:p>
    <w:p w14:paraId="7AA33CDB">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2）投标报价明细表</w:t>
      </w:r>
      <w:r>
        <w:rPr>
          <w:rFonts w:hint="eastAsia" w:ascii="仿宋" w:hAnsi="仿宋" w:eastAsia="仿宋" w:cs="仿宋"/>
          <w:b w:val="0"/>
          <w:bCs w:val="0"/>
          <w:color w:val="auto"/>
          <w:sz w:val="24"/>
          <w:szCs w:val="24"/>
          <w:lang w:val="zh-CN"/>
        </w:rPr>
        <w:t>（</w:t>
      </w:r>
      <w:r>
        <w:rPr>
          <w:rFonts w:hint="eastAsia" w:ascii="仿宋" w:hAnsi="仿宋" w:eastAsia="仿宋" w:cs="仿宋"/>
          <w:b w:val="0"/>
          <w:bCs w:val="0"/>
          <w:color w:val="auto"/>
          <w:sz w:val="24"/>
          <w:szCs w:val="24"/>
        </w:rPr>
        <w:t>格式见附件</w:t>
      </w:r>
      <w:r>
        <w:rPr>
          <w:rFonts w:hint="eastAsia" w:ascii="仿宋" w:hAnsi="仿宋" w:eastAsia="仿宋" w:cs="仿宋"/>
          <w:b w:val="0"/>
          <w:bCs w:val="0"/>
          <w:color w:val="auto"/>
          <w:sz w:val="24"/>
          <w:szCs w:val="24"/>
          <w:lang w:val="zh-CN"/>
        </w:rPr>
        <w:t>）；</w:t>
      </w:r>
    </w:p>
    <w:p w14:paraId="5D9E3247">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投标人针对报价需要说明的其他文件和说明，格式自拟。</w:t>
      </w:r>
    </w:p>
    <w:p w14:paraId="534F115D">
      <w:pPr>
        <w:pageBreakBefore w:val="0"/>
        <w:tabs>
          <w:tab w:val="left" w:pos="399"/>
        </w:tabs>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4.2.4投标时提供的人员、业绩、荣誉、资质、项目案例等，必须为投标人本身所具有。</w:t>
      </w:r>
    </w:p>
    <w:p w14:paraId="341361D3">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4.2.5注意事项：</w:t>
      </w:r>
      <w:r>
        <w:rPr>
          <w:rFonts w:hint="eastAsia" w:ascii="仿宋" w:hAnsi="仿宋" w:eastAsia="仿宋" w:cs="仿宋"/>
          <w:b/>
          <w:color w:val="auto"/>
          <w:sz w:val="24"/>
          <w:szCs w:val="24"/>
        </w:rPr>
        <w:t>投标文件含有采购人不能接受的附加条件的，投标无效；</w:t>
      </w:r>
    </w:p>
    <w:p w14:paraId="68CFD2D9">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lang w:val="en-US" w:eastAsia="zh-CN"/>
        </w:rPr>
        <w:t>4.2.6</w:t>
      </w:r>
      <w:r>
        <w:rPr>
          <w:rFonts w:hint="eastAsia" w:ascii="仿宋" w:hAnsi="仿宋" w:eastAsia="仿宋" w:cs="仿宋"/>
          <w:b/>
          <w:color w:val="auto"/>
          <w:sz w:val="24"/>
          <w:szCs w:val="24"/>
        </w:rPr>
        <w:t>投标人提供虚假材料投标的，投标无效。</w:t>
      </w:r>
    </w:p>
    <w:p w14:paraId="4F6706C0">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4.3、投标文件的编制</w:t>
      </w:r>
    </w:p>
    <w:p w14:paraId="1110DEC4">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4.3.1</w:t>
      </w:r>
      <w:r>
        <w:rPr>
          <w:rFonts w:hint="eastAsia" w:ascii="仿宋" w:hAnsi="仿宋" w:eastAsia="仿宋" w:cs="仿宋"/>
          <w:b/>
          <w:bCs/>
          <w:color w:val="auto"/>
          <w:kern w:val="0"/>
          <w:sz w:val="24"/>
          <w:szCs w:val="24"/>
          <w:lang w:val="zh-CN"/>
        </w:rPr>
        <w:t>投标文件分为资格</w:t>
      </w:r>
      <w:r>
        <w:rPr>
          <w:rFonts w:hint="eastAsia" w:ascii="仿宋" w:hAnsi="仿宋" w:eastAsia="仿宋" w:cs="仿宋"/>
          <w:b/>
          <w:bCs/>
          <w:color w:val="auto"/>
          <w:kern w:val="0"/>
          <w:sz w:val="24"/>
          <w:szCs w:val="24"/>
          <w:lang w:val="en-US" w:eastAsia="zh-CN"/>
        </w:rPr>
        <w:t>证明</w:t>
      </w:r>
      <w:r>
        <w:rPr>
          <w:rFonts w:hint="eastAsia" w:ascii="仿宋" w:hAnsi="仿宋" w:eastAsia="仿宋" w:cs="仿宋"/>
          <w:b/>
          <w:bCs/>
          <w:color w:val="auto"/>
          <w:kern w:val="0"/>
          <w:sz w:val="24"/>
          <w:szCs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5422C0D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本项目通过“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www.lecaiyun.com</w:t>
      </w:r>
      <w:r>
        <w:rPr>
          <w:rFonts w:hint="eastAsia" w:ascii="仿宋" w:hAnsi="仿宋" w:eastAsia="仿宋" w:cs="仿宋"/>
          <w:color w:val="auto"/>
          <w:sz w:val="24"/>
          <w:szCs w:val="24"/>
        </w:rPr>
        <w:t>）”实行在线投标响应（电子投标）。供应商应通过“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电子交易客户端”，并按照本采购文件和“</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”的要求编制并加密投标文件。</w:t>
      </w:r>
    </w:p>
    <w:p w14:paraId="14DA885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投标供应商应当按照本章4.2款中规定的内容及顺序在“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电子交易客户端”编制投标文件。其中《资格文件》和《资信技术文件》中不得出现本项目投标报价</w:t>
      </w:r>
      <w:r>
        <w:rPr>
          <w:rFonts w:hint="eastAsia" w:ascii="仿宋" w:hAnsi="仿宋" w:eastAsia="仿宋" w:cs="仿宋"/>
          <w:color w:val="auto"/>
          <w:sz w:val="24"/>
          <w:szCs w:val="24"/>
          <w:lang w:eastAsia="zh-CN"/>
        </w:rPr>
        <w:t>，否则作无效投标</w:t>
      </w:r>
      <w:r>
        <w:rPr>
          <w:rFonts w:hint="eastAsia" w:ascii="仿宋" w:hAnsi="仿宋" w:eastAsia="仿宋" w:cs="仿宋"/>
          <w:color w:val="auto"/>
          <w:sz w:val="24"/>
          <w:szCs w:val="24"/>
        </w:rPr>
        <w:t>。</w:t>
      </w:r>
    </w:p>
    <w:p w14:paraId="5D591F7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4053546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投标文件应当对采购文件规定的内容进行明确，对采购文件规定的实质性内容应当作出响应。</w:t>
      </w:r>
    </w:p>
    <w:p w14:paraId="4D82240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投标文件由于字迹模糊或表达不清引起的后果由投标人负责。</w:t>
      </w:r>
    </w:p>
    <w:p w14:paraId="5D5EE275">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0C04FBFB">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投标文件的签署、盖章</w:t>
      </w:r>
    </w:p>
    <w:p w14:paraId="0146AAFC">
      <w:pPr>
        <w:pageBreakBefore w:val="0"/>
        <w:kinsoku/>
        <w:wordWrap/>
        <w:overflowPunct/>
        <w:topLinePunct w:val="0"/>
        <w:bidi w:val="0"/>
        <w:adjustRightInd/>
        <w:snapToGrid w:val="0"/>
        <w:spacing w:line="4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5.1</w:t>
      </w:r>
      <w:r>
        <w:rPr>
          <w:rFonts w:hint="eastAsia" w:ascii="仿宋" w:hAnsi="仿宋" w:eastAsia="仿宋" w:cs="仿宋"/>
          <w:b/>
          <w:bCs/>
          <w:color w:val="auto"/>
          <w:sz w:val="24"/>
          <w:szCs w:val="24"/>
        </w:rPr>
        <w:t>投标人的投标文件未按照采购文件要求签署、盖章的，其投标无效。</w:t>
      </w:r>
    </w:p>
    <w:p w14:paraId="31D34A74">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5.2</w:t>
      </w:r>
      <w:r>
        <w:rPr>
          <w:rFonts w:hint="eastAsia" w:ascii="仿宋" w:hAnsi="仿宋" w:eastAsia="仿宋" w:cs="仿宋"/>
          <w:b w:val="0"/>
          <w:bCs w:val="0"/>
          <w:color w:val="auto"/>
          <w:sz w:val="24"/>
          <w:szCs w:val="24"/>
        </w:rPr>
        <w:t>为确保网上操作合法、有效和安全，投标人应当在投标截止时间前完成在“</w:t>
      </w:r>
      <w:r>
        <w:rPr>
          <w:rFonts w:hint="eastAsia" w:ascii="仿宋" w:hAnsi="仿宋" w:eastAsia="仿宋" w:cs="仿宋"/>
          <w:b w:val="0"/>
          <w:bCs w:val="0"/>
          <w:color w:val="auto"/>
          <w:sz w:val="24"/>
          <w:szCs w:val="24"/>
          <w:lang w:eastAsia="zh-CN"/>
        </w:rPr>
        <w:t>采购云平台</w:t>
      </w:r>
      <w:r>
        <w:rPr>
          <w:rFonts w:hint="eastAsia" w:ascii="仿宋" w:hAnsi="仿宋" w:eastAsia="仿宋" w:cs="仿宋"/>
          <w:b w:val="0"/>
          <w:bCs w:val="0"/>
          <w:color w:val="auto"/>
          <w:sz w:val="24"/>
          <w:szCs w:val="24"/>
        </w:rPr>
        <w:t>”的身份认证，确保在电子投标过程中能够对相关数据电文进行加密和使用电子签名。</w:t>
      </w:r>
    </w:p>
    <w:p w14:paraId="61B8C6FD">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5.3</w:t>
      </w:r>
      <w:r>
        <w:rPr>
          <w:rFonts w:hint="eastAsia" w:ascii="仿宋" w:hAnsi="仿宋" w:eastAsia="仿宋" w:cs="仿宋"/>
          <w:b w:val="0"/>
          <w:bCs w:val="0"/>
          <w:color w:val="auto"/>
          <w:sz w:val="24"/>
          <w:szCs w:val="24"/>
        </w:rPr>
        <w:t>采购文件对投标文件签署、盖章的要求适用于电子签名。</w:t>
      </w:r>
    </w:p>
    <w:p w14:paraId="63BFF9EE">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投</w:t>
      </w:r>
      <w:r>
        <w:rPr>
          <w:rFonts w:hint="eastAsia" w:ascii="仿宋" w:hAnsi="仿宋" w:eastAsia="仿宋" w:cs="仿宋"/>
          <w:b/>
          <w:color w:val="auto"/>
          <w:sz w:val="24"/>
          <w:szCs w:val="24"/>
        </w:rPr>
        <w:t>标文件的提交、补充、修改、撤回</w:t>
      </w:r>
    </w:p>
    <w:p w14:paraId="3B5593F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.1、投标文件的上传、递交</w:t>
      </w:r>
    </w:p>
    <w:p w14:paraId="152B7D1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.1.1电子加密投标文件的上传、递交：</w:t>
      </w:r>
    </w:p>
    <w:p w14:paraId="4867A6C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6.1.1.1</w:t>
      </w:r>
      <w:r>
        <w:rPr>
          <w:rFonts w:hint="eastAsia" w:ascii="仿宋" w:hAnsi="仿宋" w:eastAsia="仿宋" w:cs="仿宋"/>
          <w:color w:val="auto"/>
          <w:sz w:val="24"/>
          <w:szCs w:val="24"/>
        </w:rPr>
        <w:t>投标供应商应在投标截止时间前将“电子加密投标文件”成功上传递交至“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”，否则投标无效。</w:t>
      </w:r>
    </w:p>
    <w:p w14:paraId="44882C3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6.1.1.2</w:t>
      </w:r>
      <w:r>
        <w:rPr>
          <w:rFonts w:hint="eastAsia" w:ascii="仿宋" w:hAnsi="仿宋" w:eastAsia="仿宋" w:cs="仿宋"/>
          <w:color w:val="auto"/>
          <w:sz w:val="24"/>
          <w:szCs w:val="24"/>
        </w:rPr>
        <w:t>“电子加密投标文件”成功上传递交后，供应商可自行打印投标文件接收回执。</w:t>
      </w:r>
    </w:p>
    <w:p w14:paraId="7EFBF4C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.1.2备份投标文件的密封包装、递交：</w:t>
      </w:r>
    </w:p>
    <w:p w14:paraId="1571841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6.1.2.1</w:t>
      </w:r>
      <w:r>
        <w:rPr>
          <w:rFonts w:hint="eastAsia" w:ascii="仿宋" w:hAnsi="仿宋" w:eastAsia="仿宋" w:cs="仿宋"/>
          <w:color w:val="auto"/>
          <w:sz w:val="24"/>
          <w:szCs w:val="24"/>
        </w:rPr>
        <w:t>投标供应商在“</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”完成“电子加密投标文件”的上传递交后，还可以（邮寄形式）在投标截止时间前递交以介质（U盘）存储的“备份投标文件”（一份）；</w:t>
      </w:r>
    </w:p>
    <w:p w14:paraId="50F77EE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6.1.2.2</w:t>
      </w:r>
      <w:r>
        <w:rPr>
          <w:rFonts w:hint="eastAsia" w:ascii="仿宋" w:hAnsi="仿宋" w:eastAsia="仿宋" w:cs="仿宋"/>
          <w:color w:val="auto"/>
          <w:sz w:val="24"/>
          <w:szCs w:val="24"/>
        </w:rPr>
        <w:t>“备份投标文件”应当密封包装，并在包装上标注投标项目名称、</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名称并加盖公章。没有密封包装或者逾期邮寄送达至投标地点的“备份投标文件”将不予接收，（邮寄公司采用EMS或顺丰，以代理机构工作人员签收时间为准），采用邮寄的方式的请提前一天通知代理机构；</w:t>
      </w:r>
    </w:p>
    <w:p w14:paraId="3AE70FD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6.1.2.3</w:t>
      </w:r>
      <w:r>
        <w:rPr>
          <w:rFonts w:hint="eastAsia" w:ascii="仿宋" w:hAnsi="仿宋" w:eastAsia="仿宋" w:cs="仿宋"/>
          <w:color w:val="auto"/>
          <w:sz w:val="24"/>
          <w:szCs w:val="24"/>
        </w:rPr>
        <w:t>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p w14:paraId="10B731D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.2、解密和异常情况处理</w:t>
      </w:r>
    </w:p>
    <w:p w14:paraId="124EA99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.2.1开标后，采购组织机构将向各投标供应商发出“电子加密投标文件”的解密通知，各投标供应商代表应当在接到解密通知后30分钟内自行完成“电子加密投标文件”的在线解密。</w:t>
      </w:r>
    </w:p>
    <w:p w14:paraId="4713A13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.2.2通过“</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”成功上传递交的“电子加密投标文件”无法按时解密，投标供应商如按规定递交了“备份投标文件”的，以“备份投标文件”为依据（由采购组织机构按“</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”操作规范将“备份投标文件”上传至“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”，上传成功后，“电子加密投标文件”自动失效），否则视为投标文件撤回。</w:t>
      </w:r>
    </w:p>
    <w:p w14:paraId="60D88E0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.2.3投标截止时间前，投标供应商仅递交了“备份投标文件”而未将电子加密投标文件上传至“</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”的，投标无效。</w:t>
      </w:r>
    </w:p>
    <w:p w14:paraId="0ED34F1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.3、投标文件的修改和撤回</w:t>
      </w:r>
    </w:p>
    <w:p w14:paraId="487DFD7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仿宋" w:hAnsi="仿宋" w:eastAsia="仿宋" w:cs="仿宋"/>
          <w:color w:val="auto"/>
          <w:sz w:val="24"/>
          <w:szCs w:val="24"/>
          <w:lang w:eastAsia="zh-CN"/>
        </w:rPr>
        <w:t>采购云平台</w:t>
      </w:r>
      <w:r>
        <w:rPr>
          <w:rFonts w:hint="eastAsia" w:ascii="仿宋" w:hAnsi="仿宋" w:eastAsia="仿宋" w:cs="仿宋"/>
          <w:color w:val="auto"/>
          <w:sz w:val="24"/>
          <w:szCs w:val="24"/>
        </w:rPr>
        <w:t>”将予以拒收。</w:t>
      </w:r>
    </w:p>
    <w:p w14:paraId="23FAEC6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.3.2投标截止时间后，投标供应商不得撤回、修改投标文件。</w:t>
      </w:r>
    </w:p>
    <w:p w14:paraId="2A08531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.4、备选投标方案</w:t>
      </w:r>
    </w:p>
    <w:p w14:paraId="277CFE1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投标人不得提交备选投标方案，否则，投标文件将被判定为无效标。（与“电子加密投标文件”同时生成的“备份投标文件”不是投标备选（替代）方案）</w:t>
      </w:r>
    </w:p>
    <w:p w14:paraId="10F11C5F">
      <w:pPr>
        <w:pageBreakBefore w:val="0"/>
        <w:numPr>
          <w:ilvl w:val="0"/>
          <w:numId w:val="11"/>
        </w:numPr>
        <w:kinsoku/>
        <w:wordWrap/>
        <w:overflowPunct/>
        <w:topLinePunct w:val="0"/>
        <w:bidi w:val="0"/>
        <w:adjustRightInd/>
        <w:spacing w:line="4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备份投标文件</w:t>
      </w:r>
    </w:p>
    <w:p w14:paraId="60F2E610">
      <w:pPr>
        <w:pageBreakBefore w:val="0"/>
        <w:numPr>
          <w:ilvl w:val="0"/>
          <w:numId w:val="0"/>
        </w:numPr>
        <w:kinsoku/>
        <w:wordWrap/>
        <w:overflowPunct/>
        <w:topLinePunct w:val="0"/>
        <w:bidi w:val="0"/>
        <w:adjustRightInd/>
        <w:spacing w:line="460" w:lineRule="exact"/>
        <w:ind w:firstLine="480" w:firstLineChars="200"/>
        <w:textAlignment w:val="auto"/>
        <w:rPr>
          <w:rFonts w:hint="eastAsia" w:ascii="仿宋" w:hAnsi="仿宋" w:eastAsia="仿宋" w:cs="仿宋"/>
          <w:b w:val="0"/>
          <w:bCs w:val="0"/>
          <w:snapToGrid w:val="0"/>
          <w:color w:val="auto"/>
          <w:sz w:val="24"/>
          <w:szCs w:val="24"/>
        </w:rPr>
      </w:pPr>
      <w:r>
        <w:rPr>
          <w:rFonts w:hint="eastAsia" w:ascii="仿宋" w:hAnsi="仿宋" w:eastAsia="仿宋" w:cs="仿宋"/>
          <w:b w:val="0"/>
          <w:bCs w:val="0"/>
          <w:color w:val="auto"/>
          <w:sz w:val="24"/>
          <w:szCs w:val="24"/>
          <w:lang w:val="en-US" w:eastAsia="zh-CN"/>
        </w:rPr>
        <w:t>7.1</w:t>
      </w:r>
      <w:r>
        <w:rPr>
          <w:rFonts w:hint="eastAsia" w:ascii="仿宋" w:hAnsi="仿宋" w:eastAsia="仿宋" w:cs="仿宋"/>
          <w:snapToGrid w:val="0"/>
          <w:color w:val="auto"/>
          <w:sz w:val="24"/>
          <w:szCs w:val="24"/>
        </w:rPr>
        <w:t>投标人在电子交易平台传输递交投标文件后，还可以在投标截止时间前直接提交或者以邮政快递方式递交备份投标文件1份</w:t>
      </w:r>
      <w:r>
        <w:rPr>
          <w:rFonts w:hint="eastAsia" w:ascii="仿宋" w:hAnsi="仿宋" w:eastAsia="仿宋" w:cs="仿宋"/>
          <w:b/>
          <w:bCs/>
          <w:snapToGrid w:val="0"/>
          <w:color w:val="auto"/>
          <w:sz w:val="24"/>
          <w:szCs w:val="24"/>
        </w:rPr>
        <w:t>，</w:t>
      </w:r>
      <w:r>
        <w:rPr>
          <w:rFonts w:hint="eastAsia" w:ascii="仿宋" w:hAnsi="仿宋" w:eastAsia="仿宋" w:cs="仿宋"/>
          <w:b w:val="0"/>
          <w:bCs w:val="0"/>
          <w:snapToGrid w:val="0"/>
          <w:color w:val="auto"/>
          <w:sz w:val="24"/>
          <w:szCs w:val="24"/>
        </w:rPr>
        <w:t>但采购人、采购机构不强制或变相强制投标人提交备份投标文件。</w:t>
      </w:r>
    </w:p>
    <w:p w14:paraId="3E384600">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.2备份投标文件须在“</w:t>
      </w:r>
      <w:r>
        <w:rPr>
          <w:rFonts w:hint="eastAsia" w:ascii="仿宋" w:hAnsi="仿宋" w:eastAsia="仿宋" w:cs="仿宋"/>
          <w:snapToGrid w:val="0"/>
          <w:color w:val="auto"/>
          <w:sz w:val="24"/>
          <w:szCs w:val="24"/>
          <w:lang w:eastAsia="zh-CN"/>
        </w:rPr>
        <w:t>乐采云</w:t>
      </w:r>
      <w:r>
        <w:rPr>
          <w:rFonts w:hint="eastAsia" w:ascii="仿宋" w:hAnsi="仿宋" w:eastAsia="仿宋" w:cs="仿宋"/>
          <w:snapToGrid w:val="0"/>
          <w:color w:val="auto"/>
          <w:sz w:val="24"/>
          <w:szCs w:val="24"/>
        </w:rPr>
        <w:t>投标客户端”制作生成，并储存在U盘中。</w:t>
      </w:r>
      <w:r>
        <w:rPr>
          <w:rFonts w:hint="eastAsia" w:ascii="仿宋" w:hAnsi="仿宋" w:eastAsia="仿宋" w:cs="仿宋"/>
          <w:b/>
          <w:bCs/>
          <w:snapToGrid w:val="0"/>
          <w:color w:val="auto"/>
          <w:sz w:val="24"/>
          <w:szCs w:val="24"/>
        </w:rPr>
        <w:t>备份投标文件应当密封包装并在包装上加盖公章并注明投标项目名称，投标人名称</w:t>
      </w:r>
      <w:r>
        <w:rPr>
          <w:rFonts w:hint="eastAsia" w:ascii="仿宋" w:hAnsi="仿宋" w:eastAsia="仿宋" w:cs="仿宋"/>
          <w:snapToGrid w:val="0"/>
          <w:color w:val="auto"/>
          <w:sz w:val="24"/>
          <w:szCs w:val="24"/>
        </w:rPr>
        <w:t>(联合体投标的，包装物封面需注明联合体投标，并注明联合体成员各方的名称和联合协议中约定的牵头人的名称)。</w:t>
      </w:r>
      <w:r>
        <w:rPr>
          <w:rFonts w:hint="eastAsia" w:ascii="仿宋" w:hAnsi="仿宋" w:eastAsia="仿宋" w:cs="仿宋"/>
          <w:b/>
          <w:snapToGrid w:val="0"/>
          <w:color w:val="auto"/>
          <w:sz w:val="24"/>
          <w:szCs w:val="24"/>
        </w:rPr>
        <w:t>不符合上述制作、存储、密封规定的备份投标文件将被视为无效或者被拒绝接收。</w:t>
      </w:r>
    </w:p>
    <w:p w14:paraId="37020D69">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.3直接提交备份投标文件的，投标人应于投标截止时间前在采购公告中载明的开标地点将备份投标文件提交给采购机构，采购机构将拒绝接受逾期送达的备份投标文件。</w:t>
      </w:r>
    </w:p>
    <w:p w14:paraId="13AA75D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.4以快递方式递交备份投标文件的，投标人应先将备份投标文件按要求密封和标记，再进行快递包装后邮寄。</w:t>
      </w:r>
    </w:p>
    <w:p w14:paraId="7186CC72">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备份投标文件须在投标截止时间之前送达</w:t>
      </w:r>
      <w:r>
        <w:rPr>
          <w:rFonts w:hint="eastAsia" w:ascii="仿宋" w:hAnsi="仿宋" w:eastAsia="仿宋" w:cs="仿宋"/>
          <w:color w:val="auto"/>
          <w:sz w:val="24"/>
          <w:szCs w:val="24"/>
        </w:rPr>
        <w:t>采购文件第二部分投标人须知前附表规定的备份投标文件送达地点；</w:t>
      </w:r>
      <w:r>
        <w:rPr>
          <w:rFonts w:hint="eastAsia" w:ascii="仿宋" w:hAnsi="仿宋" w:eastAsia="仿宋" w:cs="仿宋"/>
          <w:snapToGrid w:val="0"/>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739E47F2">
      <w:pPr>
        <w:pageBreakBefore w:val="0"/>
        <w:kinsoku/>
        <w:wordWrap/>
        <w:overflowPunct/>
        <w:topLinePunct w:val="0"/>
        <w:bidi w:val="0"/>
        <w:adjustRightInd/>
        <w:spacing w:line="460" w:lineRule="exact"/>
        <w:ind w:firstLine="482" w:firstLineChars="200"/>
        <w:textAlignment w:val="auto"/>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lang w:val="en-US" w:eastAsia="zh-CN"/>
        </w:rPr>
        <w:t>7</w:t>
      </w:r>
      <w:r>
        <w:rPr>
          <w:rFonts w:hint="eastAsia" w:ascii="仿宋" w:hAnsi="仿宋" w:eastAsia="仿宋" w:cs="仿宋"/>
          <w:b/>
          <w:snapToGrid w:val="0"/>
          <w:color w:val="auto"/>
          <w:sz w:val="24"/>
          <w:szCs w:val="24"/>
        </w:rPr>
        <w:t>.</w:t>
      </w:r>
      <w:r>
        <w:rPr>
          <w:rFonts w:hint="eastAsia" w:ascii="仿宋" w:hAnsi="仿宋" w:eastAsia="仿宋" w:cs="仿宋"/>
          <w:b/>
          <w:snapToGrid w:val="0"/>
          <w:color w:val="auto"/>
          <w:sz w:val="24"/>
          <w:szCs w:val="24"/>
          <w:lang w:val="en-US" w:eastAsia="zh-CN"/>
        </w:rPr>
        <w:t>6</w:t>
      </w:r>
      <w:r>
        <w:rPr>
          <w:rFonts w:hint="eastAsia" w:ascii="仿宋" w:hAnsi="仿宋" w:eastAsia="仿宋" w:cs="仿宋"/>
          <w:b/>
          <w:snapToGrid w:val="0"/>
          <w:color w:val="auto"/>
          <w:sz w:val="24"/>
          <w:szCs w:val="24"/>
        </w:rPr>
        <w:t>投标人仅提交备份投标文件，没有在电子交易平台传输递交投标文件的，投标无效。</w:t>
      </w:r>
    </w:p>
    <w:p w14:paraId="72FCA227">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rPr>
      </w:pPr>
      <w:r>
        <w:rPr>
          <w:rFonts w:hint="eastAsia" w:ascii="仿宋" w:hAnsi="仿宋" w:eastAsia="仿宋" w:cs="仿宋"/>
          <w:b/>
          <w:snapToGrid w:val="0"/>
          <w:color w:val="auto"/>
          <w:sz w:val="24"/>
          <w:szCs w:val="24"/>
          <w:lang w:val="en-US" w:eastAsia="zh-CN"/>
        </w:rPr>
        <w:t>8.</w:t>
      </w:r>
      <w:r>
        <w:rPr>
          <w:rFonts w:hint="eastAsia" w:ascii="仿宋" w:hAnsi="仿宋" w:eastAsia="仿宋" w:cs="仿宋"/>
          <w:b/>
          <w:color w:val="auto"/>
          <w:sz w:val="24"/>
          <w:szCs w:val="24"/>
        </w:rPr>
        <w:t>投标有效期</w:t>
      </w:r>
    </w:p>
    <w:p w14:paraId="7827CDAD">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.1投标有效期为从提交投标文件的截止之日起90天。</w:t>
      </w:r>
      <w:r>
        <w:rPr>
          <w:rFonts w:hint="eastAsia" w:ascii="仿宋" w:hAnsi="仿宋" w:eastAsia="仿宋" w:cs="仿宋"/>
          <w:b w:val="0"/>
          <w:bCs w:val="0"/>
          <w:color w:val="auto"/>
          <w:sz w:val="24"/>
          <w:szCs w:val="24"/>
        </w:rPr>
        <w:t>★投标人的投标文件中承诺的投标有效期少于采购文件中载明的投标有效期的，投标无效。</w:t>
      </w:r>
    </w:p>
    <w:p w14:paraId="68A45FC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.2投标文件合格投递后，自投标截止日期起，在投标有效期内有效。</w:t>
      </w:r>
    </w:p>
    <w:p w14:paraId="4881DCD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.3在原定投标有效期满之前，如果出现特殊情况，采购机构可以以书面形式通知投标人延长投标有效期。投标人同意延长的，不得要求或被允许修改其投标文件，投标人拒绝延长的，其投标无效。</w:t>
      </w:r>
    </w:p>
    <w:p w14:paraId="50DEFC0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 8.4</w:t>
      </w:r>
      <w:r>
        <w:rPr>
          <w:rFonts w:hint="eastAsia" w:ascii="仿宋" w:hAnsi="仿宋" w:eastAsia="仿宋" w:cs="仿宋"/>
          <w:snapToGrid w:val="0"/>
          <w:color w:val="auto"/>
          <w:kern w:val="0"/>
          <w:sz w:val="24"/>
          <w:szCs w:val="24"/>
          <w:lang w:eastAsia="zh-CN"/>
        </w:rPr>
        <w:t>中标人</w:t>
      </w:r>
      <w:r>
        <w:rPr>
          <w:rFonts w:hint="eastAsia" w:ascii="仿宋" w:hAnsi="仿宋" w:eastAsia="仿宋" w:cs="仿宋"/>
          <w:snapToGrid w:val="0"/>
          <w:color w:val="auto"/>
          <w:kern w:val="0"/>
          <w:sz w:val="24"/>
          <w:szCs w:val="24"/>
        </w:rPr>
        <w:t>的投标文件自开标之日起至合同履行完毕止均应保持有效。</w:t>
      </w:r>
    </w:p>
    <w:p w14:paraId="69EFFD72">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9</w:t>
      </w:r>
      <w:r>
        <w:rPr>
          <w:rFonts w:hint="eastAsia" w:ascii="仿宋" w:hAnsi="仿宋" w:eastAsia="仿宋" w:cs="仿宋"/>
          <w:b/>
          <w:bCs/>
          <w:color w:val="auto"/>
          <w:sz w:val="24"/>
          <w:szCs w:val="24"/>
        </w:rPr>
        <w:t>、投标报价</w:t>
      </w:r>
    </w:p>
    <w:p w14:paraId="2C751A81">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u w:val="thick"/>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 ★</w:t>
      </w:r>
      <w:r>
        <w:rPr>
          <w:rFonts w:hint="eastAsia" w:ascii="仿宋" w:hAnsi="仿宋" w:eastAsia="仿宋" w:cs="仿宋"/>
          <w:b/>
          <w:color w:val="auto"/>
          <w:sz w:val="24"/>
          <w:szCs w:val="24"/>
          <w:u w:val="thick"/>
        </w:rPr>
        <w:t>本次投标报价为</w:t>
      </w:r>
      <w:r>
        <w:rPr>
          <w:rFonts w:hint="eastAsia" w:ascii="仿宋" w:hAnsi="仿宋" w:eastAsia="仿宋" w:cs="仿宋"/>
          <w:b/>
          <w:color w:val="auto"/>
          <w:sz w:val="24"/>
          <w:szCs w:val="24"/>
          <w:u w:val="thick"/>
          <w:lang w:eastAsia="zh-CN"/>
        </w:rPr>
        <w:t>人民币报价，超过预算价或最高限价（</w:t>
      </w:r>
      <w:r>
        <w:rPr>
          <w:rFonts w:hint="eastAsia" w:ascii="仿宋" w:hAnsi="仿宋" w:eastAsia="仿宋" w:cs="仿宋"/>
          <w:b/>
          <w:color w:val="auto"/>
          <w:sz w:val="24"/>
          <w:szCs w:val="24"/>
          <w:u w:val="thick"/>
          <w:lang w:val="en-US" w:eastAsia="zh-CN"/>
        </w:rPr>
        <w:t>2139153.80元</w:t>
      </w:r>
      <w:r>
        <w:rPr>
          <w:rFonts w:hint="eastAsia" w:ascii="仿宋" w:hAnsi="仿宋" w:eastAsia="仿宋" w:cs="仿宋"/>
          <w:b/>
          <w:color w:val="auto"/>
          <w:sz w:val="24"/>
          <w:szCs w:val="24"/>
          <w:u w:val="thick"/>
          <w:lang w:eastAsia="zh-CN"/>
        </w:rPr>
        <w:t>）的作无效标处理</w:t>
      </w:r>
      <w:r>
        <w:rPr>
          <w:rFonts w:hint="eastAsia" w:ascii="仿宋" w:hAnsi="仿宋" w:eastAsia="仿宋" w:cs="仿宋"/>
          <w:b/>
          <w:bCs/>
          <w:color w:val="auto"/>
          <w:sz w:val="24"/>
          <w:szCs w:val="24"/>
          <w:u w:val="none"/>
        </w:rPr>
        <w:t>。</w:t>
      </w:r>
    </w:p>
    <w:p w14:paraId="381E1B1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5F2E2D8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 xml:space="preserve">.3 </w:t>
      </w:r>
      <w:r>
        <w:rPr>
          <w:rFonts w:hint="eastAsia" w:ascii="仿宋" w:hAnsi="仿宋" w:eastAsia="仿宋" w:cs="仿宋"/>
          <w:color w:val="auto"/>
          <w:sz w:val="24"/>
          <w:szCs w:val="24"/>
        </w:rPr>
        <w:t>投标报价应按不同费用类别分开填写，具体详见“投标文件格式”。</w:t>
      </w:r>
    </w:p>
    <w:p w14:paraId="24E54D98">
      <w:pPr>
        <w:pageBreakBefore w:val="0"/>
        <w:kinsoku/>
        <w:wordWrap/>
        <w:overflowPunct/>
        <w:topLinePunct w:val="0"/>
        <w:bidi w:val="0"/>
        <w:adjustRightInd/>
        <w:spacing w:line="460" w:lineRule="exact"/>
        <w:ind w:firstLine="420"/>
        <w:textAlignment w:val="auto"/>
        <w:rPr>
          <w:rFonts w:hint="eastAsia" w:ascii="仿宋" w:hAnsi="仿宋" w:eastAsia="仿宋" w:cs="仿宋"/>
          <w:b/>
          <w:color w:val="auto"/>
          <w:sz w:val="24"/>
          <w:szCs w:val="24"/>
          <w:u w:val="thick"/>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 ★</w:t>
      </w:r>
      <w:r>
        <w:rPr>
          <w:rFonts w:hint="eastAsia" w:ascii="仿宋" w:hAnsi="仿宋" w:eastAsia="仿宋" w:cs="仿宋"/>
          <w:b/>
          <w:color w:val="auto"/>
          <w:sz w:val="24"/>
          <w:szCs w:val="24"/>
          <w:u w:val="thick"/>
        </w:rPr>
        <w:t>所投标项只允许有一个报价，不接受有选择报价的投标文件。</w:t>
      </w:r>
    </w:p>
    <w:p w14:paraId="7700E132">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、投标文件的式样</w:t>
      </w:r>
    </w:p>
    <w:p w14:paraId="355D700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 投标人通过“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”平台制作电子投标文件，投标文件制作详见“供应商-采购项目电子交易操作指南”。</w:t>
      </w:r>
    </w:p>
    <w:p w14:paraId="47E541A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 投标文件是电子投标文件，包括“电子加密投标文件”和“备份投标文件”，在投标文件编制完成后同时生成。</w:t>
      </w:r>
    </w:p>
    <w:p w14:paraId="7188E98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10.2.1</w:t>
      </w:r>
      <w:r>
        <w:rPr>
          <w:rFonts w:hint="eastAsia" w:ascii="仿宋" w:hAnsi="仿宋" w:eastAsia="仿宋" w:cs="仿宋"/>
          <w:color w:val="auto"/>
          <w:sz w:val="24"/>
          <w:szCs w:val="24"/>
        </w:rPr>
        <w:t>“电子加密投标文件”是指通过“</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电子交易客户端”完成投标文件编制后生成并加密的数据电文形式的投标文件。</w:t>
      </w:r>
    </w:p>
    <w:p w14:paraId="054BABC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10.2.2</w:t>
      </w:r>
      <w:r>
        <w:rPr>
          <w:rFonts w:hint="eastAsia" w:ascii="仿宋" w:hAnsi="仿宋" w:eastAsia="仿宋" w:cs="仿宋"/>
          <w:color w:val="auto"/>
          <w:sz w:val="24"/>
          <w:szCs w:val="24"/>
        </w:rPr>
        <w:t>“备份投标文件”是指与“电子加密投标文件”同时生成的数据电文形式的电子文件（备份标书，用于供应商标书解密异常时应急使用），其他方式编制的备份投标文件视为无效备份投标文件。</w:t>
      </w:r>
    </w:p>
    <w:p w14:paraId="415D248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10.2.3</w:t>
      </w:r>
      <w:r>
        <w:rPr>
          <w:rFonts w:hint="eastAsia" w:ascii="仿宋" w:hAnsi="仿宋" w:eastAsia="仿宋" w:cs="仿宋"/>
          <w:color w:val="auto"/>
          <w:sz w:val="24"/>
          <w:szCs w:val="24"/>
        </w:rPr>
        <w:t>一份电子加密标书（后缀格式为.jmbs），一份备份标书文件（后缀格式为.bfbs）</w:t>
      </w:r>
    </w:p>
    <w:p w14:paraId="1535860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10.2.4</w:t>
      </w:r>
      <w:r>
        <w:rPr>
          <w:rFonts w:hint="eastAsia" w:ascii="仿宋" w:hAnsi="仿宋" w:eastAsia="仿宋" w:cs="仿宋"/>
          <w:color w:val="auto"/>
          <w:sz w:val="24"/>
          <w:szCs w:val="24"/>
        </w:rPr>
        <w:t>每份电子投标文件应包括资格证明文件、资信技术文件、报价文件三部分内容。</w:t>
      </w:r>
    </w:p>
    <w:p w14:paraId="1D71743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 投标文件中投标函、</w:t>
      </w:r>
      <w:r>
        <w:rPr>
          <w:rFonts w:hint="eastAsia" w:ascii="仿宋" w:hAnsi="仿宋" w:eastAsia="仿宋" w:cs="仿宋"/>
          <w:color w:val="auto"/>
          <w:sz w:val="24"/>
          <w:szCs w:val="24"/>
          <w:lang w:val="zh-CN"/>
        </w:rPr>
        <w:t>法定代表人授权委托书</w:t>
      </w:r>
      <w:r>
        <w:rPr>
          <w:rFonts w:hint="eastAsia" w:ascii="仿宋" w:hAnsi="仿宋" w:eastAsia="仿宋" w:cs="仿宋"/>
          <w:color w:val="auto"/>
          <w:sz w:val="24"/>
          <w:szCs w:val="24"/>
        </w:rPr>
        <w:t>的格式、签字、盖章及内容均应符合采购文件格式要求，否则投标文件无效。</w:t>
      </w:r>
    </w:p>
    <w:p w14:paraId="1E19BCD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.4投标人应根据“</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供应商项目采购-电子招投标操作指南”及本采购文件规定编制电子投标文件并进行关联定位，以便评标委员会在评标时，点击评分项，可直接定位到该评分项内容。</w:t>
      </w:r>
    </w:p>
    <w:p w14:paraId="702301B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73"/>
    <w:bookmarkEnd w:id="74"/>
    <w:p w14:paraId="150CA2A4">
      <w:pPr>
        <w:pStyle w:val="4"/>
        <w:pageBreakBefore w:val="0"/>
        <w:kinsoku/>
        <w:wordWrap/>
        <w:overflowPunct/>
        <w:topLinePunct w:val="0"/>
        <w:bidi w:val="0"/>
        <w:adjustRightInd/>
        <w:spacing w:line="460" w:lineRule="exact"/>
        <w:ind w:firstLine="420"/>
        <w:jc w:val="center"/>
        <w:textAlignment w:val="auto"/>
        <w:rPr>
          <w:rFonts w:hint="eastAsia" w:ascii="仿宋" w:hAnsi="仿宋" w:eastAsia="仿宋" w:cs="仿宋"/>
          <w:color w:val="auto"/>
          <w:sz w:val="32"/>
          <w:szCs w:val="32"/>
        </w:rPr>
      </w:pPr>
      <w:bookmarkStart w:id="75" w:name="_Toc82873326"/>
      <w:bookmarkStart w:id="76" w:name="_Toc54978894"/>
      <w:bookmarkStart w:id="77" w:name="_Toc82338243"/>
      <w:bookmarkStart w:id="78" w:name="_Toc35261575"/>
      <w:bookmarkStart w:id="79" w:name="_Toc450482500"/>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、开标、</w:t>
      </w:r>
      <w:r>
        <w:rPr>
          <w:rFonts w:hint="eastAsia" w:ascii="仿宋" w:hAnsi="仿宋" w:eastAsia="仿宋" w:cs="仿宋"/>
          <w:color w:val="auto"/>
          <w:sz w:val="32"/>
          <w:szCs w:val="32"/>
          <w:lang w:eastAsia="zh-CN"/>
        </w:rPr>
        <w:t>资格审查与信用信息查询</w:t>
      </w:r>
      <w:bookmarkEnd w:id="75"/>
      <w:bookmarkEnd w:id="76"/>
      <w:bookmarkEnd w:id="77"/>
      <w:bookmarkEnd w:id="78"/>
      <w:bookmarkEnd w:id="79"/>
    </w:p>
    <w:p w14:paraId="67A9CD9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.1．开标</w:t>
      </w:r>
    </w:p>
    <w:p w14:paraId="3CE4C65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.1.1 </w:t>
      </w:r>
      <w:r>
        <w:rPr>
          <w:rFonts w:hint="eastAsia" w:ascii="仿宋" w:hAnsi="仿宋" w:eastAsia="仿宋" w:cs="仿宋"/>
          <w:color w:val="auto"/>
          <w:kern w:val="0"/>
          <w:sz w:val="24"/>
          <w:szCs w:val="24"/>
        </w:rPr>
        <w:t>采购机构按照采购文件规定的时间通过电子交易平台组织开标，所有投标人均应当准时在线参加。投标人不足3家的，不得开标。</w:t>
      </w:r>
    </w:p>
    <w:p w14:paraId="542B43B0">
      <w:pPr>
        <w:pageBreakBefore w:val="0"/>
        <w:kinsoku/>
        <w:wordWrap/>
        <w:overflowPunct/>
        <w:topLinePunct w:val="0"/>
        <w:autoSpaceDE w:val="0"/>
        <w:autoSpaceDN w:val="0"/>
        <w:bidi w:val="0"/>
        <w:adjustRightInd/>
        <w:spacing w:line="460" w:lineRule="exact"/>
        <w:ind w:firstLine="480" w:firstLineChars="200"/>
        <w:contextualSpacing/>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.1.2</w:t>
      </w:r>
      <w:r>
        <w:rPr>
          <w:rFonts w:hint="eastAsia" w:ascii="仿宋" w:hAnsi="仿宋" w:eastAsia="仿宋" w:cs="仿宋"/>
          <w:color w:val="auto"/>
          <w:kern w:val="0"/>
          <w:sz w:val="24"/>
          <w:szCs w:val="24"/>
        </w:rPr>
        <w:t>开标时，电子交易平台按开标时间自动提取所有投标文件。采购机构依托电子交易平台发起开始解密指令，投标人按照平台提示和采购文件的规定在半小时内完成在线解密。</w:t>
      </w:r>
    </w:p>
    <w:p w14:paraId="69955C30">
      <w:pPr>
        <w:pageBreakBefore w:val="0"/>
        <w:kinsoku/>
        <w:wordWrap/>
        <w:overflowPunct/>
        <w:topLinePunct w:val="0"/>
        <w:autoSpaceDE w:val="0"/>
        <w:autoSpaceDN w:val="0"/>
        <w:bidi w:val="0"/>
        <w:adjustRightInd/>
        <w:spacing w:line="460" w:lineRule="exact"/>
        <w:ind w:firstLine="482" w:firstLineChars="200"/>
        <w:contextualSpacing/>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5.1.3</w:t>
      </w:r>
      <w:r>
        <w:rPr>
          <w:rFonts w:hint="eastAsia" w:ascii="仿宋" w:hAnsi="仿宋" w:eastAsia="仿宋" w:cs="仿宋"/>
          <w:b/>
          <w:bCs/>
          <w:color w:val="auto"/>
          <w:kern w:val="0"/>
          <w:sz w:val="24"/>
          <w:szCs w:val="24"/>
        </w:rPr>
        <w:t>投标文件未按时解密，投标人提供了备份投标文件的，以备份投标文件作为依据，否则视为投标文件撤回。投标文件已按时解密的，备份投标文件自动失效。</w:t>
      </w:r>
    </w:p>
    <w:p w14:paraId="0A348CEB">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5.1.4</w:t>
      </w:r>
      <w:r>
        <w:rPr>
          <w:rFonts w:hint="eastAsia" w:ascii="仿宋" w:hAnsi="仿宋" w:eastAsia="仿宋" w:cs="仿宋"/>
          <w:color w:val="auto"/>
          <w:sz w:val="24"/>
          <w:szCs w:val="24"/>
        </w:rPr>
        <w:t>开评标期间，投标人代表应在线操作，并关注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有关信息公布、澄清等情况。投标人代表不参加开标程序的，事后不得对采购相关人员、开标过程和开标结果提出异议。</w:t>
      </w:r>
    </w:p>
    <w:p w14:paraId="13CD2A0B">
      <w:pPr>
        <w:pageBreakBefore w:val="0"/>
        <w:kinsoku/>
        <w:wordWrap/>
        <w:overflowPunct/>
        <w:topLinePunct w:val="0"/>
        <w:bidi w:val="0"/>
        <w:adjustRightInd/>
        <w:snapToGrid w:val="0"/>
        <w:spacing w:line="460" w:lineRule="exact"/>
        <w:ind w:firstLine="241" w:firstLineChars="100"/>
        <w:jc w:val="left"/>
        <w:textAlignment w:val="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5.2</w:t>
      </w:r>
      <w:r>
        <w:rPr>
          <w:rFonts w:hint="eastAsia" w:ascii="仿宋" w:hAnsi="仿宋" w:eastAsia="仿宋" w:cs="仿宋"/>
          <w:b/>
          <w:bCs/>
          <w:color w:val="auto"/>
          <w:sz w:val="24"/>
          <w:szCs w:val="24"/>
        </w:rPr>
        <w:t>资格审查</w:t>
      </w:r>
    </w:p>
    <w:p w14:paraId="76B7B54D">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.1开标后，采购人或采购机构将依法对投标人的资格进行审查。</w:t>
      </w:r>
    </w:p>
    <w:p w14:paraId="06A75080">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sz w:val="24"/>
          <w:szCs w:val="24"/>
        </w:rPr>
        <w:t>采购人或采购机构依据法律法规和采购文件的规定，对投标人的资格进行审查。</w:t>
      </w:r>
    </w:p>
    <w:p w14:paraId="52F6A8D4">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.3投标人未按照采购文件要求提供与</w:t>
      </w:r>
      <w:r>
        <w:rPr>
          <w:rFonts w:hint="eastAsia" w:ascii="仿宋" w:hAnsi="仿宋" w:eastAsia="仿宋" w:cs="仿宋"/>
          <w:color w:val="auto"/>
          <w:sz w:val="24"/>
          <w:szCs w:val="24"/>
        </w:rPr>
        <w:t>资格条件相应的</w:t>
      </w:r>
      <w:r>
        <w:rPr>
          <w:rFonts w:hint="eastAsia" w:ascii="仿宋" w:hAnsi="仿宋" w:eastAsia="仿宋" w:cs="仿宋"/>
          <w:color w:val="auto"/>
          <w:kern w:val="0"/>
          <w:sz w:val="24"/>
          <w:szCs w:val="24"/>
        </w:rPr>
        <w:t>有效资格证明材料的，视为</w:t>
      </w:r>
      <w:r>
        <w:rPr>
          <w:rFonts w:hint="eastAsia" w:ascii="仿宋" w:hAnsi="仿宋" w:eastAsia="仿宋" w:cs="仿宋"/>
          <w:color w:val="auto"/>
          <w:sz w:val="24"/>
          <w:szCs w:val="24"/>
        </w:rPr>
        <w:t>投标人不具备采购文件中规定的资格要求，其投标无效。</w:t>
      </w:r>
    </w:p>
    <w:p w14:paraId="0235B35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4对未通过资格审查的投标人，采购人或采购机构告知其未通过的原因。</w:t>
      </w:r>
    </w:p>
    <w:p w14:paraId="64CD4F29">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5合格投标人不足3家的，不再评标。</w:t>
      </w:r>
    </w:p>
    <w:p w14:paraId="2419DBDC">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lang w:val="en-US" w:eastAsia="zh-CN"/>
        </w:rPr>
        <w:t>5.3</w:t>
      </w:r>
      <w:r>
        <w:rPr>
          <w:rFonts w:hint="eastAsia" w:ascii="仿宋" w:hAnsi="仿宋" w:eastAsia="仿宋" w:cs="仿宋"/>
          <w:b/>
          <w:bCs/>
          <w:color w:val="auto"/>
          <w:kern w:val="0"/>
          <w:sz w:val="24"/>
          <w:szCs w:val="24"/>
        </w:rPr>
        <w:t>信用信息查询</w:t>
      </w:r>
    </w:p>
    <w:p w14:paraId="0F27011F">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5.3.1</w:t>
      </w:r>
      <w:r>
        <w:rPr>
          <w:rFonts w:hint="eastAsia" w:ascii="仿宋" w:hAnsi="仿宋" w:eastAsia="仿宋" w:cs="仿宋"/>
          <w:color w:val="auto"/>
          <w:kern w:val="0"/>
          <w:sz w:val="24"/>
          <w:szCs w:val="24"/>
          <w:lang w:eastAsia="zh-CN"/>
        </w:rPr>
        <w:t>信用信息查询</w:t>
      </w:r>
      <w:r>
        <w:rPr>
          <w:rFonts w:hint="eastAsia" w:ascii="仿宋" w:hAnsi="仿宋" w:eastAsia="仿宋" w:cs="仿宋"/>
          <w:color w:val="auto"/>
          <w:kern w:val="0"/>
          <w:sz w:val="24"/>
          <w:szCs w:val="24"/>
        </w:rPr>
        <w:t>渠道及截止时间：采购机构将在资格审查时通过“信用中国”网站(www.creditchina.gov.cn)、中国政府采购网(www.ccgp.gov.cn)渠道查询投标人接受资格时的信用记录。</w:t>
      </w:r>
    </w:p>
    <w:p w14:paraId="081E106D">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rPr>
      </w:pPr>
      <w:bookmarkStart w:id="80" w:name="_Hlk125840869"/>
      <w:r>
        <w:rPr>
          <w:rFonts w:hint="eastAsia" w:ascii="仿宋" w:hAnsi="仿宋" w:eastAsia="仿宋" w:cs="仿宋"/>
          <w:color w:val="auto"/>
          <w:kern w:val="0"/>
          <w:sz w:val="24"/>
          <w:szCs w:val="24"/>
          <w:lang w:val="en-US" w:eastAsia="zh-CN"/>
        </w:rPr>
        <w:t>5.3.2</w:t>
      </w:r>
      <w:r>
        <w:rPr>
          <w:rFonts w:hint="eastAsia" w:ascii="仿宋" w:hAnsi="仿宋" w:eastAsia="仿宋" w:cs="仿宋"/>
          <w:color w:val="auto"/>
          <w:kern w:val="0"/>
          <w:sz w:val="24"/>
          <w:szCs w:val="24"/>
        </w:rPr>
        <w:t>信用信息查询记录和证据留存的具体方式：现场查询的投标人的信用记录、查询结果经确认后将与采购文件一起存档。</w:t>
      </w:r>
    </w:p>
    <w:p w14:paraId="12C00BD0">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5.3.3</w:t>
      </w:r>
      <w:r>
        <w:rPr>
          <w:rFonts w:hint="eastAsia" w:ascii="仿宋" w:hAnsi="仿宋" w:eastAsia="仿宋" w:cs="仿宋"/>
          <w:color w:val="auto"/>
          <w:kern w:val="0"/>
          <w:sz w:val="24"/>
          <w:szCs w:val="24"/>
        </w:rPr>
        <w:t>信用信息的使用规则：经查询列入失信被执行人名单、重大税收违法案件当事人名单、政府采购严重违法失信行为记录名单的投标人将被拒绝参与采购活动。</w:t>
      </w:r>
    </w:p>
    <w:p w14:paraId="232BA05F">
      <w:pPr>
        <w:pStyle w:val="287"/>
        <w:pageBreakBefore w:val="0"/>
        <w:kinsoku/>
        <w:wordWrap/>
        <w:overflowPunct/>
        <w:topLinePunct w:val="0"/>
        <w:bidi w:val="0"/>
        <w:adjustRightInd/>
        <w:spacing w:before="0" w:line="46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5.3.4</w:t>
      </w:r>
      <w:r>
        <w:rPr>
          <w:rFonts w:hint="eastAsia" w:ascii="仿宋" w:hAnsi="仿宋" w:eastAsia="仿宋" w:cs="仿宋"/>
          <w:color w:val="auto"/>
          <w:kern w:val="0"/>
          <w:sz w:val="24"/>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bookmarkEnd w:id="80"/>
      <w:r>
        <w:rPr>
          <w:rFonts w:hint="eastAsia" w:ascii="仿宋" w:hAnsi="仿宋" w:eastAsia="仿宋" w:cs="仿宋"/>
          <w:color w:val="auto"/>
          <w:sz w:val="24"/>
          <w:szCs w:val="24"/>
        </w:rPr>
        <w:t>。</w:t>
      </w:r>
    </w:p>
    <w:p w14:paraId="5B741DFF">
      <w:pPr>
        <w:keepNext w:val="0"/>
        <w:keepLines w:val="0"/>
        <w:pageBreakBefore w:val="0"/>
        <w:widowControl w:val="0"/>
        <w:kinsoku/>
        <w:wordWrap/>
        <w:overflowPunct/>
        <w:topLinePunct w:val="0"/>
        <w:autoSpaceDE/>
        <w:autoSpaceDN/>
        <w:bidi w:val="0"/>
        <w:adjustRightInd/>
        <w:snapToGrid/>
        <w:spacing w:before="313" w:beforeLines="100" w:line="4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评标</w:t>
      </w:r>
    </w:p>
    <w:p w14:paraId="596A5C3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 评标组织</w:t>
      </w:r>
    </w:p>
    <w:p w14:paraId="147F032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评标工作由招标采购单位负责组织，具体评标事务由招标采购单位依法组建的评标委员会负责。评标委员会由采购人代表和有关技术、经济等方面的专家组成，成员人数应当为五人及以上单数。</w:t>
      </w:r>
    </w:p>
    <w:p w14:paraId="36DFE41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6.2评标纪律</w:t>
      </w:r>
    </w:p>
    <w:p w14:paraId="3FD093C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本次评标工作将在严格保密的情况下进行，评标委员会成员名单在定标前将保密。</w:t>
      </w:r>
    </w:p>
    <w:p w14:paraId="02BCF8C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6.3评标办法</w:t>
      </w:r>
    </w:p>
    <w:p w14:paraId="7A0E5A8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采用综合评分法，详见采购文件第四章“评标办法”。</w:t>
      </w:r>
    </w:p>
    <w:p w14:paraId="328735C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 评标程序</w:t>
      </w:r>
    </w:p>
    <w:p w14:paraId="13044F9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6.4.1投标文件初审。初审分为资格</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查和符合性</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w:t>
      </w:r>
    </w:p>
    <w:p w14:paraId="1EAD6AF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6.4.1.1</w:t>
      </w:r>
      <w:r>
        <w:rPr>
          <w:rFonts w:hint="eastAsia" w:ascii="仿宋" w:hAnsi="仿宋" w:eastAsia="仿宋" w:cs="仿宋"/>
          <w:color w:val="auto"/>
          <w:sz w:val="24"/>
          <w:szCs w:val="24"/>
        </w:rPr>
        <w:t>资格</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w:t>
      </w:r>
    </w:p>
    <w:p w14:paraId="6878713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开标后，采购人或采购代理机构将依据法律法规和供应商资格条件对投标人的基本资格条件、特定资格条件进行审查。</w:t>
      </w:r>
    </w:p>
    <w:p w14:paraId="658956D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投标人未按照采购文件中供应商资格条件要求提供相应的有效资格证明材料的，视为投标人不具备采购文件中规定的资格要求，其资格审查不通过。</w:t>
      </w:r>
    </w:p>
    <w:p w14:paraId="76E2C74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6.4.1.2</w:t>
      </w:r>
      <w:r>
        <w:rPr>
          <w:rFonts w:hint="eastAsia" w:ascii="仿宋" w:hAnsi="仿宋" w:eastAsia="仿宋" w:cs="仿宋"/>
          <w:color w:val="auto"/>
          <w:sz w:val="24"/>
          <w:szCs w:val="24"/>
        </w:rPr>
        <w:t>符合性</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查。依据采购文件的规定，从投标文件的有效性、完整性和对采购文件的响应程度进行审查，以确定是否对采购文件的实质性要求作出响应。具体审查内容见投标须知6.</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.1条“无效投标的认定”。</w:t>
      </w:r>
    </w:p>
    <w:p w14:paraId="3274A21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评标委员会决定投标文件的响应性只根据投标文件本身的内容，而不寻求外部证据。</w:t>
      </w:r>
    </w:p>
    <w:p w14:paraId="4CC305E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如果投标文件没有实质上响应采购文件的要求，评标委员会将判定无效，投标人不得通过修改或撤销不合要求的偏离或保留而使其投标成为实质性响应的投标。</w:t>
      </w:r>
    </w:p>
    <w:p w14:paraId="0E706D9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4.1.3</w:t>
      </w:r>
      <w:r>
        <w:rPr>
          <w:rFonts w:hint="eastAsia" w:ascii="仿宋" w:hAnsi="仿宋" w:eastAsia="仿宋" w:cs="仿宋"/>
          <w:color w:val="auto"/>
          <w:sz w:val="24"/>
          <w:szCs w:val="24"/>
        </w:rPr>
        <w:t>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0219C50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投标供应商的澄清、说明或者补正应当由法定代表人或其授权的代表签字（或加盖公章）后扫描上传提交。</w:t>
      </w:r>
    </w:p>
    <w:p w14:paraId="74738AE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授权代表对澄清、说明或者补正内容未签字确认的，将自行承担由此可能导致的对其不利的评审结果，评标委员会按少数服从多数原则对相关内容进行评判。</w:t>
      </w:r>
    </w:p>
    <w:p w14:paraId="3CF8BBE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除邮件交互外，如</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平台提供信息发布、澄清说明、数据交换等操作方式的，或者</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系统平台有新的操作流程的，按其规定。</w:t>
      </w:r>
    </w:p>
    <w:p w14:paraId="76E6AC1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rPr>
        <w:t>.4修正原则</w:t>
      </w:r>
    </w:p>
    <w:p w14:paraId="2F08ED9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投标文件报价出现前后不一致的，按照下列规定修正：</w:t>
      </w:r>
    </w:p>
    <w:p w14:paraId="26A8003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投标文件中开标一览表(报价表)内容与投标文件中相应内容不一致的，以开标一览表(报价表)为准；</w:t>
      </w:r>
    </w:p>
    <w:p w14:paraId="51893B0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rPr>
        <w:t>大写金额和小写金额不一致的，以大写金额为准；</w:t>
      </w:r>
    </w:p>
    <w:p w14:paraId="72B5C0F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rPr>
        <w:tab/>
      </w:r>
      <w:r>
        <w:rPr>
          <w:rFonts w:hint="eastAsia" w:ascii="仿宋" w:hAnsi="仿宋" w:eastAsia="仿宋" w:cs="仿宋"/>
          <w:color w:val="auto"/>
          <w:sz w:val="24"/>
          <w:szCs w:val="24"/>
        </w:rPr>
        <w:t>单价金额小数点或者百分比有明显错位的，以开标一览表的总价为准，并修改单价；</w:t>
      </w:r>
    </w:p>
    <w:p w14:paraId="562E71D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rPr>
        <w:tab/>
      </w:r>
      <w:r>
        <w:rPr>
          <w:rFonts w:hint="eastAsia" w:ascii="仿宋" w:hAnsi="仿宋" w:eastAsia="仿宋" w:cs="仿宋"/>
          <w:color w:val="auto"/>
          <w:sz w:val="24"/>
          <w:szCs w:val="24"/>
        </w:rPr>
        <w:t>总价金额与按单价汇总金额不一致的，以单价金额计算结果为准。</w:t>
      </w:r>
    </w:p>
    <w:p w14:paraId="0EC9494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同时出现两种以上不一致的，按照前款规定的顺序修正。修正后的报价经投标人确认后产生约束力，投标人不确认的，其投标无效。</w:t>
      </w:r>
    </w:p>
    <w:p w14:paraId="52B3112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4.1.5</w:t>
      </w:r>
      <w:r>
        <w:rPr>
          <w:rFonts w:hint="eastAsia" w:ascii="仿宋" w:hAnsi="仿宋" w:eastAsia="仿宋" w:cs="仿宋"/>
          <w:color w:val="auto"/>
          <w:sz w:val="24"/>
          <w:szCs w:val="24"/>
        </w:rPr>
        <w:t>比较与评价。</w:t>
      </w:r>
    </w:p>
    <w:p w14:paraId="2CC41FC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按采购文件中规定的评标方法和标准，对资格性检查和符合性检查合格的投标文件进行商务和技术评估，综合比较与评价。</w:t>
      </w:r>
    </w:p>
    <w:p w14:paraId="552FE59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4.1.6</w:t>
      </w:r>
      <w:r>
        <w:rPr>
          <w:rFonts w:hint="eastAsia" w:ascii="仿宋" w:hAnsi="仿宋" w:eastAsia="仿宋" w:cs="仿宋"/>
          <w:color w:val="auto"/>
          <w:sz w:val="24"/>
          <w:szCs w:val="24"/>
        </w:rPr>
        <w:t>按采购文件中规定的评标方法和标准，对投标人进行排序，并推荐中标候选人。</w:t>
      </w:r>
    </w:p>
    <w:p w14:paraId="44894CB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4.1.7</w:t>
      </w:r>
      <w:r>
        <w:rPr>
          <w:rFonts w:hint="eastAsia" w:ascii="仿宋" w:hAnsi="仿宋" w:eastAsia="仿宋" w:cs="仿宋"/>
          <w:color w:val="auto"/>
          <w:sz w:val="24"/>
          <w:szCs w:val="24"/>
        </w:rPr>
        <w:t>编写评标报告。</w:t>
      </w:r>
    </w:p>
    <w:p w14:paraId="6C2CEDD2">
      <w:pPr>
        <w:pageBreakBefore w:val="0"/>
        <w:kinsoku/>
        <w:wordWrap/>
        <w:overflowPunct/>
        <w:topLinePunct w:val="0"/>
        <w:bidi w:val="0"/>
        <w:adjustRightInd/>
        <w:spacing w:line="460" w:lineRule="exact"/>
        <w:ind w:firstLine="42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6.</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无效投标的认定</w:t>
      </w:r>
    </w:p>
    <w:p w14:paraId="3188A6D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w:t>
      </w:r>
      <w:r>
        <w:rPr>
          <w:rFonts w:hint="eastAsia" w:ascii="仿宋" w:hAnsi="仿宋" w:eastAsia="仿宋" w:cs="仿宋"/>
          <w:color w:val="auto"/>
          <w:sz w:val="24"/>
          <w:szCs w:val="24"/>
          <w:lang w:eastAsia="zh-CN"/>
        </w:rPr>
        <w:t>扫描件</w:t>
      </w:r>
      <w:r>
        <w:rPr>
          <w:rFonts w:hint="eastAsia" w:ascii="仿宋" w:hAnsi="仿宋" w:eastAsia="仿宋" w:cs="仿宋"/>
          <w:color w:val="auto"/>
          <w:sz w:val="24"/>
          <w:szCs w:val="24"/>
        </w:rPr>
        <w:t>、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DBA6F1A">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.1如发现下列情形之一的，投标文件将被视为无效投标：</w:t>
      </w:r>
    </w:p>
    <w:p w14:paraId="12F1062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投标人不具备采购文件中规定的资格要求的（投标人未提供有效的资格文件的，视为投标人不具备采购文件中规定的资格要求）；</w:t>
      </w:r>
    </w:p>
    <w:p w14:paraId="70D46015">
      <w:pPr>
        <w:pageBreakBefore w:val="0"/>
        <w:numPr>
          <w:ilvl w:val="0"/>
          <w:numId w:val="0"/>
        </w:numPr>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）未</w:t>
      </w:r>
      <w:r>
        <w:rPr>
          <w:rFonts w:hint="eastAsia" w:ascii="仿宋" w:hAnsi="仿宋" w:eastAsia="仿宋" w:cs="仿宋"/>
          <w:color w:val="auto"/>
          <w:sz w:val="24"/>
          <w:szCs w:val="24"/>
        </w:rPr>
        <w:t>按时上传或按时解密电子投标文件的</w:t>
      </w:r>
    </w:p>
    <w:p w14:paraId="351D5863">
      <w:pPr>
        <w:pageBreakBefore w:val="0"/>
        <w:numPr>
          <w:ilvl w:val="0"/>
          <w:numId w:val="0"/>
        </w:numPr>
        <w:kinsoku/>
        <w:wordWrap/>
        <w:overflowPunct/>
        <w:topLinePunct w:val="0"/>
        <w:bidi w:val="0"/>
        <w:adjustRightIn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）电</w:t>
      </w:r>
      <w:r>
        <w:rPr>
          <w:rFonts w:hint="eastAsia" w:ascii="仿宋" w:hAnsi="仿宋" w:eastAsia="仿宋" w:cs="仿宋"/>
          <w:color w:val="auto"/>
          <w:sz w:val="24"/>
          <w:szCs w:val="24"/>
        </w:rPr>
        <w:t>子投标文件解密失败的，且未在规定时间内提交有效备份投标文件的；</w:t>
      </w:r>
    </w:p>
    <w:p w14:paraId="5FE63E6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电子投标文件未按规定要求提供电子签章的；</w:t>
      </w:r>
    </w:p>
    <w:p w14:paraId="2E31E08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）投标文件没有投标人的法定代表人或法定代表人授权委托人签字、投标文件应盖公章而未盖公章或盖非公司公章、未有效授权、法定代表人授权书填写不完整或有涂改的；</w:t>
      </w:r>
    </w:p>
    <w:p w14:paraId="470E4ED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）不响应采购文件标注“★”条款要求的；</w:t>
      </w:r>
    </w:p>
    <w:p w14:paraId="2266836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）投标文件载明的招标项目合同期或服务期少于采购文件规定期限的；</w:t>
      </w:r>
    </w:p>
    <w:p w14:paraId="6D2017B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）投标文件未响应采购文件规定的付款方式的；</w:t>
      </w:r>
    </w:p>
    <w:p w14:paraId="067A6B1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）投标报价超出预算或最高限价，采购人无法接受的；</w:t>
      </w:r>
    </w:p>
    <w:p w14:paraId="64578273">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lang w:eastAsia="zh-CN"/>
        </w:rPr>
        <w:t>；</w:t>
      </w:r>
    </w:p>
    <w:p w14:paraId="1598310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）投标货物的技术规范、技术标准明显不符合国家强制性要求的；</w:t>
      </w:r>
    </w:p>
    <w:p w14:paraId="4241E90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）投标人提交两份或多份内容不同的报价响应文件，或在一份报价响应文件中对同一内容报有两个或多个报价，且未声明哪一个为最终报价的；</w:t>
      </w:r>
    </w:p>
    <w:p w14:paraId="24A427A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投标报价超过采购文件中规定的预算金额或者最高限价的</w:t>
      </w:r>
      <w:r>
        <w:rPr>
          <w:rFonts w:hint="eastAsia" w:ascii="仿宋" w:hAnsi="仿宋" w:eastAsia="仿宋" w:cs="仿宋"/>
          <w:color w:val="auto"/>
          <w:kern w:val="0"/>
          <w:sz w:val="24"/>
          <w:szCs w:val="24"/>
          <w:lang w:eastAsia="zh-CN"/>
        </w:rPr>
        <w:t>；</w:t>
      </w:r>
    </w:p>
    <w:p w14:paraId="116EFAC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14）</w:t>
      </w:r>
      <w:r>
        <w:rPr>
          <w:rFonts w:hint="eastAsia" w:ascii="仿宋" w:hAnsi="仿宋" w:eastAsia="仿宋" w:cs="仿宋"/>
          <w:color w:val="auto"/>
          <w:kern w:val="0"/>
          <w:sz w:val="24"/>
          <w:szCs w:val="24"/>
        </w:rPr>
        <w:t>投标人对根据修正原则修正后的报价不确认的；</w:t>
      </w:r>
    </w:p>
    <w:p w14:paraId="152C62D1">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投标人提供虚假材料投标的</w:t>
      </w:r>
      <w:r>
        <w:rPr>
          <w:rFonts w:hint="eastAsia" w:ascii="仿宋" w:hAnsi="仿宋" w:eastAsia="仿宋" w:cs="仿宋"/>
          <w:color w:val="auto"/>
          <w:kern w:val="0"/>
          <w:sz w:val="24"/>
          <w:szCs w:val="24"/>
          <w:lang w:val="en-US" w:eastAsia="zh-CN"/>
        </w:rPr>
        <w:t>；</w:t>
      </w:r>
    </w:p>
    <w:p w14:paraId="5114079F">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14:paraId="7A53DBF9">
      <w:pPr>
        <w:pageBreakBefore w:val="0"/>
        <w:kinsoku/>
        <w:wordWrap/>
        <w:overflowPunct/>
        <w:topLinePunct w:val="0"/>
        <w:bidi w:val="0"/>
        <w:adjustRightInd/>
        <w:spacing w:line="460" w:lineRule="exact"/>
        <w:ind w:left="658" w:leftChars="174" w:hanging="240" w:hangingChars="1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17）资信技术文件出现投标报价的；</w:t>
      </w:r>
    </w:p>
    <w:p w14:paraId="576D37D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）投标文件附有采购人不能接受的条款；</w:t>
      </w:r>
    </w:p>
    <w:p w14:paraId="0A240DD5">
      <w:pPr>
        <w:pageBreakBefore w:val="0"/>
        <w:kinsoku/>
        <w:wordWrap/>
        <w:overflowPunct/>
        <w:topLinePunct w:val="0"/>
        <w:bidi w:val="0"/>
        <w:adjustRightInd/>
        <w:spacing w:line="46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19</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投标人仅提交备份投标文件，没有在电子交易平台传输递交投标文件的，投标无效；</w:t>
      </w:r>
    </w:p>
    <w:p w14:paraId="26600A1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）不满足采购文件规定的实质性要求的；</w:t>
      </w:r>
    </w:p>
    <w:p w14:paraId="177D57E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）国家和省另有规定属无效投标文件的。</w:t>
      </w:r>
    </w:p>
    <w:p w14:paraId="333919B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6.3.2有下列情形之一的，视为投标人串通投标，其投标无效：</w:t>
      </w:r>
    </w:p>
    <w:p w14:paraId="395A7FF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1）不同投标人的投标文件由同一单位或者个人编制；</w:t>
      </w:r>
    </w:p>
    <w:p w14:paraId="7BA19A3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2）不同投标人委托同一单位或者个人办理投标事宜；</w:t>
      </w:r>
    </w:p>
    <w:p w14:paraId="46BE13B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3）不同投标人的投标文件载明的项目管理成员或者联系人员为同一人；</w:t>
      </w:r>
    </w:p>
    <w:p w14:paraId="4BDF4E0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4）不同投标人的投标文件异常一致或者投标报价呈规律性差异；</w:t>
      </w:r>
    </w:p>
    <w:p w14:paraId="545B937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5）不同投标人的投标文件相互混装。</w:t>
      </w:r>
    </w:p>
    <w:p w14:paraId="3A992D79">
      <w:pPr>
        <w:pageBreakBefore w:val="0"/>
        <w:numPr>
          <w:ilvl w:val="0"/>
          <w:numId w:val="0"/>
        </w:numPr>
        <w:kinsoku/>
        <w:wordWrap/>
        <w:overflowPunct/>
        <w:topLinePunct w:val="0"/>
        <w:bidi w:val="0"/>
        <w:adjustRightInd/>
        <w:snapToGrid w:val="0"/>
        <w:spacing w:line="460" w:lineRule="exact"/>
        <w:jc w:val="left"/>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p>
    <w:p w14:paraId="1B5087AD">
      <w:pPr>
        <w:pageBreakBefore w:val="0"/>
        <w:numPr>
          <w:ilvl w:val="0"/>
          <w:numId w:val="0"/>
        </w:numPr>
        <w:kinsoku/>
        <w:wordWrap/>
        <w:overflowPunct/>
        <w:topLinePunct w:val="0"/>
        <w:bidi w:val="0"/>
        <w:adjustRightInd/>
        <w:snapToGrid w:val="0"/>
        <w:spacing w:line="460" w:lineRule="exact"/>
        <w:jc w:val="center"/>
        <w:textAlignment w:val="auto"/>
        <w:outlineLvl w:val="2"/>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七、  </w:t>
      </w:r>
      <w:r>
        <w:rPr>
          <w:rFonts w:hint="eastAsia" w:ascii="仿宋" w:hAnsi="仿宋" w:eastAsia="仿宋" w:cs="仿宋"/>
          <w:b/>
          <w:bCs/>
          <w:color w:val="auto"/>
          <w:sz w:val="32"/>
          <w:szCs w:val="32"/>
          <w:lang w:eastAsia="zh-CN"/>
        </w:rPr>
        <w:t>定标</w:t>
      </w:r>
    </w:p>
    <w:p w14:paraId="4C67E605">
      <w:pPr>
        <w:pStyle w:val="287"/>
        <w:pageBreakBefore w:val="0"/>
        <w:kinsoku/>
        <w:wordWrap/>
        <w:overflowPunct/>
        <w:topLinePunct w:val="0"/>
        <w:bidi w:val="0"/>
        <w:adjustRightInd/>
        <w:snapToGrid w:val="0"/>
        <w:spacing w:before="0" w:line="460" w:lineRule="exact"/>
        <w:ind w:firstLine="48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7.1</w:t>
      </w:r>
      <w:r>
        <w:rPr>
          <w:rFonts w:hint="eastAsia" w:ascii="仿宋" w:hAnsi="仿宋" w:eastAsia="仿宋" w:cs="仿宋"/>
          <w:b/>
          <w:color w:val="auto"/>
          <w:sz w:val="24"/>
          <w:szCs w:val="24"/>
        </w:rPr>
        <w:t>确定</w:t>
      </w:r>
      <w:r>
        <w:rPr>
          <w:rFonts w:hint="eastAsia" w:ascii="仿宋" w:hAnsi="仿宋" w:eastAsia="仿宋" w:cs="仿宋"/>
          <w:b/>
          <w:color w:val="auto"/>
          <w:sz w:val="24"/>
          <w:szCs w:val="24"/>
          <w:lang w:eastAsia="zh-CN"/>
        </w:rPr>
        <w:t>中标人</w:t>
      </w:r>
    </w:p>
    <w:p w14:paraId="4A1F83C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7.1.1采购代理机构应当自评审结束之日起2个工作日内将评审报告送交采购人。</w:t>
      </w:r>
    </w:p>
    <w:p w14:paraId="0151DC9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采购人应当自收到评标报告之日起5个工作日内，在评标报告确定的中标候选人名单中按顺序确定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。中标候选人并列的，由采购人或者采购人委托评标委员会按照采购文件规定的方式确定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；采购文件未规定的，采取随机抽取的方式确定。</w:t>
      </w:r>
    </w:p>
    <w:p w14:paraId="29FEC8E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采购人在收到评标报告5个工作日内未按评标报告推荐的中标候选人顺序确定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，又不能说明合法理由的，视同按评标报告推荐的顺序确定排名第一的中标候选人为</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10F16F9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采购人或者采购代理机构应当自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确定之日起2个工作日内，在省级以上财政部门指定的媒体上公告中标结果。</w:t>
      </w:r>
    </w:p>
    <w:p w14:paraId="34A9BA8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公告期限为1个工作日。</w:t>
      </w:r>
    </w:p>
    <w:p w14:paraId="1AD4241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除国务院财政部门规定的情形外，采购人、采购代理机构不得以任何理由组织重新评审。采购人、采购代理机构按照国务院财政部门的规定组织重新评审的，应当书面报告本级人民政府财政部门。</w:t>
      </w:r>
    </w:p>
    <w:p w14:paraId="47700DF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7.3中标通知书发出后，采购人不得违法改变中标结果，</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 xml:space="preserve">无正当理由不得放弃中标。 </w:t>
      </w:r>
    </w:p>
    <w:p w14:paraId="49893F46">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7.2</w:t>
      </w:r>
      <w:r>
        <w:rPr>
          <w:rFonts w:hint="eastAsia" w:ascii="仿宋" w:hAnsi="仿宋" w:eastAsia="仿宋" w:cs="仿宋"/>
          <w:b/>
          <w:color w:val="auto"/>
          <w:sz w:val="24"/>
          <w:szCs w:val="24"/>
        </w:rPr>
        <w:t>. 中标通知与中标结果公告</w:t>
      </w:r>
    </w:p>
    <w:p w14:paraId="5B6055C0">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.1自</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确定之日起2个工作日内，采购机构通过电子交易平台向</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发出中标通知书，同时编制发布采购结果公告。采购机构也可以以纸质形式进行中标通知。</w:t>
      </w:r>
    </w:p>
    <w:p w14:paraId="6C1C82CD">
      <w:pPr>
        <w:pageBreakBefore w:val="0"/>
        <w:widowControl/>
        <w:shd w:val="clear" w:color="auto" w:fill="FFFFFF"/>
        <w:kinsoku/>
        <w:wordWrap/>
        <w:overflowPunct/>
        <w:topLinePunct w:val="0"/>
        <w:bidi w:val="0"/>
        <w:adjustRightInd/>
        <w:spacing w:line="4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.2中标结果公告内容包括采购人及其委托的采购机构的名称、地址、联系方式，项目名称和项目编号，</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名称、地址和中标金额，主要中标标的的名称、规格型号、数量、单价、服务要求，开标记录、</w:t>
      </w:r>
      <w:bookmarkStart w:id="81" w:name="_Hlk101184471"/>
      <w:r>
        <w:rPr>
          <w:rFonts w:hint="eastAsia" w:ascii="仿宋" w:hAnsi="仿宋" w:eastAsia="仿宋" w:cs="仿宋"/>
          <w:color w:val="auto"/>
          <w:sz w:val="24"/>
          <w:szCs w:val="24"/>
        </w:rPr>
        <w:t>资格审查情况、评审专家抽取规则、符合性审查情况、</w:t>
      </w:r>
      <w:bookmarkEnd w:id="81"/>
      <w:r>
        <w:rPr>
          <w:rFonts w:hint="eastAsia" w:ascii="仿宋" w:hAnsi="仿宋" w:eastAsia="仿宋" w:cs="仿宋"/>
          <w:color w:val="auto"/>
          <w:sz w:val="24"/>
          <w:szCs w:val="24"/>
        </w:rPr>
        <w:t>未中标情况说明、中标公告期限以及评审专家名单、评分汇总及明细。</w:t>
      </w:r>
    </w:p>
    <w:p w14:paraId="5C233C87">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rPr>
        <w:t>.3公告期限为1个工作日。</w:t>
      </w:r>
    </w:p>
    <w:p w14:paraId="42569D68">
      <w:pPr>
        <w:pageBreakBefore w:val="0"/>
        <w:kinsoku/>
        <w:wordWrap/>
        <w:overflowPunct/>
        <w:topLinePunct w:val="0"/>
        <w:bidi w:val="0"/>
        <w:adjustRightInd/>
        <w:spacing w:line="4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废标</w:t>
      </w:r>
    </w:p>
    <w:p w14:paraId="06CC7A4E">
      <w:pPr>
        <w:pageBreakBefore w:val="0"/>
        <w:kinsoku/>
        <w:wordWrap/>
        <w:overflowPunct/>
        <w:topLinePunct w:val="0"/>
        <w:bidi w:val="0"/>
        <w:adjustRightInd/>
        <w:spacing w:line="460" w:lineRule="exact"/>
        <w:ind w:firstLine="42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.1出现下列情形之一的，应予以废标：</w:t>
      </w:r>
    </w:p>
    <w:p w14:paraId="294E09C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8.1.1</w:t>
      </w:r>
      <w:r>
        <w:rPr>
          <w:rFonts w:hint="eastAsia" w:ascii="仿宋" w:hAnsi="仿宋" w:eastAsia="仿宋" w:cs="仿宋"/>
          <w:color w:val="auto"/>
          <w:sz w:val="24"/>
          <w:szCs w:val="24"/>
        </w:rPr>
        <w:t>符合专业条件的供应商或者对采购文件作实质响应的供应商不足三家的；</w:t>
      </w:r>
    </w:p>
    <w:p w14:paraId="568CDCA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8.1.2</w:t>
      </w:r>
      <w:r>
        <w:rPr>
          <w:rFonts w:hint="eastAsia" w:ascii="仿宋" w:hAnsi="仿宋" w:eastAsia="仿宋" w:cs="仿宋"/>
          <w:color w:val="auto"/>
          <w:sz w:val="24"/>
          <w:szCs w:val="24"/>
        </w:rPr>
        <w:t>出现影响采购公正的违法、违规行为的；</w:t>
      </w:r>
    </w:p>
    <w:p w14:paraId="7E7BE08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8.1.3</w:t>
      </w:r>
      <w:r>
        <w:rPr>
          <w:rFonts w:hint="eastAsia" w:ascii="仿宋" w:hAnsi="仿宋" w:eastAsia="仿宋" w:cs="仿宋"/>
          <w:color w:val="auto"/>
          <w:sz w:val="24"/>
          <w:szCs w:val="24"/>
        </w:rPr>
        <w:t>所有投标人的报价均超过了采购预算，采购人不能支付的；</w:t>
      </w:r>
    </w:p>
    <w:p w14:paraId="2E5E81B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8.1.4</w:t>
      </w:r>
      <w:r>
        <w:rPr>
          <w:rFonts w:hint="eastAsia" w:ascii="仿宋" w:hAnsi="仿宋" w:eastAsia="仿宋" w:cs="仿宋"/>
          <w:color w:val="auto"/>
          <w:sz w:val="24"/>
          <w:szCs w:val="24"/>
        </w:rPr>
        <w:t>因重大变故，采购任务取消的。</w:t>
      </w:r>
    </w:p>
    <w:p w14:paraId="5D599EF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.2采购过程中出现以下情形，导致电子交易平台无法正常运行，或者无法保证电子交易的公平、公正和安全时，采购组织机构可中止电子交易活动：</w:t>
      </w:r>
    </w:p>
    <w:p w14:paraId="0E02E24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8.2.1</w:t>
      </w:r>
      <w:r>
        <w:rPr>
          <w:rFonts w:hint="eastAsia" w:ascii="仿宋" w:hAnsi="仿宋" w:eastAsia="仿宋" w:cs="仿宋"/>
          <w:color w:val="auto"/>
          <w:sz w:val="24"/>
          <w:szCs w:val="24"/>
        </w:rPr>
        <w:t xml:space="preserve">电子交易平台发生故障而无法登录访问的； </w:t>
      </w:r>
    </w:p>
    <w:p w14:paraId="6236D75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8.2.2</w:t>
      </w:r>
      <w:r>
        <w:rPr>
          <w:rFonts w:hint="eastAsia" w:ascii="仿宋" w:hAnsi="仿宋" w:eastAsia="仿宋" w:cs="仿宋"/>
          <w:color w:val="auto"/>
          <w:sz w:val="24"/>
          <w:szCs w:val="24"/>
        </w:rPr>
        <w:t>电子交易平台应用或数据库出现错误，不能进行正常操作的；</w:t>
      </w:r>
    </w:p>
    <w:p w14:paraId="0C5779C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8.2.3</w:t>
      </w:r>
      <w:r>
        <w:rPr>
          <w:rFonts w:hint="eastAsia" w:ascii="仿宋" w:hAnsi="仿宋" w:eastAsia="仿宋" w:cs="仿宋"/>
          <w:color w:val="auto"/>
          <w:sz w:val="24"/>
          <w:szCs w:val="24"/>
        </w:rPr>
        <w:t>电子交易平台发现严重安全漏洞，有潜在泄密危险的；</w:t>
      </w:r>
    </w:p>
    <w:p w14:paraId="4095BD0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8.2.4</w:t>
      </w:r>
      <w:r>
        <w:rPr>
          <w:rFonts w:hint="eastAsia" w:ascii="仿宋" w:hAnsi="仿宋" w:eastAsia="仿宋" w:cs="仿宋"/>
          <w:color w:val="auto"/>
          <w:sz w:val="24"/>
          <w:szCs w:val="24"/>
        </w:rPr>
        <w:t xml:space="preserve">病毒发作导致不能进行正常操作的； </w:t>
      </w:r>
    </w:p>
    <w:p w14:paraId="0D08865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8.2.5</w:t>
      </w:r>
      <w:r>
        <w:rPr>
          <w:rFonts w:hint="eastAsia" w:ascii="仿宋" w:hAnsi="仿宋" w:eastAsia="仿宋" w:cs="仿宋"/>
          <w:color w:val="auto"/>
          <w:sz w:val="24"/>
          <w:szCs w:val="24"/>
        </w:rPr>
        <w:t>其他无法保证电子交易的公平、公正和安全的情况。</w:t>
      </w:r>
    </w:p>
    <w:p w14:paraId="4C9B5B9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2D7502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8.2.6</w:t>
      </w:r>
      <w:r>
        <w:rPr>
          <w:rFonts w:hint="eastAsia" w:ascii="仿宋" w:hAnsi="仿宋" w:eastAsia="仿宋" w:cs="仿宋"/>
          <w:color w:val="auto"/>
          <w:sz w:val="24"/>
          <w:szCs w:val="24"/>
        </w:rPr>
        <w:t xml:space="preserve"> 废标后，采购人应当将废标理由通知所有投标人并重新组织招标；或者经主管部门批准，采取其他方式组织采购。</w:t>
      </w:r>
    </w:p>
    <w:p w14:paraId="42793ECD">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rPr>
      </w:pPr>
      <w:bookmarkStart w:id="82" w:name="_Toc450482502"/>
      <w:bookmarkStart w:id="83" w:name="_Toc54978896"/>
      <w:bookmarkStart w:id="84" w:name="_Toc35261577"/>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、合同授予</w:t>
      </w:r>
      <w:bookmarkEnd w:id="82"/>
      <w:r>
        <w:rPr>
          <w:rFonts w:hint="eastAsia" w:ascii="仿宋" w:hAnsi="仿宋" w:eastAsia="仿宋" w:cs="仿宋"/>
          <w:color w:val="auto"/>
          <w:sz w:val="32"/>
          <w:szCs w:val="32"/>
        </w:rPr>
        <w:t>及签订</w:t>
      </w:r>
      <w:bookmarkEnd w:id="83"/>
      <w:bookmarkEnd w:id="84"/>
    </w:p>
    <w:p w14:paraId="04B7A68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.1合同授予</w:t>
      </w:r>
    </w:p>
    <w:p w14:paraId="19EE568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.1.1本项目的合同将授予按本须知第7.1.1款所确定的</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3242E92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.1.2 中标或者成交供应商拒绝与采购人签订合同的，采购人可以按照评审报告推荐的中标或者成交候选人名单排序，确定下一候选人为中标或者成交供应商，也可以重新开展采购活动。</w:t>
      </w:r>
    </w:p>
    <w:p w14:paraId="5B54185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.2签订合同</w:t>
      </w:r>
    </w:p>
    <w:p w14:paraId="373888B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.2.1 </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应按中标通知书规定的时间与采购人签订合同。</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在领取中标通知书时须向采购人提供一份关于本项目在实施过程中的相关人员的通讯录作为合同附件。</w:t>
      </w:r>
    </w:p>
    <w:p w14:paraId="3B148D2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.2.2 </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如不遵守采购文件或投标文件各项条款的邀约与要约，或在接到中标通知书后借故拖延，拒签合同的，采购人将依据国家和采购文件有关规定要求</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予以赔偿，同时采购人可根据</w:t>
      </w:r>
      <w:r>
        <w:rPr>
          <w:rFonts w:hint="eastAsia" w:ascii="仿宋" w:hAnsi="仿宋" w:eastAsia="仿宋" w:cs="仿宋"/>
          <w:color w:val="auto"/>
          <w:sz w:val="24"/>
          <w:szCs w:val="24"/>
          <w:lang w:val="en-US" w:eastAsia="zh-CN"/>
        </w:rPr>
        <w:t>相关规定</w:t>
      </w:r>
      <w:r>
        <w:rPr>
          <w:rFonts w:hint="eastAsia" w:ascii="仿宋" w:hAnsi="仿宋" w:eastAsia="仿宋" w:cs="仿宋"/>
          <w:color w:val="auto"/>
          <w:sz w:val="24"/>
          <w:szCs w:val="24"/>
        </w:rPr>
        <w:t>另行选择</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p>
    <w:p w14:paraId="43876D7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.2.3 采购文件、</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的投标文件及投标修改文件、评标过程中有关澄清文件及经投标人法定代表人或授权代表签字确认的询标回复和承诺及中标通知书均作为合同组成部分。</w:t>
      </w:r>
    </w:p>
    <w:p w14:paraId="4CB8F6E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.3履约保证金</w:t>
      </w:r>
    </w:p>
    <w:p w14:paraId="4F43D06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.3.1</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按“投标人须知前附表”规定的缴纳履约保证金。</w:t>
      </w:r>
    </w:p>
    <w:p w14:paraId="3B61D6B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.3.2履约保证金有效期按“投标人须知前附表”规定。</w:t>
      </w:r>
    </w:p>
    <w:p w14:paraId="750699E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.3.3履约保证金有效期结束后，</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凭保证金收据无息退还。</w:t>
      </w:r>
    </w:p>
    <w:p w14:paraId="78C77BE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.3.4如投标人有下列情况，投标人将承担赔偿责任，赔偿金额为项目预算金额的2%，如实际损失超过前述金额的，投标人需赔偿超过前述金额部分的实际损失。</w:t>
      </w:r>
    </w:p>
    <w:p w14:paraId="1A92E1EB">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9.3.4.1</w:t>
      </w:r>
      <w:r>
        <w:rPr>
          <w:rFonts w:hint="eastAsia" w:ascii="仿宋" w:hAnsi="仿宋" w:eastAsia="仿宋" w:cs="仿宋"/>
          <w:color w:val="auto"/>
          <w:sz w:val="24"/>
          <w:szCs w:val="24"/>
        </w:rPr>
        <w:t>投标人在投标截止时间后撤销投标文件的；</w:t>
      </w:r>
    </w:p>
    <w:p w14:paraId="424573D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9.3.4.2</w:t>
      </w:r>
      <w:r>
        <w:rPr>
          <w:rFonts w:hint="eastAsia" w:ascii="仿宋" w:hAnsi="仿宋" w:eastAsia="仿宋" w:cs="仿宋"/>
          <w:color w:val="auto"/>
          <w:sz w:val="24"/>
          <w:szCs w:val="24"/>
        </w:rPr>
        <w:t>投标人未按规定签订合同或转让中标的；</w:t>
      </w:r>
    </w:p>
    <w:p w14:paraId="1BF0388D">
      <w:pPr>
        <w:pageBreakBefore w:val="0"/>
        <w:kinsoku/>
        <w:wordWrap/>
        <w:overflowPunct/>
        <w:topLinePunct w:val="0"/>
        <w:bidi w:val="0"/>
        <w:adjustRightInd/>
        <w:spacing w:line="460" w:lineRule="exact"/>
        <w:ind w:firstLine="42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9.3.4.3</w:t>
      </w:r>
      <w:r>
        <w:rPr>
          <w:rFonts w:hint="eastAsia" w:ascii="仿宋" w:hAnsi="仿宋" w:eastAsia="仿宋" w:cs="仿宋"/>
          <w:color w:val="auto"/>
          <w:sz w:val="24"/>
          <w:szCs w:val="24"/>
        </w:rPr>
        <w:t>投标人违反</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法律法规规定，给采购人造成损失的。</w:t>
      </w:r>
    </w:p>
    <w:p w14:paraId="6A72D4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.4采购代理服务费</w:t>
      </w:r>
    </w:p>
    <w:p w14:paraId="56E8510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本次采购代理服务费按“投标人须知前附表”规定收取。</w:t>
      </w:r>
      <w:bookmarkStart w:id="85" w:name="_Toc226337791"/>
      <w:bookmarkStart w:id="86" w:name="_Toc248065069"/>
      <w:bookmarkStart w:id="87" w:name="_Toc180555950"/>
    </w:p>
    <w:p w14:paraId="7741A5B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.5诚实信用</w:t>
      </w:r>
      <w:bookmarkEnd w:id="85"/>
      <w:bookmarkEnd w:id="86"/>
      <w:bookmarkEnd w:id="87"/>
    </w:p>
    <w:p w14:paraId="593BD6D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bookmarkStart w:id="88" w:name="_Toc226337792"/>
      <w:bookmarkStart w:id="89" w:name="_Toc180555951"/>
      <w:bookmarkStart w:id="90" w:name="_Toc248065070"/>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42801437">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.5.2如果采购人有证据表明投标人在本招标项目的竞争中存在腐败、欺诈、失信记录或其他严重违背诚信原则的行为，则将拒绝其投标，或中标无效。</w:t>
      </w:r>
    </w:p>
    <w:p w14:paraId="784058DD">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.5.3如果</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没有按照采购文件和中标通知书的规定签订合同，报</w:t>
      </w:r>
      <w:r>
        <w:rPr>
          <w:rFonts w:hint="eastAsia" w:ascii="仿宋" w:hAnsi="仿宋" w:eastAsia="仿宋" w:cs="仿宋"/>
          <w:color w:val="auto"/>
          <w:sz w:val="24"/>
          <w:szCs w:val="24"/>
          <w:lang w:eastAsia="zh-CN"/>
        </w:rPr>
        <w:t>嵊州市</w:t>
      </w:r>
      <w:r>
        <w:rPr>
          <w:rFonts w:hint="eastAsia" w:ascii="仿宋" w:hAnsi="仿宋" w:eastAsia="仿宋" w:cs="仿宋"/>
          <w:color w:val="auto"/>
          <w:sz w:val="24"/>
          <w:szCs w:val="24"/>
        </w:rPr>
        <w:t>采购监督管理部门按照采购的有关规定进行处理。</w:t>
      </w:r>
      <w:bookmarkEnd w:id="88"/>
      <w:bookmarkEnd w:id="89"/>
      <w:bookmarkEnd w:id="90"/>
    </w:p>
    <w:p w14:paraId="59308276">
      <w:pPr>
        <w:pStyle w:val="4"/>
        <w:pageBreakBefore w:val="0"/>
        <w:kinsoku/>
        <w:wordWrap/>
        <w:overflowPunct/>
        <w:topLinePunct w:val="0"/>
        <w:bidi w:val="0"/>
        <w:adjustRightInd/>
        <w:spacing w:line="460" w:lineRule="exact"/>
        <w:jc w:val="center"/>
        <w:textAlignment w:val="auto"/>
        <w:rPr>
          <w:rFonts w:hint="eastAsia" w:ascii="仿宋" w:hAnsi="仿宋" w:eastAsia="仿宋" w:cs="仿宋"/>
          <w:color w:val="auto"/>
          <w:sz w:val="32"/>
          <w:szCs w:val="32"/>
        </w:rPr>
      </w:pPr>
      <w:bookmarkStart w:id="91" w:name="_Toc35261578"/>
      <w:bookmarkStart w:id="92" w:name="_Toc54978897"/>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询问、</w:t>
      </w:r>
      <w:r>
        <w:rPr>
          <w:rFonts w:hint="eastAsia" w:ascii="仿宋" w:hAnsi="仿宋" w:eastAsia="仿宋" w:cs="仿宋"/>
          <w:color w:val="auto"/>
          <w:sz w:val="32"/>
          <w:szCs w:val="32"/>
        </w:rPr>
        <w:t>投诉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质疑</w:t>
      </w:r>
      <w:bookmarkEnd w:id="91"/>
      <w:bookmarkEnd w:id="92"/>
    </w:p>
    <w:p w14:paraId="172C99FA">
      <w:pPr>
        <w:pageBreakBefore w:val="0"/>
        <w:kinsoku/>
        <w:wordWrap/>
        <w:overflowPunct/>
        <w:topLinePunct w:val="0"/>
        <w:bidi w:val="0"/>
        <w:adjustRightInd/>
        <w:spacing w:line="460" w:lineRule="exact"/>
        <w:ind w:firstLine="42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rPr>
        <w:t>采购供应商（投标人，下同）可以依法提起质疑和投诉。</w:t>
      </w:r>
    </w:p>
    <w:p w14:paraId="4910A859">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质疑函范本、投诉书范本请到浙江政府采购网下载专区下载。</w:t>
      </w:r>
    </w:p>
    <w:p w14:paraId="6559014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.1供应商询问</w:t>
      </w:r>
    </w:p>
    <w:p w14:paraId="0323678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供应商对采购活动事项有疑问的，可以向采购机构提出询问，采购人或者采购代理机构应当在3个工作日内对供应商依法提出的询问作出答复，但答复的内容不得涉及商业秘密。</w:t>
      </w:r>
    </w:p>
    <w:p w14:paraId="5046E7E5">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.2供应商质疑</w:t>
      </w:r>
    </w:p>
    <w:p w14:paraId="0A0087E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.2.1投标人认为采购文件、采购过程、中标或者成交结果使自己的权益受到损害的，可以在知道或者应知其权益受到损害之日起7个工作日内，以书面形式向采购人、采购代理机构提出质疑。</w:t>
      </w:r>
    </w:p>
    <w:p w14:paraId="550A6F8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本项目要求投标人在法定质疑期内一次性提出针对同一采购程序环节的质疑。</w:t>
      </w:r>
    </w:p>
    <w:p w14:paraId="737BC95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.2.2提出质疑的投标人（以下简称质疑人）应当是参与所质疑项目采购活动的投标人。</w:t>
      </w:r>
    </w:p>
    <w:p w14:paraId="488B5B2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潜在投标人已依法获取其可质疑的采购文件的，可以对该文件提出质疑。对采购文件提出质疑的，应当在获取采购文件或者采购文件公告期限届满之日起7个工作日内提出。</w:t>
      </w:r>
    </w:p>
    <w:p w14:paraId="104B24D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.2.3投标人提出质疑应当提交质疑函和必要的证明材料。质疑函应当包括下列内容：</w:t>
      </w:r>
    </w:p>
    <w:p w14:paraId="56EE034E">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（一）投标人的姓名或者名称、地址、邮编、联系人及联系电话；</w:t>
      </w:r>
    </w:p>
    <w:p w14:paraId="72569D14">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70E0D5D6">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（三）具体、明确的质疑事项和与质疑事项相关的请求；</w:t>
      </w:r>
    </w:p>
    <w:p w14:paraId="0A9CCC3A">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w:t>
      </w:r>
    </w:p>
    <w:p w14:paraId="67393E1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（五）必要的法律依据；</w:t>
      </w:r>
    </w:p>
    <w:p w14:paraId="26FA52A8">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1D2AE33F">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投标人为自然人的，应当由本人签字；投标人为法人或者其他组织的，应当由法定代表人、主要负责人，或者其授权代表签字或者盖章，并加盖公章。</w:t>
      </w:r>
    </w:p>
    <w:p w14:paraId="7362F04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.4采购人、采购代理机构在收到法定质疑期内发出的质疑函后7个工作日内作出答复，并以书面形式通知质疑人和其他有关投标人。质疑答复的内容不得涉及商业秘密。</w:t>
      </w:r>
    </w:p>
    <w:p w14:paraId="4FC58B02">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.3供应商投诉</w:t>
      </w:r>
    </w:p>
    <w:p w14:paraId="1E73AC50">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质疑供应商对采购机构的答复不满意或者采购机构未在规定的时间内作出答复的，可以在答复期满后十五个工作日内向同级采购监督管理部门提出投诉。</w:t>
      </w:r>
    </w:p>
    <w:p w14:paraId="1A2648C1">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.4采购结束</w:t>
      </w:r>
    </w:p>
    <w:p w14:paraId="21944203">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.4.1</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与采购人签订合同生效后即为采购结束。</w:t>
      </w:r>
    </w:p>
    <w:p w14:paraId="3FAC34AC">
      <w:pPr>
        <w:pageBreakBefore w:val="0"/>
        <w:kinsoku/>
        <w:wordWrap/>
        <w:overflowPunct/>
        <w:topLinePunct w:val="0"/>
        <w:bidi w:val="0"/>
        <w:adjustRightInd/>
        <w:spacing w:line="460" w:lineRule="exact"/>
        <w:ind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.4.2本项目的投标文件不予退回。</w:t>
      </w:r>
    </w:p>
    <w:p w14:paraId="715E952A">
      <w:pPr>
        <w:pageBreakBefore w:val="0"/>
        <w:kinsoku/>
        <w:wordWrap/>
        <w:overflowPunct/>
        <w:topLinePunct w:val="0"/>
        <w:bidi w:val="0"/>
        <w:adjustRightInd/>
        <w:snapToGrid w:val="0"/>
        <w:spacing w:line="460" w:lineRule="exact"/>
        <w:jc w:val="both"/>
        <w:textAlignment w:val="auto"/>
        <w:outlineLvl w:val="1"/>
        <w:rPr>
          <w:rFonts w:hint="eastAsia" w:ascii="仿宋" w:hAnsi="仿宋" w:eastAsia="仿宋" w:cs="仿宋"/>
          <w:b/>
          <w:color w:val="auto"/>
          <w:sz w:val="24"/>
          <w:szCs w:val="24"/>
          <w:lang w:eastAsia="zh-CN"/>
        </w:rPr>
      </w:pPr>
      <w:bookmarkStart w:id="93" w:name="_Toc54978898"/>
    </w:p>
    <w:p w14:paraId="0DA5D370">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十一、</w:t>
      </w:r>
      <w:r>
        <w:rPr>
          <w:rFonts w:hint="eastAsia" w:ascii="仿宋" w:hAnsi="仿宋" w:eastAsia="仿宋" w:cs="仿宋"/>
          <w:b/>
          <w:color w:val="auto"/>
          <w:sz w:val="32"/>
          <w:szCs w:val="32"/>
        </w:rPr>
        <w:t>电子交易活动的中止</w:t>
      </w:r>
    </w:p>
    <w:p w14:paraId="2D9A8E0E">
      <w:pPr>
        <w:pageBreakBefore w:val="0"/>
        <w:kinsoku/>
        <w:wordWrap/>
        <w:overflowPunct/>
        <w:topLinePunct w:val="0"/>
        <w:bidi w:val="0"/>
        <w:adjustRightInd/>
        <w:snapToGrid w:val="0"/>
        <w:spacing w:line="460" w:lineRule="exact"/>
        <w:jc w:val="left"/>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11.1</w:t>
      </w:r>
      <w:r>
        <w:rPr>
          <w:rFonts w:hint="eastAsia" w:ascii="仿宋" w:hAnsi="仿宋" w:eastAsia="仿宋" w:cs="仿宋"/>
          <w:b/>
          <w:color w:val="auto"/>
          <w:sz w:val="24"/>
          <w:szCs w:val="24"/>
        </w:rPr>
        <w:t>电子交易活动的中止。</w:t>
      </w:r>
    </w:p>
    <w:p w14:paraId="22E14BE5">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采购过程中出现以下情形，导致电子交易平台无法正常运行，或者无法保证电子交易的公平、公正和安全时，采购机构可中止电子交易活动：</w:t>
      </w:r>
    </w:p>
    <w:p w14:paraId="4C6C1924">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电子交易平台发生故障而无法登录访问的； </w:t>
      </w:r>
    </w:p>
    <w:p w14:paraId="1DC5C8DC">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11.1.2</w:t>
      </w:r>
      <w:r>
        <w:rPr>
          <w:rFonts w:hint="eastAsia" w:ascii="仿宋" w:hAnsi="仿宋" w:eastAsia="仿宋" w:cs="仿宋"/>
          <w:color w:val="auto"/>
          <w:sz w:val="24"/>
          <w:szCs w:val="24"/>
        </w:rPr>
        <w:t>电子交易平台应用或数据库出现错误，不能进行正常操作的；</w:t>
      </w:r>
    </w:p>
    <w:p w14:paraId="5010D87B">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11.1.3</w:t>
      </w:r>
      <w:r>
        <w:rPr>
          <w:rFonts w:hint="eastAsia" w:ascii="仿宋" w:hAnsi="仿宋" w:eastAsia="仿宋" w:cs="仿宋"/>
          <w:color w:val="auto"/>
          <w:sz w:val="24"/>
          <w:szCs w:val="24"/>
        </w:rPr>
        <w:t>电子交易平台发现严重安全漏洞，有潜在泄密危险的；</w:t>
      </w:r>
    </w:p>
    <w:p w14:paraId="460C94DC">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11.1.4</w:t>
      </w:r>
      <w:r>
        <w:rPr>
          <w:rFonts w:hint="eastAsia" w:ascii="仿宋" w:hAnsi="仿宋" w:eastAsia="仿宋" w:cs="仿宋"/>
          <w:color w:val="auto"/>
          <w:sz w:val="24"/>
          <w:szCs w:val="24"/>
        </w:rPr>
        <w:t>病毒发作导致不能进行正常操作的；</w:t>
      </w:r>
    </w:p>
    <w:p w14:paraId="3A1BF619">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11.1.5</w:t>
      </w:r>
      <w:r>
        <w:rPr>
          <w:rFonts w:hint="eastAsia" w:ascii="仿宋" w:hAnsi="仿宋" w:eastAsia="仿宋" w:cs="仿宋"/>
          <w:color w:val="auto"/>
          <w:sz w:val="24"/>
          <w:szCs w:val="24"/>
        </w:rPr>
        <w:t>其他无法保证电子交易的公平、公正和安全的情况。</w:t>
      </w:r>
    </w:p>
    <w:p w14:paraId="33A69329">
      <w:pPr>
        <w:pageBreakBefore w:val="0"/>
        <w:widowControl/>
        <w:kinsoku/>
        <w:wordWrap/>
        <w:overflowPunct/>
        <w:topLinePunct w:val="0"/>
        <w:bidi w:val="0"/>
        <w:adjustRightInd/>
        <w:snapToGrid w:val="0"/>
        <w:spacing w:line="460" w:lineRule="exact"/>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070C1F7B">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24"/>
          <w:szCs w:val="24"/>
          <w:lang w:eastAsia="zh-CN"/>
        </w:rPr>
      </w:pPr>
    </w:p>
    <w:p w14:paraId="58C784D2">
      <w:pPr>
        <w:pageBreakBefore w:val="0"/>
        <w:kinsoku/>
        <w:wordWrap/>
        <w:overflowPunct/>
        <w:topLinePunct w:val="0"/>
        <w:bidi w:val="0"/>
        <w:adjustRightInd/>
        <w:snapToGrid w:val="0"/>
        <w:spacing w:line="460" w:lineRule="exact"/>
        <w:jc w:val="center"/>
        <w:textAlignment w:val="auto"/>
        <w:outlineLvl w:val="1"/>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十二、</w:t>
      </w:r>
      <w:r>
        <w:rPr>
          <w:rFonts w:hint="eastAsia" w:ascii="仿宋" w:hAnsi="仿宋" w:eastAsia="仿宋" w:cs="仿宋"/>
          <w:b/>
          <w:bCs/>
          <w:color w:val="auto"/>
          <w:sz w:val="32"/>
          <w:szCs w:val="32"/>
        </w:rPr>
        <w:t>验收</w:t>
      </w:r>
    </w:p>
    <w:p w14:paraId="37AC5466">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1FE3B7">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.2采购人可以邀请参加本项目的其他投标人或者第三方机构参与验收。参与验收的投标人或者第三方机构的意见作为验收书的参考资料一并存档。</w:t>
      </w:r>
    </w:p>
    <w:p w14:paraId="7FF27B9E">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45B7EF">
      <w:pPr>
        <w:pageBreakBefore w:val="0"/>
        <w:kinsoku/>
        <w:wordWrap/>
        <w:overflowPunct/>
        <w:topLinePunct w:val="0"/>
        <w:bidi w:val="0"/>
        <w:adjustRightInd/>
        <w:snapToGrid w:val="0"/>
        <w:spacing w:line="460" w:lineRule="exact"/>
        <w:ind w:firstLine="480" w:firstLineChars="200"/>
        <w:textAlignment w:val="auto"/>
        <w:rPr>
          <w:rFonts w:hint="eastAsia" w:ascii="仿宋" w:hAnsi="仿宋" w:eastAsia="仿宋" w:cs="仿宋"/>
          <w:color w:val="auto"/>
          <w:sz w:val="24"/>
          <w:szCs w:val="24"/>
          <w:lang w:eastAsia="zh-CN"/>
        </w:rPr>
        <w:sectPr>
          <w:headerReference r:id="rId4" w:type="first"/>
          <w:footerReference r:id="rId6"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94" w:name="_Hlt75236011"/>
      <w:bookmarkEnd w:id="94"/>
      <w:bookmarkStart w:id="95" w:name="_Hlt74729768"/>
      <w:bookmarkEnd w:id="95"/>
      <w:bookmarkStart w:id="96" w:name="_Hlt74714665"/>
      <w:bookmarkEnd w:id="96"/>
      <w:bookmarkStart w:id="97" w:name="_Hlt75236290"/>
      <w:bookmarkEnd w:id="97"/>
      <w:bookmarkStart w:id="98" w:name="_Hlt75236101"/>
      <w:bookmarkEnd w:id="98"/>
      <w:bookmarkStart w:id="99" w:name="_Hlt68057669"/>
      <w:bookmarkEnd w:id="99"/>
      <w:bookmarkStart w:id="100" w:name="_Hlt68072990"/>
      <w:bookmarkEnd w:id="100"/>
      <w:bookmarkStart w:id="101" w:name="_Hlt68072998"/>
      <w:bookmarkEnd w:id="101"/>
      <w:bookmarkStart w:id="102" w:name="_Hlt68403820"/>
      <w:bookmarkEnd w:id="102"/>
      <w:bookmarkStart w:id="103" w:name="_Hlt74730295"/>
      <w:bookmarkEnd w:id="103"/>
      <w:bookmarkStart w:id="104" w:name="_Hlt68073093"/>
      <w:bookmarkEnd w:id="104"/>
      <w:bookmarkStart w:id="105" w:name="_Hlt74707468"/>
      <w:bookmarkEnd w:id="105"/>
      <w:r>
        <w:rPr>
          <w:rFonts w:hint="eastAsia" w:ascii="仿宋" w:hAnsi="仿宋" w:eastAsia="仿宋" w:cs="仿宋"/>
          <w:color w:val="auto"/>
          <w:sz w:val="24"/>
          <w:szCs w:val="24"/>
          <w:lang w:val="en-US" w:eastAsia="zh-CN"/>
        </w:rPr>
        <w:t>相关主管部门</w:t>
      </w:r>
      <w:r>
        <w:rPr>
          <w:rFonts w:hint="eastAsia" w:ascii="仿宋" w:hAnsi="仿宋" w:eastAsia="仿宋" w:cs="仿宋"/>
          <w:color w:val="auto"/>
          <w:sz w:val="24"/>
          <w:szCs w:val="24"/>
          <w:lang w:eastAsia="zh-CN"/>
        </w:rPr>
        <w:t>。</w:t>
      </w:r>
    </w:p>
    <w:p w14:paraId="2893D1BD">
      <w:pPr>
        <w:pStyle w:val="348"/>
        <w:numPr>
          <w:ilvl w:val="0"/>
          <w:numId w:val="0"/>
        </w:numPr>
        <w:bidi w:val="0"/>
        <w:jc w:val="center"/>
        <w:rPr>
          <w:rFonts w:hint="eastAsia" w:ascii="仿宋" w:hAnsi="仿宋" w:eastAsia="仿宋" w:cs="仿宋"/>
          <w:b/>
          <w:bCs/>
          <w:color w:val="auto"/>
          <w:kern w:val="0"/>
          <w:sz w:val="32"/>
          <w:szCs w:val="32"/>
          <w:lang w:val="en-US" w:eastAsia="zh-CN" w:bidi="ar-SA"/>
        </w:rPr>
      </w:pPr>
      <w:r>
        <w:rPr>
          <w:rFonts w:hint="eastAsia" w:ascii="仿宋" w:hAnsi="仿宋" w:eastAsia="仿宋" w:cs="仿宋"/>
          <w:b/>
          <w:bCs/>
          <w:color w:val="auto"/>
          <w:kern w:val="0"/>
          <w:sz w:val="32"/>
          <w:szCs w:val="32"/>
          <w:lang w:val="en-US" w:eastAsia="zh-CN" w:bidi="ar-SA"/>
        </w:rPr>
        <w:t>第三部分  项目招标范围及技术要求</w:t>
      </w:r>
    </w:p>
    <w:p w14:paraId="5B581B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lang w:bidi="ar"/>
        </w:rPr>
      </w:pPr>
      <w:r>
        <w:rPr>
          <w:rFonts w:hint="eastAsia" w:ascii="仿宋" w:hAnsi="仿宋" w:eastAsia="仿宋" w:cs="仿宋"/>
          <w:b/>
          <w:bCs/>
          <w:color w:val="auto"/>
          <w:kern w:val="0"/>
          <w:sz w:val="24"/>
          <w:szCs w:val="24"/>
          <w:lang w:val="en-US" w:eastAsia="zh-CN" w:bidi="ar-SA"/>
        </w:rPr>
        <w:t>一、</w:t>
      </w:r>
      <w:r>
        <w:rPr>
          <w:rFonts w:hint="eastAsia" w:ascii="仿宋" w:hAnsi="仿宋" w:eastAsia="仿宋" w:cs="仿宋"/>
          <w:b/>
          <w:color w:val="000000"/>
          <w:sz w:val="24"/>
          <w:lang w:bidi="ar"/>
        </w:rPr>
        <w:t>项目概况：</w:t>
      </w:r>
    </w:p>
    <w:p w14:paraId="5009D4AA">
      <w:pPr>
        <w:pStyle w:val="32"/>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rPr>
      </w:pPr>
      <w:r>
        <w:rPr>
          <w:rFonts w:hint="eastAsia" w:ascii="仿宋" w:hAnsi="仿宋" w:eastAsia="仿宋" w:cs="仿宋"/>
          <w:lang w:eastAsia="zh-CN"/>
        </w:rPr>
        <w:t>本项目</w:t>
      </w:r>
      <w:r>
        <w:rPr>
          <w:rFonts w:hint="eastAsia" w:ascii="仿宋" w:hAnsi="仿宋" w:eastAsia="仿宋" w:cs="仿宋"/>
        </w:rPr>
        <w:t>位于绍兴市嵊州市浦</w:t>
      </w:r>
      <w:r>
        <w:rPr>
          <w:rFonts w:hint="eastAsia" w:ascii="仿宋" w:hAnsi="仿宋" w:eastAsia="仿宋" w:cs="仿宋"/>
          <w:lang w:eastAsia="zh-CN"/>
        </w:rPr>
        <w:t>口街道浦</w:t>
      </w:r>
      <w:r>
        <w:rPr>
          <w:rFonts w:hint="eastAsia" w:ascii="仿宋" w:hAnsi="仿宋" w:eastAsia="仿宋" w:cs="仿宋"/>
        </w:rPr>
        <w:t>南二路</w:t>
      </w:r>
      <w:r>
        <w:rPr>
          <w:rFonts w:hint="eastAsia" w:ascii="仿宋" w:hAnsi="仿宋" w:eastAsia="仿宋" w:cs="仿宋"/>
          <w:lang w:eastAsia="zh-CN"/>
        </w:rPr>
        <w:t>西侧</w:t>
      </w:r>
      <w:r>
        <w:rPr>
          <w:rFonts w:hint="eastAsia" w:ascii="仿宋" w:hAnsi="仿宋" w:eastAsia="仿宋" w:cs="仿宋"/>
        </w:rPr>
        <w:t>，对原1层和2层进行升级改造，智能化设计含大屏显示系统、高清视频监控系统、人脸门禁系统、扩声系统、排队叫号系统（含窗口显示屏和落地式触控一体机）、计算机网络及安全其它</w:t>
      </w:r>
      <w:r>
        <w:rPr>
          <w:rFonts w:hint="eastAsia" w:ascii="仿宋" w:hAnsi="仿宋" w:eastAsia="仿宋" w:cs="仿宋"/>
          <w:lang w:val="en-US" w:eastAsia="zh-CN"/>
        </w:rPr>
        <w:t>等</w:t>
      </w:r>
      <w:r>
        <w:rPr>
          <w:rFonts w:hint="eastAsia" w:ascii="仿宋" w:hAnsi="仿宋" w:eastAsia="仿宋" w:cs="仿宋"/>
        </w:rPr>
        <w:t>。</w:t>
      </w:r>
    </w:p>
    <w:p w14:paraId="393676C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color w:val="000000"/>
          <w:sz w:val="24"/>
          <w:lang w:bidi="ar"/>
        </w:rPr>
      </w:pPr>
      <w:r>
        <w:rPr>
          <w:rFonts w:hint="eastAsia" w:ascii="仿宋" w:hAnsi="仿宋" w:eastAsia="仿宋" w:cs="仿宋"/>
          <w:b/>
          <w:color w:val="000000"/>
          <w:sz w:val="24"/>
          <w:lang w:bidi="ar"/>
        </w:rPr>
        <w:t>二、建设依据：</w:t>
      </w:r>
    </w:p>
    <w:p w14:paraId="781FF74E">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《智能建筑设计标准》 GB/T50314-2015</w:t>
      </w:r>
    </w:p>
    <w:p w14:paraId="72145915">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《智能建筑工程质量验收规范》 GB 50339-2013</w:t>
      </w:r>
    </w:p>
    <w:p w14:paraId="65C1E381">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《综合布线系统工程设计规范》 GB 50311-2016</w:t>
      </w:r>
    </w:p>
    <w:p w14:paraId="20373252">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《综合布线系统工程设计与施工》08X101-3</w:t>
      </w:r>
    </w:p>
    <w:p w14:paraId="2D919B4D">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《综合布线系统工程验收规范》 GB 50312-2016</w:t>
      </w:r>
    </w:p>
    <w:p w14:paraId="4CD6DC6E">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《民用建筑电气设计规范》 JGJ 16-2008</w:t>
      </w:r>
    </w:p>
    <w:p w14:paraId="6C1140A8">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《建筑物电子信息系统防雷技术规范》 GB 50343-2012</w:t>
      </w:r>
    </w:p>
    <w:p w14:paraId="3E4F02E5">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《智能建筑弱电工程设计施工图集》97X700(上下)</w:t>
      </w:r>
    </w:p>
    <w:p w14:paraId="544E1619">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《电子信息系统机房设计规范》GB50174-2016</w:t>
      </w:r>
    </w:p>
    <w:p w14:paraId="62099105">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《供配电系统设计规范》GB50052-2009</w:t>
      </w:r>
    </w:p>
    <w:p w14:paraId="67973CF6">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《低压配电设计规范》GB50054-2011</w:t>
      </w:r>
    </w:p>
    <w:p w14:paraId="2C646CE7">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《2009版全国民用建筑工程设计技术措施 电气部分》</w:t>
      </w:r>
    </w:p>
    <w:p w14:paraId="6C51C1B0">
      <w:pPr>
        <w:pStyle w:val="3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240" w:firstLineChars="100"/>
        <w:textAlignment w:val="auto"/>
        <w:rPr>
          <w:rFonts w:hint="eastAsia" w:ascii="仿宋" w:hAnsi="仿宋" w:eastAsia="仿宋" w:cs="仿宋"/>
        </w:rPr>
      </w:pPr>
      <w:r>
        <w:rPr>
          <w:rFonts w:hint="eastAsia" w:ascii="仿宋" w:hAnsi="仿宋" w:eastAsia="仿宋" w:cs="仿宋"/>
        </w:rPr>
        <w:t>及相关的国家和地方标准。</w:t>
      </w:r>
    </w:p>
    <w:p w14:paraId="27434474">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7" w:type="default"/>
          <w:pgSz w:w="11906" w:h="16838"/>
          <w:pgMar w:top="1440" w:right="1800" w:bottom="1440" w:left="1800" w:header="851" w:footer="992" w:gutter="0"/>
          <w:cols w:space="425" w:num="1"/>
          <w:docGrid w:type="lines" w:linePitch="312" w:charSpace="0"/>
        </w:sectPr>
      </w:pPr>
    </w:p>
    <w:p w14:paraId="29D9CB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lang w:bidi="ar"/>
        </w:rPr>
      </w:pPr>
      <w:r>
        <w:rPr>
          <w:rFonts w:hint="eastAsia" w:ascii="仿宋" w:hAnsi="仿宋" w:eastAsia="仿宋" w:cs="仿宋"/>
          <w:b/>
          <w:color w:val="000000"/>
          <w:sz w:val="24"/>
          <w:szCs w:val="24"/>
          <w:lang w:bidi="ar"/>
        </w:rPr>
        <w:t>三、采购数量及内容一览表：</w:t>
      </w:r>
    </w:p>
    <w:tbl>
      <w:tblPr>
        <w:tblStyle w:val="79"/>
        <w:tblW w:w="9519" w:type="dxa"/>
        <w:tblInd w:w="11" w:type="dxa"/>
        <w:shd w:val="clear" w:color="auto" w:fill="FFFFFF" w:themeFill="background1"/>
        <w:tblLayout w:type="fixed"/>
        <w:tblCellMar>
          <w:top w:w="0" w:type="dxa"/>
          <w:left w:w="108" w:type="dxa"/>
          <w:bottom w:w="0" w:type="dxa"/>
          <w:right w:w="108" w:type="dxa"/>
        </w:tblCellMar>
      </w:tblPr>
      <w:tblGrid>
        <w:gridCol w:w="719"/>
        <w:gridCol w:w="1507"/>
        <w:gridCol w:w="936"/>
        <w:gridCol w:w="651"/>
        <w:gridCol w:w="5706"/>
      </w:tblGrid>
      <w:tr w14:paraId="6F73674A">
        <w:tblPrEx>
          <w:shd w:val="clear" w:color="auto" w:fill="FFFFFF" w:themeFill="background1"/>
          <w:tblCellMar>
            <w:top w:w="0" w:type="dxa"/>
            <w:left w:w="108" w:type="dxa"/>
            <w:bottom w:w="0" w:type="dxa"/>
            <w:right w:w="108" w:type="dxa"/>
          </w:tblCellMar>
        </w:tblPrEx>
        <w:trPr>
          <w:trHeight w:val="420" w:hRule="atLeast"/>
          <w:tblHeader/>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B5F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序号</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57B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设备名称</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712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数量</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349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单位</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6BA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参数</w:t>
            </w:r>
          </w:p>
        </w:tc>
      </w:tr>
      <w:tr w14:paraId="72BF587E">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E464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一、大屏显示系统</w:t>
            </w:r>
          </w:p>
        </w:tc>
      </w:tr>
      <w:tr w14:paraId="043D98EC">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00A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（一）1F办事大厅</w:t>
            </w:r>
          </w:p>
        </w:tc>
      </w:tr>
      <w:tr w14:paraId="0AEB4911">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18D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4B6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LED显示屏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ED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16.59</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CB4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m2</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580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▲LED像素点间距≤1.25mm;像素密度≥640000点/㎡，SMD封装 共阴极驱动</w:t>
            </w:r>
          </w:p>
          <w:p w14:paraId="17C1AC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▲LED屏幕通过局域网客户端，局域网WEB端，红外遥控器，射频遥控器，物理按键五种种方式实现亮度调节。</w:t>
            </w:r>
          </w:p>
          <w:p w14:paraId="5DB2F5D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▲LED单元箱体间连接网线具备L型等非矩形框架走线方式，网线利用率＞95%。</w:t>
            </w:r>
          </w:p>
          <w:p w14:paraId="14D3DE7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像素结构：1R1G1B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像素间距：1.25mm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像素密度：640000点/㎡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维护方式：完全前维护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灯珠尺寸：1010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模组尺寸：320mm×160mm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模组分辨率：256×128</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模组重量：0.54 kg/块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信号接口：HUB320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防护等级：IP30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套件材质：塑壳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封装品牌：国产铜线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白平衡亮度：500 cd/㎡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色温：3000-10000 K可调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可视角：160°(H)/160°(V)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对比度：3000：1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色度均匀性：± 0.003Cx，Cy之内</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亮度均匀性：≥ 97％</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最佳视距：1.6m ~ 4.2m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电源接口：VH4PIN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驱动方式：恒流驱动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换帧频率：60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刷新率：3840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灰度等级：最大支持16 bit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峰值功耗：450W/㎡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平均功耗：150W/㎡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供电要求：AC：200-240V~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模组供电电压：DC：4.5-5V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模组峰值功耗：23W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模组最大电流：5A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工作温度：-10 ℃ ~ 40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工作湿度：10%~80% RH（无冷凝水）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存储温度：-20 ℃ ~ 60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存储湿度：10%~85% RH（无冷凝水） </w:t>
            </w:r>
          </w:p>
        </w:tc>
      </w:tr>
      <w:tr w14:paraId="339EA0A4">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1F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0C9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屏体控制器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794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564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085E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▲单台设备最大支持插入4张输入板卡或4张输出板卡，最大支持16路2K输入，最大支持16路2K输出</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▲支持底图功能，可接入3个电视墙，每个电视墙可设置1张底图，可设置3张分辨率为1920*1080的底图（提供具有CNAS、CMA、ilac-MRA盖章的检测报告证明）</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▲支持热备功能，支持单机输入热备、单机输出热备、单机输入输出热备、双机热备，其中双机热备不需外接同步盒即可完成输出接口画面同步</w:t>
            </w:r>
          </w:p>
          <w:p w14:paraId="56C815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▲支持显示器信息获取，可通过HDMI线连接显示器，并获取设备类型、设备序列号、工作时长、软件版本、设备温度</w:t>
            </w:r>
          </w:p>
          <w:p w14:paraId="25CA11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▲支持接入≥1块主控板卡，具有≥1个RS232接口、≥1个RS485接口、≥1个RJ45网络接口、≥2个3.5mm音频输入接口、≥4个3.5mm音频输出接口</w:t>
            </w:r>
          </w:p>
          <w:p w14:paraId="17D1F7D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业务板卡混插：部分槽位支持，总槽位数6，输入槽位2，输出槽位2，混插槽位2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整机拼接能力：16路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风扇：1个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双机热备：支持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串行接口：3个，1个调试串口 + 1个RS485（凤凰端子；波特率：115200；有效数据位：8位）+1个RS232（凤凰端子；波特率：115200；有效数据位：8位）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机箱屏幕：3.33寸 LCD，显示分辨率192*64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电源接口：AC100~240V，50/60Hz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开窗数量：单接口8个窗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单口画面分割数：1/4/6/8/9/16</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输入源复制能力：（1）60Hz：4K输入板有2路上墙能力，2K输入板有6路上墙能力</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（2）30Hz：4K输入板有3路上墙能力，2K输入板有12路上墙能力</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单屏图层数：8个图层（4K/2K）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整机图层数：48（满配输出）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场景数量：128个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场景切换延时：400ms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预案数量：128个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超高清融合规模：最大4路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底图：一共3个，单墙1个，分辨率1080P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字幕数量：9个，单墙3个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输入OSD叠加：支持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输入图像裁剪：支持，上下左右各200个像素点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本地源上墙延时：50ms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工作温度：0℃--＋50℃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工作湿度：10％--90％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产品尺寸（宽×高×深）：442mm（宽）* 88.1mm（高）* 385mm（深）</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净重：≤7.6Kg(满配，其中机箱5.21Kg，子板0.46Kg/个)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毛重：≤11.4Kg(满配，其中机箱7.94Kg，子板0.67Kg/个)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整机功耗：≤150W(满配) </w:t>
            </w:r>
          </w:p>
        </w:tc>
      </w:tr>
      <w:tr w14:paraId="3D994426">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532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F93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4K输入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205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4ED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F46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占用槽位：输入槽位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音频输入接口数：4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音频输入接口类型：HDMI复合音频</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音频采样率：32K/48K采样率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音频声道：双声道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视频输入接口类型：HDMI 1.4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视频输入接口数：4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视频输入分辨率：1024×768@60 Hz、1280×1024@60 Hz、1366×768@60 Hz、1440×900@60 Hz、1680×1050@60 Hz、1280×960@60 Hz、1600×1200@60 Hz、1280×720P@50 Hz、1280×720P@60 Hz、1920×1080P@50 Hz、1920×1080P@60 Hz、1920×1200@60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自定义分辨率范围：宽800~2560，高600~2560，宽4对齐，高2对齐，帧率30/60 Hz，配置30 Hz时，宽 ×高(1280×720~2048×1152)；配置60 Hz时，宽×高(800×600~2048×1152)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自定义分辨率范围：宽800~2560，高600~2560，宽4对齐，高2对齐，帧率30/60Hz，配置30Hz时宽*高(1280*720~2048*1152)，配置60Hz时宽*高(800*600~2048*1152)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视频输入最大分辨率：1080P </w:t>
            </w:r>
          </w:p>
        </w:tc>
      </w:tr>
      <w:tr w14:paraId="36A11FAE">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58C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99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发送卡</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944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0AC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9D5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占用槽位：输出槽位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视频输出接口类型：RJ45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视频输出接口数：20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视频输出分辨率：自定义分辨率范围：带载面积小于1040W，宽（64-16384）高（64-8192），宽要求4对齐，高无对齐要求</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视频输出最大分辨率：4K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视频输出LED带载能力：单板带载1040W，宽度64-16384，高度64-8192 </w:t>
            </w:r>
          </w:p>
        </w:tc>
      </w:tr>
      <w:tr w14:paraId="1E6DEE2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165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D67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编辑控制软件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4A4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14300" cy="0"/>
                  <wp:effectExtent l="0" t="0" r="0" b="0"/>
                  <wp:wrapNone/>
                  <wp:docPr id="224" name="图片_5"/>
                  <wp:cNvGraphicFramePr/>
                  <a:graphic xmlns:a="http://schemas.openxmlformats.org/drawingml/2006/main">
                    <a:graphicData uri="http://schemas.openxmlformats.org/drawingml/2006/picture">
                      <pic:pic xmlns:pic="http://schemas.openxmlformats.org/drawingml/2006/picture">
                        <pic:nvPicPr>
                          <pic:cNvPr id="224" name="图片_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14300" cy="0"/>
                  <wp:effectExtent l="0" t="0" r="0" b="0"/>
                  <wp:wrapNone/>
                  <wp:docPr id="227" name="图片_5_SpCnt_1"/>
                  <wp:cNvGraphicFramePr/>
                  <a:graphic xmlns:a="http://schemas.openxmlformats.org/drawingml/2006/main">
                    <a:graphicData uri="http://schemas.openxmlformats.org/drawingml/2006/picture">
                      <pic:pic xmlns:pic="http://schemas.openxmlformats.org/drawingml/2006/picture">
                        <pic:nvPicPr>
                          <pic:cNvPr id="227" name="图片_5_SpCnt_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FA4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14300" cy="0"/>
                  <wp:effectExtent l="0" t="0" r="0" b="0"/>
                  <wp:wrapNone/>
                  <wp:docPr id="214" name="图片_5_SpCnt_2"/>
                  <wp:cNvGraphicFramePr/>
                  <a:graphic xmlns:a="http://schemas.openxmlformats.org/drawingml/2006/main">
                    <a:graphicData uri="http://schemas.openxmlformats.org/drawingml/2006/picture">
                      <pic:pic xmlns:pic="http://schemas.openxmlformats.org/drawingml/2006/picture">
                        <pic:nvPicPr>
                          <pic:cNvPr id="214" name="图片_5_SpCnt_2"/>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14300" cy="0"/>
                  <wp:effectExtent l="0" t="0" r="0" b="0"/>
                  <wp:wrapNone/>
                  <wp:docPr id="229" name="图片_5_SpCnt_3"/>
                  <wp:cNvGraphicFramePr/>
                  <a:graphic xmlns:a="http://schemas.openxmlformats.org/drawingml/2006/main">
                    <a:graphicData uri="http://schemas.openxmlformats.org/drawingml/2006/picture">
                      <pic:pic xmlns:pic="http://schemas.openxmlformats.org/drawingml/2006/picture">
                        <pic:nvPicPr>
                          <pic:cNvPr id="229" name="图片_5_SpCnt_3"/>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A0DFD">
            <w:pPr>
              <w:keepNext w:val="0"/>
              <w:keepLines w:val="0"/>
              <w:widowControl/>
              <w:numPr>
                <w:ilvl w:val="0"/>
                <w:numId w:val="12"/>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软件具有单一客户端、多个客户端登录功能，支持默认布局登录；</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2.软件不依赖第三方硬件而具备对显示屏、拼接控制器、LED播放控制器、PLC配电箱、矩阵等设备进行集成控制；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3.软件支持添加、修改、删除场景轮循功能，支持场景循环分组功能；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4.软件支持添加、修改、删除拼接控制器及拼接控制器信息查看功能；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5.软件支持单台、多台发送卡级联控制，获取输入源连接状态、接收卡温度、电压等信息；支持调节发送卡亮度、色温和设置分辨率；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6.软件支持添加、修改、删除LED显示屏；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7.软件支持视频流媒体平台数据对接；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8.软件需具备设备状态监控及告警功能，监控发送卡输入源连接状态、接收卡温度、电压，监控信息显示，导出监控信息，监控信息实时刷新，监控信息邮件通知，告警设置和显示。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9.软件支持自定义操作界面布局管理、记录客户端退出时的界面布局及虚拟屏开窗、移窗、改变大小吸附对齐功能；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10.软件支持单台、多台PLC配电箱级联控制、支持显示屏选择指定的线路、支持配电箱线路的单独开关、支持大屏系统一键开关机及定时开关机；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w:t>
            </w: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p>
          <w:p w14:paraId="2DB6B3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w:t>
            </w: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13.软件能与912工程兼容。</w:t>
            </w:r>
          </w:p>
        </w:tc>
      </w:tr>
      <w:tr w14:paraId="084A741E">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CDB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34F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配电箱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100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4300" cy="0"/>
                  <wp:effectExtent l="0" t="0" r="0" b="0"/>
                  <wp:wrapNone/>
                  <wp:docPr id="215" name="图片_5_SpCnt_4"/>
                  <wp:cNvGraphicFramePr/>
                  <a:graphic xmlns:a="http://schemas.openxmlformats.org/drawingml/2006/main">
                    <a:graphicData uri="http://schemas.openxmlformats.org/drawingml/2006/picture">
                      <pic:pic xmlns:pic="http://schemas.openxmlformats.org/drawingml/2006/picture">
                        <pic:nvPicPr>
                          <pic:cNvPr id="215" name="图片_5_SpCnt_4"/>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0" cy="0"/>
                  <wp:effectExtent l="0" t="0" r="0" b="0"/>
                  <wp:wrapNone/>
                  <wp:docPr id="216" name="图片_5_SpCnt_5"/>
                  <wp:cNvGraphicFramePr/>
                  <a:graphic xmlns:a="http://schemas.openxmlformats.org/drawingml/2006/main">
                    <a:graphicData uri="http://schemas.openxmlformats.org/drawingml/2006/picture">
                      <pic:pic xmlns:pic="http://schemas.openxmlformats.org/drawingml/2006/picture">
                        <pic:nvPicPr>
                          <pic:cNvPr id="216" name="图片_5_SpCnt_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922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4300" cy="0"/>
                  <wp:effectExtent l="0" t="0" r="0" b="0"/>
                  <wp:wrapNone/>
                  <wp:docPr id="217" name="图片_5_SpCnt_6"/>
                  <wp:cNvGraphicFramePr/>
                  <a:graphic xmlns:a="http://schemas.openxmlformats.org/drawingml/2006/main">
                    <a:graphicData uri="http://schemas.openxmlformats.org/drawingml/2006/picture">
                      <pic:pic xmlns:pic="http://schemas.openxmlformats.org/drawingml/2006/picture">
                        <pic:nvPicPr>
                          <pic:cNvPr id="217" name="图片_5_SpCnt_6"/>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0" cy="0"/>
                  <wp:effectExtent l="0" t="0" r="0" b="0"/>
                  <wp:wrapNone/>
                  <wp:docPr id="203" name="图片_5_SpCnt_7"/>
                  <wp:cNvGraphicFramePr/>
                  <a:graphic xmlns:a="http://schemas.openxmlformats.org/drawingml/2006/main">
                    <a:graphicData uri="http://schemas.openxmlformats.org/drawingml/2006/picture">
                      <pic:pic xmlns:pic="http://schemas.openxmlformats.org/drawingml/2006/picture">
                        <pic:nvPicPr>
                          <pic:cNvPr id="203" name="图片_5_SpCnt_7"/>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08D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输入电压：380V，三相五线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输出电压：220V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额定功率：20KW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输出回路：6个单相回路（AC220V）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每路输出最大带载功率：≤3.33KW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回路状态监测：双回路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远程控制：有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分步逐级上电：有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计划任务上电：有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温度检测：有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壳体尺寸：450*600*200 单位mm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逻辑联动控制：有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主断路器</w:t>
            </w:r>
            <w:r>
              <w:rPr>
                <w:rFonts w:hint="eastAsia" w:ascii="仿宋" w:hAnsi="仿宋" w:eastAsia="仿宋" w:cs="仿宋"/>
                <w:color w:val="000000" w:themeColor="text1"/>
                <w:kern w:val="0"/>
                <w:sz w:val="24"/>
                <w:szCs w:val="24"/>
                <w:lang w:val="en-US" w:eastAsia="zh-CN"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40A塑壳断路器*1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交流接触器</w:t>
            </w:r>
            <w:r>
              <w:rPr>
                <w:rFonts w:hint="eastAsia" w:ascii="仿宋" w:hAnsi="仿宋" w:eastAsia="仿宋" w:cs="仿宋"/>
                <w:color w:val="000000" w:themeColor="text1"/>
                <w:kern w:val="0"/>
                <w:sz w:val="24"/>
                <w:szCs w:val="24"/>
                <w:lang w:val="en-US" w:eastAsia="zh-CN"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32A交流接触器*2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子断路器：40A微型1P断路器*6</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照明检修插座断路器：16A 1P+N微型漏电保护断路器*1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控制回路断路器：10A微型1P断路器*1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零地排：8位铜排*2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输出接线端子：火零地接线端子*6组</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PLC控制器：PLC控制器*1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PLC控制电源模块：DC24V电源*1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串口服务器：RS232-RJ45转换器*1 </w:t>
            </w:r>
          </w:p>
        </w:tc>
      </w:tr>
      <w:tr w14:paraId="42A7DB77">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74F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9D8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辅材及维护工具</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A14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779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1D4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包含网线、屏体、系统、结构件辅材及前维护磁吸工具</w:t>
            </w:r>
          </w:p>
        </w:tc>
      </w:tr>
      <w:tr w14:paraId="3DA3AEEE">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5D7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360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钢结构装饰</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6EE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14.75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68E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1B0E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含结构材料、不低于5公分包边装饰</w:t>
            </w:r>
          </w:p>
        </w:tc>
      </w:tr>
      <w:tr w14:paraId="5CD61549">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597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43F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大屏包边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1BE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D20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B13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40公分包边</w:t>
            </w:r>
          </w:p>
        </w:tc>
      </w:tr>
      <w:tr w14:paraId="4B9B69D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4F7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8D9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附件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C09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ADF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602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09600" cy="0"/>
                  <wp:effectExtent l="0" t="0" r="0" b="0"/>
                  <wp:wrapNone/>
                  <wp:docPr id="218" name="图片_2"/>
                  <wp:cNvGraphicFramePr/>
                  <a:graphic xmlns:a="http://schemas.openxmlformats.org/drawingml/2006/main">
                    <a:graphicData uri="http://schemas.openxmlformats.org/drawingml/2006/picture">
                      <pic:pic xmlns:pic="http://schemas.openxmlformats.org/drawingml/2006/picture">
                        <pic:nvPicPr>
                          <pic:cNvPr id="218" name="图片_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09600" cy="0"/>
                  <wp:effectExtent l="0" t="0" r="0" b="0"/>
                  <wp:wrapNone/>
                  <wp:docPr id="212" name="图片_2_SpCnt_1"/>
                  <wp:cNvGraphicFramePr/>
                  <a:graphic xmlns:a="http://schemas.openxmlformats.org/drawingml/2006/main">
                    <a:graphicData uri="http://schemas.openxmlformats.org/drawingml/2006/picture">
                      <pic:pic xmlns:pic="http://schemas.openxmlformats.org/drawingml/2006/picture">
                        <pic:nvPicPr>
                          <pic:cNvPr id="212" name="图片_2_SpCnt_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61975" cy="0"/>
                  <wp:effectExtent l="0" t="0" r="0" b="0"/>
                  <wp:wrapNone/>
                  <wp:docPr id="228" name="图片_55"/>
                  <wp:cNvGraphicFramePr/>
                  <a:graphic xmlns:a="http://schemas.openxmlformats.org/drawingml/2006/main">
                    <a:graphicData uri="http://schemas.openxmlformats.org/drawingml/2006/picture">
                      <pic:pic xmlns:pic="http://schemas.openxmlformats.org/drawingml/2006/picture">
                        <pic:nvPicPr>
                          <pic:cNvPr id="228" name="图片_5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09600" cy="0"/>
                  <wp:effectExtent l="0" t="0" r="0" b="0"/>
                  <wp:wrapNone/>
                  <wp:docPr id="208" name="图片_2_SpCnt_2"/>
                  <wp:cNvGraphicFramePr/>
                  <a:graphic xmlns:a="http://schemas.openxmlformats.org/drawingml/2006/main">
                    <a:graphicData uri="http://schemas.openxmlformats.org/drawingml/2006/picture">
                      <pic:pic xmlns:pic="http://schemas.openxmlformats.org/drawingml/2006/picture">
                        <pic:nvPicPr>
                          <pic:cNvPr id="208" name="图片_2_SpCnt_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61975" cy="0"/>
                  <wp:effectExtent l="0" t="0" r="0" b="0"/>
                  <wp:wrapNone/>
                  <wp:docPr id="219" name="图片_55_SpCnt_1"/>
                  <wp:cNvGraphicFramePr/>
                  <a:graphic xmlns:a="http://schemas.openxmlformats.org/drawingml/2006/main">
                    <a:graphicData uri="http://schemas.openxmlformats.org/drawingml/2006/picture">
                      <pic:pic xmlns:pic="http://schemas.openxmlformats.org/drawingml/2006/picture">
                        <pic:nvPicPr>
                          <pic:cNvPr id="219" name="图片_55_SpCnt_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61975" cy="0"/>
                  <wp:effectExtent l="0" t="0" r="0" b="0"/>
                  <wp:wrapNone/>
                  <wp:docPr id="220" name="图片_55_SpCnt_2"/>
                  <wp:cNvGraphicFramePr/>
                  <a:graphic xmlns:a="http://schemas.openxmlformats.org/drawingml/2006/main">
                    <a:graphicData uri="http://schemas.openxmlformats.org/drawingml/2006/picture">
                      <pic:pic xmlns:pic="http://schemas.openxmlformats.org/drawingml/2006/picture">
                        <pic:nvPicPr>
                          <pic:cNvPr id="220" name="图片_55_SpCnt_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09600" cy="0"/>
                  <wp:effectExtent l="0" t="0" r="0" b="0"/>
                  <wp:wrapNone/>
                  <wp:docPr id="202" name="图片_2_SpCnt_3"/>
                  <wp:cNvGraphicFramePr/>
                  <a:graphic xmlns:a="http://schemas.openxmlformats.org/drawingml/2006/main">
                    <a:graphicData uri="http://schemas.openxmlformats.org/drawingml/2006/picture">
                      <pic:pic xmlns:pic="http://schemas.openxmlformats.org/drawingml/2006/picture">
                        <pic:nvPicPr>
                          <pic:cNvPr id="202" name="图片_2_SpCnt_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61975" cy="0"/>
                  <wp:effectExtent l="0" t="0" r="0" b="0"/>
                  <wp:wrapNone/>
                  <wp:docPr id="204" name="图片_55_SpCnt_3"/>
                  <wp:cNvGraphicFramePr/>
                  <a:graphic xmlns:a="http://schemas.openxmlformats.org/drawingml/2006/main">
                    <a:graphicData uri="http://schemas.openxmlformats.org/drawingml/2006/picture">
                      <pic:pic xmlns:pic="http://schemas.openxmlformats.org/drawingml/2006/picture">
                        <pic:nvPicPr>
                          <pic:cNvPr id="204" name="图片_55_SpCnt_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61975" cy="0"/>
                  <wp:effectExtent l="0" t="0" r="0" b="0"/>
                  <wp:wrapNone/>
                  <wp:docPr id="209" name="图片_55_SpCnt_4"/>
                  <wp:cNvGraphicFramePr/>
                  <a:graphic xmlns:a="http://schemas.openxmlformats.org/drawingml/2006/main">
                    <a:graphicData uri="http://schemas.openxmlformats.org/drawingml/2006/picture">
                      <pic:pic xmlns:pic="http://schemas.openxmlformats.org/drawingml/2006/picture">
                        <pic:nvPicPr>
                          <pic:cNvPr id="209" name="图片_55_SpCnt_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61975" cy="0"/>
                  <wp:effectExtent l="0" t="0" r="0" b="0"/>
                  <wp:wrapNone/>
                  <wp:docPr id="222" name="图片_55_SpCnt_5"/>
                  <wp:cNvGraphicFramePr/>
                  <a:graphic xmlns:a="http://schemas.openxmlformats.org/drawingml/2006/main">
                    <a:graphicData uri="http://schemas.openxmlformats.org/drawingml/2006/picture">
                      <pic:pic xmlns:pic="http://schemas.openxmlformats.org/drawingml/2006/picture">
                        <pic:nvPicPr>
                          <pic:cNvPr id="222" name="图片_55_SpCnt_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28625" cy="0"/>
                  <wp:effectExtent l="0" t="0" r="0" b="0"/>
                  <wp:wrapNone/>
                  <wp:docPr id="221" name="图片_2_SpCnt_4"/>
                  <wp:cNvGraphicFramePr/>
                  <a:graphic xmlns:a="http://schemas.openxmlformats.org/drawingml/2006/main">
                    <a:graphicData uri="http://schemas.openxmlformats.org/drawingml/2006/picture">
                      <pic:pic xmlns:pic="http://schemas.openxmlformats.org/drawingml/2006/picture">
                        <pic:nvPicPr>
                          <pic:cNvPr id="221" name="图片_2_SpCnt_4"/>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61975" cy="0"/>
                  <wp:effectExtent l="0" t="0" r="0" b="0"/>
                  <wp:wrapNone/>
                  <wp:docPr id="207" name="图片_55_SpCnt_6"/>
                  <wp:cNvGraphicFramePr/>
                  <a:graphic xmlns:a="http://schemas.openxmlformats.org/drawingml/2006/main">
                    <a:graphicData uri="http://schemas.openxmlformats.org/drawingml/2006/picture">
                      <pic:pic xmlns:pic="http://schemas.openxmlformats.org/drawingml/2006/picture">
                        <pic:nvPicPr>
                          <pic:cNvPr id="207" name="图片_55_SpCnt_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61975" cy="0"/>
                  <wp:effectExtent l="0" t="0" r="0" b="0"/>
                  <wp:wrapNone/>
                  <wp:docPr id="226" name="图片_55_SpCnt_7"/>
                  <wp:cNvGraphicFramePr/>
                  <a:graphic xmlns:a="http://schemas.openxmlformats.org/drawingml/2006/main">
                    <a:graphicData uri="http://schemas.openxmlformats.org/drawingml/2006/picture">
                      <pic:pic xmlns:pic="http://schemas.openxmlformats.org/drawingml/2006/picture">
                        <pic:nvPicPr>
                          <pic:cNvPr id="226" name="图片_55_SpCnt_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09600" cy="0"/>
                  <wp:effectExtent l="0" t="0" r="0" b="0"/>
                  <wp:wrapNone/>
                  <wp:docPr id="213" name="图片_2_SpCnt_5"/>
                  <wp:cNvGraphicFramePr/>
                  <a:graphic xmlns:a="http://schemas.openxmlformats.org/drawingml/2006/main">
                    <a:graphicData uri="http://schemas.openxmlformats.org/drawingml/2006/picture">
                      <pic:pic xmlns:pic="http://schemas.openxmlformats.org/drawingml/2006/picture">
                        <pic:nvPicPr>
                          <pic:cNvPr id="213" name="图片_2_SpCnt_5"/>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81025" cy="0"/>
                  <wp:effectExtent l="0" t="0" r="0" b="0"/>
                  <wp:wrapNone/>
                  <wp:docPr id="223" name="图片_4"/>
                  <wp:cNvGraphicFramePr/>
                  <a:graphic xmlns:a="http://schemas.openxmlformats.org/drawingml/2006/main">
                    <a:graphicData uri="http://schemas.openxmlformats.org/drawingml/2006/picture">
                      <pic:pic xmlns:pic="http://schemas.openxmlformats.org/drawingml/2006/picture">
                        <pic:nvPicPr>
                          <pic:cNvPr id="223" name="图片_4"/>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61975" cy="0"/>
                  <wp:effectExtent l="0" t="0" r="0" b="0"/>
                  <wp:wrapNone/>
                  <wp:docPr id="225" name="图片_55_SpCnt_8"/>
                  <wp:cNvGraphicFramePr/>
                  <a:graphic xmlns:a="http://schemas.openxmlformats.org/drawingml/2006/main">
                    <a:graphicData uri="http://schemas.openxmlformats.org/drawingml/2006/picture">
                      <pic:pic xmlns:pic="http://schemas.openxmlformats.org/drawingml/2006/picture">
                        <pic:nvPicPr>
                          <pic:cNvPr id="225" name="图片_55_SpCnt_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14300" cy="0"/>
                  <wp:effectExtent l="0" t="0" r="0" b="0"/>
                  <wp:wrapNone/>
                  <wp:docPr id="205" name="图片_5_SpCnt_8"/>
                  <wp:cNvGraphicFramePr/>
                  <a:graphic xmlns:a="http://schemas.openxmlformats.org/drawingml/2006/main">
                    <a:graphicData uri="http://schemas.openxmlformats.org/drawingml/2006/picture">
                      <pic:pic xmlns:pic="http://schemas.openxmlformats.org/drawingml/2006/picture">
                        <pic:nvPicPr>
                          <pic:cNvPr id="205" name="图片_5_SpCnt_8"/>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09600" cy="0"/>
                  <wp:effectExtent l="0" t="0" r="0" b="0"/>
                  <wp:wrapNone/>
                  <wp:docPr id="206" name="图片_2_SpCnt_6"/>
                  <wp:cNvGraphicFramePr/>
                  <a:graphic xmlns:a="http://schemas.openxmlformats.org/drawingml/2006/main">
                    <a:graphicData uri="http://schemas.openxmlformats.org/drawingml/2006/picture">
                      <pic:pic xmlns:pic="http://schemas.openxmlformats.org/drawingml/2006/picture">
                        <pic:nvPicPr>
                          <pic:cNvPr id="206" name="图片_2_SpCnt_6"/>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14300" cy="0"/>
                  <wp:effectExtent l="0" t="0" r="0" b="0"/>
                  <wp:wrapNone/>
                  <wp:docPr id="211" name="图片_6"/>
                  <wp:cNvGraphicFramePr/>
                  <a:graphic xmlns:a="http://schemas.openxmlformats.org/drawingml/2006/main">
                    <a:graphicData uri="http://schemas.openxmlformats.org/drawingml/2006/picture">
                      <pic:pic xmlns:pic="http://schemas.openxmlformats.org/drawingml/2006/picture">
                        <pic:nvPicPr>
                          <pic:cNvPr id="211" name="图片_6"/>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428625" cy="0"/>
                  <wp:effectExtent l="0" t="0" r="0" b="0"/>
                  <wp:wrapNone/>
                  <wp:docPr id="210" name="图片_2_SpCnt_7"/>
                  <wp:cNvGraphicFramePr/>
                  <a:graphic xmlns:a="http://schemas.openxmlformats.org/drawingml/2006/main">
                    <a:graphicData uri="http://schemas.openxmlformats.org/drawingml/2006/picture">
                      <pic:pic xmlns:pic="http://schemas.openxmlformats.org/drawingml/2006/picture">
                        <pic:nvPicPr>
                          <pic:cNvPr id="210" name="图片_2_SpCnt_7"/>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61975" cy="0"/>
                  <wp:effectExtent l="0" t="0" r="0" b="0"/>
                  <wp:wrapNone/>
                  <wp:docPr id="239" name="图片_55_SpCnt_9"/>
                  <wp:cNvGraphicFramePr/>
                  <a:graphic xmlns:a="http://schemas.openxmlformats.org/drawingml/2006/main">
                    <a:graphicData uri="http://schemas.openxmlformats.org/drawingml/2006/picture">
                      <pic:pic xmlns:pic="http://schemas.openxmlformats.org/drawingml/2006/picture">
                        <pic:nvPicPr>
                          <pic:cNvPr id="239" name="图片_55_SpCnt_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09600" cy="0"/>
                  <wp:effectExtent l="0" t="0" r="0" b="0"/>
                  <wp:wrapNone/>
                  <wp:docPr id="250" name="图片_2_SpCnt_8"/>
                  <wp:cNvGraphicFramePr/>
                  <a:graphic xmlns:a="http://schemas.openxmlformats.org/drawingml/2006/main">
                    <a:graphicData uri="http://schemas.openxmlformats.org/drawingml/2006/picture">
                      <pic:pic xmlns:pic="http://schemas.openxmlformats.org/drawingml/2006/picture">
                        <pic:nvPicPr>
                          <pic:cNvPr id="250" name="图片_2_SpCnt_8"/>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428625" cy="0"/>
                  <wp:effectExtent l="0" t="0" r="0" b="0"/>
                  <wp:wrapNone/>
                  <wp:docPr id="253" name="图片_2_SpCnt_9"/>
                  <wp:cNvGraphicFramePr/>
                  <a:graphic xmlns:a="http://schemas.openxmlformats.org/drawingml/2006/main">
                    <a:graphicData uri="http://schemas.openxmlformats.org/drawingml/2006/picture">
                      <pic:pic xmlns:pic="http://schemas.openxmlformats.org/drawingml/2006/picture">
                        <pic:nvPicPr>
                          <pic:cNvPr id="253" name="图片_2_SpCnt_9"/>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61975" cy="0"/>
                  <wp:effectExtent l="0" t="0" r="0" b="0"/>
                  <wp:wrapNone/>
                  <wp:docPr id="243" name="图片_55_SpCnt_10"/>
                  <wp:cNvGraphicFramePr/>
                  <a:graphic xmlns:a="http://schemas.openxmlformats.org/drawingml/2006/main">
                    <a:graphicData uri="http://schemas.openxmlformats.org/drawingml/2006/picture">
                      <pic:pic xmlns:pic="http://schemas.openxmlformats.org/drawingml/2006/picture">
                        <pic:nvPicPr>
                          <pic:cNvPr id="243" name="图片_55_SpCnt_1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09600" cy="0"/>
                  <wp:effectExtent l="0" t="0" r="0" b="0"/>
                  <wp:wrapNone/>
                  <wp:docPr id="251" name="图片_2_SpCnt_10"/>
                  <wp:cNvGraphicFramePr/>
                  <a:graphic xmlns:a="http://schemas.openxmlformats.org/drawingml/2006/main">
                    <a:graphicData uri="http://schemas.openxmlformats.org/drawingml/2006/picture">
                      <pic:pic xmlns:pic="http://schemas.openxmlformats.org/drawingml/2006/picture">
                        <pic:nvPicPr>
                          <pic:cNvPr id="251" name="图片_2_SpCnt_10"/>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81025" cy="0"/>
                  <wp:effectExtent l="0" t="0" r="0" b="0"/>
                  <wp:wrapNone/>
                  <wp:docPr id="244" name="图片_4_SpCnt_1"/>
                  <wp:cNvGraphicFramePr/>
                  <a:graphic xmlns:a="http://schemas.openxmlformats.org/drawingml/2006/main">
                    <a:graphicData uri="http://schemas.openxmlformats.org/drawingml/2006/picture">
                      <pic:pic xmlns:pic="http://schemas.openxmlformats.org/drawingml/2006/picture">
                        <pic:nvPicPr>
                          <pic:cNvPr id="244" name="图片_4_SpCnt_1"/>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561975" cy="0"/>
                  <wp:effectExtent l="0" t="0" r="0" b="0"/>
                  <wp:wrapNone/>
                  <wp:docPr id="252" name="图片_55_SpCnt_11"/>
                  <wp:cNvGraphicFramePr/>
                  <a:graphic xmlns:a="http://schemas.openxmlformats.org/drawingml/2006/main">
                    <a:graphicData uri="http://schemas.openxmlformats.org/drawingml/2006/picture">
                      <pic:pic xmlns:pic="http://schemas.openxmlformats.org/drawingml/2006/picture">
                        <pic:nvPicPr>
                          <pic:cNvPr id="252" name="图片_55_SpCnt_1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61975" cy="0"/>
                  <wp:effectExtent l="0" t="0" r="0" b="0"/>
                  <wp:wrapNone/>
                  <wp:docPr id="233" name="图片_55_SpCnt_12"/>
                  <wp:cNvGraphicFramePr/>
                  <a:graphic xmlns:a="http://schemas.openxmlformats.org/drawingml/2006/main">
                    <a:graphicData uri="http://schemas.openxmlformats.org/drawingml/2006/picture">
                      <pic:pic xmlns:pic="http://schemas.openxmlformats.org/drawingml/2006/picture">
                        <pic:nvPicPr>
                          <pic:cNvPr id="233" name="图片_55_SpCnt_1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114300" cy="0"/>
                  <wp:effectExtent l="0" t="0" r="0" b="0"/>
                  <wp:wrapNone/>
                  <wp:docPr id="234" name="图片_6_SpCnt_1"/>
                  <wp:cNvGraphicFramePr/>
                  <a:graphic xmlns:a="http://schemas.openxmlformats.org/drawingml/2006/main">
                    <a:graphicData uri="http://schemas.openxmlformats.org/drawingml/2006/picture">
                      <pic:pic xmlns:pic="http://schemas.openxmlformats.org/drawingml/2006/picture">
                        <pic:nvPicPr>
                          <pic:cNvPr id="234" name="图片_6_SpCnt_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09600" cy="0"/>
                  <wp:effectExtent l="0" t="0" r="0" b="0"/>
                  <wp:wrapNone/>
                  <wp:docPr id="241" name="图片_2_SpCnt_11"/>
                  <wp:cNvGraphicFramePr/>
                  <a:graphic xmlns:a="http://schemas.openxmlformats.org/drawingml/2006/main">
                    <a:graphicData uri="http://schemas.openxmlformats.org/drawingml/2006/picture">
                      <pic:pic xmlns:pic="http://schemas.openxmlformats.org/drawingml/2006/picture">
                        <pic:nvPicPr>
                          <pic:cNvPr id="241" name="图片_2_SpCnt_1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561975" cy="0"/>
                  <wp:effectExtent l="0" t="0" r="0" b="0"/>
                  <wp:wrapNone/>
                  <wp:docPr id="231" name="图片_55_SpCnt_13"/>
                  <wp:cNvGraphicFramePr/>
                  <a:graphic xmlns:a="http://schemas.openxmlformats.org/drawingml/2006/main">
                    <a:graphicData uri="http://schemas.openxmlformats.org/drawingml/2006/picture">
                      <pic:pic xmlns:pic="http://schemas.openxmlformats.org/drawingml/2006/picture">
                        <pic:nvPicPr>
                          <pic:cNvPr id="231" name="图片_55_SpCnt_1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81025" cy="0"/>
                  <wp:effectExtent l="0" t="0" r="0" b="0"/>
                  <wp:wrapNone/>
                  <wp:docPr id="232" name="图片_4_SpCnt_2"/>
                  <wp:cNvGraphicFramePr/>
                  <a:graphic xmlns:a="http://schemas.openxmlformats.org/drawingml/2006/main">
                    <a:graphicData uri="http://schemas.openxmlformats.org/drawingml/2006/picture">
                      <pic:pic xmlns:pic="http://schemas.openxmlformats.org/drawingml/2006/picture">
                        <pic:nvPicPr>
                          <pic:cNvPr id="232" name="图片_4_SpCnt_2"/>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61975" cy="0"/>
                  <wp:effectExtent l="0" t="0" r="0" b="0"/>
                  <wp:wrapNone/>
                  <wp:docPr id="236" name="图片_55_SpCnt_14"/>
                  <wp:cNvGraphicFramePr/>
                  <a:graphic xmlns:a="http://schemas.openxmlformats.org/drawingml/2006/main">
                    <a:graphicData uri="http://schemas.openxmlformats.org/drawingml/2006/picture">
                      <pic:pic xmlns:pic="http://schemas.openxmlformats.org/drawingml/2006/picture">
                        <pic:nvPicPr>
                          <pic:cNvPr id="236" name="图片_55_SpCnt_1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09600" cy="0"/>
                  <wp:effectExtent l="0" t="0" r="0" b="0"/>
                  <wp:wrapNone/>
                  <wp:docPr id="245" name="图片_2_SpCnt_12"/>
                  <wp:cNvGraphicFramePr/>
                  <a:graphic xmlns:a="http://schemas.openxmlformats.org/drawingml/2006/main">
                    <a:graphicData uri="http://schemas.openxmlformats.org/drawingml/2006/picture">
                      <pic:pic xmlns:pic="http://schemas.openxmlformats.org/drawingml/2006/picture">
                        <pic:nvPicPr>
                          <pic:cNvPr id="245" name="图片_2_SpCnt_1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61975" cy="0"/>
                  <wp:effectExtent l="0" t="0" r="0" b="0"/>
                  <wp:wrapNone/>
                  <wp:docPr id="246" name="图片_55_SpCnt_15"/>
                  <wp:cNvGraphicFramePr/>
                  <a:graphic xmlns:a="http://schemas.openxmlformats.org/drawingml/2006/main">
                    <a:graphicData uri="http://schemas.openxmlformats.org/drawingml/2006/picture">
                      <pic:pic xmlns:pic="http://schemas.openxmlformats.org/drawingml/2006/picture">
                        <pic:nvPicPr>
                          <pic:cNvPr id="246" name="图片_55_SpCnt_1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09600" cy="0"/>
                  <wp:effectExtent l="0" t="0" r="0" b="0"/>
                  <wp:wrapNone/>
                  <wp:docPr id="242" name="图片_2_SpCnt_13"/>
                  <wp:cNvGraphicFramePr/>
                  <a:graphic xmlns:a="http://schemas.openxmlformats.org/drawingml/2006/main">
                    <a:graphicData uri="http://schemas.openxmlformats.org/drawingml/2006/picture">
                      <pic:pic xmlns:pic="http://schemas.openxmlformats.org/drawingml/2006/picture">
                        <pic:nvPicPr>
                          <pic:cNvPr id="242" name="图片_2_SpCnt_1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61975" cy="0"/>
                  <wp:effectExtent l="0" t="0" r="0" b="0"/>
                  <wp:wrapNone/>
                  <wp:docPr id="238" name="图片_55_SpCnt_16"/>
                  <wp:cNvGraphicFramePr/>
                  <a:graphic xmlns:a="http://schemas.openxmlformats.org/drawingml/2006/main">
                    <a:graphicData uri="http://schemas.openxmlformats.org/drawingml/2006/picture">
                      <pic:pic xmlns:pic="http://schemas.openxmlformats.org/drawingml/2006/picture">
                        <pic:nvPicPr>
                          <pic:cNvPr id="238" name="图片_55_SpCnt_1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14300" cy="0"/>
                  <wp:effectExtent l="0" t="0" r="0" b="0"/>
                  <wp:wrapNone/>
                  <wp:docPr id="247" name="图片_5_SpCnt_9"/>
                  <wp:cNvGraphicFramePr/>
                  <a:graphic xmlns:a="http://schemas.openxmlformats.org/drawingml/2006/main">
                    <a:graphicData uri="http://schemas.openxmlformats.org/drawingml/2006/picture">
                      <pic:pic xmlns:pic="http://schemas.openxmlformats.org/drawingml/2006/picture">
                        <pic:nvPicPr>
                          <pic:cNvPr id="247" name="图片_5_SpCnt_9"/>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14300" cy="0"/>
                  <wp:effectExtent l="0" t="0" r="0" b="0"/>
                  <wp:wrapNone/>
                  <wp:docPr id="235" name="图片_6_SpCnt_2"/>
                  <wp:cNvGraphicFramePr/>
                  <a:graphic xmlns:a="http://schemas.openxmlformats.org/drawingml/2006/main">
                    <a:graphicData uri="http://schemas.openxmlformats.org/drawingml/2006/picture">
                      <pic:pic xmlns:pic="http://schemas.openxmlformats.org/drawingml/2006/picture">
                        <pic:nvPicPr>
                          <pic:cNvPr id="235" name="图片_6_SpCnt_2"/>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428625" cy="0"/>
                  <wp:effectExtent l="0" t="0" r="0" b="0"/>
                  <wp:wrapNone/>
                  <wp:docPr id="248" name="图片_2_SpCnt_14"/>
                  <wp:cNvGraphicFramePr/>
                  <a:graphic xmlns:a="http://schemas.openxmlformats.org/drawingml/2006/main">
                    <a:graphicData uri="http://schemas.openxmlformats.org/drawingml/2006/picture">
                      <pic:pic xmlns:pic="http://schemas.openxmlformats.org/drawingml/2006/picture">
                        <pic:nvPicPr>
                          <pic:cNvPr id="248" name="图片_2_SpCnt_14"/>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61975" cy="0"/>
                  <wp:effectExtent l="0" t="0" r="0" b="0"/>
                  <wp:wrapNone/>
                  <wp:docPr id="240" name="图片_55_SpCnt_17"/>
                  <wp:cNvGraphicFramePr/>
                  <a:graphic xmlns:a="http://schemas.openxmlformats.org/drawingml/2006/main">
                    <a:graphicData uri="http://schemas.openxmlformats.org/drawingml/2006/picture">
                      <pic:pic xmlns:pic="http://schemas.openxmlformats.org/drawingml/2006/picture">
                        <pic:nvPicPr>
                          <pic:cNvPr id="240" name="图片_55_SpCnt_1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581025" cy="0"/>
                  <wp:effectExtent l="0" t="0" r="0" b="0"/>
                  <wp:wrapNone/>
                  <wp:docPr id="237" name="图片_4_SpCnt_3"/>
                  <wp:cNvGraphicFramePr/>
                  <a:graphic xmlns:a="http://schemas.openxmlformats.org/drawingml/2006/main">
                    <a:graphicData uri="http://schemas.openxmlformats.org/drawingml/2006/picture">
                      <pic:pic xmlns:pic="http://schemas.openxmlformats.org/drawingml/2006/picture">
                        <pic:nvPicPr>
                          <pic:cNvPr id="237" name="图片_4_SpCnt_3"/>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09600" cy="0"/>
                  <wp:effectExtent l="0" t="0" r="0" b="0"/>
                  <wp:wrapNone/>
                  <wp:docPr id="249" name="图片_2_SpCnt_15"/>
                  <wp:cNvGraphicFramePr/>
                  <a:graphic xmlns:a="http://schemas.openxmlformats.org/drawingml/2006/main">
                    <a:graphicData uri="http://schemas.openxmlformats.org/drawingml/2006/picture">
                      <pic:pic xmlns:pic="http://schemas.openxmlformats.org/drawingml/2006/picture">
                        <pic:nvPicPr>
                          <pic:cNvPr id="249" name="图片_2_SpCnt_15"/>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114300" cy="0"/>
                  <wp:effectExtent l="0" t="0" r="0" b="0"/>
                  <wp:wrapNone/>
                  <wp:docPr id="230" name="图片_6_SpCnt_3"/>
                  <wp:cNvGraphicFramePr/>
                  <a:graphic xmlns:a="http://schemas.openxmlformats.org/drawingml/2006/main">
                    <a:graphicData uri="http://schemas.openxmlformats.org/drawingml/2006/picture">
                      <pic:pic xmlns:pic="http://schemas.openxmlformats.org/drawingml/2006/picture">
                        <pic:nvPicPr>
                          <pic:cNvPr id="230" name="图片_6_SpCnt_3"/>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插线板、接线头等</w:t>
            </w:r>
          </w:p>
        </w:tc>
      </w:tr>
      <w:tr w14:paraId="77FD2615">
        <w:tblPrEx>
          <w:tblCellMar>
            <w:top w:w="0" w:type="dxa"/>
            <w:left w:w="108" w:type="dxa"/>
            <w:bottom w:w="0" w:type="dxa"/>
            <w:right w:w="108" w:type="dxa"/>
          </w:tblCellMar>
        </w:tblPrEx>
        <w:trPr>
          <w:trHeight w:val="537"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7C7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2512" behindDoc="0" locked="0" layoutInCell="1" allowOverlap="1">
                  <wp:simplePos x="0" y="0"/>
                  <wp:positionH relativeFrom="column">
                    <wp:posOffset>2587625</wp:posOffset>
                  </wp:positionH>
                  <wp:positionV relativeFrom="paragraph">
                    <wp:posOffset>0</wp:posOffset>
                  </wp:positionV>
                  <wp:extent cx="114300" cy="0"/>
                  <wp:effectExtent l="0" t="0" r="0" b="0"/>
                  <wp:wrapNone/>
                  <wp:docPr id="275" name="图片_5_SpCnt_10"/>
                  <wp:cNvGraphicFramePr/>
                  <a:graphic xmlns:a="http://schemas.openxmlformats.org/drawingml/2006/main">
                    <a:graphicData uri="http://schemas.openxmlformats.org/drawingml/2006/picture">
                      <pic:pic xmlns:pic="http://schemas.openxmlformats.org/drawingml/2006/picture">
                        <pic:nvPicPr>
                          <pic:cNvPr id="275" name="图片_5_SpCnt_10"/>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3536" behindDoc="0" locked="0" layoutInCell="1" allowOverlap="1">
                  <wp:simplePos x="0" y="0"/>
                  <wp:positionH relativeFrom="column">
                    <wp:posOffset>2587625</wp:posOffset>
                  </wp:positionH>
                  <wp:positionV relativeFrom="paragraph">
                    <wp:posOffset>0</wp:posOffset>
                  </wp:positionV>
                  <wp:extent cx="114300" cy="0"/>
                  <wp:effectExtent l="0" t="0" r="0" b="0"/>
                  <wp:wrapNone/>
                  <wp:docPr id="279" name="图片_5_SpCnt_11"/>
                  <wp:cNvGraphicFramePr/>
                  <a:graphic xmlns:a="http://schemas.openxmlformats.org/drawingml/2006/main">
                    <a:graphicData uri="http://schemas.openxmlformats.org/drawingml/2006/picture">
                      <pic:pic xmlns:pic="http://schemas.openxmlformats.org/drawingml/2006/picture">
                        <pic:nvPicPr>
                          <pic:cNvPr id="279" name="图片_5_SpCnt_1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4560" behindDoc="0" locked="0" layoutInCell="1" allowOverlap="1">
                  <wp:simplePos x="0" y="0"/>
                  <wp:positionH relativeFrom="column">
                    <wp:posOffset>2587625</wp:posOffset>
                  </wp:positionH>
                  <wp:positionV relativeFrom="paragraph">
                    <wp:posOffset>0</wp:posOffset>
                  </wp:positionV>
                  <wp:extent cx="114300" cy="0"/>
                  <wp:effectExtent l="0" t="0" r="0" b="0"/>
                  <wp:wrapNone/>
                  <wp:docPr id="263" name="图片_5_SpCnt_12"/>
                  <wp:cNvGraphicFramePr/>
                  <a:graphic xmlns:a="http://schemas.openxmlformats.org/drawingml/2006/main">
                    <a:graphicData uri="http://schemas.openxmlformats.org/drawingml/2006/picture">
                      <pic:pic xmlns:pic="http://schemas.openxmlformats.org/drawingml/2006/picture">
                        <pic:nvPicPr>
                          <pic:cNvPr id="263" name="图片_5_SpCnt_12"/>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5584" behindDoc="0" locked="0" layoutInCell="1" allowOverlap="1">
                  <wp:simplePos x="0" y="0"/>
                  <wp:positionH relativeFrom="column">
                    <wp:posOffset>2587625</wp:posOffset>
                  </wp:positionH>
                  <wp:positionV relativeFrom="paragraph">
                    <wp:posOffset>0</wp:posOffset>
                  </wp:positionV>
                  <wp:extent cx="114300" cy="0"/>
                  <wp:effectExtent l="0" t="0" r="0" b="0"/>
                  <wp:wrapNone/>
                  <wp:docPr id="270" name="图片_5_SpCnt_13"/>
                  <wp:cNvGraphicFramePr/>
                  <a:graphic xmlns:a="http://schemas.openxmlformats.org/drawingml/2006/main">
                    <a:graphicData uri="http://schemas.openxmlformats.org/drawingml/2006/picture">
                      <pic:pic xmlns:pic="http://schemas.openxmlformats.org/drawingml/2006/picture">
                        <pic:nvPicPr>
                          <pic:cNvPr id="270" name="图片_5_SpCnt_13"/>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6608" behindDoc="0" locked="0" layoutInCell="1" allowOverlap="1">
                  <wp:simplePos x="0" y="0"/>
                  <wp:positionH relativeFrom="column">
                    <wp:posOffset>3027680</wp:posOffset>
                  </wp:positionH>
                  <wp:positionV relativeFrom="paragraph">
                    <wp:posOffset>0</wp:posOffset>
                  </wp:positionV>
                  <wp:extent cx="114300" cy="0"/>
                  <wp:effectExtent l="0" t="0" r="0" b="0"/>
                  <wp:wrapNone/>
                  <wp:docPr id="256" name="图片_5_SpCnt_14"/>
                  <wp:cNvGraphicFramePr/>
                  <a:graphic xmlns:a="http://schemas.openxmlformats.org/drawingml/2006/main">
                    <a:graphicData uri="http://schemas.openxmlformats.org/drawingml/2006/picture">
                      <pic:pic xmlns:pic="http://schemas.openxmlformats.org/drawingml/2006/picture">
                        <pic:nvPicPr>
                          <pic:cNvPr id="256" name="图片_5_SpCnt_14"/>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7632" behindDoc="0" locked="0" layoutInCell="1" allowOverlap="1">
                  <wp:simplePos x="0" y="0"/>
                  <wp:positionH relativeFrom="column">
                    <wp:posOffset>3027680</wp:posOffset>
                  </wp:positionH>
                  <wp:positionV relativeFrom="paragraph">
                    <wp:posOffset>0</wp:posOffset>
                  </wp:positionV>
                  <wp:extent cx="114300" cy="0"/>
                  <wp:effectExtent l="0" t="0" r="0" b="0"/>
                  <wp:wrapNone/>
                  <wp:docPr id="280" name="图片_5_SpCnt_15"/>
                  <wp:cNvGraphicFramePr/>
                  <a:graphic xmlns:a="http://schemas.openxmlformats.org/drawingml/2006/main">
                    <a:graphicData uri="http://schemas.openxmlformats.org/drawingml/2006/picture">
                      <pic:pic xmlns:pic="http://schemas.openxmlformats.org/drawingml/2006/picture">
                        <pic:nvPicPr>
                          <pic:cNvPr id="280" name="图片_5_SpCnt_1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8656" behindDoc="0" locked="0" layoutInCell="1" allowOverlap="1">
                  <wp:simplePos x="0" y="0"/>
                  <wp:positionH relativeFrom="column">
                    <wp:posOffset>3027680</wp:posOffset>
                  </wp:positionH>
                  <wp:positionV relativeFrom="paragraph">
                    <wp:posOffset>0</wp:posOffset>
                  </wp:positionV>
                  <wp:extent cx="114300" cy="0"/>
                  <wp:effectExtent l="0" t="0" r="0" b="0"/>
                  <wp:wrapNone/>
                  <wp:docPr id="262" name="图片_5_SpCnt_16"/>
                  <wp:cNvGraphicFramePr/>
                  <a:graphic xmlns:a="http://schemas.openxmlformats.org/drawingml/2006/main">
                    <a:graphicData uri="http://schemas.openxmlformats.org/drawingml/2006/picture">
                      <pic:pic xmlns:pic="http://schemas.openxmlformats.org/drawingml/2006/picture">
                        <pic:nvPicPr>
                          <pic:cNvPr id="262" name="图片_5_SpCnt_16"/>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19680" behindDoc="0" locked="0" layoutInCell="1" allowOverlap="1">
                  <wp:simplePos x="0" y="0"/>
                  <wp:positionH relativeFrom="column">
                    <wp:posOffset>3027680</wp:posOffset>
                  </wp:positionH>
                  <wp:positionV relativeFrom="paragraph">
                    <wp:posOffset>0</wp:posOffset>
                  </wp:positionV>
                  <wp:extent cx="114300" cy="0"/>
                  <wp:effectExtent l="0" t="0" r="0" b="0"/>
                  <wp:wrapNone/>
                  <wp:docPr id="264" name="图片_5_SpCnt_17"/>
                  <wp:cNvGraphicFramePr/>
                  <a:graphic xmlns:a="http://schemas.openxmlformats.org/drawingml/2006/main">
                    <a:graphicData uri="http://schemas.openxmlformats.org/drawingml/2006/picture">
                      <pic:pic xmlns:pic="http://schemas.openxmlformats.org/drawingml/2006/picture">
                        <pic:nvPicPr>
                          <pic:cNvPr id="264" name="图片_5_SpCnt_17"/>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0704"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82" name="图片_2_SpCnt_16"/>
                  <wp:cNvGraphicFramePr/>
                  <a:graphic xmlns:a="http://schemas.openxmlformats.org/drawingml/2006/main">
                    <a:graphicData uri="http://schemas.openxmlformats.org/drawingml/2006/picture">
                      <pic:pic xmlns:pic="http://schemas.openxmlformats.org/drawingml/2006/picture">
                        <pic:nvPicPr>
                          <pic:cNvPr id="282" name="图片_2_SpCnt_16"/>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172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65" name="图片_2_SpCnt_17"/>
                  <wp:cNvGraphicFramePr/>
                  <a:graphic xmlns:a="http://schemas.openxmlformats.org/drawingml/2006/main">
                    <a:graphicData uri="http://schemas.openxmlformats.org/drawingml/2006/picture">
                      <pic:pic xmlns:pic="http://schemas.openxmlformats.org/drawingml/2006/picture">
                        <pic:nvPicPr>
                          <pic:cNvPr id="265" name="图片_2_SpCnt_17"/>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2752" behindDoc="0" locked="0" layoutInCell="1" allowOverlap="1">
                  <wp:simplePos x="0" y="0"/>
                  <wp:positionH relativeFrom="column">
                    <wp:posOffset>3416935</wp:posOffset>
                  </wp:positionH>
                  <wp:positionV relativeFrom="paragraph">
                    <wp:posOffset>0</wp:posOffset>
                  </wp:positionV>
                  <wp:extent cx="114300" cy="0"/>
                  <wp:effectExtent l="0" t="0" r="0" b="0"/>
                  <wp:wrapNone/>
                  <wp:docPr id="266" name="图片_5_SpCnt_18"/>
                  <wp:cNvGraphicFramePr/>
                  <a:graphic xmlns:a="http://schemas.openxmlformats.org/drawingml/2006/main">
                    <a:graphicData uri="http://schemas.openxmlformats.org/drawingml/2006/picture">
                      <pic:pic xmlns:pic="http://schemas.openxmlformats.org/drawingml/2006/picture">
                        <pic:nvPicPr>
                          <pic:cNvPr id="266" name="图片_5_SpCnt_18"/>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3776" behindDoc="0" locked="0" layoutInCell="1" allowOverlap="1">
                  <wp:simplePos x="0" y="0"/>
                  <wp:positionH relativeFrom="column">
                    <wp:posOffset>3416935</wp:posOffset>
                  </wp:positionH>
                  <wp:positionV relativeFrom="paragraph">
                    <wp:posOffset>0</wp:posOffset>
                  </wp:positionV>
                  <wp:extent cx="114300" cy="0"/>
                  <wp:effectExtent l="0" t="0" r="0" b="0"/>
                  <wp:wrapNone/>
                  <wp:docPr id="281" name="图片_6_SpCnt_4"/>
                  <wp:cNvGraphicFramePr/>
                  <a:graphic xmlns:a="http://schemas.openxmlformats.org/drawingml/2006/main">
                    <a:graphicData uri="http://schemas.openxmlformats.org/drawingml/2006/picture">
                      <pic:pic xmlns:pic="http://schemas.openxmlformats.org/drawingml/2006/picture">
                        <pic:nvPicPr>
                          <pic:cNvPr id="281" name="图片_6_SpCnt_4"/>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480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67" name="图片_55_SpCnt_18"/>
                  <wp:cNvGraphicFramePr/>
                  <a:graphic xmlns:a="http://schemas.openxmlformats.org/drawingml/2006/main">
                    <a:graphicData uri="http://schemas.openxmlformats.org/drawingml/2006/picture">
                      <pic:pic xmlns:pic="http://schemas.openxmlformats.org/drawingml/2006/picture">
                        <pic:nvPicPr>
                          <pic:cNvPr id="267" name="图片_55_SpCnt_1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5824" behindDoc="0" locked="0" layoutInCell="1" allowOverlap="1">
                  <wp:simplePos x="0" y="0"/>
                  <wp:positionH relativeFrom="column">
                    <wp:posOffset>3416935</wp:posOffset>
                  </wp:positionH>
                  <wp:positionV relativeFrom="paragraph">
                    <wp:posOffset>0</wp:posOffset>
                  </wp:positionV>
                  <wp:extent cx="581025" cy="0"/>
                  <wp:effectExtent l="0" t="0" r="0" b="0"/>
                  <wp:wrapNone/>
                  <wp:docPr id="255" name="图片_4_SpCnt_4"/>
                  <wp:cNvGraphicFramePr/>
                  <a:graphic xmlns:a="http://schemas.openxmlformats.org/drawingml/2006/main">
                    <a:graphicData uri="http://schemas.openxmlformats.org/drawingml/2006/picture">
                      <pic:pic xmlns:pic="http://schemas.openxmlformats.org/drawingml/2006/picture">
                        <pic:nvPicPr>
                          <pic:cNvPr id="255" name="图片_4_SpCnt_4"/>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6848"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68" name="图片_2_SpCnt_18"/>
                  <wp:cNvGraphicFramePr/>
                  <a:graphic xmlns:a="http://schemas.openxmlformats.org/drawingml/2006/main">
                    <a:graphicData uri="http://schemas.openxmlformats.org/drawingml/2006/picture">
                      <pic:pic xmlns:pic="http://schemas.openxmlformats.org/drawingml/2006/picture">
                        <pic:nvPicPr>
                          <pic:cNvPr id="268" name="图片_2_SpCnt_18"/>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787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57" name="图片_55_SpCnt_19"/>
                  <wp:cNvGraphicFramePr/>
                  <a:graphic xmlns:a="http://schemas.openxmlformats.org/drawingml/2006/main">
                    <a:graphicData uri="http://schemas.openxmlformats.org/drawingml/2006/picture">
                      <pic:pic xmlns:pic="http://schemas.openxmlformats.org/drawingml/2006/picture">
                        <pic:nvPicPr>
                          <pic:cNvPr id="257" name="图片_55_SpCnt_1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8896" behindDoc="0" locked="0" layoutInCell="1" allowOverlap="1">
                  <wp:simplePos x="0" y="0"/>
                  <wp:positionH relativeFrom="column">
                    <wp:posOffset>3416935</wp:posOffset>
                  </wp:positionH>
                  <wp:positionV relativeFrom="paragraph">
                    <wp:posOffset>0</wp:posOffset>
                  </wp:positionV>
                  <wp:extent cx="114300" cy="0"/>
                  <wp:effectExtent l="0" t="0" r="0" b="0"/>
                  <wp:wrapNone/>
                  <wp:docPr id="273" name="图片_6_SpCnt_5"/>
                  <wp:cNvGraphicFramePr/>
                  <a:graphic xmlns:a="http://schemas.openxmlformats.org/drawingml/2006/main">
                    <a:graphicData uri="http://schemas.openxmlformats.org/drawingml/2006/picture">
                      <pic:pic xmlns:pic="http://schemas.openxmlformats.org/drawingml/2006/picture">
                        <pic:nvPicPr>
                          <pic:cNvPr id="273" name="图片_6_SpCnt_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2992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69" name="图片_2_SpCnt_19"/>
                  <wp:cNvGraphicFramePr/>
                  <a:graphic xmlns:a="http://schemas.openxmlformats.org/drawingml/2006/main">
                    <a:graphicData uri="http://schemas.openxmlformats.org/drawingml/2006/picture">
                      <pic:pic xmlns:pic="http://schemas.openxmlformats.org/drawingml/2006/picture">
                        <pic:nvPicPr>
                          <pic:cNvPr id="269" name="图片_2_SpCnt_19"/>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0944"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83" name="图片_2_SpCnt_20"/>
                  <wp:cNvGraphicFramePr/>
                  <a:graphic xmlns:a="http://schemas.openxmlformats.org/drawingml/2006/main">
                    <a:graphicData uri="http://schemas.openxmlformats.org/drawingml/2006/picture">
                      <pic:pic xmlns:pic="http://schemas.openxmlformats.org/drawingml/2006/picture">
                        <pic:nvPicPr>
                          <pic:cNvPr id="283" name="图片_2_SpCnt_20"/>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196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71" name="图片_55_SpCnt_20"/>
                  <wp:cNvGraphicFramePr/>
                  <a:graphic xmlns:a="http://schemas.openxmlformats.org/drawingml/2006/main">
                    <a:graphicData uri="http://schemas.openxmlformats.org/drawingml/2006/picture">
                      <pic:pic xmlns:pic="http://schemas.openxmlformats.org/drawingml/2006/picture">
                        <pic:nvPicPr>
                          <pic:cNvPr id="271" name="图片_55_SpCnt_2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2992" behindDoc="0" locked="0" layoutInCell="1" allowOverlap="1">
                  <wp:simplePos x="0" y="0"/>
                  <wp:positionH relativeFrom="column">
                    <wp:posOffset>3416935</wp:posOffset>
                  </wp:positionH>
                  <wp:positionV relativeFrom="paragraph">
                    <wp:posOffset>0</wp:posOffset>
                  </wp:positionV>
                  <wp:extent cx="114300" cy="0"/>
                  <wp:effectExtent l="0" t="0" r="0" b="0"/>
                  <wp:wrapNone/>
                  <wp:docPr id="278" name="图片_5_SpCnt_19"/>
                  <wp:cNvGraphicFramePr/>
                  <a:graphic xmlns:a="http://schemas.openxmlformats.org/drawingml/2006/main">
                    <a:graphicData uri="http://schemas.openxmlformats.org/drawingml/2006/picture">
                      <pic:pic xmlns:pic="http://schemas.openxmlformats.org/drawingml/2006/picture">
                        <pic:nvPicPr>
                          <pic:cNvPr id="278" name="图片_5_SpCnt_19"/>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401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72" name="图片_55_SpCnt_21"/>
                  <wp:cNvGraphicFramePr/>
                  <a:graphic xmlns:a="http://schemas.openxmlformats.org/drawingml/2006/main">
                    <a:graphicData uri="http://schemas.openxmlformats.org/drawingml/2006/picture">
                      <pic:pic xmlns:pic="http://schemas.openxmlformats.org/drawingml/2006/picture">
                        <pic:nvPicPr>
                          <pic:cNvPr id="272" name="图片_55_SpCnt_2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504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74" name="图片_55_SpCnt_22"/>
                  <wp:cNvGraphicFramePr/>
                  <a:graphic xmlns:a="http://schemas.openxmlformats.org/drawingml/2006/main">
                    <a:graphicData uri="http://schemas.openxmlformats.org/drawingml/2006/picture">
                      <pic:pic xmlns:pic="http://schemas.openxmlformats.org/drawingml/2006/picture">
                        <pic:nvPicPr>
                          <pic:cNvPr id="274" name="图片_55_SpCnt_2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606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85" name="图片_55_SpCnt_23"/>
                  <wp:cNvGraphicFramePr/>
                  <a:graphic xmlns:a="http://schemas.openxmlformats.org/drawingml/2006/main">
                    <a:graphicData uri="http://schemas.openxmlformats.org/drawingml/2006/picture">
                      <pic:pic xmlns:pic="http://schemas.openxmlformats.org/drawingml/2006/picture">
                        <pic:nvPicPr>
                          <pic:cNvPr id="285" name="图片_55_SpCnt_2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708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76" name="图片_2_SpCnt_21"/>
                  <wp:cNvGraphicFramePr/>
                  <a:graphic xmlns:a="http://schemas.openxmlformats.org/drawingml/2006/main">
                    <a:graphicData uri="http://schemas.openxmlformats.org/drawingml/2006/picture">
                      <pic:pic xmlns:pic="http://schemas.openxmlformats.org/drawingml/2006/picture">
                        <pic:nvPicPr>
                          <pic:cNvPr id="276" name="图片_2_SpCnt_2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8112"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77" name="图片_2_SpCnt_22"/>
                  <wp:cNvGraphicFramePr/>
                  <a:graphic xmlns:a="http://schemas.openxmlformats.org/drawingml/2006/main">
                    <a:graphicData uri="http://schemas.openxmlformats.org/drawingml/2006/picture">
                      <pic:pic xmlns:pic="http://schemas.openxmlformats.org/drawingml/2006/picture">
                        <pic:nvPicPr>
                          <pic:cNvPr id="277" name="图片_2_SpCnt_22"/>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39136" behindDoc="0" locked="0" layoutInCell="1" allowOverlap="1">
                  <wp:simplePos x="0" y="0"/>
                  <wp:positionH relativeFrom="column">
                    <wp:posOffset>3416935</wp:posOffset>
                  </wp:positionH>
                  <wp:positionV relativeFrom="paragraph">
                    <wp:posOffset>0</wp:posOffset>
                  </wp:positionV>
                  <wp:extent cx="581025" cy="0"/>
                  <wp:effectExtent l="0" t="0" r="0" b="0"/>
                  <wp:wrapNone/>
                  <wp:docPr id="254" name="图片_4_SpCnt_5"/>
                  <wp:cNvGraphicFramePr/>
                  <a:graphic xmlns:a="http://schemas.openxmlformats.org/drawingml/2006/main">
                    <a:graphicData uri="http://schemas.openxmlformats.org/drawingml/2006/picture">
                      <pic:pic xmlns:pic="http://schemas.openxmlformats.org/drawingml/2006/picture">
                        <pic:nvPicPr>
                          <pic:cNvPr id="254" name="图片_4_SpCnt_5"/>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016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84" name="图片_55_SpCnt_24"/>
                  <wp:cNvGraphicFramePr/>
                  <a:graphic xmlns:a="http://schemas.openxmlformats.org/drawingml/2006/main">
                    <a:graphicData uri="http://schemas.openxmlformats.org/drawingml/2006/picture">
                      <pic:pic xmlns:pic="http://schemas.openxmlformats.org/drawingml/2006/picture">
                        <pic:nvPicPr>
                          <pic:cNvPr id="284" name="图片_55_SpCnt_2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1184"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61" name="图片_2_SpCnt_23"/>
                  <wp:cNvGraphicFramePr/>
                  <a:graphic xmlns:a="http://schemas.openxmlformats.org/drawingml/2006/main">
                    <a:graphicData uri="http://schemas.openxmlformats.org/drawingml/2006/picture">
                      <pic:pic xmlns:pic="http://schemas.openxmlformats.org/drawingml/2006/picture">
                        <pic:nvPicPr>
                          <pic:cNvPr id="261" name="图片_2_SpCnt_2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220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58" name="图片_55_SpCnt_25"/>
                  <wp:cNvGraphicFramePr/>
                  <a:graphic xmlns:a="http://schemas.openxmlformats.org/drawingml/2006/main">
                    <a:graphicData uri="http://schemas.openxmlformats.org/drawingml/2006/picture">
                      <pic:pic xmlns:pic="http://schemas.openxmlformats.org/drawingml/2006/picture">
                        <pic:nvPicPr>
                          <pic:cNvPr id="258" name="图片_55_SpCnt_2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3232"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59" name="图片_2_SpCnt_24"/>
                  <wp:cNvGraphicFramePr/>
                  <a:graphic xmlns:a="http://schemas.openxmlformats.org/drawingml/2006/main">
                    <a:graphicData uri="http://schemas.openxmlformats.org/drawingml/2006/picture">
                      <pic:pic xmlns:pic="http://schemas.openxmlformats.org/drawingml/2006/picture">
                        <pic:nvPicPr>
                          <pic:cNvPr id="259" name="图片_2_SpCnt_24"/>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425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60" name="图片_55_SpCnt_26"/>
                  <wp:cNvGraphicFramePr/>
                  <a:graphic xmlns:a="http://schemas.openxmlformats.org/drawingml/2006/main">
                    <a:graphicData uri="http://schemas.openxmlformats.org/drawingml/2006/picture">
                      <pic:pic xmlns:pic="http://schemas.openxmlformats.org/drawingml/2006/picture">
                        <pic:nvPicPr>
                          <pic:cNvPr id="260" name="图片_55_SpCnt_2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528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8" name="图片_55_SpCnt_27"/>
                  <wp:cNvGraphicFramePr/>
                  <a:graphic xmlns:a="http://schemas.openxmlformats.org/drawingml/2006/main">
                    <a:graphicData uri="http://schemas.openxmlformats.org/drawingml/2006/picture">
                      <pic:pic xmlns:pic="http://schemas.openxmlformats.org/drawingml/2006/picture">
                        <pic:nvPicPr>
                          <pic:cNvPr id="298" name="图片_55_SpCnt_2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6304"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08" name="图片_2_SpCnt_25"/>
                  <wp:cNvGraphicFramePr/>
                  <a:graphic xmlns:a="http://schemas.openxmlformats.org/drawingml/2006/main">
                    <a:graphicData uri="http://schemas.openxmlformats.org/drawingml/2006/picture">
                      <pic:pic xmlns:pic="http://schemas.openxmlformats.org/drawingml/2006/picture">
                        <pic:nvPicPr>
                          <pic:cNvPr id="308" name="图片_2_SpCnt_25"/>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7328"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12" name="图片_6_SpCnt_6"/>
                  <wp:cNvGraphicFramePr/>
                  <a:graphic xmlns:a="http://schemas.openxmlformats.org/drawingml/2006/main">
                    <a:graphicData uri="http://schemas.openxmlformats.org/drawingml/2006/picture">
                      <pic:pic xmlns:pic="http://schemas.openxmlformats.org/drawingml/2006/picture">
                        <pic:nvPicPr>
                          <pic:cNvPr id="312" name="图片_6_SpCnt_6"/>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835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6" name="图片_55_SpCnt_28"/>
                  <wp:cNvGraphicFramePr/>
                  <a:graphic xmlns:a="http://schemas.openxmlformats.org/drawingml/2006/main">
                    <a:graphicData uri="http://schemas.openxmlformats.org/drawingml/2006/picture">
                      <pic:pic xmlns:pic="http://schemas.openxmlformats.org/drawingml/2006/picture">
                        <pic:nvPicPr>
                          <pic:cNvPr id="296" name="图片_55_SpCnt_2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4937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7" name="图片_55_SpCnt_29"/>
                  <wp:cNvGraphicFramePr/>
                  <a:graphic xmlns:a="http://schemas.openxmlformats.org/drawingml/2006/main">
                    <a:graphicData uri="http://schemas.openxmlformats.org/drawingml/2006/picture">
                      <pic:pic xmlns:pic="http://schemas.openxmlformats.org/drawingml/2006/picture">
                        <pic:nvPicPr>
                          <pic:cNvPr id="297" name="图片_55_SpCnt_2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040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3" name="图片_55_SpCnt_30"/>
                  <wp:cNvGraphicFramePr/>
                  <a:graphic xmlns:a="http://schemas.openxmlformats.org/drawingml/2006/main">
                    <a:graphicData uri="http://schemas.openxmlformats.org/drawingml/2006/picture">
                      <pic:pic xmlns:pic="http://schemas.openxmlformats.org/drawingml/2006/picture">
                        <pic:nvPicPr>
                          <pic:cNvPr id="293" name="图片_55_SpCnt_3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1424"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86" name="图片_2_SpCnt_26"/>
                  <wp:cNvGraphicFramePr/>
                  <a:graphic xmlns:a="http://schemas.openxmlformats.org/drawingml/2006/main">
                    <a:graphicData uri="http://schemas.openxmlformats.org/drawingml/2006/picture">
                      <pic:pic xmlns:pic="http://schemas.openxmlformats.org/drawingml/2006/picture">
                        <pic:nvPicPr>
                          <pic:cNvPr id="286" name="图片_2_SpCnt_26"/>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244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04" name="图片_2_SpCnt_27"/>
                  <wp:cNvGraphicFramePr/>
                  <a:graphic xmlns:a="http://schemas.openxmlformats.org/drawingml/2006/main">
                    <a:graphicData uri="http://schemas.openxmlformats.org/drawingml/2006/picture">
                      <pic:pic xmlns:pic="http://schemas.openxmlformats.org/drawingml/2006/picture">
                        <pic:nvPicPr>
                          <pic:cNvPr id="304" name="图片_2_SpCnt_27"/>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347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89" name="图片_55_SpCnt_31"/>
                  <wp:cNvGraphicFramePr/>
                  <a:graphic xmlns:a="http://schemas.openxmlformats.org/drawingml/2006/main">
                    <a:graphicData uri="http://schemas.openxmlformats.org/drawingml/2006/picture">
                      <pic:pic xmlns:pic="http://schemas.openxmlformats.org/drawingml/2006/picture">
                        <pic:nvPicPr>
                          <pic:cNvPr id="289" name="图片_55_SpCnt_3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449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9" name="图片_55_SpCnt_32"/>
                  <wp:cNvGraphicFramePr/>
                  <a:graphic xmlns:a="http://schemas.openxmlformats.org/drawingml/2006/main">
                    <a:graphicData uri="http://schemas.openxmlformats.org/drawingml/2006/picture">
                      <pic:pic xmlns:pic="http://schemas.openxmlformats.org/drawingml/2006/picture">
                        <pic:nvPicPr>
                          <pic:cNvPr id="299" name="图片_55_SpCnt_3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5520" behindDoc="0" locked="0" layoutInCell="1" allowOverlap="1">
                  <wp:simplePos x="0" y="0"/>
                  <wp:positionH relativeFrom="column">
                    <wp:posOffset>3416935</wp:posOffset>
                  </wp:positionH>
                  <wp:positionV relativeFrom="paragraph">
                    <wp:posOffset>0</wp:posOffset>
                  </wp:positionV>
                  <wp:extent cx="114300" cy="0"/>
                  <wp:effectExtent l="0" t="0" r="0" b="0"/>
                  <wp:wrapNone/>
                  <wp:docPr id="287" name="图片_6_SpCnt_7"/>
                  <wp:cNvGraphicFramePr/>
                  <a:graphic xmlns:a="http://schemas.openxmlformats.org/drawingml/2006/main">
                    <a:graphicData uri="http://schemas.openxmlformats.org/drawingml/2006/picture">
                      <pic:pic xmlns:pic="http://schemas.openxmlformats.org/drawingml/2006/picture">
                        <pic:nvPicPr>
                          <pic:cNvPr id="287" name="图片_6_SpCnt_7"/>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654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88" name="图片_55_SpCnt_33"/>
                  <wp:cNvGraphicFramePr/>
                  <a:graphic xmlns:a="http://schemas.openxmlformats.org/drawingml/2006/main">
                    <a:graphicData uri="http://schemas.openxmlformats.org/drawingml/2006/picture">
                      <pic:pic xmlns:pic="http://schemas.openxmlformats.org/drawingml/2006/picture">
                        <pic:nvPicPr>
                          <pic:cNvPr id="288" name="图片_55_SpCnt_3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756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00" name="图片_55_SpCnt_34"/>
                  <wp:cNvGraphicFramePr/>
                  <a:graphic xmlns:a="http://schemas.openxmlformats.org/drawingml/2006/main">
                    <a:graphicData uri="http://schemas.openxmlformats.org/drawingml/2006/picture">
                      <pic:pic xmlns:pic="http://schemas.openxmlformats.org/drawingml/2006/picture">
                        <pic:nvPicPr>
                          <pic:cNvPr id="300" name="图片_55_SpCnt_3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8592"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94" name="图片_2_SpCnt_28"/>
                  <wp:cNvGraphicFramePr/>
                  <a:graphic xmlns:a="http://schemas.openxmlformats.org/drawingml/2006/main">
                    <a:graphicData uri="http://schemas.openxmlformats.org/drawingml/2006/picture">
                      <pic:pic xmlns:pic="http://schemas.openxmlformats.org/drawingml/2006/picture">
                        <pic:nvPicPr>
                          <pic:cNvPr id="294" name="图片_2_SpCnt_28"/>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5961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01" name="图片_55_SpCnt_35"/>
                  <wp:cNvGraphicFramePr/>
                  <a:graphic xmlns:a="http://schemas.openxmlformats.org/drawingml/2006/main">
                    <a:graphicData uri="http://schemas.openxmlformats.org/drawingml/2006/picture">
                      <pic:pic xmlns:pic="http://schemas.openxmlformats.org/drawingml/2006/picture">
                        <pic:nvPicPr>
                          <pic:cNvPr id="301" name="图片_55_SpCnt_3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064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06" name="图片_2_SpCnt_29"/>
                  <wp:cNvGraphicFramePr/>
                  <a:graphic xmlns:a="http://schemas.openxmlformats.org/drawingml/2006/main">
                    <a:graphicData uri="http://schemas.openxmlformats.org/drawingml/2006/picture">
                      <pic:pic xmlns:pic="http://schemas.openxmlformats.org/drawingml/2006/picture">
                        <pic:nvPicPr>
                          <pic:cNvPr id="306" name="图片_2_SpCnt_29"/>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166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05" name="图片_55_SpCnt_36"/>
                  <wp:cNvGraphicFramePr/>
                  <a:graphic xmlns:a="http://schemas.openxmlformats.org/drawingml/2006/main">
                    <a:graphicData uri="http://schemas.openxmlformats.org/drawingml/2006/picture">
                      <pic:pic xmlns:pic="http://schemas.openxmlformats.org/drawingml/2006/picture">
                        <pic:nvPicPr>
                          <pic:cNvPr id="305" name="图片_55_SpCnt_3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268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0" name="图片_55_SpCnt_37"/>
                  <wp:cNvGraphicFramePr/>
                  <a:graphic xmlns:a="http://schemas.openxmlformats.org/drawingml/2006/main">
                    <a:graphicData uri="http://schemas.openxmlformats.org/drawingml/2006/picture">
                      <pic:pic xmlns:pic="http://schemas.openxmlformats.org/drawingml/2006/picture">
                        <pic:nvPicPr>
                          <pic:cNvPr id="290" name="图片_55_SpCnt_3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3712"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11" name="图片_6_SpCnt_8"/>
                  <wp:cNvGraphicFramePr/>
                  <a:graphic xmlns:a="http://schemas.openxmlformats.org/drawingml/2006/main">
                    <a:graphicData uri="http://schemas.openxmlformats.org/drawingml/2006/picture">
                      <pic:pic xmlns:pic="http://schemas.openxmlformats.org/drawingml/2006/picture">
                        <pic:nvPicPr>
                          <pic:cNvPr id="311" name="图片_6_SpCnt_8"/>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4736" behindDoc="0" locked="0" layoutInCell="1" allowOverlap="1">
                  <wp:simplePos x="0" y="0"/>
                  <wp:positionH relativeFrom="column">
                    <wp:posOffset>3416935</wp:posOffset>
                  </wp:positionH>
                  <wp:positionV relativeFrom="paragraph">
                    <wp:posOffset>0</wp:posOffset>
                  </wp:positionV>
                  <wp:extent cx="428625" cy="0"/>
                  <wp:effectExtent l="0" t="0" r="0" b="0"/>
                  <wp:wrapNone/>
                  <wp:docPr id="291" name="图片_2_SpCnt_30"/>
                  <wp:cNvGraphicFramePr/>
                  <a:graphic xmlns:a="http://schemas.openxmlformats.org/drawingml/2006/main">
                    <a:graphicData uri="http://schemas.openxmlformats.org/drawingml/2006/picture">
                      <pic:pic xmlns:pic="http://schemas.openxmlformats.org/drawingml/2006/picture">
                        <pic:nvPicPr>
                          <pic:cNvPr id="291" name="图片_2_SpCnt_30"/>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576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15" name="图片_55_SpCnt_38"/>
                  <wp:cNvGraphicFramePr/>
                  <a:graphic xmlns:a="http://schemas.openxmlformats.org/drawingml/2006/main">
                    <a:graphicData uri="http://schemas.openxmlformats.org/drawingml/2006/picture">
                      <pic:pic xmlns:pic="http://schemas.openxmlformats.org/drawingml/2006/picture">
                        <pic:nvPicPr>
                          <pic:cNvPr id="315" name="图片_55_SpCnt_3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678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07" name="图片_55_SpCnt_39"/>
                  <wp:cNvGraphicFramePr/>
                  <a:graphic xmlns:a="http://schemas.openxmlformats.org/drawingml/2006/main">
                    <a:graphicData uri="http://schemas.openxmlformats.org/drawingml/2006/picture">
                      <pic:pic xmlns:pic="http://schemas.openxmlformats.org/drawingml/2006/picture">
                        <pic:nvPicPr>
                          <pic:cNvPr id="307" name="图片_55_SpCnt_3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780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292" name="图片_55_SpCnt_40"/>
                  <wp:cNvGraphicFramePr/>
                  <a:graphic xmlns:a="http://schemas.openxmlformats.org/drawingml/2006/main">
                    <a:graphicData uri="http://schemas.openxmlformats.org/drawingml/2006/picture">
                      <pic:pic xmlns:pic="http://schemas.openxmlformats.org/drawingml/2006/picture">
                        <pic:nvPicPr>
                          <pic:cNvPr id="292" name="图片_55_SpCnt_4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883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09" name="图片_55_SpCnt_41"/>
                  <wp:cNvGraphicFramePr/>
                  <a:graphic xmlns:a="http://schemas.openxmlformats.org/drawingml/2006/main">
                    <a:graphicData uri="http://schemas.openxmlformats.org/drawingml/2006/picture">
                      <pic:pic xmlns:pic="http://schemas.openxmlformats.org/drawingml/2006/picture">
                        <pic:nvPicPr>
                          <pic:cNvPr id="309" name="图片_55_SpCnt_4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69856"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10" name="图片_2_SpCnt_31"/>
                  <wp:cNvGraphicFramePr/>
                  <a:graphic xmlns:a="http://schemas.openxmlformats.org/drawingml/2006/main">
                    <a:graphicData uri="http://schemas.openxmlformats.org/drawingml/2006/picture">
                      <pic:pic xmlns:pic="http://schemas.openxmlformats.org/drawingml/2006/picture">
                        <pic:nvPicPr>
                          <pic:cNvPr id="310" name="图片_2_SpCnt_3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088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295" name="图片_2_SpCnt_32"/>
                  <wp:cNvGraphicFramePr/>
                  <a:graphic xmlns:a="http://schemas.openxmlformats.org/drawingml/2006/main">
                    <a:graphicData uri="http://schemas.openxmlformats.org/drawingml/2006/picture">
                      <pic:pic xmlns:pic="http://schemas.openxmlformats.org/drawingml/2006/picture">
                        <pic:nvPicPr>
                          <pic:cNvPr id="295" name="图片_2_SpCnt_3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1904"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02" name="图片_2_SpCnt_33"/>
                  <wp:cNvGraphicFramePr/>
                  <a:graphic xmlns:a="http://schemas.openxmlformats.org/drawingml/2006/main">
                    <a:graphicData uri="http://schemas.openxmlformats.org/drawingml/2006/picture">
                      <pic:pic xmlns:pic="http://schemas.openxmlformats.org/drawingml/2006/picture">
                        <pic:nvPicPr>
                          <pic:cNvPr id="302" name="图片_2_SpCnt_3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292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13" name="图片_2_SpCnt_34"/>
                  <wp:cNvGraphicFramePr/>
                  <a:graphic xmlns:a="http://schemas.openxmlformats.org/drawingml/2006/main">
                    <a:graphicData uri="http://schemas.openxmlformats.org/drawingml/2006/picture">
                      <pic:pic xmlns:pic="http://schemas.openxmlformats.org/drawingml/2006/picture">
                        <pic:nvPicPr>
                          <pic:cNvPr id="313" name="图片_2_SpCnt_34"/>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3952"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14" name="图片_4_SpCnt_6"/>
                  <wp:cNvGraphicFramePr/>
                  <a:graphic xmlns:a="http://schemas.openxmlformats.org/drawingml/2006/main">
                    <a:graphicData uri="http://schemas.openxmlformats.org/drawingml/2006/picture">
                      <pic:pic xmlns:pic="http://schemas.openxmlformats.org/drawingml/2006/picture">
                        <pic:nvPicPr>
                          <pic:cNvPr id="314" name="图片_4_SpCnt_6"/>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4976"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16" name="图片_4_SpCnt_7"/>
                  <wp:cNvGraphicFramePr/>
                  <a:graphic xmlns:a="http://schemas.openxmlformats.org/drawingml/2006/main">
                    <a:graphicData uri="http://schemas.openxmlformats.org/drawingml/2006/picture">
                      <pic:pic xmlns:pic="http://schemas.openxmlformats.org/drawingml/2006/picture">
                        <pic:nvPicPr>
                          <pic:cNvPr id="316" name="图片_4_SpCnt_7"/>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600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03" name="图片_2_SpCnt_35"/>
                  <wp:cNvGraphicFramePr/>
                  <a:graphic xmlns:a="http://schemas.openxmlformats.org/drawingml/2006/main">
                    <a:graphicData uri="http://schemas.openxmlformats.org/drawingml/2006/picture">
                      <pic:pic xmlns:pic="http://schemas.openxmlformats.org/drawingml/2006/picture">
                        <pic:nvPicPr>
                          <pic:cNvPr id="303" name="图片_2_SpCnt_35"/>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702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17" name="图片_55_SpCnt_42"/>
                  <wp:cNvGraphicFramePr/>
                  <a:graphic xmlns:a="http://schemas.openxmlformats.org/drawingml/2006/main">
                    <a:graphicData uri="http://schemas.openxmlformats.org/drawingml/2006/picture">
                      <pic:pic xmlns:pic="http://schemas.openxmlformats.org/drawingml/2006/picture">
                        <pic:nvPicPr>
                          <pic:cNvPr id="317" name="图片_55_SpCnt_4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8048"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40" name="图片_4_SpCnt_8"/>
                  <wp:cNvGraphicFramePr/>
                  <a:graphic xmlns:a="http://schemas.openxmlformats.org/drawingml/2006/main">
                    <a:graphicData uri="http://schemas.openxmlformats.org/drawingml/2006/picture">
                      <pic:pic xmlns:pic="http://schemas.openxmlformats.org/drawingml/2006/picture">
                        <pic:nvPicPr>
                          <pic:cNvPr id="340" name="图片_4_SpCnt_8"/>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79072"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24" name="图片_2_SpCnt_36"/>
                  <wp:cNvGraphicFramePr/>
                  <a:graphic xmlns:a="http://schemas.openxmlformats.org/drawingml/2006/main">
                    <a:graphicData uri="http://schemas.openxmlformats.org/drawingml/2006/picture">
                      <pic:pic xmlns:pic="http://schemas.openxmlformats.org/drawingml/2006/picture">
                        <pic:nvPicPr>
                          <pic:cNvPr id="324" name="图片_2_SpCnt_36"/>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009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22" name="图片_55_SpCnt_43"/>
                  <wp:cNvGraphicFramePr/>
                  <a:graphic xmlns:a="http://schemas.openxmlformats.org/drawingml/2006/main">
                    <a:graphicData uri="http://schemas.openxmlformats.org/drawingml/2006/picture">
                      <pic:pic xmlns:pic="http://schemas.openxmlformats.org/drawingml/2006/picture">
                        <pic:nvPicPr>
                          <pic:cNvPr id="322" name="图片_55_SpCnt_4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112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41" name="图片_2_SpCnt_37"/>
                  <wp:cNvGraphicFramePr/>
                  <a:graphic xmlns:a="http://schemas.openxmlformats.org/drawingml/2006/main">
                    <a:graphicData uri="http://schemas.openxmlformats.org/drawingml/2006/picture">
                      <pic:pic xmlns:pic="http://schemas.openxmlformats.org/drawingml/2006/picture">
                        <pic:nvPicPr>
                          <pic:cNvPr id="341" name="图片_2_SpCnt_37"/>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214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48" name="图片_55_SpCnt_44"/>
                  <wp:cNvGraphicFramePr/>
                  <a:graphic xmlns:a="http://schemas.openxmlformats.org/drawingml/2006/main">
                    <a:graphicData uri="http://schemas.openxmlformats.org/drawingml/2006/picture">
                      <pic:pic xmlns:pic="http://schemas.openxmlformats.org/drawingml/2006/picture">
                        <pic:nvPicPr>
                          <pic:cNvPr id="348" name="图片_55_SpCnt_4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3168"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18" name="图片_6_SpCnt_9"/>
                  <wp:cNvGraphicFramePr/>
                  <a:graphic xmlns:a="http://schemas.openxmlformats.org/drawingml/2006/main">
                    <a:graphicData uri="http://schemas.openxmlformats.org/drawingml/2006/picture">
                      <pic:pic xmlns:pic="http://schemas.openxmlformats.org/drawingml/2006/picture">
                        <pic:nvPicPr>
                          <pic:cNvPr id="318" name="图片_6_SpCnt_9"/>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4192"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20" name="图片_5_SpCnt_20"/>
                  <wp:cNvGraphicFramePr/>
                  <a:graphic xmlns:a="http://schemas.openxmlformats.org/drawingml/2006/main">
                    <a:graphicData uri="http://schemas.openxmlformats.org/drawingml/2006/picture">
                      <pic:pic xmlns:pic="http://schemas.openxmlformats.org/drawingml/2006/picture">
                        <pic:nvPicPr>
                          <pic:cNvPr id="320" name="图片_5_SpCnt_20"/>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5216"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27" name="图片_2_SpCnt_38"/>
                  <wp:cNvGraphicFramePr/>
                  <a:graphic xmlns:a="http://schemas.openxmlformats.org/drawingml/2006/main">
                    <a:graphicData uri="http://schemas.openxmlformats.org/drawingml/2006/picture">
                      <pic:pic xmlns:pic="http://schemas.openxmlformats.org/drawingml/2006/picture">
                        <pic:nvPicPr>
                          <pic:cNvPr id="327" name="图片_2_SpCnt_38"/>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624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28" name="图片_2_SpCnt_39"/>
                  <wp:cNvGraphicFramePr/>
                  <a:graphic xmlns:a="http://schemas.openxmlformats.org/drawingml/2006/main">
                    <a:graphicData uri="http://schemas.openxmlformats.org/drawingml/2006/picture">
                      <pic:pic xmlns:pic="http://schemas.openxmlformats.org/drawingml/2006/picture">
                        <pic:nvPicPr>
                          <pic:cNvPr id="328" name="图片_2_SpCnt_39"/>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726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37" name="图片_55_SpCnt_45"/>
                  <wp:cNvGraphicFramePr/>
                  <a:graphic xmlns:a="http://schemas.openxmlformats.org/drawingml/2006/main">
                    <a:graphicData uri="http://schemas.openxmlformats.org/drawingml/2006/picture">
                      <pic:pic xmlns:pic="http://schemas.openxmlformats.org/drawingml/2006/picture">
                        <pic:nvPicPr>
                          <pic:cNvPr id="337" name="图片_55_SpCnt_4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8288" behindDoc="0" locked="0" layoutInCell="1" allowOverlap="1">
                  <wp:simplePos x="0" y="0"/>
                  <wp:positionH relativeFrom="column">
                    <wp:posOffset>3416935</wp:posOffset>
                  </wp:positionH>
                  <wp:positionV relativeFrom="paragraph">
                    <wp:posOffset>0</wp:posOffset>
                  </wp:positionV>
                  <wp:extent cx="428625" cy="0"/>
                  <wp:effectExtent l="0" t="0" r="0" b="0"/>
                  <wp:wrapNone/>
                  <wp:docPr id="338" name="图片_2_SpCnt_40"/>
                  <wp:cNvGraphicFramePr/>
                  <a:graphic xmlns:a="http://schemas.openxmlformats.org/drawingml/2006/main">
                    <a:graphicData uri="http://schemas.openxmlformats.org/drawingml/2006/picture">
                      <pic:pic xmlns:pic="http://schemas.openxmlformats.org/drawingml/2006/picture">
                        <pic:nvPicPr>
                          <pic:cNvPr id="338" name="图片_2_SpCnt_40"/>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8931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42" name="图片_55_SpCnt_46"/>
                  <wp:cNvGraphicFramePr/>
                  <a:graphic xmlns:a="http://schemas.openxmlformats.org/drawingml/2006/main">
                    <a:graphicData uri="http://schemas.openxmlformats.org/drawingml/2006/picture">
                      <pic:pic xmlns:pic="http://schemas.openxmlformats.org/drawingml/2006/picture">
                        <pic:nvPicPr>
                          <pic:cNvPr id="342" name="图片_55_SpCnt_4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033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39" name="图片_55_SpCnt_47"/>
                  <wp:cNvGraphicFramePr/>
                  <a:graphic xmlns:a="http://schemas.openxmlformats.org/drawingml/2006/main">
                    <a:graphicData uri="http://schemas.openxmlformats.org/drawingml/2006/picture">
                      <pic:pic xmlns:pic="http://schemas.openxmlformats.org/drawingml/2006/picture">
                        <pic:nvPicPr>
                          <pic:cNvPr id="339" name="图片_55_SpCnt_4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136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43" name="图片_2_SpCnt_41"/>
                  <wp:cNvGraphicFramePr/>
                  <a:graphic xmlns:a="http://schemas.openxmlformats.org/drawingml/2006/main">
                    <a:graphicData uri="http://schemas.openxmlformats.org/drawingml/2006/picture">
                      <pic:pic xmlns:pic="http://schemas.openxmlformats.org/drawingml/2006/picture">
                        <pic:nvPicPr>
                          <pic:cNvPr id="343" name="图片_2_SpCnt_4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238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25" name="图片_55_SpCnt_48"/>
                  <wp:cNvGraphicFramePr/>
                  <a:graphic xmlns:a="http://schemas.openxmlformats.org/drawingml/2006/main">
                    <a:graphicData uri="http://schemas.openxmlformats.org/drawingml/2006/picture">
                      <pic:pic xmlns:pic="http://schemas.openxmlformats.org/drawingml/2006/picture">
                        <pic:nvPicPr>
                          <pic:cNvPr id="325" name="图片_55_SpCnt_4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340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29" name="图片_2_SpCnt_42"/>
                  <wp:cNvGraphicFramePr/>
                  <a:graphic xmlns:a="http://schemas.openxmlformats.org/drawingml/2006/main">
                    <a:graphicData uri="http://schemas.openxmlformats.org/drawingml/2006/picture">
                      <pic:pic xmlns:pic="http://schemas.openxmlformats.org/drawingml/2006/picture">
                        <pic:nvPicPr>
                          <pic:cNvPr id="329" name="图片_2_SpCnt_4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4432"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44" name="图片_4_SpCnt_9"/>
                  <wp:cNvGraphicFramePr/>
                  <a:graphic xmlns:a="http://schemas.openxmlformats.org/drawingml/2006/main">
                    <a:graphicData uri="http://schemas.openxmlformats.org/drawingml/2006/picture">
                      <pic:pic xmlns:pic="http://schemas.openxmlformats.org/drawingml/2006/picture">
                        <pic:nvPicPr>
                          <pic:cNvPr id="344" name="图片_4_SpCnt_9"/>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5456"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49" name="图片_6_SpCnt_10"/>
                  <wp:cNvGraphicFramePr/>
                  <a:graphic xmlns:a="http://schemas.openxmlformats.org/drawingml/2006/main">
                    <a:graphicData uri="http://schemas.openxmlformats.org/drawingml/2006/picture">
                      <pic:pic xmlns:pic="http://schemas.openxmlformats.org/drawingml/2006/picture">
                        <pic:nvPicPr>
                          <pic:cNvPr id="349" name="图片_6_SpCnt_10"/>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6480"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45" name="图片_4_SpCnt_10"/>
                  <wp:cNvGraphicFramePr/>
                  <a:graphic xmlns:a="http://schemas.openxmlformats.org/drawingml/2006/main">
                    <a:graphicData uri="http://schemas.openxmlformats.org/drawingml/2006/picture">
                      <pic:pic xmlns:pic="http://schemas.openxmlformats.org/drawingml/2006/picture">
                        <pic:nvPicPr>
                          <pic:cNvPr id="345" name="图片_4_SpCnt_10"/>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7504"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46" name="图片_2_SpCnt_43"/>
                  <wp:cNvGraphicFramePr/>
                  <a:graphic xmlns:a="http://schemas.openxmlformats.org/drawingml/2006/main">
                    <a:graphicData uri="http://schemas.openxmlformats.org/drawingml/2006/picture">
                      <pic:pic xmlns:pic="http://schemas.openxmlformats.org/drawingml/2006/picture">
                        <pic:nvPicPr>
                          <pic:cNvPr id="346" name="图片_2_SpCnt_4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8528"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34" name="图片_55_SpCnt_49"/>
                  <wp:cNvGraphicFramePr/>
                  <a:graphic xmlns:a="http://schemas.openxmlformats.org/drawingml/2006/main">
                    <a:graphicData uri="http://schemas.openxmlformats.org/drawingml/2006/picture">
                      <pic:pic xmlns:pic="http://schemas.openxmlformats.org/drawingml/2006/picture">
                        <pic:nvPicPr>
                          <pic:cNvPr id="334" name="图片_55_SpCnt_4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799552"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47" name="图片_55_SpCnt_50"/>
                  <wp:cNvGraphicFramePr/>
                  <a:graphic xmlns:a="http://schemas.openxmlformats.org/drawingml/2006/main">
                    <a:graphicData uri="http://schemas.openxmlformats.org/drawingml/2006/picture">
                      <pic:pic xmlns:pic="http://schemas.openxmlformats.org/drawingml/2006/picture">
                        <pic:nvPicPr>
                          <pic:cNvPr id="347" name="图片_55_SpCnt_5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0576"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19" name="图片_5_SpCnt_21"/>
                  <wp:cNvGraphicFramePr/>
                  <a:graphic xmlns:a="http://schemas.openxmlformats.org/drawingml/2006/main">
                    <a:graphicData uri="http://schemas.openxmlformats.org/drawingml/2006/picture">
                      <pic:pic xmlns:pic="http://schemas.openxmlformats.org/drawingml/2006/picture">
                        <pic:nvPicPr>
                          <pic:cNvPr id="319" name="图片_5_SpCnt_2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1600"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36" name="图片_2_SpCnt_44"/>
                  <wp:cNvGraphicFramePr/>
                  <a:graphic xmlns:a="http://schemas.openxmlformats.org/drawingml/2006/main">
                    <a:graphicData uri="http://schemas.openxmlformats.org/drawingml/2006/picture">
                      <pic:pic xmlns:pic="http://schemas.openxmlformats.org/drawingml/2006/picture">
                        <pic:nvPicPr>
                          <pic:cNvPr id="336" name="图片_2_SpCnt_44"/>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2624" behindDoc="0" locked="0" layoutInCell="1" allowOverlap="1">
                  <wp:simplePos x="0" y="0"/>
                  <wp:positionH relativeFrom="column">
                    <wp:posOffset>3416935</wp:posOffset>
                  </wp:positionH>
                  <wp:positionV relativeFrom="paragraph">
                    <wp:posOffset>0</wp:posOffset>
                  </wp:positionV>
                  <wp:extent cx="428625" cy="0"/>
                  <wp:effectExtent l="0" t="0" r="0" b="0"/>
                  <wp:wrapNone/>
                  <wp:docPr id="333" name="图片_2_SpCnt_45"/>
                  <wp:cNvGraphicFramePr/>
                  <a:graphic xmlns:a="http://schemas.openxmlformats.org/drawingml/2006/main">
                    <a:graphicData uri="http://schemas.openxmlformats.org/drawingml/2006/picture">
                      <pic:pic xmlns:pic="http://schemas.openxmlformats.org/drawingml/2006/picture">
                        <pic:nvPicPr>
                          <pic:cNvPr id="333" name="图片_2_SpCnt_45"/>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3648"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21" name="图片_2_SpCnt_46"/>
                  <wp:cNvGraphicFramePr/>
                  <a:graphic xmlns:a="http://schemas.openxmlformats.org/drawingml/2006/main">
                    <a:graphicData uri="http://schemas.openxmlformats.org/drawingml/2006/picture">
                      <pic:pic xmlns:pic="http://schemas.openxmlformats.org/drawingml/2006/picture">
                        <pic:nvPicPr>
                          <pic:cNvPr id="321" name="图片_2_SpCnt_46"/>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4672" behindDoc="0" locked="0" layoutInCell="1" allowOverlap="1">
                  <wp:simplePos x="0" y="0"/>
                  <wp:positionH relativeFrom="column">
                    <wp:posOffset>3416935</wp:posOffset>
                  </wp:positionH>
                  <wp:positionV relativeFrom="paragraph">
                    <wp:posOffset>0</wp:posOffset>
                  </wp:positionV>
                  <wp:extent cx="581025" cy="0"/>
                  <wp:effectExtent l="0" t="0" r="0" b="0"/>
                  <wp:wrapNone/>
                  <wp:docPr id="323" name="图片_4_SpCnt_11"/>
                  <wp:cNvGraphicFramePr/>
                  <a:graphic xmlns:a="http://schemas.openxmlformats.org/drawingml/2006/main">
                    <a:graphicData uri="http://schemas.openxmlformats.org/drawingml/2006/picture">
                      <pic:pic xmlns:pic="http://schemas.openxmlformats.org/drawingml/2006/picture">
                        <pic:nvPicPr>
                          <pic:cNvPr id="323" name="图片_4_SpCnt_11"/>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5696"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26" name="图片_55_SpCnt_51"/>
                  <wp:cNvGraphicFramePr/>
                  <a:graphic xmlns:a="http://schemas.openxmlformats.org/drawingml/2006/main">
                    <a:graphicData uri="http://schemas.openxmlformats.org/drawingml/2006/picture">
                      <pic:pic xmlns:pic="http://schemas.openxmlformats.org/drawingml/2006/picture">
                        <pic:nvPicPr>
                          <pic:cNvPr id="326" name="图片_55_SpCnt_5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6720"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30" name="图片_55_SpCnt_52"/>
                  <wp:cNvGraphicFramePr/>
                  <a:graphic xmlns:a="http://schemas.openxmlformats.org/drawingml/2006/main">
                    <a:graphicData uri="http://schemas.openxmlformats.org/drawingml/2006/picture">
                      <pic:pic xmlns:pic="http://schemas.openxmlformats.org/drawingml/2006/picture">
                        <pic:nvPicPr>
                          <pic:cNvPr id="330" name="图片_55_SpCnt_5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7744" behindDoc="0" locked="0" layoutInCell="1" allowOverlap="1">
                  <wp:simplePos x="0" y="0"/>
                  <wp:positionH relativeFrom="column">
                    <wp:posOffset>3416935</wp:posOffset>
                  </wp:positionH>
                  <wp:positionV relativeFrom="paragraph">
                    <wp:posOffset>0</wp:posOffset>
                  </wp:positionV>
                  <wp:extent cx="561975" cy="0"/>
                  <wp:effectExtent l="0" t="0" r="0" b="0"/>
                  <wp:wrapNone/>
                  <wp:docPr id="331" name="图片_55_SpCnt_53"/>
                  <wp:cNvGraphicFramePr/>
                  <a:graphic xmlns:a="http://schemas.openxmlformats.org/drawingml/2006/main">
                    <a:graphicData uri="http://schemas.openxmlformats.org/drawingml/2006/picture">
                      <pic:pic xmlns:pic="http://schemas.openxmlformats.org/drawingml/2006/picture">
                        <pic:nvPicPr>
                          <pic:cNvPr id="331" name="图片_55_SpCnt_5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8768" behindDoc="0" locked="0" layoutInCell="1" allowOverlap="1">
                  <wp:simplePos x="0" y="0"/>
                  <wp:positionH relativeFrom="column">
                    <wp:posOffset>3416935</wp:posOffset>
                  </wp:positionH>
                  <wp:positionV relativeFrom="paragraph">
                    <wp:posOffset>0</wp:posOffset>
                  </wp:positionV>
                  <wp:extent cx="114300" cy="0"/>
                  <wp:effectExtent l="0" t="0" r="0" b="0"/>
                  <wp:wrapNone/>
                  <wp:docPr id="332" name="图片_6_SpCnt_11"/>
                  <wp:cNvGraphicFramePr/>
                  <a:graphic xmlns:a="http://schemas.openxmlformats.org/drawingml/2006/main">
                    <a:graphicData uri="http://schemas.openxmlformats.org/drawingml/2006/picture">
                      <pic:pic xmlns:pic="http://schemas.openxmlformats.org/drawingml/2006/picture">
                        <pic:nvPicPr>
                          <pic:cNvPr id="332" name="图片_6_SpCnt_1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09792" behindDoc="0" locked="0" layoutInCell="1" allowOverlap="1">
                  <wp:simplePos x="0" y="0"/>
                  <wp:positionH relativeFrom="column">
                    <wp:posOffset>3416935</wp:posOffset>
                  </wp:positionH>
                  <wp:positionV relativeFrom="paragraph">
                    <wp:posOffset>0</wp:posOffset>
                  </wp:positionV>
                  <wp:extent cx="609600" cy="0"/>
                  <wp:effectExtent l="0" t="0" r="0" b="0"/>
                  <wp:wrapNone/>
                  <wp:docPr id="335" name="图片_2_SpCnt_47"/>
                  <wp:cNvGraphicFramePr/>
                  <a:graphic xmlns:a="http://schemas.openxmlformats.org/drawingml/2006/main">
                    <a:graphicData uri="http://schemas.openxmlformats.org/drawingml/2006/picture">
                      <pic:pic xmlns:pic="http://schemas.openxmlformats.org/drawingml/2006/picture">
                        <pic:nvPicPr>
                          <pic:cNvPr id="335" name="图片_2_SpCnt_47"/>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（二）2F综合信息指挥室</w:t>
            </w:r>
          </w:p>
        </w:tc>
      </w:tr>
      <w:tr w14:paraId="25A9A75E">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D4F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057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LED显示屏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DFD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14.336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3DD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m2</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6A7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▲LED像素点间距≤1.25mm;像素密度≥640000点/㎡，SMD封装 共阴极驱动</w:t>
            </w:r>
          </w:p>
          <w:p w14:paraId="0C18D0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▲LED屏幕通过局域网客户端，局域网WEB端，红外遥控器，射频遥控器，物理按键五种种方式实现亮度调节。</w:t>
            </w:r>
          </w:p>
          <w:p w14:paraId="388765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▲LED单元箱体间连接网线具备L型等非矩形框架走线方式，网线利用率＞95%。</w:t>
            </w:r>
          </w:p>
          <w:p w14:paraId="0DEE92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b/>
                <w:bCs/>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像素结构：1R1G1B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像素间距：1.25mm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像素密度：640000点/㎡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维护方式：完全前维护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灯珠尺寸：1010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模组尺寸：320mm×160mm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模组分辨率：256×128</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模组重量：0.54 kg/块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信号接口：HUB320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防护等级：IP30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套件材质：塑壳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封装品牌：国产铜线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白平衡亮度：500 cd/㎡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色温：3000-10000 K可调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可视角：160°(H)/160°(V)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对比度：3000：1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色度均匀性：± 0.003Cx，Cy之内</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亮度均匀性：≥ 97％</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最佳视距：1.6m ~ 4.2m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电源接口：VH4PIN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驱动方式：恒流驱动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换帧频率：60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刷新率：3840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灰度等级：最大支持16 bit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峰值功耗：450W/㎡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平均功耗：150W/㎡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供电要求：AC：200-240V~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模组供电电压：DC：4.5-5V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模组峰值功耗：23W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模组最大电流：5A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工作温度：-10 ℃ ~ 40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工作湿度：10%~80% RH（无冷凝水）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存储温度：-20 ℃ ~ 60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存储湿度：10%~85% RH（无冷凝水） </w:t>
            </w:r>
          </w:p>
        </w:tc>
      </w:tr>
      <w:tr w14:paraId="0B9C8BCB">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EC5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39F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屏体控制器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76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7B3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7C1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▲单台设备最大支持插入4张输入板卡或4张输出板卡，最大支持16路2K输入，最大支持16路2K输出</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▲支持底图功能，可接入3个电视墙，每个电视墙可设置1张底图，可设置3张分辨率为1920*1080的底图（提供具有CNAS、CMA、ilac-MRA盖章的检测报告证明）</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▲支持热备功能，支持单机输入热备、单机输出热备、单机输入输出热备、双机热备，其中双机热备不需外接同步盒即可完成输出接口画面同步</w:t>
            </w:r>
          </w:p>
          <w:p w14:paraId="4293DA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▲支持显示器信息获取，可通过HDMI线连接显示器，并获取设备类型、设备序列号、工作时长、软件版本、设备温度</w:t>
            </w:r>
          </w:p>
          <w:p w14:paraId="22D8BB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▲支持接入≥1块主控板卡，具有≥1个RS232接口、≥1个RS485接口、≥1个RJ45网络接口、≥2个3.5mm音频输入接口、≥4个3.5mm音频输出接口</w:t>
            </w:r>
          </w:p>
          <w:p w14:paraId="7D0A01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业务板卡混插：部分槽位支持，总槽位数6，输入槽位2，输出槽位2，混插槽位2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整机拼接能力：16路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风扇：1个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双机热备：支持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串行接口：3个，1个调试串口 + 1个RS485（凤凰端子；波特率：115200；有效数据位：8位）+1个RS232（凤凰端子；波特率：115200；有效数据位：8位）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机箱屏幕：3.33寸 LCD，显示分辨率192*64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电源接口：AC100~240V，50/60Hz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开窗数量：单接口8个窗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单口画面分割数：1/4/6/8/9/16</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输入源复制能力：（1）60Hz：4K输入板有2路上墙能力，2K输入板有6路上墙能力</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（2）30Hz：4K输入板有3路上墙能力，2K输入板有12路上墙能力</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单屏图层数：8个图层（4K/2K）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整机图层数：48（满配输出）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场景数量：128个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场景切换延时：400ms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预案数量：128个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超高清融合规模：最大4路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底图：一共3个，单墙1个，分辨率1080P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字幕数量：9个，单墙3个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输入OSD叠加：支持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输入图像裁剪：支持，上下左右各200个像素点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本地源上墙延时：50ms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工作温度：0℃--＋50℃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工作湿度：10％--90％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产品尺寸（宽×高×深）：442mm（宽）* 88.1mm（高）* 385mm（深）</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净重：≤7.6Kg(满配，其中机箱5.21Kg，子板0.46Kg/个)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毛重：≤11.4Kg(满配，其中机箱7.94Kg，子板0.67Kg/个)</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整机功耗：≤150W(满配) </w:t>
            </w:r>
          </w:p>
        </w:tc>
      </w:tr>
      <w:tr w14:paraId="2505C8F3">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DF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4AE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4K输入</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996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F4B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EA3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占用槽位：输入槽位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音频输入接口数：4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音频输入接口类型：HDMI复合音频</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音频采样率：32K/48K采样率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音频声道：双声道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视频输入接口类型：HDMI 1.4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视频输入接口数：4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视频输入分辨率：1024×768@60 Hz、1280×1024@60 Hz、1366×768@60 Hz、1440×900@60 Hz、1680×1050@60 Hz、1280×960@60 Hz、1600×1200@60 Hz、1280×720P@50 Hz、1280×720P@60 Hz、1920×1080P@50 Hz、1920×1080P@60 Hz、1920×1200@60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自定义分辨率范围：宽800~2560，高600~2560，宽4对齐，高2对齐，帧率30/60 Hz，配置30 Hz时，宽 ×高(1280×720~2048×1152)；配置60 Hz时，宽×高(800×600~2048×1152)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自定义分辨率范围：宽800~2560，高600~2560，宽4对齐，高2对齐，帧率30/60Hz，配置30Hz时宽*高(1280*720~2048*1152)，配置60Hz时宽*高(800*600~2048*1152)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视频输入最大分辨率：1080P </w:t>
            </w:r>
          </w:p>
        </w:tc>
      </w:tr>
      <w:tr w14:paraId="16A4BE35">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20D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3B9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发送卡</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347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626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528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占用槽位：输出槽位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视频输出接口类型：RJ45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视频输出接口数：20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视频输出分辨率：自定义分辨率范围：带载面积小于1040W，宽（64-16384）高（64-8192），宽要求4对齐，高无对齐要求</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视频输出最大分辨率：4K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视频输出LED带载能力：单板带载1040W，宽度64-16384，高度64-8192 </w:t>
            </w:r>
          </w:p>
        </w:tc>
      </w:tr>
      <w:tr w14:paraId="0B69E8B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A8B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108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编辑控制软件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49E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0816" behindDoc="0" locked="0" layoutInCell="1" allowOverlap="1">
                  <wp:simplePos x="0" y="0"/>
                  <wp:positionH relativeFrom="column">
                    <wp:posOffset>0</wp:posOffset>
                  </wp:positionH>
                  <wp:positionV relativeFrom="paragraph">
                    <wp:posOffset>171450</wp:posOffset>
                  </wp:positionV>
                  <wp:extent cx="114300" cy="0"/>
                  <wp:effectExtent l="0" t="0" r="0" b="0"/>
                  <wp:wrapNone/>
                  <wp:docPr id="358" name="图片_5_SpCnt_22"/>
                  <wp:cNvGraphicFramePr/>
                  <a:graphic xmlns:a="http://schemas.openxmlformats.org/drawingml/2006/main">
                    <a:graphicData uri="http://schemas.openxmlformats.org/drawingml/2006/picture">
                      <pic:pic xmlns:pic="http://schemas.openxmlformats.org/drawingml/2006/picture">
                        <pic:nvPicPr>
                          <pic:cNvPr id="358" name="图片_5_SpCnt_22"/>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1840" behindDoc="0" locked="0" layoutInCell="1" allowOverlap="1">
                  <wp:simplePos x="0" y="0"/>
                  <wp:positionH relativeFrom="column">
                    <wp:posOffset>0</wp:posOffset>
                  </wp:positionH>
                  <wp:positionV relativeFrom="paragraph">
                    <wp:posOffset>171450</wp:posOffset>
                  </wp:positionV>
                  <wp:extent cx="114300" cy="0"/>
                  <wp:effectExtent l="0" t="0" r="0" b="0"/>
                  <wp:wrapNone/>
                  <wp:docPr id="365" name="图片_5_SpCnt_23"/>
                  <wp:cNvGraphicFramePr/>
                  <a:graphic xmlns:a="http://schemas.openxmlformats.org/drawingml/2006/main">
                    <a:graphicData uri="http://schemas.openxmlformats.org/drawingml/2006/picture">
                      <pic:pic xmlns:pic="http://schemas.openxmlformats.org/drawingml/2006/picture">
                        <pic:nvPicPr>
                          <pic:cNvPr id="365" name="图片_5_SpCnt_23"/>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77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2864" behindDoc="0" locked="0" layoutInCell="1" allowOverlap="1">
                  <wp:simplePos x="0" y="0"/>
                  <wp:positionH relativeFrom="column">
                    <wp:posOffset>0</wp:posOffset>
                  </wp:positionH>
                  <wp:positionV relativeFrom="paragraph">
                    <wp:posOffset>171450</wp:posOffset>
                  </wp:positionV>
                  <wp:extent cx="114300" cy="0"/>
                  <wp:effectExtent l="0" t="0" r="0" b="0"/>
                  <wp:wrapNone/>
                  <wp:docPr id="376" name="图片_5_SpCnt_24"/>
                  <wp:cNvGraphicFramePr/>
                  <a:graphic xmlns:a="http://schemas.openxmlformats.org/drawingml/2006/main">
                    <a:graphicData uri="http://schemas.openxmlformats.org/drawingml/2006/picture">
                      <pic:pic xmlns:pic="http://schemas.openxmlformats.org/drawingml/2006/picture">
                        <pic:nvPicPr>
                          <pic:cNvPr id="376" name="图片_5_SpCnt_24"/>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3888" behindDoc="0" locked="0" layoutInCell="1" allowOverlap="1">
                  <wp:simplePos x="0" y="0"/>
                  <wp:positionH relativeFrom="column">
                    <wp:posOffset>0</wp:posOffset>
                  </wp:positionH>
                  <wp:positionV relativeFrom="paragraph">
                    <wp:posOffset>171450</wp:posOffset>
                  </wp:positionV>
                  <wp:extent cx="114300" cy="0"/>
                  <wp:effectExtent l="0" t="0" r="0" b="0"/>
                  <wp:wrapNone/>
                  <wp:docPr id="355" name="图片_5_SpCnt_25"/>
                  <wp:cNvGraphicFramePr/>
                  <a:graphic xmlns:a="http://schemas.openxmlformats.org/drawingml/2006/main">
                    <a:graphicData uri="http://schemas.openxmlformats.org/drawingml/2006/picture">
                      <pic:pic xmlns:pic="http://schemas.openxmlformats.org/drawingml/2006/picture">
                        <pic:nvPicPr>
                          <pic:cNvPr id="355" name="图片_5_SpCnt_2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3B411">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w:t>
            </w:r>
            <w:r>
              <w:rPr>
                <w:rFonts w:hint="eastAsia" w:ascii="仿宋" w:hAnsi="仿宋" w:eastAsia="仿宋" w:cs="仿宋"/>
                <w:color w:val="000000" w:themeColor="text1"/>
                <w:kern w:val="0"/>
                <w:sz w:val="24"/>
                <w:szCs w:val="24"/>
                <w:lang w:bidi="ar"/>
                <w14:textFill>
                  <w14:solidFill>
                    <w14:schemeClr w14:val="tx1"/>
                  </w14:solidFill>
                </w14:textFill>
              </w:rPr>
              <w:t>软件具有单一客户端、多个客户端登录功能，支持默认布局登录；</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2.软件不依赖第三方硬件而具备对显示屏、拼接控制器、LED播放控制器、PLC配电箱、矩阵等设备进行集成控制；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3.软件支持添加、修改、删除场景轮循功能，支持场景循环分组功能；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4.软件支持添加、修改、删除拼接控制器及拼接控制器信息查看功能；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5.软件支持单台、多台发送卡级联控制，获取输入源连接状态、接收卡温度、电压等信息；支持调节发送卡亮度、色温和设置分辨率；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6.软件支持添加、修改、删除LED显示屏；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7.软件支持视频流媒体平台数据对接；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8.软件需具备设备状态监控及告警功能，监控发送卡输入源连接状态、接收卡温度、电压，监控信息显示，导出监控信息，监控信息实时刷新，监控信息邮件通知，告警设置和显示。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9.软件支持自定义操作界面布局管理、记录客户端退出时的界面布局及虚拟屏开窗、移窗、改变大小吸附对齐功能；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10.软件支持单台、多台PLC配电箱级联控制、支持显示屏选择指定的线路、支持配电箱线路的单独开关、支持大屏系统一键开关机及定时开关机；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p>
          <w:p w14:paraId="13D46C5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支持远程操控播控主机，进行大屏内容的控制，可远程操控大屏正在播放的可视化、AR、VR、第三方业务系统等；在远程操控中，如果有多个桌面，可以切换桌面，可以设置抓屏区域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13.软件能与912工程兼容。</w:t>
            </w:r>
          </w:p>
        </w:tc>
      </w:tr>
      <w:tr w14:paraId="725EECF5">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365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ACB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配电箱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F29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114300" cy="0"/>
                  <wp:effectExtent l="0" t="0" r="0" b="0"/>
                  <wp:wrapNone/>
                  <wp:docPr id="357" name="图片_5_SpCnt_26"/>
                  <wp:cNvGraphicFramePr/>
                  <a:graphic xmlns:a="http://schemas.openxmlformats.org/drawingml/2006/main">
                    <a:graphicData uri="http://schemas.openxmlformats.org/drawingml/2006/picture">
                      <pic:pic xmlns:pic="http://schemas.openxmlformats.org/drawingml/2006/picture">
                        <pic:nvPicPr>
                          <pic:cNvPr id="357" name="图片_5_SpCnt_26"/>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114300" cy="0"/>
                  <wp:effectExtent l="0" t="0" r="0" b="0"/>
                  <wp:wrapNone/>
                  <wp:docPr id="377" name="图片_5_SpCnt_27"/>
                  <wp:cNvGraphicFramePr/>
                  <a:graphic xmlns:a="http://schemas.openxmlformats.org/drawingml/2006/main">
                    <a:graphicData uri="http://schemas.openxmlformats.org/drawingml/2006/picture">
                      <pic:pic xmlns:pic="http://schemas.openxmlformats.org/drawingml/2006/picture">
                        <pic:nvPicPr>
                          <pic:cNvPr id="377" name="图片_5_SpCnt_27"/>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493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114300" cy="0"/>
                  <wp:effectExtent l="0" t="0" r="0" b="0"/>
                  <wp:wrapNone/>
                  <wp:docPr id="351" name="图片_5_SpCnt_28"/>
                  <wp:cNvGraphicFramePr/>
                  <a:graphic xmlns:a="http://schemas.openxmlformats.org/drawingml/2006/main">
                    <a:graphicData uri="http://schemas.openxmlformats.org/drawingml/2006/picture">
                      <pic:pic xmlns:pic="http://schemas.openxmlformats.org/drawingml/2006/picture">
                        <pic:nvPicPr>
                          <pic:cNvPr id="351" name="图片_5_SpCnt_28"/>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114300" cy="0"/>
                  <wp:effectExtent l="0" t="0" r="0" b="0"/>
                  <wp:wrapNone/>
                  <wp:docPr id="354" name="图片_5_SpCnt_29"/>
                  <wp:cNvGraphicFramePr/>
                  <a:graphic xmlns:a="http://schemas.openxmlformats.org/drawingml/2006/main">
                    <a:graphicData uri="http://schemas.openxmlformats.org/drawingml/2006/picture">
                      <pic:pic xmlns:pic="http://schemas.openxmlformats.org/drawingml/2006/picture">
                        <pic:nvPicPr>
                          <pic:cNvPr id="354" name="图片_5_SpCnt_29"/>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C1C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输入电压：380V，三相五线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输出电压：220V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额定功率：20KW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输出回路：6个单相回路（AC220V）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每路输出最大带载功率：≤3.33KW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回路状态监测：双回路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远程控制：有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分步逐级上电：有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计划任务上电：有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温度检测：有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壳体尺寸：450*600*200 单位mm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逻辑联动控制：有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主断路器：40A塑壳断路器*1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交流接触器：32A交流接触器*2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子断路器：40A微型1P断路器*6</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照明检修插座断路器：16A 1P+N微型漏电保护断路器*1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控制回路断路器：10A微型1P断路器*1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零地排：8位铜排*2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输出接线端子：火零地接线端子*6组</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PLC控制器：PLC控制器*1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PLC控制电源模块：DC24V电源*1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串口服务器：RS232-RJ45转换器*1 </w:t>
            </w:r>
          </w:p>
        </w:tc>
      </w:tr>
      <w:tr w14:paraId="12DC0F6B">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1C5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B9C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辅材及维护工具</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35D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431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786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包含网线、屏体、系统、结构件辅材及前维护磁吸工具</w:t>
            </w:r>
          </w:p>
        </w:tc>
      </w:tr>
      <w:tr w14:paraId="41E9D8EA">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C8B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92AC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钢结构装饰</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9DC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14.336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9A2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62C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含结构材料、不低于5公分包边装饰</w:t>
            </w:r>
          </w:p>
        </w:tc>
      </w:tr>
      <w:tr w14:paraId="55DB960E">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112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14C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大屏包边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672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A33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4DA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40公分包边</w:t>
            </w:r>
          </w:p>
        </w:tc>
      </w:tr>
      <w:tr w14:paraId="17C51437">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28E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8F2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附件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131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218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9E8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61975" cy="0"/>
                  <wp:effectExtent l="0" t="0" r="0" b="0"/>
                  <wp:wrapNone/>
                  <wp:docPr id="378" name="图片_55_SpCnt_54"/>
                  <wp:cNvGraphicFramePr/>
                  <a:graphic xmlns:a="http://schemas.openxmlformats.org/drawingml/2006/main">
                    <a:graphicData uri="http://schemas.openxmlformats.org/drawingml/2006/picture">
                      <pic:pic xmlns:pic="http://schemas.openxmlformats.org/drawingml/2006/picture">
                        <pic:nvPicPr>
                          <pic:cNvPr id="378" name="图片_55_SpCnt_5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561975" cy="0"/>
                  <wp:effectExtent l="0" t="0" r="0" b="0"/>
                  <wp:wrapNone/>
                  <wp:docPr id="379" name="图片_55_SpCnt_55"/>
                  <wp:cNvGraphicFramePr/>
                  <a:graphic xmlns:a="http://schemas.openxmlformats.org/drawingml/2006/main">
                    <a:graphicData uri="http://schemas.openxmlformats.org/drawingml/2006/picture">
                      <pic:pic xmlns:pic="http://schemas.openxmlformats.org/drawingml/2006/picture">
                        <pic:nvPicPr>
                          <pic:cNvPr id="379" name="图片_55_SpCnt_5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561975" cy="0"/>
                  <wp:effectExtent l="0" t="0" r="0" b="0"/>
                  <wp:wrapNone/>
                  <wp:docPr id="356" name="图片_55_SpCnt_56"/>
                  <wp:cNvGraphicFramePr/>
                  <a:graphic xmlns:a="http://schemas.openxmlformats.org/drawingml/2006/main">
                    <a:graphicData uri="http://schemas.openxmlformats.org/drawingml/2006/picture">
                      <pic:pic xmlns:pic="http://schemas.openxmlformats.org/drawingml/2006/picture">
                        <pic:nvPicPr>
                          <pic:cNvPr id="356" name="图片_55_SpCnt_5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609600" cy="0"/>
                  <wp:effectExtent l="0" t="0" r="0" b="0"/>
                  <wp:wrapNone/>
                  <wp:docPr id="380" name="图片_2_SpCnt_48"/>
                  <wp:cNvGraphicFramePr/>
                  <a:graphic xmlns:a="http://schemas.openxmlformats.org/drawingml/2006/main">
                    <a:graphicData uri="http://schemas.openxmlformats.org/drawingml/2006/picture">
                      <pic:pic xmlns:pic="http://schemas.openxmlformats.org/drawingml/2006/picture">
                        <pic:nvPicPr>
                          <pic:cNvPr id="380" name="图片_2_SpCnt_48"/>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561975" cy="0"/>
                  <wp:effectExtent l="0" t="0" r="0" b="0"/>
                  <wp:wrapNone/>
                  <wp:docPr id="352" name="图片_55_SpCnt_57"/>
                  <wp:cNvGraphicFramePr/>
                  <a:graphic xmlns:a="http://schemas.openxmlformats.org/drawingml/2006/main">
                    <a:graphicData uri="http://schemas.openxmlformats.org/drawingml/2006/picture">
                      <pic:pic xmlns:pic="http://schemas.openxmlformats.org/drawingml/2006/picture">
                        <pic:nvPicPr>
                          <pic:cNvPr id="352" name="图片_55_SpCnt_5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561975" cy="0"/>
                  <wp:effectExtent l="0" t="0" r="0" b="0"/>
                  <wp:wrapNone/>
                  <wp:docPr id="359" name="图片_55_SpCnt_58"/>
                  <wp:cNvGraphicFramePr/>
                  <a:graphic xmlns:a="http://schemas.openxmlformats.org/drawingml/2006/main">
                    <a:graphicData uri="http://schemas.openxmlformats.org/drawingml/2006/picture">
                      <pic:pic xmlns:pic="http://schemas.openxmlformats.org/drawingml/2006/picture">
                        <pic:nvPicPr>
                          <pic:cNvPr id="359" name="图片_55_SpCnt_5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114300" cy="0"/>
                  <wp:effectExtent l="0" t="0" r="0" b="0"/>
                  <wp:wrapNone/>
                  <wp:docPr id="381" name="图片_6_SpCnt_12"/>
                  <wp:cNvGraphicFramePr/>
                  <a:graphic xmlns:a="http://schemas.openxmlformats.org/drawingml/2006/main">
                    <a:graphicData uri="http://schemas.openxmlformats.org/drawingml/2006/picture">
                      <pic:pic xmlns:pic="http://schemas.openxmlformats.org/drawingml/2006/picture">
                        <pic:nvPicPr>
                          <pic:cNvPr id="381" name="图片_6_SpCnt_12"/>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609600" cy="0"/>
                  <wp:effectExtent l="0" t="0" r="0" b="0"/>
                  <wp:wrapNone/>
                  <wp:docPr id="360" name="图片_2_SpCnt_49"/>
                  <wp:cNvGraphicFramePr/>
                  <a:graphic xmlns:a="http://schemas.openxmlformats.org/drawingml/2006/main">
                    <a:graphicData uri="http://schemas.openxmlformats.org/drawingml/2006/picture">
                      <pic:pic xmlns:pic="http://schemas.openxmlformats.org/drawingml/2006/picture">
                        <pic:nvPicPr>
                          <pic:cNvPr id="360" name="图片_2_SpCnt_49"/>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561975" cy="0"/>
                  <wp:effectExtent l="0" t="0" r="0" b="0"/>
                  <wp:wrapNone/>
                  <wp:docPr id="353" name="图片_55_SpCnt_59"/>
                  <wp:cNvGraphicFramePr/>
                  <a:graphic xmlns:a="http://schemas.openxmlformats.org/drawingml/2006/main">
                    <a:graphicData uri="http://schemas.openxmlformats.org/drawingml/2006/picture">
                      <pic:pic xmlns:pic="http://schemas.openxmlformats.org/drawingml/2006/picture">
                        <pic:nvPicPr>
                          <pic:cNvPr id="353" name="图片_55_SpCnt_5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428625" cy="0"/>
                  <wp:effectExtent l="0" t="0" r="0" b="0"/>
                  <wp:wrapNone/>
                  <wp:docPr id="361" name="图片_2_SpCnt_50"/>
                  <wp:cNvGraphicFramePr/>
                  <a:graphic xmlns:a="http://schemas.openxmlformats.org/drawingml/2006/main">
                    <a:graphicData uri="http://schemas.openxmlformats.org/drawingml/2006/picture">
                      <pic:pic xmlns:pic="http://schemas.openxmlformats.org/drawingml/2006/picture">
                        <pic:nvPicPr>
                          <pic:cNvPr id="361" name="图片_2_SpCnt_50"/>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561975" cy="0"/>
                  <wp:effectExtent l="0" t="0" r="0" b="0"/>
                  <wp:wrapNone/>
                  <wp:docPr id="375" name="图片_55_SpCnt_60"/>
                  <wp:cNvGraphicFramePr/>
                  <a:graphic xmlns:a="http://schemas.openxmlformats.org/drawingml/2006/main">
                    <a:graphicData uri="http://schemas.openxmlformats.org/drawingml/2006/picture">
                      <pic:pic xmlns:pic="http://schemas.openxmlformats.org/drawingml/2006/picture">
                        <pic:nvPicPr>
                          <pic:cNvPr id="375" name="图片_55_SpCnt_6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609600" cy="0"/>
                  <wp:effectExtent l="0" t="0" r="0" b="0"/>
                  <wp:wrapNone/>
                  <wp:docPr id="366" name="图片_2_SpCnt_51"/>
                  <wp:cNvGraphicFramePr/>
                  <a:graphic xmlns:a="http://schemas.openxmlformats.org/drawingml/2006/main">
                    <a:graphicData uri="http://schemas.openxmlformats.org/drawingml/2006/picture">
                      <pic:pic xmlns:pic="http://schemas.openxmlformats.org/drawingml/2006/picture">
                        <pic:nvPicPr>
                          <pic:cNvPr id="366" name="图片_2_SpCnt_5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09600" cy="0"/>
                  <wp:effectExtent l="0" t="0" r="0" b="0"/>
                  <wp:wrapNone/>
                  <wp:docPr id="350" name="图片_2_SpCnt_52"/>
                  <wp:cNvGraphicFramePr/>
                  <a:graphic xmlns:a="http://schemas.openxmlformats.org/drawingml/2006/main">
                    <a:graphicData uri="http://schemas.openxmlformats.org/drawingml/2006/picture">
                      <pic:pic xmlns:pic="http://schemas.openxmlformats.org/drawingml/2006/picture">
                        <pic:nvPicPr>
                          <pic:cNvPr id="350" name="图片_2_SpCnt_5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114300" cy="0"/>
                  <wp:effectExtent l="0" t="0" r="0" b="0"/>
                  <wp:wrapNone/>
                  <wp:docPr id="362" name="图片_6_SpCnt_13"/>
                  <wp:cNvGraphicFramePr/>
                  <a:graphic xmlns:a="http://schemas.openxmlformats.org/drawingml/2006/main">
                    <a:graphicData uri="http://schemas.openxmlformats.org/drawingml/2006/picture">
                      <pic:pic xmlns:pic="http://schemas.openxmlformats.org/drawingml/2006/picture">
                        <pic:nvPicPr>
                          <pic:cNvPr id="362" name="图片_6_SpCnt_13"/>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609600" cy="0"/>
                  <wp:effectExtent l="0" t="0" r="0" b="0"/>
                  <wp:wrapNone/>
                  <wp:docPr id="363" name="图片_2_SpCnt_53"/>
                  <wp:cNvGraphicFramePr/>
                  <a:graphic xmlns:a="http://schemas.openxmlformats.org/drawingml/2006/main">
                    <a:graphicData uri="http://schemas.openxmlformats.org/drawingml/2006/picture">
                      <pic:pic xmlns:pic="http://schemas.openxmlformats.org/drawingml/2006/picture">
                        <pic:nvPicPr>
                          <pic:cNvPr id="363" name="图片_2_SpCnt_5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561975" cy="0"/>
                  <wp:effectExtent l="0" t="0" r="0" b="0"/>
                  <wp:wrapNone/>
                  <wp:docPr id="364" name="图片_55_SpCnt_61"/>
                  <wp:cNvGraphicFramePr/>
                  <a:graphic xmlns:a="http://schemas.openxmlformats.org/drawingml/2006/main">
                    <a:graphicData uri="http://schemas.openxmlformats.org/drawingml/2006/picture">
                      <pic:pic xmlns:pic="http://schemas.openxmlformats.org/drawingml/2006/picture">
                        <pic:nvPicPr>
                          <pic:cNvPr id="364" name="图片_55_SpCnt_6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581025" cy="0"/>
                  <wp:effectExtent l="0" t="0" r="0" b="0"/>
                  <wp:wrapNone/>
                  <wp:docPr id="367" name="图片_4_SpCnt_12"/>
                  <wp:cNvGraphicFramePr/>
                  <a:graphic xmlns:a="http://schemas.openxmlformats.org/drawingml/2006/main">
                    <a:graphicData uri="http://schemas.openxmlformats.org/drawingml/2006/picture">
                      <pic:pic xmlns:pic="http://schemas.openxmlformats.org/drawingml/2006/picture">
                        <pic:nvPicPr>
                          <pic:cNvPr id="367" name="图片_4_SpCnt_12"/>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114300" cy="0"/>
                  <wp:effectExtent l="0" t="0" r="0" b="0"/>
                  <wp:wrapNone/>
                  <wp:docPr id="368" name="图片_6_SpCnt_14"/>
                  <wp:cNvGraphicFramePr/>
                  <a:graphic xmlns:a="http://schemas.openxmlformats.org/drawingml/2006/main">
                    <a:graphicData uri="http://schemas.openxmlformats.org/drawingml/2006/picture">
                      <pic:pic xmlns:pic="http://schemas.openxmlformats.org/drawingml/2006/picture">
                        <pic:nvPicPr>
                          <pic:cNvPr id="368" name="图片_6_SpCnt_14"/>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561975" cy="0"/>
                  <wp:effectExtent l="0" t="0" r="0" b="0"/>
                  <wp:wrapNone/>
                  <wp:docPr id="369" name="图片_55_SpCnt_62"/>
                  <wp:cNvGraphicFramePr/>
                  <a:graphic xmlns:a="http://schemas.openxmlformats.org/drawingml/2006/main">
                    <a:graphicData uri="http://schemas.openxmlformats.org/drawingml/2006/picture">
                      <pic:pic xmlns:pic="http://schemas.openxmlformats.org/drawingml/2006/picture">
                        <pic:nvPicPr>
                          <pic:cNvPr id="369" name="图片_55_SpCnt_62"/>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561975" cy="0"/>
                  <wp:effectExtent l="0" t="0" r="0" b="0"/>
                  <wp:wrapNone/>
                  <wp:docPr id="370" name="图片_55_SpCnt_63"/>
                  <wp:cNvGraphicFramePr/>
                  <a:graphic xmlns:a="http://schemas.openxmlformats.org/drawingml/2006/main">
                    <a:graphicData uri="http://schemas.openxmlformats.org/drawingml/2006/picture">
                      <pic:pic xmlns:pic="http://schemas.openxmlformats.org/drawingml/2006/picture">
                        <pic:nvPicPr>
                          <pic:cNvPr id="370" name="图片_55_SpCnt_63"/>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609600" cy="0"/>
                  <wp:effectExtent l="0" t="0" r="0" b="0"/>
                  <wp:wrapNone/>
                  <wp:docPr id="371" name="图片_2_SpCnt_54"/>
                  <wp:cNvGraphicFramePr/>
                  <a:graphic xmlns:a="http://schemas.openxmlformats.org/drawingml/2006/main">
                    <a:graphicData uri="http://schemas.openxmlformats.org/drawingml/2006/picture">
                      <pic:pic xmlns:pic="http://schemas.openxmlformats.org/drawingml/2006/picture">
                        <pic:nvPicPr>
                          <pic:cNvPr id="371" name="图片_2_SpCnt_54"/>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561975" cy="0"/>
                  <wp:effectExtent l="0" t="0" r="0" b="0"/>
                  <wp:wrapNone/>
                  <wp:docPr id="372" name="图片_55_SpCnt_64"/>
                  <wp:cNvGraphicFramePr/>
                  <a:graphic xmlns:a="http://schemas.openxmlformats.org/drawingml/2006/main">
                    <a:graphicData uri="http://schemas.openxmlformats.org/drawingml/2006/picture">
                      <pic:pic xmlns:pic="http://schemas.openxmlformats.org/drawingml/2006/picture">
                        <pic:nvPicPr>
                          <pic:cNvPr id="372" name="图片_55_SpCnt_64"/>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09600" cy="0"/>
                  <wp:effectExtent l="0" t="0" r="0" b="0"/>
                  <wp:wrapNone/>
                  <wp:docPr id="373" name="图片_2_SpCnt_55"/>
                  <wp:cNvGraphicFramePr/>
                  <a:graphic xmlns:a="http://schemas.openxmlformats.org/drawingml/2006/main">
                    <a:graphicData uri="http://schemas.openxmlformats.org/drawingml/2006/picture">
                      <pic:pic xmlns:pic="http://schemas.openxmlformats.org/drawingml/2006/picture">
                        <pic:nvPicPr>
                          <pic:cNvPr id="373" name="图片_2_SpCnt_55"/>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428625" cy="0"/>
                  <wp:effectExtent l="0" t="0" r="0" b="0"/>
                  <wp:wrapNone/>
                  <wp:docPr id="374" name="图片_2_SpCnt_56"/>
                  <wp:cNvGraphicFramePr/>
                  <a:graphic xmlns:a="http://schemas.openxmlformats.org/drawingml/2006/main">
                    <a:graphicData uri="http://schemas.openxmlformats.org/drawingml/2006/picture">
                      <pic:pic xmlns:pic="http://schemas.openxmlformats.org/drawingml/2006/picture">
                        <pic:nvPicPr>
                          <pic:cNvPr id="374" name="图片_2_SpCnt_56"/>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114300" cy="0"/>
                  <wp:effectExtent l="0" t="0" r="0" b="0"/>
                  <wp:wrapNone/>
                  <wp:docPr id="395" name="图片_6_SpCnt_15"/>
                  <wp:cNvGraphicFramePr/>
                  <a:graphic xmlns:a="http://schemas.openxmlformats.org/drawingml/2006/main">
                    <a:graphicData uri="http://schemas.openxmlformats.org/drawingml/2006/picture">
                      <pic:pic xmlns:pic="http://schemas.openxmlformats.org/drawingml/2006/picture">
                        <pic:nvPicPr>
                          <pic:cNvPr id="395" name="图片_6_SpCnt_15"/>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428625" cy="0"/>
                  <wp:effectExtent l="0" t="0" r="0" b="0"/>
                  <wp:wrapNone/>
                  <wp:docPr id="397" name="图片_2_SpCnt_57"/>
                  <wp:cNvGraphicFramePr/>
                  <a:graphic xmlns:a="http://schemas.openxmlformats.org/drawingml/2006/main">
                    <a:graphicData uri="http://schemas.openxmlformats.org/drawingml/2006/picture">
                      <pic:pic xmlns:pic="http://schemas.openxmlformats.org/drawingml/2006/picture">
                        <pic:nvPicPr>
                          <pic:cNvPr id="397" name="图片_2_SpCnt_57"/>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09600" cy="0"/>
                  <wp:effectExtent l="0" t="0" r="0" b="0"/>
                  <wp:wrapNone/>
                  <wp:docPr id="388" name="图片_2_SpCnt_58"/>
                  <wp:cNvGraphicFramePr/>
                  <a:graphic xmlns:a="http://schemas.openxmlformats.org/drawingml/2006/main">
                    <a:graphicData uri="http://schemas.openxmlformats.org/drawingml/2006/picture">
                      <pic:pic xmlns:pic="http://schemas.openxmlformats.org/drawingml/2006/picture">
                        <pic:nvPicPr>
                          <pic:cNvPr id="388" name="图片_2_SpCnt_58"/>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581025" cy="0"/>
                  <wp:effectExtent l="0" t="0" r="0" b="0"/>
                  <wp:wrapNone/>
                  <wp:docPr id="386" name="图片_4_SpCnt_13"/>
                  <wp:cNvGraphicFramePr/>
                  <a:graphic xmlns:a="http://schemas.openxmlformats.org/drawingml/2006/main">
                    <a:graphicData uri="http://schemas.openxmlformats.org/drawingml/2006/picture">
                      <pic:pic xmlns:pic="http://schemas.openxmlformats.org/drawingml/2006/picture">
                        <pic:nvPicPr>
                          <pic:cNvPr id="386" name="图片_4_SpCnt_13"/>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561975" cy="0"/>
                  <wp:effectExtent l="0" t="0" r="0" b="0"/>
                  <wp:wrapNone/>
                  <wp:docPr id="391" name="图片_55_SpCnt_65"/>
                  <wp:cNvGraphicFramePr/>
                  <a:graphic xmlns:a="http://schemas.openxmlformats.org/drawingml/2006/main">
                    <a:graphicData uri="http://schemas.openxmlformats.org/drawingml/2006/picture">
                      <pic:pic xmlns:pic="http://schemas.openxmlformats.org/drawingml/2006/picture">
                        <pic:nvPicPr>
                          <pic:cNvPr id="391" name="图片_55_SpCnt_65"/>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09600" cy="0"/>
                  <wp:effectExtent l="0" t="0" r="0" b="0"/>
                  <wp:wrapNone/>
                  <wp:docPr id="382" name="图片_2_SpCnt_59"/>
                  <wp:cNvGraphicFramePr/>
                  <a:graphic xmlns:a="http://schemas.openxmlformats.org/drawingml/2006/main">
                    <a:graphicData uri="http://schemas.openxmlformats.org/drawingml/2006/picture">
                      <pic:pic xmlns:pic="http://schemas.openxmlformats.org/drawingml/2006/picture">
                        <pic:nvPicPr>
                          <pic:cNvPr id="382" name="图片_2_SpCnt_59"/>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428625" cy="0"/>
                  <wp:effectExtent l="0" t="0" r="0" b="0"/>
                  <wp:wrapNone/>
                  <wp:docPr id="393" name="图片_2_SpCnt_60"/>
                  <wp:cNvGraphicFramePr/>
                  <a:graphic xmlns:a="http://schemas.openxmlformats.org/drawingml/2006/main">
                    <a:graphicData uri="http://schemas.openxmlformats.org/drawingml/2006/picture">
                      <pic:pic xmlns:pic="http://schemas.openxmlformats.org/drawingml/2006/picture">
                        <pic:nvPicPr>
                          <pic:cNvPr id="393" name="图片_2_SpCnt_60"/>
                          <pic:cNvPicPr/>
                        </pic:nvPicPr>
                        <pic:blipFill>
                          <a:blip r:embed="rId11"/>
                          <a:stretch>
                            <a:fillRect/>
                          </a:stretch>
                        </pic:blipFill>
                        <pic:spPr>
                          <a:xfrm>
                            <a:off x="0" y="0"/>
                            <a:ext cx="4286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114300" cy="0"/>
                  <wp:effectExtent l="0" t="0" r="0" b="0"/>
                  <wp:wrapNone/>
                  <wp:docPr id="385" name="图片_5_SpCnt_30"/>
                  <wp:cNvGraphicFramePr/>
                  <a:graphic xmlns:a="http://schemas.openxmlformats.org/drawingml/2006/main">
                    <a:graphicData uri="http://schemas.openxmlformats.org/drawingml/2006/picture">
                      <pic:pic xmlns:pic="http://schemas.openxmlformats.org/drawingml/2006/picture">
                        <pic:nvPicPr>
                          <pic:cNvPr id="385" name="图片_5_SpCnt_30"/>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581025" cy="0"/>
                  <wp:effectExtent l="0" t="0" r="0" b="0"/>
                  <wp:wrapNone/>
                  <wp:docPr id="387" name="图片_4_SpCnt_14"/>
                  <wp:cNvGraphicFramePr/>
                  <a:graphic xmlns:a="http://schemas.openxmlformats.org/drawingml/2006/main">
                    <a:graphicData uri="http://schemas.openxmlformats.org/drawingml/2006/picture">
                      <pic:pic xmlns:pic="http://schemas.openxmlformats.org/drawingml/2006/picture">
                        <pic:nvPicPr>
                          <pic:cNvPr id="387" name="图片_4_SpCnt_14"/>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561975" cy="0"/>
                  <wp:effectExtent l="0" t="0" r="0" b="0"/>
                  <wp:wrapNone/>
                  <wp:docPr id="389" name="图片_55_SpCnt_66"/>
                  <wp:cNvGraphicFramePr/>
                  <a:graphic xmlns:a="http://schemas.openxmlformats.org/drawingml/2006/main">
                    <a:graphicData uri="http://schemas.openxmlformats.org/drawingml/2006/picture">
                      <pic:pic xmlns:pic="http://schemas.openxmlformats.org/drawingml/2006/picture">
                        <pic:nvPicPr>
                          <pic:cNvPr id="389" name="图片_55_SpCnt_66"/>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561975" cy="0"/>
                  <wp:effectExtent l="0" t="0" r="0" b="0"/>
                  <wp:wrapNone/>
                  <wp:docPr id="399" name="图片_55_SpCnt_67"/>
                  <wp:cNvGraphicFramePr/>
                  <a:graphic xmlns:a="http://schemas.openxmlformats.org/drawingml/2006/main">
                    <a:graphicData uri="http://schemas.openxmlformats.org/drawingml/2006/picture">
                      <pic:pic xmlns:pic="http://schemas.openxmlformats.org/drawingml/2006/picture">
                        <pic:nvPicPr>
                          <pic:cNvPr id="399" name="图片_55_SpCnt_67"/>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581025" cy="0"/>
                  <wp:effectExtent l="0" t="0" r="0" b="0"/>
                  <wp:wrapNone/>
                  <wp:docPr id="398" name="图片_4_SpCnt_15"/>
                  <wp:cNvGraphicFramePr/>
                  <a:graphic xmlns:a="http://schemas.openxmlformats.org/drawingml/2006/main">
                    <a:graphicData uri="http://schemas.openxmlformats.org/drawingml/2006/picture">
                      <pic:pic xmlns:pic="http://schemas.openxmlformats.org/drawingml/2006/picture">
                        <pic:nvPicPr>
                          <pic:cNvPr id="398" name="图片_4_SpCnt_15"/>
                          <pic:cNvPicPr/>
                        </pic:nvPicPr>
                        <pic:blipFill>
                          <a:blip r:embed="rId11"/>
                          <a:stretch>
                            <a:fillRect/>
                          </a:stretch>
                        </pic:blipFill>
                        <pic:spPr>
                          <a:xfrm>
                            <a:off x="0" y="0"/>
                            <a:ext cx="58102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09600" cy="0"/>
                  <wp:effectExtent l="0" t="0" r="0" b="0"/>
                  <wp:wrapNone/>
                  <wp:docPr id="383" name="图片_2_SpCnt_61"/>
                  <wp:cNvGraphicFramePr/>
                  <a:graphic xmlns:a="http://schemas.openxmlformats.org/drawingml/2006/main">
                    <a:graphicData uri="http://schemas.openxmlformats.org/drawingml/2006/picture">
                      <pic:pic xmlns:pic="http://schemas.openxmlformats.org/drawingml/2006/picture">
                        <pic:nvPicPr>
                          <pic:cNvPr id="383" name="图片_2_SpCnt_61"/>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09600" cy="0"/>
                  <wp:effectExtent l="0" t="0" r="0" b="0"/>
                  <wp:wrapNone/>
                  <wp:docPr id="396" name="图片_2_SpCnt_62"/>
                  <wp:cNvGraphicFramePr/>
                  <a:graphic xmlns:a="http://schemas.openxmlformats.org/drawingml/2006/main">
                    <a:graphicData uri="http://schemas.openxmlformats.org/drawingml/2006/picture">
                      <pic:pic xmlns:pic="http://schemas.openxmlformats.org/drawingml/2006/picture">
                        <pic:nvPicPr>
                          <pic:cNvPr id="396" name="图片_2_SpCnt_62"/>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561975" cy="0"/>
                  <wp:effectExtent l="0" t="0" r="0" b="0"/>
                  <wp:wrapNone/>
                  <wp:docPr id="384" name="图片_55_SpCnt_68"/>
                  <wp:cNvGraphicFramePr/>
                  <a:graphic xmlns:a="http://schemas.openxmlformats.org/drawingml/2006/main">
                    <a:graphicData uri="http://schemas.openxmlformats.org/drawingml/2006/picture">
                      <pic:pic xmlns:pic="http://schemas.openxmlformats.org/drawingml/2006/picture">
                        <pic:nvPicPr>
                          <pic:cNvPr id="384" name="图片_55_SpCnt_68"/>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561975" cy="0"/>
                  <wp:effectExtent l="0" t="0" r="0" b="0"/>
                  <wp:wrapNone/>
                  <wp:docPr id="390" name="图片_55_SpCnt_69"/>
                  <wp:cNvGraphicFramePr/>
                  <a:graphic xmlns:a="http://schemas.openxmlformats.org/drawingml/2006/main">
                    <a:graphicData uri="http://schemas.openxmlformats.org/drawingml/2006/picture">
                      <pic:pic xmlns:pic="http://schemas.openxmlformats.org/drawingml/2006/picture">
                        <pic:nvPicPr>
                          <pic:cNvPr id="390" name="图片_55_SpCnt_69"/>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14300" cy="0"/>
                  <wp:effectExtent l="0" t="0" r="0" b="0"/>
                  <wp:wrapNone/>
                  <wp:docPr id="392" name="图片_5_SpCnt_31"/>
                  <wp:cNvGraphicFramePr/>
                  <a:graphic xmlns:a="http://schemas.openxmlformats.org/drawingml/2006/main">
                    <a:graphicData uri="http://schemas.openxmlformats.org/drawingml/2006/picture">
                      <pic:pic xmlns:pic="http://schemas.openxmlformats.org/drawingml/2006/picture">
                        <pic:nvPicPr>
                          <pic:cNvPr id="392" name="图片_5_SpCnt_31"/>
                          <pic:cNvPicPr/>
                        </pic:nvPicPr>
                        <pic:blipFill>
                          <a:blip r:embed="rId11"/>
                          <a:stretch>
                            <a:fillRect/>
                          </a:stretch>
                        </pic:blipFill>
                        <pic:spPr>
                          <a:xfrm>
                            <a:off x="0" y="0"/>
                            <a:ext cx="1143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561975" cy="0"/>
                  <wp:effectExtent l="0" t="0" r="0" b="0"/>
                  <wp:wrapNone/>
                  <wp:docPr id="401" name="图片_55_SpCnt_70"/>
                  <wp:cNvGraphicFramePr/>
                  <a:graphic xmlns:a="http://schemas.openxmlformats.org/drawingml/2006/main">
                    <a:graphicData uri="http://schemas.openxmlformats.org/drawingml/2006/picture">
                      <pic:pic xmlns:pic="http://schemas.openxmlformats.org/drawingml/2006/picture">
                        <pic:nvPicPr>
                          <pic:cNvPr id="401" name="图片_55_SpCnt_70"/>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09600" cy="0"/>
                  <wp:effectExtent l="0" t="0" r="0" b="0"/>
                  <wp:wrapNone/>
                  <wp:docPr id="400" name="图片_2_SpCnt_63"/>
                  <wp:cNvGraphicFramePr/>
                  <a:graphic xmlns:a="http://schemas.openxmlformats.org/drawingml/2006/main">
                    <a:graphicData uri="http://schemas.openxmlformats.org/drawingml/2006/picture">
                      <pic:pic xmlns:pic="http://schemas.openxmlformats.org/drawingml/2006/picture">
                        <pic:nvPicPr>
                          <pic:cNvPr id="400" name="图片_2_SpCnt_63"/>
                          <pic:cNvPicPr/>
                        </pic:nvPicPr>
                        <pic:blipFill>
                          <a:blip r:embed="rId11"/>
                          <a:stretch>
                            <a:fillRect/>
                          </a:stretch>
                        </pic:blipFill>
                        <pic:spPr>
                          <a:xfrm>
                            <a:off x="0" y="0"/>
                            <a:ext cx="609600"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bdr w:val="single" w:color="000000" w:sz="4" w:space="0"/>
                <w14:textFill>
                  <w14:solidFill>
                    <w14:schemeClr w14:val="tx1"/>
                  </w14:solidFill>
                </w14:textFill>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561975" cy="0"/>
                  <wp:effectExtent l="0" t="0" r="0" b="0"/>
                  <wp:wrapNone/>
                  <wp:docPr id="394" name="图片_55_SpCnt_71"/>
                  <wp:cNvGraphicFramePr/>
                  <a:graphic xmlns:a="http://schemas.openxmlformats.org/drawingml/2006/main">
                    <a:graphicData uri="http://schemas.openxmlformats.org/drawingml/2006/picture">
                      <pic:pic xmlns:pic="http://schemas.openxmlformats.org/drawingml/2006/picture">
                        <pic:nvPicPr>
                          <pic:cNvPr id="394" name="图片_55_SpCnt_71"/>
                          <pic:cNvPicPr/>
                        </pic:nvPicPr>
                        <pic:blipFill>
                          <a:blip r:embed="rId11"/>
                          <a:stretch>
                            <a:fillRect/>
                          </a:stretch>
                        </pic:blipFill>
                        <pic:spPr>
                          <a:xfrm>
                            <a:off x="0" y="0"/>
                            <a:ext cx="561975" cy="0"/>
                          </a:xfrm>
                          <a:prstGeom prst="rect">
                            <a:avLst/>
                          </a:prstGeom>
                          <a:noFill/>
                          <a:ln>
                            <a:noFill/>
                          </a:ln>
                        </pic:spPr>
                      </pic:pic>
                    </a:graphicData>
                  </a:graphic>
                </wp:anchor>
              </w:drawing>
            </w:r>
            <w:r>
              <w:rPr>
                <w:rFonts w:hint="eastAsia" w:ascii="仿宋" w:hAnsi="仿宋" w:eastAsia="仿宋" w:cs="仿宋"/>
                <w:color w:val="000000" w:themeColor="text1"/>
                <w:kern w:val="0"/>
                <w:sz w:val="24"/>
                <w:szCs w:val="24"/>
                <w:lang w:bidi="ar"/>
                <w14:textFill>
                  <w14:solidFill>
                    <w14:schemeClr w14:val="tx1"/>
                  </w14:solidFill>
                </w14:textFill>
              </w:rPr>
              <w:t>插线板、接线头等</w:t>
            </w:r>
          </w:p>
        </w:tc>
      </w:tr>
      <w:tr w14:paraId="2FF50FFF">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F06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（三）2F会议室调解室</w:t>
            </w:r>
          </w:p>
        </w:tc>
      </w:tr>
      <w:tr w14:paraId="56F661D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A83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927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86寸触摸屏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80C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F04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754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86寸智能交互会议平板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超清视界更流畅：内置4800W摄像头，3840*2160分辨率，60Hz高刷新率，4K超清防眩光显示；深度还原画面细节，明暗层次分明，即使在强光、逆光的环境下，依然清晰呈现；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超长拾音更清晰：采用8阵列麦克风，通过波束成型，轻松拾取12米内的人声，支持回声消除，智能降噪，带来清晰远程沟通体验；</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零贴合流畅书写：G-G零贴合技术，极大减少漫反射，屏幕显示无重影，显示效果巨幅提升；书写告别隔空感，笔锋智能优化，深度还原书写笔迹，尽显书写之美；</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出众屏幕表现：4K超清显示，深度还原画面细节，逆光环境大屏清晰可见；NTSC提升至90%以上，更细腻的色彩表现，更震撼的视觉体验；</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双系统自由选择：支持OPS设备接入，双系统一键切换，灵活选择；</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智能AI，开会无忧：Auto-Framing不错过每位与会人员，智能音幕隔离更多干扰，声源定位聚焦发言人员，让信息传递更加高效；</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无线投屏：摆脱线缆束缚，即使远在会议室的两端也可轻松完成电脑、手机等终端的投屏演示。目前已适配IOS、Android、Windows、MacOS等各主流系统；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▲白板软件内支持浏览器搜索功能，可长按网页种图片或截图插入至白板；</w:t>
            </w:r>
          </w:p>
          <w:p w14:paraId="41CE1F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▲投屏器支持接入Type-C接口电源适配器，通过投屏器的Type-C输出接口接入电脑，可实现给电脑终端充电功能；通过投屏器的Type-C输出接口接入手机Type-C电源口，可实现给手机终端充电功能。</w:t>
            </w:r>
          </w:p>
          <w:p w14:paraId="6B203E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显示尺寸：86英寸</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背光源类型：DLED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像素间距：0.1645（H）×0.4935（V）mm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物理分辨率：3840×2160 @60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亮度：350 cd/m²（Typ.）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色深度：10bit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对比度：5000:1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响应时间：6 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色域：90% NTSC（CIE1931）（Typ.）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刷新率：60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可视角：178°(H)/178°(V)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连续使用时间：7*16 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表面雾度：25%Haze，3H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显示区域：1895.04mm×1065.96mm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触摸方式：红外触控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玻璃：防眩光、防爆钢化玻璃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触控点：安卓下20点，Windows下50点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触控响应速度：＜5ms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触摸精度：90%以上的触摸区域为±1mm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触摸工艺：零贴合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操作系统：Android 13</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CPU：A76 x 4+A55 x 4，主频2.4GHz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内存：8GB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内置存储：64GB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网卡：内置千兆网卡，支持路由功能，双WiFi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像素：拍照4800万，录像800万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摄像头功能：支持Android系统与OPS间智能切换，支持最佳视角，支持人脸美颜</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视场角：对角：93.4°，水平：84.5°，垂直：54.1°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畸变：≤ 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摄像头分辨率：最大支持4K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规格：全指向8阵列排布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麦克风功能：支持回声消除，智能降噪、智能音幕、发言人跟随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拾音距离：12 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采样率：32 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麦克风采样位：16 bit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内部喇叭：2.1声道，最大功率2X15W+25W，额定功率是2X12W+20W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蓝牙：BT/BLE 5.2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音视频输入接口：HDMI IN （2.0）×2, LINE IN×1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音视频输出接口：HDMI OUT （2.0）×1, LINE OUT×1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控制接口：RS-232×1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网络接口：LAN (1000 Mbps)×2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WIFI AP&amp;Station，2.4G/5G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IEEE 802.11 a/b/g/n/ac  2x2 MIMO (2.4 GHz and 5 GHz) authentication protocols WEP, WPA, WPA2, PSK and 802.1X EAP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数据传输接口：USB 3.0×3, USB 2.0×1, Type-C×1 (Type-C接口支持 USB 2.0, DP 1.2投屏和快充功能;前置快充支持功率 65 W)，Touch USB×1，支持NFC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电源：AC 100 V～240 V，50/60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功耗：满载 ＜ 500 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待机功耗：0.5 W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工作温度：0 °C~40 °C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工作湿度：10%~90% RH </w:t>
            </w:r>
          </w:p>
        </w:tc>
      </w:tr>
      <w:tr w14:paraId="6C3F2F66">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674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691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无线投屏器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B58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AFD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B1A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自研一代投屏器TypeA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 支持 Windows / Mac OS  USB接口即插即用  支持WiFi 2.4G/5G 双频  最高支持4K分辨率  支持Windows反向控制  会议平板滑动即可投屏  超低功耗  支持OTA升级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备注说明：接口：USB device</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支持系统：Windows 7/10/11 / Mac OS 10.12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OTA升级：支持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分辨率：1080P/4K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帧率：20fps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传输延迟：≤300ms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WiFi类型：2.4G/5G 双频WIFI</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无线速率：≤300Mbps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无线传输协议：IEEE 802.11 a/g/n/ac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频段：2.4G&amp;5.0G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加密：AES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验证协议：WAP2-PSK </w:t>
            </w:r>
          </w:p>
        </w:tc>
      </w:tr>
      <w:tr w14:paraId="1084A97F">
        <w:tblPrEx>
          <w:shd w:val="clear" w:color="auto" w:fill="FFFFFF" w:themeFill="background1"/>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53C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（四）2F共享法庭</w:t>
            </w:r>
          </w:p>
        </w:tc>
      </w:tr>
      <w:tr w14:paraId="0D6DA44A">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CD5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FEE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触摸屏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116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A9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E80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利旧</w:t>
            </w:r>
          </w:p>
        </w:tc>
      </w:tr>
      <w:tr w14:paraId="603BDE91">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412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0B2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无线投屏器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8C1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B46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F82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自研一代投屏器TypeA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 Windows / Mac OS  USB接口即插即用  支持WiFi 2.4G/5G 双频  最高支持4K分辨率  支持Windows反向控制  会议平板滑动即可投屏  超低功耗  支持OTA升级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备注说明：接口：USB device</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支持系统：Windows 7/10/11 / Mac OS 10.12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OTA升级：支持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分辨率：1080P/4K</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帧率：20fps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传输延迟：≤300ms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WiFi类型：2.4G/5G 双频WIFI</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无线速率：≤300Mbps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无线传输协议：IEEE 802.11 a/g/n/ac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频段：2.4G&amp;5.0G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加密：AES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验证协议：WAP2-PSK </w:t>
            </w:r>
          </w:p>
        </w:tc>
      </w:tr>
      <w:tr w14:paraId="1626F184">
        <w:tblPrEx>
          <w:shd w:val="clear" w:color="auto" w:fill="FFFFFF" w:themeFill="background1"/>
          <w:tblCellMar>
            <w:top w:w="0" w:type="dxa"/>
            <w:left w:w="108" w:type="dxa"/>
            <w:bottom w:w="0" w:type="dxa"/>
            <w:right w:w="108" w:type="dxa"/>
          </w:tblCellMar>
        </w:tblPrEx>
        <w:trPr>
          <w:trHeight w:val="56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67F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（五）1F人民建议征集站</w:t>
            </w:r>
          </w:p>
        </w:tc>
      </w:tr>
      <w:tr w14:paraId="17C94F68">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07D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53D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43寸触摸屏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4523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2FF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EFD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43英寸触摸壁挂信息发布屏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金属质感外观：纤薄机身，一体化设计，前置高透光钢化玻璃防护。</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画面细腻生动：采用工业级A+面板，自动彩色及图像增加引擎，显示效果出众。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素材类型多样：包括图片、音频、视频、滚动字幕、PDF文档、网页、实时监控画面、叫号、弹图等。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节目编排灵活：支持多种素材自由排版、分区显示； 支持多种播放方式，按日、按周、轮播、自定义等。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终端集中管理：支持终端统一远程管理和控制，定时开关机设置、一键开关机、显示亮度/音量定时调节、播放画面截图预览等；支持网络远程下发节目和无网络本地（U盘）节目更新。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分级管理权限：支持5级组织管理素材、节目、终端、用户等资源；支持创建自定义用户，精确分配多种用户的权限，多种权限模板可选。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多重安全保障：素材、节目、日程三级审核，防误播误报，终端屏保密码功能，保障系统播出内容安全；数据存储、数据传输加密，防数据篡改； 客户自行激活设置初始密码，保障密码安全。</w:t>
            </w:r>
          </w:p>
          <w:p w14:paraId="3D9D0B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显示尺寸：43 inch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物理分辨率：1920×1080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背光源类型：E-LED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显示比例：16:9</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屏前亮度：350nits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对比度：1200:1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刷新率：60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响应时间：≤8 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色域：68% NTSC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色深度：8 Bit (16.7million)</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可视角：178°(H)/178°(V)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连续使用时间：7×16 h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CPU：Cortex-A17 4核 主频最高达 1.8GHz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内存：2 GB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内置存储：16 GB EMMC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操作系统：Android 7.1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触控点：红外触摸10点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音视频输入接口：HDMI IN×1最大支持1080P数据传输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音视频输出接口：LINE OUT支持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网络接口：支持 10/100M 自适应以太网 ,内置 WiFi，支持热点分享,支持蓝牙 4.0,内置 PCI-E 接口 选配 3G/4G模块上网</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数据传输接口：USB 2.0×2, TF Card×1 ,SIM×1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喇叭：8Ω5W×2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输入电压：AC100V ~240V,50/60HZ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功耗：≤ 95 W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工作温度：0-45℃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工作湿度：10-80%RH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存储温度：-20~60 ℃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存储湿度：10-80%RH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安装类型：壁挂/横屏/竖屏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产品尺寸：994.60mm*73.80mm*583.8mm含壁挂架，嵌入式安装需要上下左右预留5CM）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包装尺寸：1130mm*130mm*698mm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净重：23 KG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毛重：27 kg </w:t>
            </w:r>
          </w:p>
        </w:tc>
      </w:tr>
      <w:tr w14:paraId="5E1BC972">
        <w:tblPrEx>
          <w:shd w:val="clear" w:color="auto" w:fill="FFFFFF" w:themeFill="background1"/>
          <w:tblCellMar>
            <w:top w:w="0" w:type="dxa"/>
            <w:left w:w="108" w:type="dxa"/>
            <w:bottom w:w="0" w:type="dxa"/>
            <w:right w:w="108" w:type="dxa"/>
          </w:tblCellMar>
        </w:tblPrEx>
        <w:trPr>
          <w:trHeight w:val="583"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0F9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二、高清视频监控系统</w:t>
            </w:r>
          </w:p>
        </w:tc>
      </w:tr>
      <w:tr w14:paraId="2D8FFEB2">
        <w:tblPrEx>
          <w:tblCellMar>
            <w:top w:w="0" w:type="dxa"/>
            <w:left w:w="108" w:type="dxa"/>
            <w:bottom w:w="0" w:type="dxa"/>
            <w:right w:w="108" w:type="dxa"/>
          </w:tblCellMar>
        </w:tblPrEx>
        <w:trPr>
          <w:trHeight w:val="681"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AF9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716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原视频监控整改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B94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31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898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原2套视频监控系统合并成一套视频监控系统，并对一些视频监控进行适当的移位。含公安设备整改。</w:t>
            </w:r>
          </w:p>
        </w:tc>
      </w:tr>
      <w:tr w14:paraId="62927BC6">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68E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AD5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400万半球（带拾音）</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30F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0CD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A93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400万海螺型网络摄像机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最高分辨率可达2560×1440 @25 fps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支持SmartIR，防止夜间红外过曝</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支持背光补偿，强光抑制，3D数字降噪，数字宽动态，适应不同环境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支持开放型网络视频接口，ISAPI，SDK，GB28181协议</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1个内置麦克风</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智能补光，支持白光/红外双补光，红外光最远可达30m，白光最远可达20m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符合IP67防尘防水设计，可靠性高</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传感器类型：1/2.7" Progressive Scan CMOS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最低照度：彩色：0.005 Lux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宽动态：数字宽动态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调节角度：水平：0°~360°，垂直：0°~75°，旋转：0°~360°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焦距&amp;视场角：2.8 mm：水平视场角：94°，垂直视场角：49°，对角视场角：114°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 mm，水平视场角：70°，垂直视场角：35°，对角视场角：85°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 mm，水平视场角：46°，垂直视场角：24°，对角视场角：54°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8 mm，水平视场角：43°，垂直视场角：24°，对角视场角：50°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红外波长范围：850 nm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防补光过曝：支持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补光灯类型：智能补光，可切换白光灯、红外灯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补光距离：红外光最远可达30 m，白光最远可达20 m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最大分辨率：2560×1440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视频压缩标准：主码流：H.265/H.264/Smart264/Smart265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子码流：H.265/H.264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音频：1个内置麦克风</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网络：1个RJ45 10 M/100 M自适应以太网口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存储温湿度：-30 ℃~60 ℃，湿度小于95%（无凝结）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启动及工作温湿度：-30 ℃~60 ℃，湿度小于95%（无凝结）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恢复出厂设置：支持客户端或浏览器恢复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供电方式：DC：12 V ± 25%，支持防反接保护</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电流及功耗：DC：12 V，0.42 A，最大功耗：5 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电源接口类型：Ø5.5 mm圆口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防护：IP67 </w:t>
            </w:r>
          </w:p>
        </w:tc>
      </w:tr>
      <w:tr w14:paraId="2633D1AF">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1C5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76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NVR</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BB7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A8B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4BF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2U机架式12盘位嵌入式网络硬盘录像机，整机采用短机箱设计，搭载1+1冗余电源</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【硬件规格】</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存储接口：12个SATA接口，支持硬盘热插拔，可满配20TB硬盘</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视频接口：2×HDMI，2×VGA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网络接口：2×RJ45 10/100/1000Mbps自适应以太网口</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报警接口：16路报警输入，9路报警输出（其中第9路支持CTRL 12V）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反向供电：1路DC12V 1A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串行接口：1路RS-232接口，1路全双工RS-485接口</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USB接口：2×USB 2.0，2×USB 3.0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扩展接口：1×eSATA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【产品性能】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输入带宽：320Mbps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输出带宽：256Mbps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接入能力：32路H.264、H.265格式高清码流接入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解码能力：最大支持32×1080P</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显示能力：最大支持8K+1080P、2×4K异源输出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RAID模式：RAID0、RAID1、RAID5、RAID6、RAID10，支持全局热备盘</w:t>
            </w:r>
          </w:p>
        </w:tc>
      </w:tr>
      <w:tr w14:paraId="6C95326E">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091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1D6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8T硬盘(存储时间30天)</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423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48A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D24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8TB</w:t>
            </w:r>
          </w:p>
        </w:tc>
      </w:tr>
      <w:tr w14:paraId="0FDD0A2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847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0FE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显示器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424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112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D87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21寸显示器</w:t>
            </w:r>
          </w:p>
        </w:tc>
      </w:tr>
      <w:tr w14:paraId="2ECFC89F">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BDD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B38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附件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39B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C13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09D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插线板、接线头等</w:t>
            </w:r>
          </w:p>
        </w:tc>
      </w:tr>
      <w:tr w14:paraId="383B5FBE">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35C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三、人脸门禁系统</w:t>
            </w:r>
          </w:p>
        </w:tc>
      </w:tr>
      <w:tr w14:paraId="4F1604FA">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34E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606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人脸一体机（含身份证刷卡）</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4B0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17E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C9B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利旧</w:t>
            </w:r>
          </w:p>
        </w:tc>
      </w:tr>
      <w:tr w14:paraId="17E9AD2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355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067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人脸一体机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079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D20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E29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操作系统：嵌入式Linux操作系统；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屏幕参数：7英寸触摸显示屏，屏幕比例9:16，屏幕分辨率600*1024；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摄像头参数：采用宽动态200万双目摄像头；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认证方式：支持人脸、刷卡（IC卡、手机NFC卡、CPU卡序列号/内容、身份证卡序列号）、密码认证方式，可外接身份证、指纹、蓝牙、二维码功能模块；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人脸验证：采用深度学习算法，支持单人或多人识别（最多5人同时认证）功能；支持照片、视频防假；1:N人脸验证速度≤0.2s，人脸验证准确率≥99%；</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存储容量：本地支持10000人脸库、50000张卡，15万条事件记录；</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硬件接口：LAN*1、RS485*1、Wiegand * 1(支持双向)、typeC类型USB接口*1、电锁*1、门磁*1、报警输入*2、报警输出*1、开门按钮*1、SD卡槽*1（最大支持512GB）、3.5mm音频输出接口*1；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通信方式及网络协议：有线网络；</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使用环境：IP65，室内外环境（室外使用必须搭配遮阳罩）；</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安装方式：壁挂安装（标配挂板，适配86底盒）；</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工作电压： DC12V~24V/2A（电源需另配）；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产品尺寸：209.2*110.5*24mm；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设备重量：净重0.56kg，毛重0.88kg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功能介绍：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可视对讲：支持和云平台、客户端、室内机、管理机进行可视对讲；支持配置一键呼叫室内机或管理机；支持副门口机或围墙机模式；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视频预览：支持管理中心远程视频预览，支持接入NVR设备，实现视频录像，编码格式H.264；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口罩检测：支持口罩检测模式，可配置提醒戴口罩模式、强制戴口罩模式，关联门禁控制；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安全帽检测：支持工地安全帽检测功能，可配置提醒安全帽模式、强制戴安全帽模式，关联门禁控制；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识别界面可配：识别主界面的“呼叫”、“二维码”、“密码”的按键图标可分别配置是否显示；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认证结果显示可配：支持认证成功界面的“照片”、“姓名”、“工号”信息可配置是否显示；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工作模式：支持广告模式、简洁模式主题模式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外接安全模块：支持通过RS485接入门控安全模块，防止主机被恶意破坏的情况下，门锁不被打开；</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外接读卡器：支持通过RS485或韦根（W26/W34）接口外接1个读卡器，同时可实现单门反潜回功能；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读卡器模式：支持通过RS485或韦根（W26/W34）接入门禁控制器，作为读卡器模式使用；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门禁计划模板：支持255组计划模板管理，128个周计划，1024个假日计划；支持常开、常闭时段管理；</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组合认证：刷卡+密码、刷卡+人脸、人脸+密码等组合认证方式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多重认证：支持多个人员认证（人脸、刷卡等）通过后才开门；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报警功能：设备支持防拆报警、门被外力开起报警、胁迫卡和胁迫密码报警等；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单机使用：设备可进行本地管理，支持本地注册人脸、查询、设置、管理设备参数等；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WEB管理：支持Web端管理，可进行人员管理、参数配置、事件查询、系统维护等操作。</w:t>
            </w:r>
          </w:p>
        </w:tc>
      </w:tr>
      <w:tr w14:paraId="6AD4DB69">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D9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9B3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单门磁力锁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CC2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6AB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774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1.锁体主体颜色为深灰色；</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2.最大静态直线拉力：280kg(600Lbs) ± 15%；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3.断电开锁，满足消防要求；</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4.具有电锁状态指示灯（红灯为开锁状态， 绿灯为上锁状态）；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5.支持锁状态侦测信号(门磁)输出：NO/NC/COM接点；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6.工作电压：12V/420mA 或 24V/210mA；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7.锁体尺寸：长238*宽47*厚28(mm)；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8.吸板尺寸：长182*宽38*高13(mm)；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9.使用环境：室内（不防水）；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10.适用门型：木门、玻璃门、金属门、防火门。</w:t>
            </w:r>
          </w:p>
        </w:tc>
      </w:tr>
      <w:tr w14:paraId="3FF3308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314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10F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双门磁力锁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547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684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099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1.锁体主体颜色为深灰色；</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2.最大静态直线拉力：280kg(600Lbs) ± 15%  * 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3.断电开锁，满足消防要求；</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4.具有电锁状态指示灯（红灯为开锁状态， 绿灯为上锁状态）；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5.支持锁状态侦测信号(门磁)输出：NO/NC/COM接点；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6.工作电压：12V/840mA 或 24V/420mA；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7.锁体尺寸：长476*宽47*厚28(mm)；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8.吸板尺寸：长182*宽38*高13(mm)；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9.使用环境：室内（不防水）；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10.适用门型：木门、玻璃门、金属门、防火门。</w:t>
            </w:r>
          </w:p>
        </w:tc>
      </w:tr>
      <w:tr w14:paraId="0A7E0C3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3E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1FA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出门按钮</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E67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05E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871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1.结构：塑料面板；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2.性能：最大耐电流1.25A，电压250V；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3.输出：常开；</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4.类型：适合埋入式电器盒使用。</w:t>
            </w:r>
          </w:p>
        </w:tc>
      </w:tr>
      <w:tr w14:paraId="1C982ACF">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102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7F7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人脸门禁系统利旧整改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DD1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C53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C15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定制</w:t>
            </w:r>
          </w:p>
        </w:tc>
      </w:tr>
      <w:tr w14:paraId="0AB64E8D">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2B8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AFD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附件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B1C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5FD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3B5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电源线、接线头等</w:t>
            </w:r>
          </w:p>
        </w:tc>
      </w:tr>
      <w:tr w14:paraId="0EA1EB07">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A6A6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四、扩声系统</w:t>
            </w:r>
          </w:p>
        </w:tc>
      </w:tr>
      <w:tr w14:paraId="24D688D0">
        <w:tblPrEx>
          <w:tblCellMar>
            <w:top w:w="0" w:type="dxa"/>
            <w:left w:w="108" w:type="dxa"/>
            <w:bottom w:w="0" w:type="dxa"/>
            <w:right w:w="108" w:type="dxa"/>
          </w:tblCellMar>
        </w:tblPrEx>
        <w:trPr>
          <w:trHeight w:val="59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2C7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（一）2F综合信息指挥室</w:t>
            </w:r>
          </w:p>
        </w:tc>
      </w:tr>
      <w:tr w14:paraId="4217C5F8">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60E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313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300W主扩音柱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0C9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D53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D7D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为保证扩声系统兼容性、一致性以及售后便捷性，音柱、功放、调音台、处理器、会议系统须为同一品牌。</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1、音箱类型不低于线性音柱</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2、箱体构成不低于木夹板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3、频率响应不劣于120Hz-20KHz；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4、灵敏度不小于99dB；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5、连续声压级不小于120dB，峰值声压级不小于126dB；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6、额定功率不小于280W；峰值功率不小于1120W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7、低音单元不低于8个3.5寸钕磁单元；不低于1个号角高音</w:t>
            </w:r>
            <w:r>
              <w:rPr>
                <w:rFonts w:hint="eastAsia" w:ascii="仿宋" w:hAnsi="仿宋" w:eastAsia="仿宋" w:cs="仿宋"/>
                <w:color w:val="000000" w:themeColor="text1"/>
                <w:kern w:val="0"/>
                <w:sz w:val="24"/>
                <w:szCs w:val="24"/>
                <w:lang w:eastAsia="zh-CN" w:bidi="ar"/>
                <w14:textFill>
                  <w14:solidFill>
                    <w14:schemeClr w14:val="tx1"/>
                  </w14:solidFill>
                </w14:textFill>
              </w:rPr>
              <w:t>。</w:t>
            </w:r>
          </w:p>
        </w:tc>
      </w:tr>
      <w:tr w14:paraId="7B6CBEB6">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A40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65E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主扩音柱支架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2B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D8F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FAF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采用高强度金属材料，安装快捷、牢固。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适用范围：音柱壁挂安装使用。1只音柱配备1副。</w:t>
            </w:r>
          </w:p>
        </w:tc>
      </w:tr>
      <w:tr w14:paraId="3468E0E9">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D3B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A99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200W辅助音柱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131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46C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B9E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1、音箱类型不低于线性音柱；</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2、箱体构成不低于木夹板；</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3、频率响应不劣于120Hz-20KHz；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4、灵敏度不小于99dB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5、连续声压级不小于117dB，峰值声压级不小于123dB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6、额定功率不小于160W；峰值功率不小于640W</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7、低音单元不低于4个3.5寸钕磁单元；不低于1个号角高音</w:t>
            </w:r>
          </w:p>
        </w:tc>
      </w:tr>
      <w:tr w14:paraId="5B922641">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05C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9CE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辅助音柱支架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E31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DCC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FCB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采用高强度金属材料，安装快捷、牢固。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适用范围：音柱壁挂安装使用。1只音柱配备1副。</w:t>
            </w:r>
          </w:p>
        </w:tc>
      </w:tr>
      <w:tr w14:paraId="6BBB6DD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3FC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CC4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专业功放</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09A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F53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2D08F">
            <w:pPr>
              <w:keepNext w:val="0"/>
              <w:keepLines w:val="0"/>
              <w:widowControl/>
              <w:numPr>
                <w:ilvl w:val="0"/>
                <w:numId w:val="13"/>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额定输出功率：8Ω立体声不小于350W×2，4Ω立体声不小于525W×2；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2、信噪比不小于105dB；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3、频率响应不劣于20Hz-20KHz；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▲4、内置不小于6路220V电源时序输出插座；</w:t>
            </w:r>
          </w:p>
          <w:p w14:paraId="52F71469">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5、解决其他音频设备供电需求；</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▲6、功放具有远程控制端口，支持有线和无线远程控制该功放和内置的不小于六路电源时序输出开关机；</w:t>
            </w:r>
          </w:p>
          <w:p w14:paraId="29C36A0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7、保护功能不少于短路、限幅、直流、过热、过载、软启动；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8、LED指示不少于保护灯，限幅灯，信号指示灯，电源指示灯；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auto"/>
                <w:kern w:val="0"/>
                <w:sz w:val="24"/>
                <w:szCs w:val="24"/>
                <w:lang w:bidi="ar"/>
              </w:rPr>
              <w:t>▲9、LCD显示不少于工作温度、日期、时间、工作电压；</w:t>
            </w:r>
          </w:p>
          <w:p w14:paraId="55A6641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eastAsia="zh-CN" w:bidi="ar"/>
              </w:rPr>
              <w:t>（</w:t>
            </w:r>
            <w:r>
              <w:rPr>
                <w:rFonts w:hint="eastAsia" w:ascii="仿宋" w:hAnsi="仿宋" w:eastAsia="仿宋" w:cs="仿宋"/>
                <w:b/>
                <w:bCs/>
                <w:color w:val="auto"/>
                <w:kern w:val="0"/>
                <w:sz w:val="24"/>
                <w:szCs w:val="24"/>
                <w:lang w:bidi="ar"/>
              </w:rPr>
              <w:t>提供具有CNAS</w:t>
            </w:r>
            <w:r>
              <w:rPr>
                <w:rFonts w:hint="eastAsia" w:ascii="仿宋" w:hAnsi="仿宋" w:eastAsia="仿宋" w:cs="仿宋"/>
                <w:b/>
                <w:bCs/>
                <w:color w:val="auto"/>
                <w:kern w:val="0"/>
                <w:sz w:val="24"/>
                <w:szCs w:val="24"/>
                <w:lang w:val="en-US" w:eastAsia="zh-CN" w:bidi="ar"/>
              </w:rPr>
              <w:t>或</w:t>
            </w:r>
            <w:r>
              <w:rPr>
                <w:rFonts w:hint="eastAsia" w:ascii="仿宋" w:hAnsi="仿宋" w:eastAsia="仿宋" w:cs="仿宋"/>
                <w:b/>
                <w:bCs/>
                <w:color w:val="auto"/>
                <w:kern w:val="0"/>
                <w:sz w:val="24"/>
                <w:szCs w:val="24"/>
                <w:lang w:bidi="ar"/>
              </w:rPr>
              <w:t>CMA标识的第三方检测报告</w:t>
            </w:r>
            <w:r>
              <w:rPr>
                <w:rFonts w:hint="eastAsia" w:ascii="仿宋" w:hAnsi="仿宋" w:eastAsia="仿宋" w:cs="仿宋"/>
                <w:b/>
                <w:bCs/>
                <w:color w:val="auto"/>
                <w:kern w:val="0"/>
                <w:sz w:val="24"/>
                <w:szCs w:val="24"/>
                <w:lang w:val="en-US" w:eastAsia="zh-CN" w:bidi="ar"/>
              </w:rPr>
              <w:t>扫描件并加盖CA签章）</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▲10、不少于2个日期时间参数设置按钮；</w:t>
            </w:r>
          </w:p>
          <w:p w14:paraId="69B198C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t>）</w:t>
            </w:r>
          </w:p>
        </w:tc>
      </w:tr>
      <w:tr w14:paraId="64529C7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1E2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8B4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音频处理器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8A0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19D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39378">
            <w:pPr>
              <w:keepNext w:val="0"/>
              <w:keepLines w:val="0"/>
              <w:widowControl/>
              <w:numPr>
                <w:ilvl w:val="0"/>
                <w:numId w:val="14"/>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不少于4路平衡式话筒/线路输入，不少于4路平衡式输出；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▲2.不少于3个RJ45网络端口，用于PC通过软件控制设备，和AES/EBU数字信号输入输出，同时支持RS-485通讯；</w:t>
            </w:r>
          </w:p>
          <w:p w14:paraId="73323FE3">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p>
          <w:p w14:paraId="252D2FE2">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 自带一个远程控制端口，与功率放大器及电源时序器通讯并控制其开关机；</w:t>
            </w:r>
          </w:p>
          <w:p w14:paraId="2BD87AC4">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5. RS-485支持中控控制，支持自动摄像跟踪功能，轻松实现视频会议,可发送或接受控制，如视频矩阵、摄像机等设备；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 内置反馈抑制装置，可选配回声消除装置、环境噪声抑制装置；</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 软件界面支持：中文、英文、繁体（其他语言可定制），配套软件具有几十种音频处理器模块不少于31段均衡器，5段参量均衡器，压缩器，限幅器，扩展器，分频器，调音推杆，延时器，哑音控制器，自动混音器，反馈、矩阵、信号指示表和信号发生器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输入选择：每路输入通道在软件界面可选择除Analog(模拟信号)之外还有不少于Dante、CobraNet、AES/EBU、MADI、Ethersound、Optical、Coaxial、N-net、Sine、Pink、White等多种数字信号和测试信号输入供用户根据系统搭建调试需要选择；</w:t>
            </w:r>
          </w:p>
          <w:p w14:paraId="3A6D95EE">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▲9.输出选择：每路输出通道在软件界面可选择除Analog(模拟信号)之外还有不少于Dante、CobraNet、AES/EBU、MADI、EtherSound、Optical、Coaxial等数字信号供用户根据系统搭建调试需要选择；</w:t>
            </w:r>
          </w:p>
          <w:p w14:paraId="333E27D3">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p>
        </w:tc>
      </w:tr>
      <w:tr w14:paraId="1D7DC55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6B0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E2F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调音台</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C57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4D9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E108E">
            <w:pPr>
              <w:keepNext w:val="0"/>
              <w:keepLines w:val="0"/>
              <w:widowControl/>
              <w:numPr>
                <w:ilvl w:val="0"/>
                <w:numId w:val="15"/>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不少于9路输入通道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2、不少于7路单声MIC/LINE输入、不少于1路立体声输入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▲3、不少于1路SD卡槽、不少于1路USB端口支持WAV无损音频格式、WMA、MP3等多种格式的数字音频播放；</w:t>
            </w:r>
          </w:p>
          <w:p w14:paraId="5316B830">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FF"/>
                <w:kern w:val="0"/>
                <w:sz w:val="24"/>
                <w:szCs w:val="24"/>
                <w:lang w:bidi="ar"/>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▲4、带蓝牙音频功能，可通过手机IPAD等移动终端实现音频播放；</w:t>
            </w:r>
          </w:p>
          <w:p w14:paraId="7D9E935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5、带USB音频声卡功能，可实现电脑数字音频直接接入播放；</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6、机器带有不少于2个显示屏，一个显示数字效果，另外一个显示USB、蓝牙播放以及录音信息等；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▲7、机器自带不少于一个远程控制端口，可以实现与功放联动控制开关机；</w:t>
            </w:r>
          </w:p>
          <w:p w14:paraId="65FBB8D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8、机器面板带有中文标识；</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9、带录音功能，插入U盘轻松实现重要讲话录音、节目表演录音等；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10、每路输入带有不少于1路FX效果，本机自带不少于16种效果类型；</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▲11、机器自带不少于11个60MM高精度对数式衰减推子；</w:t>
            </w:r>
          </w:p>
          <w:p w14:paraId="1B295C4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或</w:t>
            </w:r>
            <w:r>
              <w:rPr>
                <w:rFonts w:hint="eastAsia" w:ascii="仿宋" w:hAnsi="仿宋" w:eastAsia="仿宋" w:cs="仿宋"/>
                <w:b/>
                <w:bCs/>
                <w:color w:val="000000" w:themeColor="text1"/>
                <w:kern w:val="0"/>
                <w:sz w:val="24"/>
                <w:szCs w:val="24"/>
                <w:lang w:bidi="ar"/>
                <w14:textFill>
                  <w14:solidFill>
                    <w14:schemeClr w14:val="tx1"/>
                  </w14:solidFill>
                </w14:textFill>
              </w:rPr>
              <w:t>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p>
        </w:tc>
      </w:tr>
      <w:tr w14:paraId="13E69EDC">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63C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B49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全数字会议系统主机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B6A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581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40B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主机前面板自带不小于4.3英寸全彩高清触摸屏，内嵌式智能控制系统，中文操作界面，屏保主界面显示CH-A、CH-B、CH-C、CH-D四个通道当前信号状态、电平大小、电池电量等信息，同时主界面有显示通讯通道、会议模式、发言人数、系统音量以及日历、时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2、数字处理：内置环境噪音消除器、数字均衡电路、自适应反馈抑器，有效消除底噪、啸叫声;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通讯方式：采用信号数字化处理和UHF无线传输技术，不小于20组系统通道设置，每组通道具有不小于168个地址ID，筒能有效避开干扰信道，独立研发的数据通信算法，使信号范围内，系统响应速度不受列席单元多少影响，用户可灵活增减列席单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4、会议模式：主席模式、限制模式、先进先出、后进后出共四种模式供用户先择使用;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5、发言人数：限制模式、先进先出、后进后出模式下可设置1、2、3、4作为选择使用；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6、关闭话筒：会议结束后，主机关机，无线话筒将自动关机，避免浪费电池，同时会议系统主机可通过触摸屏关闭所有无线话筒单元电源，避免会议结束后个别话筒忘记关闭从而影响下次使用；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7、发言计时：具有发言计时功能，当话筒开启发言时，话筒屏幕将自动计时，让发言者清楚的看到自己的发言时间；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8、自动编址：调试时可对整个会议系统的所有话筒进行ID编号，用于后台分辨不同发言人使用话筒对应的ID；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单元设置：会议主机通过选定话筒ID，可对系统中使用的每一支无线会议话筒进行EQ音色调整，每一个话筒具有不小于15段GEQ可调，同时每个话筒可保存不小于3种自定义EQ模式；主机可将系统中任意一支话筒设置成主席单元话筒、代表单元话筒；通过主机可对系统中的每一支话筒音量进行单独调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软件功能：通过PC软件与主机连接，支持PELCO-D、PELCO-P、SONY-D70（VISCA）、YAAN等摄像机协议，RS-232、RS-485等控制信号，软件可设置球机控制，可设置预制点、删除预制点，预览预制点、视像设置具有上、下、左、右、设置全景位、测试全景位、拉近、推远、光圈+、光圈-、速度+、速度-、支持8个摄像机地址控制，对应开机话筒单元ID号选择；PC软件可以对会议主机的系统通道调整1-20可调，通过软件可对系统的发言模式、发言人数进性调整，软件还可以一键关机、同步时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11、录音功能：具有USB录音功能，主机前面板USB端口，插入U盘可对会议进行录音，带有录音启动/停止开关；</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外部控制：具有不小于1个RS-232中控连接端口、不小于1个PC-USB端口、不小于1个连接摄像机的RS-232端口、不小于1个5P的摄像机连接控制端口、可实现管理软件、中控（有线触摸屏、无线触控屏、手机、按键面板）等设备控制指令;</w:t>
            </w:r>
          </w:p>
        </w:tc>
      </w:tr>
      <w:tr w14:paraId="6278F916">
        <w:tblPrEx>
          <w:shd w:val="clear" w:color="auto" w:fill="FFFFFF" w:themeFill="background1"/>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E38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1D9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协作模块</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E31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293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89A00">
            <w:pPr>
              <w:keepNext w:val="0"/>
              <w:keepLines w:val="0"/>
              <w:widowControl/>
              <w:numPr>
                <w:ilvl w:val="0"/>
                <w:numId w:val="16"/>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符合HDMI 1.4b和HDCP 1.4规范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2、支持10.2Gbps视频带宽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3、视频分辨率支持4K2K@30Hz 4:4:4</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4、支持高清音频透传高达2个音频通道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5、内置HDbaseT音视频处理技术，通过单根CAT6/6a/7网线可以延长传输距离达70米，接收端需要USB回传到发送端，不需要网络。</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 具备HDMI直接输出接口</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7、支持2路HDMI（随路2路USB2.0），1路TYPE-C（TPYPE-C接口具备反向充电，输入投屏，转网络，转USB连接HUB）。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 支持网络接入功能、3路USB充电功能、2路电源接入功能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9、内置8路USB HUB，4切1USB切换器</w:t>
            </w:r>
          </w:p>
          <w:p w14:paraId="3D31050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10、支持CEC、1路RS-485/RS232、4路I/O、2路IR、4路Relay等多种控制功能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11、信号输入自动识别、无缝切换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12、支持输入信号4画面可视化实时预览，支持物理按键选择投屏通道；支持视频输出画面一键冻结功能，支持画中画输出，支持场景保存和调用</w:t>
            </w:r>
          </w:p>
          <w:p w14:paraId="3A7AF32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13、支持多路高清音频透传，音频解嵌输出，具备独立无极旋钮调节输出音量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14、支持当前投屏信号KVM编码输出，远端KVM信号解码输入打通资源孤岛</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15、支持自定义开机画面，可自定义通道名称，支持会标跑马灯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16、支持电源共享，有线网络共享，支持USB外设共享，触摸屏电脑返控</w:t>
            </w:r>
          </w:p>
        </w:tc>
      </w:tr>
      <w:tr w14:paraId="0EC9B646">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7A5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9EE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会议话筒处理器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805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3B8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F0C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1.不小于8路平衡式话筒/线路输入，采用凤凰插接口，不小于8路平衡式输出，采用凤凰插接口；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2.设备后面板带有不小于1个RJ45网络端口，用于PC通过软件控制设备；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设备前面板自带USB录播接口，通过该USB端口插入U盘可实现录播功能，设备支持WAV无损音乐格式播放与录制，在设备软件界面可设置USB播放、录制的具体功能，且播放、录制音量控制在软件界面采用仿真调音台推杆控制技术，并可设置4.播放最大增益值：-72dB-12dB可调，直观实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5.RS-485支持中控控制，支持自动摄像跟踪功能，轻松实现视频会议,可发送或接受控制，如视频矩阵、摄像机等设备；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6.不小于2路GPIO端口；</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7.软件自带中控代码生成器，方便与中控设备对接；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8.高精度的输入灵敏度调节，共计不小于17档，步长3dB，最大输入增益不小于51dB；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9.内置反馈抑制装置、回声消除装置、环境噪声抑制装置；</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软件界面支持：中文、英文、繁体（其他语言可定制），配套软件具有几十种音频处理器模块不小于31段均衡器，5段参量均衡器，压缩器，限幅器，扩展器，分频器，调音推杆，延时器，哑音控制器，自动混音器，反馈、回声消除、环境噪声消除、矩阵、信号指示表和信号发生器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11.每路输入通道在软件界面可选择除Analog(模拟信号)之外还有Sine、Pink、White等测试信号输入供用户根据系统搭建调试需要选择；</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12.软件下载：处理器内置PC调试软件，可直接登录IP地址下载操作软件。</w:t>
            </w:r>
          </w:p>
        </w:tc>
      </w:tr>
      <w:tr w14:paraId="2F333355">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6CD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222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会议主席单元</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DF4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259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96C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通信方式：采用信号数字化处理和UHF无线传输技术，不小于20组系统通道设置，每组通道具有不小于168个地址ID，能有效避开干扰信道，独立研发的数据通信算法，使信号范围内，系统响应速度不受列席单元多少影响，用户可灵活增减列席单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2、显示屏幕：自带有2.4寸TFT彩色显示屏，可显示话筒身份（主席单元、代表单元）、会议模式、话筒ID、信号强度、通讯通道、电池电量、发言状态（发言、待机）、发言计时等信息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3、主席单元：有优先控制功能，有优先发言权，可通过主机设置为代表单元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4、发射距离：室内半径不小于60米（视现场无线电环境情况而定）</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5、拾音距离：不小于20cm--50cm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6、单元功耗：大于10小时的连续发言，大于20小时的待机，5号普通电池、厂家原配镍氢充电电池（充电电池选配）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7、单元充电：单元自带type-c接口,配套的智能充电器，有效保护电池，延长电池使用寿命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8、载波频段：不小于UHF640MHz-690MHz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9、振荡方式：PLL相位锁定频率合成</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10、单元材质：底座为高级雅黑塑料底座 +镜面质感PVC+雅黑硅胶按键，咪杆为雅黑铝合金方杆材质+3面透声金属网，底部4颗硅胶脚钉，有效避免当话筒移动时产生机械噪声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11、工作指示灯：话筒底座开关按键有红绿指示灯（红色为待机、绿色为发言），显示屏有待机、发言字样，咪杆有3面LED绿色指示灯，发言时亮起</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12、传感器：电容式、心形指向</w:t>
            </w:r>
          </w:p>
        </w:tc>
      </w:tr>
      <w:tr w14:paraId="7999DDD2">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267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24E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会议代表单元</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7EC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40C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6F0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通信方式：采用信号数字化处理和UHF无线传输技术，不小于20组系统通道设置，每组通道具有不小于168个地址ID，能有效避开干扰信道，独立研发的数据通信算法，使信号范围内，系统响应速度不受列席单元多少影响，用户可灵活增减列席单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2、显示屏幕：自带有不小于2.4寸TFT彩色显示屏，可显示话筒身份（主席单元、代表单元）、会议模式、话筒ID、信号强度、通讯通道、电池电量、发言状态（发言、待机）、发言计时等信息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3、代表单元：可通过主机设置为主席单元</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4、发射距离：室内半径不小于60米（视现场无线电环境情况而定）</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5、拾音距离：不小于20cm--50cm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6、单元功耗：大于10小时的连续发言，大于20小时的待机，5号普通电池、厂家原配镍氢充电电池（充电电池选配）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7、单元充电：单元自带type-c接口,配套的智能充电器，有效保护电池，延长电池使用寿命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8、载波频段：不小于UHF640MHz-690MHz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9、振荡方式：PLL相位锁定频率合成</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10、单元材质：底座为高级雅黑塑料底座 +镜面质感PVC+雅黑硅胶按键，咪杆为雅黑铝合金方杆材质+3面透声金属网，底部4颗硅胶脚钉，有效避免当话筒移动时产生机械噪声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11、工作指示灯：话筒底座开关按键有红绿指示灯（红色为待机、绿色为发言），显示屏有待机、发言字样，咪杆有3面LED绿色指示灯，发言时亮起</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12、传感器：电容式、心形指向</w:t>
            </w:r>
          </w:p>
        </w:tc>
      </w:tr>
      <w:tr w14:paraId="053967B2">
        <w:tblPrEx>
          <w:shd w:val="clear" w:color="auto" w:fill="FFFFFF" w:themeFill="background1"/>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008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427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发射器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AC0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78C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39D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主机技术参数：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1.载波频段范围不劣于450-972MHz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2.增益不劣于3dB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3.输入阻抗不劣于50Ω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4.输出阻抗不劣于50Ω</w:t>
            </w:r>
          </w:p>
        </w:tc>
      </w:tr>
      <w:tr w14:paraId="3061C9D7">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B24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8A1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充电箱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A17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132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645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USB充电口：不少于40路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输出电压：5V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输出电流：0.1A-0.25A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保护电路：过充保护、过流过压保护、功率保护、短路保护、温度保护、过放保护等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输入电源：100-240V AC50/60Hz</w:t>
            </w:r>
          </w:p>
        </w:tc>
      </w:tr>
      <w:tr w14:paraId="4F70E0D6">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774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2B2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电源时序器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A5A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0F7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22D49">
            <w:pPr>
              <w:keepNext w:val="0"/>
              <w:keepLines w:val="0"/>
              <w:widowControl/>
              <w:numPr>
                <w:ilvl w:val="0"/>
                <w:numId w:val="17"/>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单路输出不小于30A；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2、可控电源不少于8路，兼容中规、美规、欧规插座；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3、前面板带不少于4路直通兼容中规、美规、欧规插座；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▲4、不少于4个USB端口，前后面板各不少于2个，前面板1号USB口为电脑软件控制端口，2、3、4号USB提供5V直流输出，可为工作灯供电、手机平板充电用；</w:t>
            </w:r>
            <w:r>
              <w:rPr>
                <w:rFonts w:hint="eastAsia" w:ascii="仿宋" w:hAnsi="仿宋" w:eastAsia="仿宋" w:cs="仿宋"/>
                <w:color w:val="0000FF"/>
                <w:kern w:val="0"/>
                <w:sz w:val="24"/>
                <w:szCs w:val="24"/>
                <w:lang w:bidi="ar"/>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5、前面板自带不少于1个2吋彩色液晶智能显示窗，可实时显示模式、ID、当前电压、日期时间、通道开关状态等信息；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ascii="仿宋" w:hAnsi="仿宋" w:eastAsia="仿宋" w:cs="仿宋"/>
                <w:color w:val="0000FF"/>
                <w:kern w:val="0"/>
                <w:sz w:val="24"/>
                <w:szCs w:val="24"/>
                <w:lang w:bidi="ar"/>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7、机器后面板带有不少于2个RJ45网口（LINK IN、LINK OUT），通过级联设置，自动识别主机从机实现多台时序器超远距离级联使用；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8、每路开关机延时0-999秒自定义；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9、机器可通过前面板1号USB端口、后面板RS-232端口，LAN-PC的RJ45网口实现IP网络远程控制，三种端口任意选择与电脑相连通过软件控制；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模式调取、模式保存（可保存不少于8种模式供用户调用）、当前电压、时序器开关机、单路状态显示开启为绿色，关闭为红色、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▲11、机器可通过后接线板的2路RJ45任意一个网口Remote switch远程控制功能与本品牌中音频矩阵处理器、中控、有线控制面板及其他设备联动通讯，实现有线和无线远程控制电源时序器开关机；</w:t>
            </w:r>
          </w:p>
          <w:p w14:paraId="540C4BB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FF"/>
                <w:kern w:val="0"/>
                <w:sz w:val="24"/>
                <w:szCs w:val="24"/>
                <w:lang w:bidi="ar"/>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12、中控接口不少于RS232、RS485、LAN-PC三种连接方式；</w:t>
            </w:r>
          </w:p>
        </w:tc>
      </w:tr>
      <w:tr w14:paraId="179489A9">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7E5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9D4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音频GN连接线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450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247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8F9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1.8米音频连接线：3.5（耳机插头）-双6.35话筒插头</w:t>
            </w:r>
          </w:p>
        </w:tc>
      </w:tr>
      <w:tr w14:paraId="731392F2">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825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0B3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音频GN连接线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B83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20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ED3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1.8米音频连接线：卡侬头（母）-卡侬头（公）</w:t>
            </w:r>
          </w:p>
        </w:tc>
      </w:tr>
      <w:tr w14:paraId="282AEFD6">
        <w:tblPrEx>
          <w:tblCellMar>
            <w:top w:w="0" w:type="dxa"/>
            <w:left w:w="108" w:type="dxa"/>
            <w:bottom w:w="0" w:type="dxa"/>
            <w:right w:w="108" w:type="dxa"/>
          </w:tblCellMar>
        </w:tblPrEx>
        <w:trPr>
          <w:trHeight w:val="461"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289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1F9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连接线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A2D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B58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条</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C73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HDMI 3米（公对公）</w:t>
            </w:r>
          </w:p>
        </w:tc>
      </w:tr>
      <w:tr w14:paraId="69F72B18">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2D5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3F2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连接线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A65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CE4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条</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B27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1.长度：30m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2.HDMI版本：2.0版本</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3.视频带宽：18Gbps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4.分辨率：480P,720P,1080i,1080P,3D ，4K @60Hz(4:4:4)</w:t>
            </w:r>
          </w:p>
        </w:tc>
      </w:tr>
      <w:tr w14:paraId="36A98D75">
        <w:tblPrEx>
          <w:tblCellMar>
            <w:top w:w="0" w:type="dxa"/>
            <w:left w:w="108" w:type="dxa"/>
            <w:bottom w:w="0" w:type="dxa"/>
            <w:right w:w="108" w:type="dxa"/>
          </w:tblCellMar>
        </w:tblPrEx>
        <w:trPr>
          <w:trHeight w:val="5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5D1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D20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附件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0E9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2E5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604B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插线板、接线头等</w:t>
            </w:r>
          </w:p>
        </w:tc>
      </w:tr>
      <w:tr w14:paraId="788D9F67">
        <w:tblPrEx>
          <w:tblCellMar>
            <w:top w:w="0" w:type="dxa"/>
            <w:left w:w="108" w:type="dxa"/>
            <w:bottom w:w="0" w:type="dxa"/>
            <w:right w:w="108" w:type="dxa"/>
          </w:tblCellMar>
        </w:tblPrEx>
        <w:trPr>
          <w:trHeight w:val="502"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51B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五、排队叫号系统（含窗口显示屏和落地式触控一体机）</w:t>
            </w:r>
          </w:p>
        </w:tc>
      </w:tr>
      <w:tr w14:paraId="7ABB2903">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B2B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431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排队叫号管理软件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841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B9C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986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1.支持设定各个业务号票的排版、颜色等，支持打印单位名称、商标、业务类型、排队号码、排队时间、温馨提示，支持添加自定义字段。</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2.支持语音播报，支持自定义组合设置。</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3.支持对信息发布终端自定义内容</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4.支持文件批量上传图片、一键预览、文件快速定位搜索、文件详情查看、支持列表/宫格形式查看、支持文件分组管理。</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5.支持插播字幕（跑马灯），支持自定义设置文本大小、背景、颜色、滚动速度、显示位置，实时编辑实施预览。</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6.支持连续播放、周期播放、垫片(即空闲)播放、插播多种播放模式，支持选择离线播放、在线播放、多种播放方式，支持未结束节目撤回功能。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7.支持节目审核功能，节目审核成功或拒绝后通知提交人，节目待审核时通知审核人。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8.支持设置设备定时开关机任务、定时重启任务，可设置单次、每天、自定义执行。</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9.支持批量调节设备音量、批量重启设备、批量对设备进行时间同步，支持批量停用/启用设备，支持设备列表/宫格查看，宫格形式可查看设备当前截屏播放画面。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10.支持管理员创建多个角色，每个角色拥有不同的管理权限，设备管理权限可单独分配，系统权限灵活化，自由可配。</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11.首页具备常见功能快捷入口，常见问题模块，支持用户查看常见问题（文字/图片）解决基本疑问，支持服务器存储空间，使用情况实时数据查看。</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12.支持自定义取票机界面，支持修改按钮的颜色，字体的颜色大小，支持设置按钮点击的交互颜色。</w:t>
            </w:r>
          </w:p>
        </w:tc>
      </w:tr>
      <w:tr w14:paraId="7B3FE440">
        <w:tblPrEx>
          <w:shd w:val="clear" w:color="auto" w:fill="FFFFFF" w:themeFill="background1"/>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FEF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C12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取号机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36B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0A1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39E3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1.配置：≥21.5英寸LED液晶显示屏，支持≥20点电容触摸操作，分辨率≥1920×1080。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2.配置：酷睿I5处理器,主频≥2.1GHz，≥4G运行内存，≥128GB固态硬盘，windows7操作系统。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3.配置≥1×二维码扫描仪、≥1×二代身份证读卡器、≥1×凭条打印机、≥2×扬声器。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4.具有USB接口×2、音频接口×1、RJ45网络接口×1。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5.支持后台自定义GN页面布局，支持修改按钮字体大小、颜色等。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6.支持通过触摸屏选择所需办理的业务类型，打印出排队号码凭条。</w:t>
            </w:r>
          </w:p>
        </w:tc>
      </w:tr>
      <w:tr w14:paraId="29B6566B">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DA6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CA9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多媒体功放机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633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803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46EAA">
            <w:pPr>
              <w:keepNext w:val="0"/>
              <w:keepLines w:val="0"/>
              <w:widowControl/>
              <w:numPr>
                <w:ilvl w:val="0"/>
                <w:numId w:val="18"/>
              </w:numPr>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不少于3段式均衡调节，使声音效果调节更加灵活</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2、具有USB数字音频接口，支持MP3播放，支持蓝牙播放</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3、机器自带反馈抑制功能，方便抑制话筒啸叫</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▲4、输入：具有不少于6路MIC输入，带隐藏式电平调节；不少于2路立体声线路输入，带隐藏式电平调节</w:t>
            </w:r>
          </w:p>
          <w:p w14:paraId="32A72CCF">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br w:type="textWrapping"/>
            </w:r>
            <w:r>
              <w:rPr>
                <w:rFonts w:hint="eastAsia" w:ascii="仿宋" w:hAnsi="仿宋" w:eastAsia="仿宋" w:cs="仿宋"/>
                <w:color w:val="000000" w:themeColor="text1"/>
                <w:kern w:val="0"/>
                <w:sz w:val="24"/>
                <w:szCs w:val="24"/>
                <w:lang w:bidi="ar"/>
                <w14:textFill>
                  <w14:solidFill>
                    <w14:schemeClr w14:val="tx1"/>
                  </w14:solidFill>
                </w14:textFill>
              </w:rPr>
              <w:t>▲5、支持USB、蓝牙播放，可扩展光纤输入、同轴输入。</w:t>
            </w:r>
          </w:p>
          <w:p w14:paraId="7C602BBA">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6、输出：具有不少于1路立体声录音输出，具有不少于4路音箱输出接口。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▲7、内置DSP回声效果。</w:t>
            </w:r>
          </w:p>
          <w:p w14:paraId="099D52D7">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p>
          <w:p w14:paraId="43ED1935">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8、额定功率：（立体声）8Ω：不少于200W×2、4Ω：不少于350W×2</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9、信噪比：线路：不少于90 dB（A计权）、话筒：不少于78 dB（A计权）</w:t>
            </w:r>
          </w:p>
        </w:tc>
      </w:tr>
      <w:tr w14:paraId="2BD25F45">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9A7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034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6W天花喇叭</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B49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DA0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D08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hint="eastAsia" w:ascii="仿宋" w:hAnsi="仿宋" w:eastAsia="仿宋" w:cs="仿宋"/>
                <w:color w:val="000000" w:themeColor="text1"/>
                <w:kern w:val="0"/>
                <w:sz w:val="24"/>
                <w:szCs w:val="24"/>
                <w:lang w:val="en-US" w:eastAsia="zh-CN"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 xml:space="preserve">额定功率不小于6W/10W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2.输入电压小于100V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3.灵敏度不小于88dB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4.频率响应不劣于110HZ-13000HZ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5.低音单元不低于5寸</w:t>
            </w:r>
          </w:p>
        </w:tc>
      </w:tr>
      <w:tr w14:paraId="517E084A">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06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770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无线条形窗口屏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E42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0A2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345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P3.75 双色屏，屏幕显示尺寸：8512*304mm 含无线控制系统</w:t>
            </w:r>
          </w:p>
        </w:tc>
      </w:tr>
      <w:tr w14:paraId="33A8CAB8">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C77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E88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55寸落地式触控一体机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739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681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458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55寸二代立式电容触控信息发布屏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金属质感外观：纤薄机身，一体化设计，前置高透光钢化玻璃防护。</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画面细腻生动：采用工业级A+面板，自动彩色及图像增加引擎，显示效果出众。</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素材类型多样：包括图片、音频、视频、滚动字幕、PDF文档、网页、实时监控画面、叫号、弹图等。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节目编排灵活：支持多种素材自由排版、分区显示； 支持多种播放方式，按日、按周、轮播、自定义等。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终端集中管理：支持终端统一远程管理和控制，定时开关机设置、一键开关机、显示亮度/音量定时调节、播放画面截图预览等；支持网络远程下发节目和无网络本地（U盘）节目更新。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分级管理权限：支持5级组织管理素材、节目、终端、用户等资源；支持创建自定义用户，精确分配多种用户的权限，多种权限模板可选。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多重安全保障：素材、节目、日程三级审核，防误播误报，终端屏保密码功能，保障系统播出内容安全；数据存储、数据传输加密，防数据篡改； 客户自行激活设置初始密码，保障密码安全。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节目支持多个页面（至少支持32个组成，页面包括多个窗口至少支持16个，同一个页面中的窗口类型可以不一样），支持一个页面不同的窗口播放不同的素材同时可以添加时钟窗口、倒计时窗口，也可以添加节目单背景图</w:t>
            </w:r>
          </w:p>
          <w:p w14:paraId="5E7BF9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FF"/>
                <w:kern w:val="0"/>
                <w:sz w:val="24"/>
                <w:szCs w:val="24"/>
                <w:lang w:bidi="ar"/>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p>
          <w:p w14:paraId="48594F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eastAsia="zh-CN" w:bidi="ar"/>
                <w14:textFill>
                  <w14:solidFill>
                    <w14:schemeClr w14:val="tx1"/>
                  </w14:solidFill>
                </w14:textFill>
              </w:rPr>
              <w:t>（</w:t>
            </w:r>
            <w:r>
              <w:rPr>
                <w:rFonts w:hint="eastAsia" w:ascii="仿宋" w:hAnsi="仿宋" w:eastAsia="仿宋" w:cs="仿宋"/>
                <w:b/>
                <w:bCs/>
                <w:color w:val="000000" w:themeColor="text1"/>
                <w:kern w:val="0"/>
                <w:sz w:val="24"/>
                <w:szCs w:val="24"/>
                <w:lang w:bidi="ar"/>
                <w14:textFill>
                  <w14:solidFill>
                    <w14:schemeClr w14:val="tx1"/>
                  </w14:solidFill>
                </w14:textFill>
              </w:rPr>
              <w:t>提供具有CNAS及CMA标识的第三方检测报告</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扫描件并加盖CA签章）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显示尺寸：55 inch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物理分辨率：3840 × 2160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背光源类型：E-LED</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显示比例：16: 9</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屏前亮度：350nits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对比度：1200:1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刷新率：60 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响应时间：≤8 ms</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色域：68% NTSC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色深度：8 Bit (16.7million)</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可视角：178°(H)/178°(V)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连续使用时间：7 × 16 h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CPU：Cortex-A17 4核 主频最高达 1.8GHz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内存：2 GB</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内置存储：16 GB EMMC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操作系统：Android 7.1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触控点：电容触摸10点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音视频输入接口：HDMI IN × 1最大支持1080P数据传输</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音视频输出接口：LINE OUT支持</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网络接口：支持 10/100M 自适应以太网 ,内置 WiFi，支持热点分享,支持蓝牙 4.0,内置 PCI-E 接口 选配 3G/4G模块上网</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数据传输接口：USB 2.0×2, TF Card×1 ,SIM ×1</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喇叭：8Ω5W×2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输入电压：AC100V ~240V,50/60HZ</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功耗：≤120 W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工作温度：0-45℃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工作湿度：10-80%RH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存储温度：-20~60 ℃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 xml:space="preserve">存储湿度：10-80%RH </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安装类型：落地安装</w:t>
            </w:r>
          </w:p>
        </w:tc>
      </w:tr>
      <w:tr w14:paraId="2CEDB1A1">
        <w:tblPrEx>
          <w:shd w:val="clear" w:color="auto" w:fill="FFFFFF" w:themeFill="background1"/>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C46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E58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叫号器</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256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1B9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FBC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1.支持查看排队叫号呼叫记录信息，支持显示当前窗口取号数量、等候人数和当前呼叫号码信息。</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2.支持设置呼叫重复的次数和间隔时间，，支持办理完成后对当前号码进行评分和评价。</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3.支持通过设备进行呼叫下一位、重复呼叫、和顾客未到等，支持对当前用户进行窗口转移或进行指定呼叫功能。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4.配置≥四核处理器，≥1.8GHz主频；≥1GB内存，≥16GB存储内存，运行等同或优于Android 7.1版本操作系统。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5.配置≥10.1英寸IPS显示屏；≥1280×800分辨率。</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6.具有≥1个TF卡槽接口，≥1个USB 2.0接口，≥1个USB 3.0接口，≥1个RJ45网口，≥1个3.5 mm耳机插孔，≥1个HDMI接口，≥2*2W喇叭。</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7.支持连接WIFI、网线上网，支持蓝牙功能。</w:t>
            </w:r>
          </w:p>
        </w:tc>
      </w:tr>
      <w:tr w14:paraId="41E888C5">
        <w:tblPrEx>
          <w:shd w:val="clear" w:color="auto" w:fill="FFFFFF" w:themeFill="background1"/>
          <w:tblCellMar>
            <w:top w:w="0" w:type="dxa"/>
            <w:left w:w="108" w:type="dxa"/>
            <w:bottom w:w="0" w:type="dxa"/>
            <w:right w:w="108" w:type="dxa"/>
          </w:tblCellMar>
        </w:tblPrEx>
        <w:trPr>
          <w:trHeight w:val="526"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2B6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E13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安装辅材</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1F0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C13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B8F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含音响线、电源线等安装辅材。</w:t>
            </w:r>
          </w:p>
        </w:tc>
      </w:tr>
      <w:tr w14:paraId="326B9385">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FFD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六、计算机网络及安全</w:t>
            </w:r>
          </w:p>
        </w:tc>
      </w:tr>
      <w:tr w14:paraId="5BCBB108">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B04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0FB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24口交换机（公安网）</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007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704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92B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交换容量:336Gbps/3.36Tbps，包转发率:27Mpps/102Mpps。H3C S5130S-28P-EIL2以太网交换机主机，支持24个10/100/1000BASE-T电口，支持4个1000BASE-XSFP端口，支持AC</w:t>
            </w:r>
          </w:p>
        </w:tc>
      </w:tr>
      <w:tr w14:paraId="4D17DAAA">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E36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DFB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核心交换机（政务外网）</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ED7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B29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C25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2个万兆光口，24个千兆电口，机架式网管交换机。</w:t>
            </w:r>
          </w:p>
        </w:tc>
      </w:tr>
      <w:tr w14:paraId="76AAA0FA">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91B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875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24口交换机（政务外网）</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4CE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EDA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0E9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交换容量:336Gbps/3.36Tbps，包转发率:27Mpps/102Mpps。H3C S5130S-28P-EIL2以太网交换机主机，支持24个10/100/1000BASE-T电口，支持4个1000BASE-XSFP端口，支持AC</w:t>
            </w:r>
          </w:p>
        </w:tc>
      </w:tr>
      <w:tr w14:paraId="7D404DE1">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51F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655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24口POE交换机（设备网）</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16D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C06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3FF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交换容量:336Gbps/3.36Tbps，包转发:51Mpps/126MppsH3CS5130S-28P-HPWR-EI-ACL2以太网交换机主机，支持24个10/100/1000BASE-T PoE+电口(AC 370W),支持4个100/1000BASE-X SFP端口,支持4个GECombo口，支持AC</w:t>
            </w:r>
          </w:p>
        </w:tc>
      </w:tr>
      <w:tr w14:paraId="09F33A66">
        <w:tblPrEx>
          <w:tblCellMar>
            <w:top w:w="0" w:type="dxa"/>
            <w:left w:w="108" w:type="dxa"/>
            <w:bottom w:w="0" w:type="dxa"/>
            <w:right w:w="108" w:type="dxa"/>
          </w:tblCellMar>
        </w:tblPrEx>
        <w:trPr>
          <w:trHeight w:val="1959"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E55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EA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防火墙</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1AA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C88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nil"/>
              <w:right w:val="single" w:color="000000" w:sz="4" w:space="0"/>
            </w:tcBorders>
            <w:shd w:val="clear" w:color="auto" w:fill="FFFFFF" w:themeFill="background1"/>
            <w:vAlign w:val="center"/>
          </w:tcPr>
          <w:p w14:paraId="18B41F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防火墙设备主要规格:1.固化端口:16GE+4Combo+6千兆光+2万兆光+1独立管理口，接口插槽2个;2.三层吞吐量:16Gbps，并发连接数500W，每秒新建连接数(HTTP)9W，推荐带机量4000;3.自带SSLVPN用户授权数量15，IPSec隧道数3K;硬盘扩展插槽1个;4.2U，支持双电源(需单独配置)</w:t>
            </w:r>
          </w:p>
        </w:tc>
      </w:tr>
      <w:tr w14:paraId="14D7EF8D">
        <w:tblPrEx>
          <w:tblCellMar>
            <w:top w:w="0" w:type="dxa"/>
            <w:left w:w="108" w:type="dxa"/>
            <w:bottom w:w="0" w:type="dxa"/>
            <w:right w:w="108" w:type="dxa"/>
          </w:tblCellMar>
        </w:tblPrEx>
        <w:trPr>
          <w:trHeight w:val="50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393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802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千兆光模块</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B7B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B9B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9E2C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千兆SFP单模（10Km，1310nm，LC，DDM）</w:t>
            </w:r>
          </w:p>
        </w:tc>
      </w:tr>
      <w:tr w14:paraId="438BE8B3">
        <w:tblPrEx>
          <w:tblCellMar>
            <w:top w:w="0" w:type="dxa"/>
            <w:left w:w="108" w:type="dxa"/>
            <w:bottom w:w="0" w:type="dxa"/>
            <w:right w:w="108" w:type="dxa"/>
          </w:tblCellMar>
        </w:tblPrEx>
        <w:trPr>
          <w:trHeight w:val="42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0C6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七、其它</w:t>
            </w:r>
          </w:p>
        </w:tc>
      </w:tr>
      <w:tr w14:paraId="71CF5E77">
        <w:tblPrEx>
          <w:tblCellMar>
            <w:top w:w="0" w:type="dxa"/>
            <w:left w:w="108" w:type="dxa"/>
            <w:bottom w:w="0" w:type="dxa"/>
            <w:right w:w="108" w:type="dxa"/>
          </w:tblCellMar>
        </w:tblPrEx>
        <w:trPr>
          <w:trHeight w:val="427"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699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884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水晶头</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4F4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37</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FED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588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RJ45水晶头</w:t>
            </w:r>
          </w:p>
        </w:tc>
      </w:tr>
      <w:tr w14:paraId="170E5B4D">
        <w:tblPrEx>
          <w:tblCellMar>
            <w:top w:w="0" w:type="dxa"/>
            <w:left w:w="108" w:type="dxa"/>
            <w:bottom w:w="0" w:type="dxa"/>
            <w:right w:w="108" w:type="dxa"/>
          </w:tblCellMar>
        </w:tblPrEx>
        <w:trPr>
          <w:trHeight w:val="46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234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6B3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单口面板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69A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29</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FC7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F0D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国标86*86,单口，带弹簧门</w:t>
            </w:r>
          </w:p>
        </w:tc>
      </w:tr>
      <w:tr w14:paraId="18961051">
        <w:tblPrEx>
          <w:tblCellMar>
            <w:top w:w="0" w:type="dxa"/>
            <w:left w:w="108" w:type="dxa"/>
            <w:bottom w:w="0" w:type="dxa"/>
            <w:right w:w="108" w:type="dxa"/>
          </w:tblCellMar>
        </w:tblPrEx>
        <w:trPr>
          <w:trHeight w:val="461"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B17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BBD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双口面板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18C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73</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572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0F1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国标86*86,双口，带弹簧门</w:t>
            </w:r>
          </w:p>
        </w:tc>
      </w:tr>
      <w:tr w14:paraId="64D547CC">
        <w:tblPrEx>
          <w:tblCellMar>
            <w:top w:w="0" w:type="dxa"/>
            <w:left w:w="108" w:type="dxa"/>
            <w:bottom w:w="0" w:type="dxa"/>
            <w:right w:w="108" w:type="dxa"/>
          </w:tblCellMar>
        </w:tblPrEx>
        <w:trPr>
          <w:trHeight w:val="461"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659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6DD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地插</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BB5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106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个</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2DF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隐藏式地插，含强电插头和信息点</w:t>
            </w:r>
          </w:p>
        </w:tc>
      </w:tr>
      <w:tr w14:paraId="4273BCB1">
        <w:tblPrEx>
          <w:tblCellMar>
            <w:top w:w="0" w:type="dxa"/>
            <w:left w:w="108" w:type="dxa"/>
            <w:bottom w:w="0" w:type="dxa"/>
            <w:right w:w="108" w:type="dxa"/>
          </w:tblCellMar>
        </w:tblPrEx>
        <w:trPr>
          <w:trHeight w:val="473"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A24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27E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RJ45模块</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E4A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279</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350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599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满足TIA/EIA-568-B.2-1六类标准,IDC端接</w:t>
            </w:r>
          </w:p>
        </w:tc>
      </w:tr>
      <w:tr w14:paraId="2E63B522">
        <w:tblPrEx>
          <w:tblCellMar>
            <w:top w:w="0" w:type="dxa"/>
            <w:left w:w="108" w:type="dxa"/>
            <w:bottom w:w="0" w:type="dxa"/>
            <w:right w:w="108" w:type="dxa"/>
          </w:tblCellMar>
        </w:tblPrEx>
        <w:trPr>
          <w:trHeight w:val="5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48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9E9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2m跳线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040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279</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0EB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C9A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六类成品跳线2M，成品六类多股跳线，2米</w:t>
            </w:r>
          </w:p>
        </w:tc>
      </w:tr>
      <w:tr w14:paraId="3EC421E3">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3FD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2550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CAT6</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C48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18960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04F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EEF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CAT.6</w:t>
            </w:r>
          </w:p>
        </w:tc>
      </w:tr>
      <w:tr w14:paraId="25354255">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1F9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5A1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24口配线架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047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A83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B43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六类24口机架式模块化空板,需另配模块,满足或超过CAT6类标准。</w:t>
            </w:r>
          </w:p>
        </w:tc>
      </w:tr>
      <w:tr w14:paraId="45B002C6">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BFD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B75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RJ45模块（机房）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0DB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316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381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435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满足TIA/EIA-568-B.2-1六类标准,IDC端接</w:t>
            </w:r>
          </w:p>
        </w:tc>
      </w:tr>
      <w:tr w14:paraId="57A11DCC">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E16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1A9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理线架</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406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57D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EDF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1U理线架</w:t>
            </w:r>
          </w:p>
        </w:tc>
      </w:tr>
      <w:tr w14:paraId="705B03D8">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592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860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2m跳线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7ED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316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03DF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22D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六类成品跳线2M，成品六类多股跳线，2米</w:t>
            </w:r>
          </w:p>
        </w:tc>
      </w:tr>
      <w:tr w14:paraId="68391C0A">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EE1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7D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HDMI光纤跳线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BF3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712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5E6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20mHDMI光纤跳线</w:t>
            </w:r>
          </w:p>
        </w:tc>
      </w:tr>
      <w:tr w14:paraId="499C2DF4">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714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27C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HDMI光纤跳线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627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58B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854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60mHDMI光纤跳线</w:t>
            </w:r>
          </w:p>
        </w:tc>
      </w:tr>
      <w:tr w14:paraId="472E7F22">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E2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AEC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42U机柜</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1E7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1C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06C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利旧</w:t>
            </w:r>
          </w:p>
        </w:tc>
      </w:tr>
      <w:tr w14:paraId="7C7A47C2">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0FB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8F8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42U机柜</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981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D5F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3C7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42U标准机柜</w:t>
            </w:r>
          </w:p>
        </w:tc>
      </w:tr>
      <w:tr w14:paraId="26E9C5D8">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CE6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21F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20U机柜</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76B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B3E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套</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BAF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20U壁挂机柜</w:t>
            </w:r>
          </w:p>
        </w:tc>
      </w:tr>
      <w:tr w14:paraId="602C4033">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78A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412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热镀锌钢制槽式桥架 XQJ200*100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B12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E8F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441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热镀锌钢制槽式桥架 XQJ200*100 </w:t>
            </w:r>
          </w:p>
        </w:tc>
      </w:tr>
      <w:tr w14:paraId="70001DF3">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4D6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18</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0FA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静电地板（防静电机房）</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70FC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2C3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平米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8DE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定制</w:t>
            </w:r>
          </w:p>
        </w:tc>
      </w:tr>
      <w:tr w14:paraId="519B83F7">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078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19</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B2D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UPS主机</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143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F1B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920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高频在线式UPS主机，外型结构：塔式长效机，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额定容量：10000W/10000VA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额定输入电压：220Vac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输入电压范围：110~300Vac</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相数：单相两线(L,N)+保护地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输入频率范围：44～56Hz 或 54～66Hz（自适应）</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输入功率因数：满载≥0.99</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输出电压：208/220/230/240±1%(可预置)</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输出频率：50/60±6Hz(锁相跟随市电)  /  50/60Hz±0.1%(定频模式)</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输出波形：纯正弦波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输出失真度：≤3%(线性负载)；(THDV%)：≤5%(非线性负载)</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输出方式：输出接线排</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整机效率：市电模式 95%   电池模式 94.8%</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功率因数：1.0（默认）</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过载能力：额定负载102%-110%，市电模式30分钟，电池模式1分钟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额定负载112%-130%，市电模式1分钟，电池模式10秒钟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额定负载130%-150%，市电模式30秒钟，电池模式3秒钟</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额定负载&gt;150%      市电模式200毫秒，电池模式200毫秒</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电池电压：外置192~240V（16节/17节/18节/19节/20节可定制）</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后备时间：根据外置电池容量而定</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工作温度：-5℃～40℃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存储温度：-25℃～55℃(不含电池)</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相对湿度：0%～95%(无凝露)</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工作海拔：&lt;1500米，超过海拔高度时，按照国标GB/T 3859.2规定降额使用</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告警功能：电池低压、电池过压、市电异常、输出过载、输入零火线反相、过温警告以及其它异常现象等均在液晶显示屏有相应的警告显示，并且蜂鸣器发出相应的警告音。</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保护功能：电池欠压保护、过载保护、短路保护等均有相应的保护动作，并在液晶显示屏有相应的故障码显示。</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通信功能：通讯接口标配：RS232，（可选配USB、SNMP、干接点、EPO等)</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尺寸(W*D*H)：190×395×325 mm</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净重：9.9kg</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质保3年</w:t>
            </w:r>
          </w:p>
        </w:tc>
      </w:tr>
      <w:tr w14:paraId="611F5CCF">
        <w:tblPrEx>
          <w:shd w:val="clear" w:color="auto" w:fill="FFFFFF" w:themeFill="background1"/>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F22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20</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DB9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电池</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019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16</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A3D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节</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EE3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1、额定电压：12V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2、额定容量：100 AH</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3、设计浮充寿命：8-10年</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4、外观：无变形、漏液、裂纹及污迹；标识清晰。</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5、结构：正、负极端子有明显标志，便于连接。</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6、气密性：能承受50kPa的正压或负压而不破裂、不开胶，压力释放后壳体无残余变形。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7、大电流放电：以30I10A放电3min, 极柱不熔断、内部汇流排不熔断，外观不出现异常。</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8、容益保存率：静置28天后容呈保存率≥96%。</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9、密封反应效率：密封反应效率≥95%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10、防酸雾性能：对完全充电后的电池以0.2I10A 电流连续再充电4h，PH值应呈中性。</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11、安全阀要求：开阀压力：10-35kPa；闭阀压力：3-30kPa。</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12、耐过充电能力：完全充电后的电池以0.03C10连续充电160h, 无变形、无漏液。</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13、端电压均衡性：开路：最高与最低差值应≤100mV；设计浮充：进入设计浮充状态24h后端电压差≤480mV；放电：端电压差≤600mV。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14、电池间连接电压降：△U≤l0mV。</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15、防爆性能：充电过程中遇明火，内部不引燃、不引爆。</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16、封口剂性能：环境温度-30℃~+65℃之间，封口剂无裂纹与溢流现象。</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17、内阻：同组蓄电池内阻偏差为实测值。</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18、热失控敏感性：蓄电池温度≤60℃；每24h的电流增长率≤50%。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19、过度放电：容量恢复值≥90%。</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20、低温敏感性：10h率容量≥O.9C10；外观无破裂、过度膨胀及槽、盖分离现象。</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21、再充电性能：恒压充屯24h的再充电能力因素Rbr21h≥85%。</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22、容量一致性：同组蓄电池容量试验时，最大实际容量与最小实际容量差值≤5%。</w:t>
            </w:r>
          </w:p>
        </w:tc>
      </w:tr>
      <w:tr w14:paraId="0E643A35">
        <w:tblPrEx>
          <w:shd w:val="clear" w:color="auto" w:fill="FFFFFF" w:themeFill="background1"/>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F6E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21</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275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电池箱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2F6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B60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676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尺寸：780*470*1230，含6方电池线</w:t>
            </w:r>
          </w:p>
        </w:tc>
      </w:tr>
      <w:tr w14:paraId="734898DD">
        <w:tblPrEx>
          <w:tblCellMar>
            <w:top w:w="0" w:type="dxa"/>
            <w:left w:w="108" w:type="dxa"/>
            <w:bottom w:w="0" w:type="dxa"/>
            <w:right w:w="108" w:type="dxa"/>
          </w:tblCellMar>
        </w:tblPrEx>
        <w:trPr>
          <w:trHeight w:val="4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54F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22</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D1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弱电配电箱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49C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318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台</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D97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定制</w:t>
            </w:r>
          </w:p>
        </w:tc>
      </w:tr>
      <w:tr w14:paraId="05166BDA">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2E6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23</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A40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KBG管25</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FC6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2865</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593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米</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1EA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壁厚国标</w:t>
            </w:r>
          </w:p>
        </w:tc>
      </w:tr>
      <w:tr w14:paraId="298DEA40">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D38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24</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2D3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原智能化设备拆除，利旧智能化设备搬迁、安装、调试。</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699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D9C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4FE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定制</w:t>
            </w:r>
          </w:p>
        </w:tc>
      </w:tr>
      <w:tr w14:paraId="15D2A091">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32E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25</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4E0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政务网链路</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D7A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6A7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条</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971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100M一年VPN</w:t>
            </w:r>
          </w:p>
        </w:tc>
      </w:tr>
      <w:tr w14:paraId="16797549">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248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26</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52D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公安网链路</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C76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71E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条</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0CE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1000M一年VPN</w:t>
            </w:r>
          </w:p>
        </w:tc>
      </w:tr>
      <w:tr w14:paraId="62B0AA3F">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436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27</w:t>
            </w:r>
          </w:p>
        </w:tc>
        <w:tc>
          <w:tcPr>
            <w:tcW w:w="1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17B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辅材</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354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D09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w:t>
            </w:r>
          </w:p>
        </w:tc>
        <w:tc>
          <w:tcPr>
            <w:tcW w:w="57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618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含接线、水晶头、轧带等安装辅件。</w:t>
            </w:r>
          </w:p>
        </w:tc>
      </w:tr>
    </w:tbl>
    <w:p w14:paraId="381127B5">
      <w:pPr>
        <w:keepNext w:val="0"/>
        <w:keepLines w:val="0"/>
        <w:pageBreakBefore w:val="0"/>
        <w:widowControl w:val="0"/>
        <w:kinsoku/>
        <w:wordWrap/>
        <w:overflowPunct/>
        <w:topLinePunct w:val="0"/>
        <w:autoSpaceDE/>
        <w:autoSpaceDN/>
        <w:bidi w:val="0"/>
        <w:adjustRightInd/>
        <w:snapToGrid/>
        <w:spacing w:before="157" w:beforeLines="50" w:line="440" w:lineRule="exact"/>
        <w:ind w:firstLine="482"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2"/>
          <w:sz w:val="24"/>
          <w:szCs w:val="24"/>
          <w:lang w:val="en-US" w:eastAsia="zh-CN" w:bidi="ar-SA"/>
          <w14:textFill>
            <w14:solidFill>
              <w14:schemeClr w14:val="tx1"/>
            </w14:solidFill>
          </w14:textFill>
        </w:rPr>
        <w:t>注：本项目为交钥匙工程，如以上采购清单遗漏了完工必须具备的设备、材料、货物、配件或服务，请投标供应商在投标报价中自行配齐，并包含在投标总价中；中标供应商有义务保证本项目系统的完整性，如项目实施过程中因缺少设备、材料、货物、配件或服务导致本系统无法正常运行，中标供应商必须免费提供。</w:t>
      </w:r>
    </w:p>
    <w:p w14:paraId="06D5C72C">
      <w:pPr>
        <w:pStyle w:val="4"/>
        <w:keepNext/>
        <w:keepLines/>
        <w:pageBreakBefore w:val="0"/>
        <w:widowControl w:val="0"/>
        <w:kinsoku/>
        <w:wordWrap/>
        <w:overflowPunct/>
        <w:topLinePunct w:val="0"/>
        <w:autoSpaceDE/>
        <w:autoSpaceDN/>
        <w:bidi w:val="0"/>
        <w:adjustRightInd/>
        <w:snapToGrid/>
        <w:spacing w:before="313" w:beforeLines="100"/>
        <w:ind w:left="0" w:firstLine="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四、商务要求表</w:t>
      </w:r>
    </w:p>
    <w:tbl>
      <w:tblPr>
        <w:tblStyle w:val="80"/>
        <w:tblW w:w="950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952"/>
        <w:gridCol w:w="6644"/>
      </w:tblGrid>
      <w:tr w14:paraId="7956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1" w:type="dxa"/>
            <w:noWrap w:val="0"/>
            <w:vAlign w:val="center"/>
          </w:tcPr>
          <w:p w14:paraId="6403B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952" w:type="dxa"/>
            <w:noWrap w:val="0"/>
            <w:vAlign w:val="center"/>
          </w:tcPr>
          <w:p w14:paraId="1F4B6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内容</w:t>
            </w:r>
          </w:p>
        </w:tc>
        <w:tc>
          <w:tcPr>
            <w:tcW w:w="6644" w:type="dxa"/>
            <w:noWrap w:val="0"/>
            <w:vAlign w:val="center"/>
          </w:tcPr>
          <w:p w14:paraId="4B093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tc>
      </w:tr>
      <w:tr w14:paraId="547B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11" w:type="dxa"/>
            <w:noWrap w:val="0"/>
            <w:vAlign w:val="center"/>
          </w:tcPr>
          <w:p w14:paraId="65FA571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1</w:t>
            </w:r>
          </w:p>
        </w:tc>
        <w:tc>
          <w:tcPr>
            <w:tcW w:w="1952" w:type="dxa"/>
            <w:noWrap w:val="0"/>
            <w:vAlign w:val="center"/>
          </w:tcPr>
          <w:p w14:paraId="4C4EBD0E">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交货</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安装时间</w:t>
            </w:r>
          </w:p>
          <w:p w14:paraId="343B4F7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rPr>
              <w:t>及地点</w:t>
            </w:r>
          </w:p>
        </w:tc>
        <w:tc>
          <w:tcPr>
            <w:tcW w:w="6644" w:type="dxa"/>
            <w:noWrap w:val="0"/>
            <w:vAlign w:val="center"/>
          </w:tcPr>
          <w:p w14:paraId="11B8E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交货期：</w:t>
            </w:r>
            <w:r>
              <w:rPr>
                <w:rFonts w:hint="eastAsia" w:ascii="仿宋" w:hAnsi="仿宋" w:eastAsia="仿宋" w:cs="仿宋"/>
                <w:kern w:val="0"/>
                <w:sz w:val="24"/>
                <w:szCs w:val="24"/>
                <w:lang w:eastAsia="zh-CN"/>
              </w:rPr>
              <w:t>与土建施工同步</w:t>
            </w:r>
            <w:r>
              <w:rPr>
                <w:rFonts w:hint="eastAsia" w:ascii="仿宋" w:hAnsi="仿宋" w:eastAsia="仿宋" w:cs="仿宋"/>
                <w:kern w:val="0"/>
                <w:sz w:val="24"/>
                <w:szCs w:val="24"/>
              </w:rPr>
              <w:t>完成设备的交货、调试和验收。如在规定的时间内由于供应商的原因不能完成交货的，供应商应承担由此给采购</w:t>
            </w:r>
            <w:r>
              <w:rPr>
                <w:rFonts w:hint="eastAsia" w:ascii="仿宋" w:hAnsi="仿宋" w:eastAsia="仿宋" w:cs="仿宋"/>
                <w:kern w:val="0"/>
                <w:sz w:val="24"/>
                <w:szCs w:val="24"/>
                <w:lang w:eastAsia="zh-CN"/>
              </w:rPr>
              <w:t>人</w:t>
            </w:r>
            <w:r>
              <w:rPr>
                <w:rFonts w:hint="eastAsia" w:ascii="仿宋" w:hAnsi="仿宋" w:eastAsia="仿宋" w:cs="仿宋"/>
                <w:kern w:val="0"/>
                <w:sz w:val="24"/>
                <w:szCs w:val="24"/>
              </w:rPr>
              <w:t>造成的损失</w:t>
            </w:r>
            <w:r>
              <w:rPr>
                <w:rFonts w:hint="eastAsia" w:ascii="仿宋" w:hAnsi="仿宋" w:eastAsia="仿宋" w:cs="仿宋"/>
                <w:kern w:val="0"/>
                <w:sz w:val="24"/>
                <w:szCs w:val="24"/>
                <w:lang w:val="en-US" w:eastAsia="zh-CN"/>
              </w:rPr>
              <w:t>。</w:t>
            </w:r>
          </w:p>
          <w:p w14:paraId="0051D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交货地点：</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指定地点。</w:t>
            </w:r>
          </w:p>
        </w:tc>
      </w:tr>
      <w:tr w14:paraId="6D2B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911" w:type="dxa"/>
            <w:noWrap w:val="0"/>
            <w:vAlign w:val="center"/>
          </w:tcPr>
          <w:p w14:paraId="3A292F1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2</w:t>
            </w:r>
          </w:p>
        </w:tc>
        <w:tc>
          <w:tcPr>
            <w:tcW w:w="1952" w:type="dxa"/>
            <w:noWrap w:val="0"/>
            <w:vAlign w:val="center"/>
          </w:tcPr>
          <w:p w14:paraId="1522E87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安装调试</w:t>
            </w:r>
          </w:p>
        </w:tc>
        <w:tc>
          <w:tcPr>
            <w:tcW w:w="6644" w:type="dxa"/>
            <w:noWrap w:val="0"/>
            <w:vAlign w:val="center"/>
          </w:tcPr>
          <w:p w14:paraId="528381E4">
            <w:pPr>
              <w:keepNext w:val="0"/>
              <w:keepLines w:val="0"/>
              <w:numPr>
                <w:ilvl w:val="0"/>
                <w:numId w:val="0"/>
              </w:numPr>
              <w:suppressLineNumbers w:val="0"/>
              <w:spacing w:before="0" w:beforeAutospacing="0" w:after="0" w:afterAutospacing="0" w:line="276" w:lineRule="auto"/>
              <w:ind w:left="0" w:leftChars="0" w:right="0" w:rightChars="0"/>
              <w:jc w:val="both"/>
              <w:rPr>
                <w:rFonts w:hint="default" w:ascii="仿宋" w:hAnsi="仿宋" w:eastAsia="仿宋"/>
                <w:color w:val="auto"/>
                <w:sz w:val="24"/>
                <w:szCs w:val="20"/>
                <w:highlight w:val="none"/>
              </w:rPr>
            </w:pPr>
            <w:r>
              <w:rPr>
                <w:rFonts w:hint="eastAsia" w:ascii="仿宋" w:hAnsi="仿宋" w:eastAsia="仿宋"/>
                <w:color w:val="auto"/>
                <w:sz w:val="24"/>
                <w:szCs w:val="20"/>
                <w:highlight w:val="none"/>
                <w:lang w:eastAsia="zh-CN"/>
              </w:rPr>
              <w:t>（</w:t>
            </w:r>
            <w:r>
              <w:rPr>
                <w:rFonts w:hint="eastAsia" w:ascii="仿宋" w:hAnsi="仿宋" w:eastAsia="仿宋"/>
                <w:color w:val="auto"/>
                <w:sz w:val="24"/>
                <w:szCs w:val="20"/>
                <w:highlight w:val="none"/>
                <w:lang w:val="en-US" w:eastAsia="zh-CN"/>
              </w:rPr>
              <w:t>1）</w:t>
            </w:r>
            <w:r>
              <w:rPr>
                <w:rFonts w:hint="default" w:ascii="仿宋" w:hAnsi="仿宋" w:eastAsia="仿宋"/>
                <w:color w:val="auto"/>
                <w:sz w:val="24"/>
                <w:szCs w:val="20"/>
                <w:highlight w:val="none"/>
              </w:rPr>
              <w:t>标准：符合国家有关技术规范要求和技术标准，所有的软件和硬件必须保证同时安装到位。</w:t>
            </w:r>
          </w:p>
          <w:p w14:paraId="16A6AF68">
            <w:pPr>
              <w:keepNext w:val="0"/>
              <w:keepLines w:val="0"/>
              <w:numPr>
                <w:ilvl w:val="0"/>
                <w:numId w:val="0"/>
              </w:numPr>
              <w:suppressLineNumbers w:val="0"/>
              <w:spacing w:before="0" w:beforeAutospacing="0" w:after="0" w:afterAutospacing="0" w:line="276" w:lineRule="auto"/>
              <w:ind w:left="0" w:leftChars="0" w:right="0" w:rightChars="0"/>
              <w:jc w:val="both"/>
              <w:rPr>
                <w:rFonts w:hint="default" w:ascii="仿宋" w:hAnsi="仿宋" w:eastAsia="仿宋" w:cs="仿宋"/>
                <w:color w:val="auto"/>
                <w:sz w:val="24"/>
                <w:szCs w:val="24"/>
                <w:highlight w:val="none"/>
                <w:lang w:val="en-US" w:eastAsia="zh-CN"/>
              </w:rPr>
            </w:pPr>
            <w:r>
              <w:rPr>
                <w:rFonts w:hint="eastAsia" w:ascii="仿宋" w:hAnsi="仿宋" w:eastAsia="仿宋"/>
                <w:color w:val="auto"/>
                <w:sz w:val="24"/>
                <w:szCs w:val="20"/>
                <w:highlight w:val="none"/>
                <w:lang w:eastAsia="zh-CN"/>
              </w:rPr>
              <w:t>（</w:t>
            </w:r>
            <w:r>
              <w:rPr>
                <w:rFonts w:hint="eastAsia" w:ascii="仿宋" w:hAnsi="仿宋" w:eastAsia="仿宋"/>
                <w:color w:val="auto"/>
                <w:sz w:val="24"/>
                <w:szCs w:val="20"/>
                <w:highlight w:val="none"/>
                <w:lang w:val="en-US" w:eastAsia="zh-CN"/>
              </w:rPr>
              <w:t>2）</w:t>
            </w:r>
            <w:r>
              <w:rPr>
                <w:rFonts w:hint="default" w:ascii="仿宋" w:hAnsi="仿宋" w:eastAsia="仿宋"/>
                <w:color w:val="auto"/>
                <w:sz w:val="24"/>
                <w:szCs w:val="20"/>
                <w:highlight w:val="none"/>
              </w:rPr>
              <w:t>本项目所有</w:t>
            </w:r>
            <w:r>
              <w:rPr>
                <w:rFonts w:hint="eastAsia" w:ascii="仿宋" w:hAnsi="仿宋" w:eastAsia="仿宋"/>
                <w:color w:val="auto"/>
                <w:sz w:val="24"/>
                <w:szCs w:val="20"/>
                <w:highlight w:val="none"/>
              </w:rPr>
              <w:t>产品在安装调试过程中</w:t>
            </w:r>
            <w:r>
              <w:rPr>
                <w:rFonts w:hint="default" w:ascii="仿宋" w:hAnsi="仿宋" w:eastAsia="仿宋"/>
                <w:color w:val="auto"/>
                <w:sz w:val="24"/>
                <w:szCs w:val="20"/>
                <w:highlight w:val="none"/>
              </w:rPr>
              <w:t>涉及的所有工作及配件辅材均由中标</w:t>
            </w:r>
            <w:r>
              <w:rPr>
                <w:rFonts w:hint="eastAsia" w:ascii="仿宋" w:hAnsi="仿宋" w:eastAsia="仿宋"/>
                <w:color w:val="auto"/>
                <w:sz w:val="24"/>
                <w:szCs w:val="20"/>
                <w:highlight w:val="none"/>
              </w:rPr>
              <w:t>人</w:t>
            </w:r>
            <w:r>
              <w:rPr>
                <w:rFonts w:hint="default" w:ascii="仿宋" w:hAnsi="仿宋" w:eastAsia="仿宋"/>
                <w:color w:val="auto"/>
                <w:sz w:val="24"/>
                <w:szCs w:val="20"/>
                <w:highlight w:val="none"/>
              </w:rPr>
              <w:t>负责，</w:t>
            </w:r>
            <w:r>
              <w:rPr>
                <w:rFonts w:hint="eastAsia" w:ascii="仿宋" w:hAnsi="仿宋" w:eastAsia="仿宋"/>
                <w:color w:val="auto"/>
                <w:sz w:val="24"/>
                <w:szCs w:val="20"/>
                <w:highlight w:val="none"/>
              </w:rPr>
              <w:t>所需费用由投标人在报价时考虑</w:t>
            </w:r>
            <w:r>
              <w:rPr>
                <w:rFonts w:hint="default" w:ascii="仿宋" w:hAnsi="仿宋" w:eastAsia="仿宋"/>
                <w:color w:val="auto"/>
                <w:sz w:val="24"/>
                <w:szCs w:val="20"/>
                <w:highlight w:val="none"/>
              </w:rPr>
              <w:t>。</w:t>
            </w:r>
          </w:p>
        </w:tc>
      </w:tr>
      <w:tr w14:paraId="029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11" w:type="dxa"/>
            <w:noWrap w:val="0"/>
            <w:vAlign w:val="center"/>
          </w:tcPr>
          <w:p w14:paraId="2C3B965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3</w:t>
            </w:r>
          </w:p>
        </w:tc>
        <w:tc>
          <w:tcPr>
            <w:tcW w:w="1952" w:type="dxa"/>
            <w:noWrap w:val="0"/>
            <w:vAlign w:val="center"/>
          </w:tcPr>
          <w:p w14:paraId="27D0A0D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验收</w:t>
            </w:r>
          </w:p>
        </w:tc>
        <w:tc>
          <w:tcPr>
            <w:tcW w:w="6644" w:type="dxa"/>
            <w:noWrap w:val="0"/>
            <w:vAlign w:val="center"/>
          </w:tcPr>
          <w:p w14:paraId="41F3A8B4">
            <w:pPr>
              <w:keepNext w:val="0"/>
              <w:keepLines w:val="0"/>
              <w:suppressLineNumbers w:val="0"/>
              <w:spacing w:before="0" w:beforeAutospacing="0" w:after="0" w:afterAutospacing="0" w:line="276" w:lineRule="auto"/>
              <w:ind w:left="0" w:right="0"/>
              <w:rPr>
                <w:rFonts w:hint="default" w:ascii="仿宋" w:hAnsi="仿宋" w:eastAsia="仿宋"/>
                <w:bCs/>
                <w:color w:val="auto"/>
                <w:sz w:val="24"/>
                <w:szCs w:val="20"/>
                <w:highlight w:val="none"/>
              </w:rPr>
            </w:pPr>
            <w:r>
              <w:rPr>
                <w:rFonts w:hint="eastAsia" w:ascii="仿宋" w:hAnsi="仿宋" w:eastAsia="仿宋"/>
                <w:bCs/>
                <w:color w:val="auto"/>
                <w:sz w:val="24"/>
                <w:szCs w:val="20"/>
                <w:highlight w:val="none"/>
                <w:lang w:val="en-US" w:eastAsia="zh-CN"/>
              </w:rPr>
              <w:t>（1）</w:t>
            </w:r>
            <w:r>
              <w:rPr>
                <w:rFonts w:hint="eastAsia" w:ascii="仿宋" w:hAnsi="仿宋" w:eastAsia="仿宋"/>
                <w:bCs/>
                <w:color w:val="auto"/>
                <w:sz w:val="24"/>
                <w:szCs w:val="20"/>
                <w:highlight w:val="none"/>
              </w:rPr>
              <w:t>本项目验收工作由采购人</w:t>
            </w:r>
            <w:r>
              <w:rPr>
                <w:rFonts w:hint="eastAsia" w:ascii="仿宋" w:hAnsi="仿宋" w:eastAsia="仿宋"/>
                <w:bCs/>
                <w:color w:val="auto"/>
                <w:sz w:val="24"/>
                <w:szCs w:val="20"/>
                <w:highlight w:val="none"/>
                <w:lang w:eastAsia="zh-CN"/>
              </w:rPr>
              <w:t>或委托单位</w:t>
            </w:r>
            <w:r>
              <w:rPr>
                <w:rFonts w:hint="eastAsia" w:ascii="仿宋" w:hAnsi="仿宋" w:eastAsia="仿宋"/>
                <w:bCs/>
                <w:color w:val="auto"/>
                <w:sz w:val="24"/>
                <w:szCs w:val="20"/>
                <w:highlight w:val="none"/>
              </w:rPr>
              <w:t>组织实施，验收工作在</w:t>
            </w:r>
            <w:r>
              <w:rPr>
                <w:rFonts w:hint="eastAsia" w:ascii="仿宋" w:hAnsi="仿宋" w:eastAsia="仿宋"/>
                <w:bCs/>
                <w:color w:val="auto"/>
                <w:sz w:val="24"/>
                <w:szCs w:val="20"/>
                <w:highlight w:val="none"/>
                <w:lang w:eastAsia="zh-CN"/>
              </w:rPr>
              <w:t>中标人</w:t>
            </w:r>
            <w:r>
              <w:rPr>
                <w:rFonts w:hint="eastAsia" w:ascii="仿宋" w:hAnsi="仿宋" w:eastAsia="仿宋"/>
                <w:bCs/>
                <w:color w:val="auto"/>
                <w:sz w:val="24"/>
                <w:szCs w:val="20"/>
                <w:highlight w:val="none"/>
              </w:rPr>
              <w:t>项目实施完毕，经自验合格，提交验收申请后5个工作日内启动。</w:t>
            </w:r>
          </w:p>
          <w:p w14:paraId="41BCA5C6">
            <w:pPr>
              <w:keepNext w:val="0"/>
              <w:keepLines w:val="0"/>
              <w:suppressLineNumbers w:val="0"/>
              <w:spacing w:before="0" w:beforeAutospacing="0" w:after="0" w:afterAutospacing="0" w:line="276" w:lineRule="auto"/>
              <w:ind w:left="0" w:right="0"/>
              <w:rPr>
                <w:rFonts w:hint="default" w:ascii="仿宋" w:hAnsi="仿宋" w:eastAsia="仿宋"/>
                <w:bCs/>
                <w:color w:val="auto"/>
                <w:sz w:val="24"/>
                <w:szCs w:val="20"/>
                <w:highlight w:val="none"/>
              </w:rPr>
            </w:pPr>
            <w:r>
              <w:rPr>
                <w:rFonts w:hint="eastAsia" w:ascii="仿宋" w:hAnsi="仿宋" w:eastAsia="仿宋"/>
                <w:bCs/>
                <w:color w:val="auto"/>
                <w:sz w:val="24"/>
                <w:szCs w:val="20"/>
                <w:highlight w:val="none"/>
                <w:lang w:val="en-US" w:eastAsia="zh-CN"/>
              </w:rPr>
              <w:t>（2）</w:t>
            </w:r>
            <w:r>
              <w:rPr>
                <w:rFonts w:hint="eastAsia" w:ascii="仿宋" w:hAnsi="仿宋" w:eastAsia="仿宋"/>
                <w:bCs/>
                <w:color w:val="auto"/>
                <w:sz w:val="24"/>
                <w:szCs w:val="20"/>
                <w:highlight w:val="none"/>
              </w:rPr>
              <w:t>验收符合质量要求，验收合格。</w:t>
            </w:r>
          </w:p>
          <w:p w14:paraId="69189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bCs/>
                <w:color w:val="auto"/>
                <w:sz w:val="24"/>
                <w:szCs w:val="20"/>
                <w:highlight w:val="none"/>
                <w:lang w:val="en-US" w:eastAsia="zh-CN"/>
              </w:rPr>
            </w:pPr>
            <w:r>
              <w:rPr>
                <w:rFonts w:hint="eastAsia" w:ascii="仿宋" w:hAnsi="仿宋" w:eastAsia="仿宋"/>
                <w:bCs/>
                <w:color w:val="auto"/>
                <w:sz w:val="24"/>
                <w:szCs w:val="20"/>
                <w:highlight w:val="none"/>
                <w:lang w:val="en-US" w:eastAsia="zh-CN"/>
              </w:rPr>
              <w:t>（3）验收方式：安装完毕，根据采购人需要，可以委托国家认可的专业检测机构进行检测，费用由中标单位承担。</w:t>
            </w:r>
          </w:p>
          <w:p w14:paraId="0D32F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bCs/>
                <w:color w:val="auto"/>
                <w:sz w:val="24"/>
                <w:szCs w:val="20"/>
                <w:highlight w:val="none"/>
                <w:lang w:val="en-US" w:eastAsia="zh-CN"/>
              </w:rPr>
            </w:pPr>
            <w:r>
              <w:rPr>
                <w:rFonts w:hint="eastAsia" w:ascii="仿宋" w:hAnsi="仿宋" w:eastAsia="仿宋"/>
                <w:bCs/>
                <w:color w:val="auto"/>
                <w:sz w:val="24"/>
                <w:szCs w:val="20"/>
                <w:highlight w:val="none"/>
                <w:lang w:val="en-US" w:eastAsia="zh-CN"/>
              </w:rPr>
              <w:t>（4）验收条件及标准：设备技术参数与技术标书一致，性能指标达到或超过规定的标准。技术规范要求中提到的技术资料、工具、备件等已经按规定的数量移交完毕。</w:t>
            </w:r>
          </w:p>
          <w:p w14:paraId="3061E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bCs/>
                <w:color w:val="auto"/>
                <w:sz w:val="24"/>
                <w:szCs w:val="20"/>
                <w:highlight w:val="none"/>
                <w:lang w:val="en-US" w:eastAsia="zh-CN"/>
              </w:rPr>
              <w:t>（5）如第一次验收未合格，中标人应找出原因进行更正，中标人应承担由此而产生的全部费用。如第二次验收仍不能符合合格条件，采购人可拒绝接受全部货物，中标人负责赔偿一切损失。</w:t>
            </w:r>
          </w:p>
        </w:tc>
      </w:tr>
      <w:tr w14:paraId="5A5F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11" w:type="dxa"/>
            <w:noWrap w:val="0"/>
            <w:vAlign w:val="center"/>
          </w:tcPr>
          <w:p w14:paraId="751E96A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4</w:t>
            </w:r>
          </w:p>
        </w:tc>
        <w:tc>
          <w:tcPr>
            <w:tcW w:w="1952" w:type="dxa"/>
            <w:noWrap w:val="0"/>
            <w:vAlign w:val="center"/>
          </w:tcPr>
          <w:p w14:paraId="34DF420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Arial"/>
                <w:b w:val="0"/>
                <w:bCs w:val="0"/>
                <w:color w:val="auto"/>
                <w:sz w:val="24"/>
                <w:szCs w:val="20"/>
                <w:highlight w:val="none"/>
              </w:rPr>
              <w:t>质量要求</w:t>
            </w:r>
          </w:p>
        </w:tc>
        <w:tc>
          <w:tcPr>
            <w:tcW w:w="6644" w:type="dxa"/>
            <w:noWrap w:val="0"/>
            <w:vAlign w:val="center"/>
          </w:tcPr>
          <w:p w14:paraId="2FD77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Arial"/>
                <w:b w:val="0"/>
                <w:bCs/>
                <w:color w:val="auto"/>
                <w:sz w:val="24"/>
                <w:szCs w:val="20"/>
                <w:highlight w:val="none"/>
              </w:rPr>
              <w:t>合格</w:t>
            </w:r>
            <w:r>
              <w:rPr>
                <w:rFonts w:hint="eastAsia" w:ascii="仿宋" w:hAnsi="仿宋" w:eastAsia="仿宋" w:cs="Arial"/>
                <w:color w:val="auto"/>
                <w:sz w:val="24"/>
                <w:szCs w:val="20"/>
                <w:highlight w:val="none"/>
              </w:rPr>
              <w:t>（符合投标承诺以及</w:t>
            </w:r>
            <w:r>
              <w:rPr>
                <w:rFonts w:hint="default" w:ascii="仿宋" w:hAnsi="仿宋" w:eastAsia="仿宋" w:cs="Arial"/>
                <w:color w:val="auto"/>
                <w:sz w:val="24"/>
                <w:szCs w:val="20"/>
                <w:highlight w:val="none"/>
              </w:rPr>
              <w:t>国家</w:t>
            </w:r>
            <w:r>
              <w:rPr>
                <w:rFonts w:hint="eastAsia" w:ascii="仿宋" w:hAnsi="仿宋" w:eastAsia="仿宋" w:cs="Arial"/>
                <w:color w:val="auto"/>
                <w:sz w:val="24"/>
                <w:szCs w:val="20"/>
                <w:highlight w:val="none"/>
              </w:rPr>
              <w:t>、行业</w:t>
            </w:r>
            <w:r>
              <w:rPr>
                <w:rFonts w:hint="default" w:ascii="仿宋" w:hAnsi="仿宋" w:eastAsia="仿宋" w:cs="Arial"/>
                <w:color w:val="auto"/>
                <w:sz w:val="24"/>
                <w:szCs w:val="20"/>
                <w:highlight w:val="none"/>
              </w:rPr>
              <w:t>有关技术规范和标准</w:t>
            </w:r>
            <w:r>
              <w:rPr>
                <w:rFonts w:hint="eastAsia" w:ascii="仿宋" w:hAnsi="仿宋" w:eastAsia="仿宋" w:cs="Arial"/>
                <w:color w:val="auto"/>
                <w:sz w:val="24"/>
                <w:szCs w:val="20"/>
                <w:highlight w:val="none"/>
              </w:rPr>
              <w:t>）</w:t>
            </w:r>
          </w:p>
        </w:tc>
      </w:tr>
      <w:tr w14:paraId="0731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11" w:type="dxa"/>
            <w:noWrap w:val="0"/>
            <w:vAlign w:val="center"/>
          </w:tcPr>
          <w:p w14:paraId="7DBC0A4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5</w:t>
            </w:r>
          </w:p>
        </w:tc>
        <w:tc>
          <w:tcPr>
            <w:tcW w:w="1952" w:type="dxa"/>
            <w:noWrap w:val="0"/>
            <w:vAlign w:val="center"/>
          </w:tcPr>
          <w:p w14:paraId="632E15E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Arial"/>
                <w:color w:val="auto"/>
                <w:sz w:val="24"/>
                <w:szCs w:val="20"/>
                <w:highlight w:val="none"/>
                <w:lang w:eastAsia="zh-CN"/>
              </w:rPr>
              <w:t>技术培训</w:t>
            </w:r>
          </w:p>
        </w:tc>
        <w:tc>
          <w:tcPr>
            <w:tcW w:w="6644" w:type="dxa"/>
            <w:noWrap w:val="0"/>
            <w:vAlign w:val="center"/>
          </w:tcPr>
          <w:p w14:paraId="56027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免费为采购使用单位的维修人员提供现场培训，使受培训人员至少达到以下水平：掌握一般运行原理、使用方法、紧急救援及日常维护等常用技能。</w:t>
            </w:r>
            <w:r>
              <w:rPr>
                <w:rFonts w:hint="default" w:ascii="仿宋" w:hAnsi="仿宋" w:eastAsia="仿宋" w:cs="Arial"/>
                <w:color w:val="auto"/>
                <w:sz w:val="24"/>
                <w:szCs w:val="20"/>
                <w:highlight w:val="none"/>
              </w:rPr>
              <w:t>培训涉及的所有费用由中标人承担。</w:t>
            </w:r>
            <w:r>
              <w:rPr>
                <w:rFonts w:hint="eastAsia" w:ascii="仿宋" w:hAnsi="仿宋" w:eastAsia="仿宋" w:cs="Arial"/>
                <w:b w:val="0"/>
                <w:bCs/>
                <w:color w:val="auto"/>
                <w:sz w:val="24"/>
                <w:szCs w:val="20"/>
                <w:highlight w:val="none"/>
              </w:rPr>
              <w:t>具体培训方案请在投标文件中明确说明。</w:t>
            </w:r>
          </w:p>
        </w:tc>
      </w:tr>
      <w:tr w14:paraId="58DF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11" w:type="dxa"/>
            <w:noWrap w:val="0"/>
            <w:vAlign w:val="center"/>
          </w:tcPr>
          <w:p w14:paraId="1C286510">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6</w:t>
            </w:r>
          </w:p>
        </w:tc>
        <w:tc>
          <w:tcPr>
            <w:tcW w:w="1952" w:type="dxa"/>
            <w:noWrap w:val="0"/>
            <w:vAlign w:val="center"/>
          </w:tcPr>
          <w:p w14:paraId="04DAC374">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kern w:val="0"/>
                <w:sz w:val="24"/>
                <w:szCs w:val="24"/>
              </w:rPr>
              <w:t>付款</w:t>
            </w:r>
            <w:r>
              <w:rPr>
                <w:rFonts w:hint="eastAsia" w:ascii="仿宋" w:hAnsi="仿宋" w:eastAsia="仿宋" w:cs="仿宋"/>
                <w:kern w:val="0"/>
                <w:sz w:val="24"/>
                <w:szCs w:val="24"/>
                <w:lang w:val="en-US" w:eastAsia="zh-CN"/>
              </w:rPr>
              <w:t>方式</w:t>
            </w:r>
          </w:p>
        </w:tc>
        <w:tc>
          <w:tcPr>
            <w:tcW w:w="6644" w:type="dxa"/>
            <w:noWrap w:val="0"/>
            <w:vAlign w:val="center"/>
          </w:tcPr>
          <w:p w14:paraId="6D5AE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（1）全部项目安装调试完成并经验收合格后支付合同价的70%，经有资质的第三方机构审计后支付至审定价的98.5%，余款在质保期满后10日内付清。</w:t>
            </w:r>
          </w:p>
          <w:p w14:paraId="2293B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每次结算前</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均须提供</w:t>
            </w:r>
            <w:r>
              <w:rPr>
                <w:rFonts w:hint="eastAsia" w:ascii="仿宋" w:hAnsi="仿宋" w:eastAsia="仿宋" w:cs="仿宋"/>
                <w:bCs/>
                <w:color w:val="auto"/>
                <w:sz w:val="24"/>
                <w:szCs w:val="24"/>
                <w:highlight w:val="none"/>
                <w:lang w:eastAsia="zh-CN"/>
              </w:rPr>
              <w:t>采购人认可的</w:t>
            </w:r>
            <w:r>
              <w:rPr>
                <w:rFonts w:hint="eastAsia" w:ascii="仿宋" w:hAnsi="仿宋" w:eastAsia="仿宋" w:cs="仿宋"/>
                <w:bCs/>
                <w:color w:val="auto"/>
                <w:sz w:val="24"/>
                <w:szCs w:val="24"/>
                <w:highlight w:val="none"/>
              </w:rPr>
              <w:t>正</w:t>
            </w:r>
            <w:r>
              <w:rPr>
                <w:rFonts w:hint="eastAsia" w:ascii="仿宋" w:hAnsi="仿宋" w:eastAsia="仿宋" w:cs="仿宋"/>
                <w:bCs/>
                <w:color w:val="auto"/>
                <w:sz w:val="24"/>
                <w:szCs w:val="24"/>
                <w:highlight w:val="none"/>
                <w:lang w:eastAsia="zh-CN"/>
              </w:rPr>
              <w:t>规</w:t>
            </w:r>
            <w:r>
              <w:rPr>
                <w:rFonts w:hint="eastAsia" w:ascii="仿宋" w:hAnsi="仿宋" w:eastAsia="仿宋" w:cs="仿宋"/>
                <w:bCs/>
                <w:color w:val="auto"/>
                <w:sz w:val="24"/>
                <w:szCs w:val="24"/>
                <w:highlight w:val="none"/>
              </w:rPr>
              <w:t>发票。</w:t>
            </w:r>
          </w:p>
        </w:tc>
      </w:tr>
      <w:tr w14:paraId="4AF3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11" w:type="dxa"/>
            <w:noWrap w:val="0"/>
            <w:vAlign w:val="center"/>
          </w:tcPr>
          <w:p w14:paraId="430722C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7</w:t>
            </w:r>
          </w:p>
        </w:tc>
        <w:tc>
          <w:tcPr>
            <w:tcW w:w="1952" w:type="dxa"/>
            <w:noWrap w:val="0"/>
            <w:vAlign w:val="center"/>
          </w:tcPr>
          <w:p w14:paraId="78E67E6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zh-CN" w:eastAsia="zh-CN"/>
              </w:rPr>
              <w:t>履约保证金</w:t>
            </w:r>
          </w:p>
        </w:tc>
        <w:tc>
          <w:tcPr>
            <w:tcW w:w="6644" w:type="dxa"/>
            <w:noWrap w:val="0"/>
            <w:vAlign w:val="center"/>
          </w:tcPr>
          <w:p w14:paraId="2FE55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中标人向采购人缴纳合同价的1%作为履约保证金，验收合格后无质量问题15个工作日内无息退还。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履约保证金支付方式：保函、网上银行、电汇、汇票或转</w:t>
            </w:r>
            <w:r>
              <w:rPr>
                <w:rFonts w:hint="eastAsia" w:ascii="仿宋" w:hAnsi="仿宋" w:eastAsia="仿宋" w:cs="仿宋"/>
                <w:color w:val="auto"/>
                <w:kern w:val="0"/>
                <w:sz w:val="24"/>
                <w:szCs w:val="24"/>
                <w:highlight w:val="none"/>
                <w:lang w:eastAsia="zh-CN"/>
              </w:rPr>
              <w:t>账</w:t>
            </w:r>
            <w:r>
              <w:rPr>
                <w:rFonts w:hint="eastAsia" w:ascii="仿宋" w:hAnsi="仿宋" w:eastAsia="仿宋" w:cs="仿宋"/>
                <w:color w:val="auto"/>
                <w:kern w:val="0"/>
                <w:sz w:val="24"/>
                <w:szCs w:val="24"/>
                <w:highlight w:val="none"/>
              </w:rPr>
              <w:t>形式。</w:t>
            </w:r>
            <w:r>
              <w:rPr>
                <w:rFonts w:hint="eastAsia" w:ascii="仿宋" w:hAnsi="仿宋" w:eastAsia="仿宋" w:cs="仿宋"/>
                <w:color w:val="auto"/>
                <w:kern w:val="0"/>
                <w:sz w:val="24"/>
                <w:szCs w:val="24"/>
                <w:highlight w:val="none"/>
                <w:lang w:eastAsia="zh-CN"/>
              </w:rPr>
              <w:t>）</w:t>
            </w:r>
          </w:p>
        </w:tc>
      </w:tr>
      <w:tr w14:paraId="7BEB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1" w:type="dxa"/>
            <w:noWrap w:val="0"/>
            <w:vAlign w:val="center"/>
          </w:tcPr>
          <w:p w14:paraId="233B7A4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8</w:t>
            </w:r>
          </w:p>
        </w:tc>
        <w:tc>
          <w:tcPr>
            <w:tcW w:w="1952" w:type="dxa"/>
            <w:noWrap w:val="0"/>
            <w:vAlign w:val="center"/>
          </w:tcPr>
          <w:p w14:paraId="6402B7A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质保期</w:t>
            </w:r>
          </w:p>
        </w:tc>
        <w:tc>
          <w:tcPr>
            <w:tcW w:w="6644" w:type="dxa"/>
            <w:noWrap w:val="0"/>
            <w:vAlign w:val="center"/>
          </w:tcPr>
          <w:p w14:paraId="35DAB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rPr>
              <w:t>本项目质保期为3年（自验收合格之日起计）。</w:t>
            </w:r>
          </w:p>
        </w:tc>
      </w:tr>
      <w:tr w14:paraId="757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3" w:hRule="atLeast"/>
        </w:trPr>
        <w:tc>
          <w:tcPr>
            <w:tcW w:w="911" w:type="dxa"/>
            <w:noWrap w:val="0"/>
            <w:vAlign w:val="center"/>
          </w:tcPr>
          <w:p w14:paraId="719074A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8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952" w:type="dxa"/>
            <w:noWrap w:val="0"/>
            <w:vAlign w:val="center"/>
          </w:tcPr>
          <w:p w14:paraId="60B637E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8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售后服务</w:t>
            </w:r>
          </w:p>
        </w:tc>
        <w:tc>
          <w:tcPr>
            <w:tcW w:w="6644" w:type="dxa"/>
            <w:noWrap w:val="0"/>
            <w:vAlign w:val="top"/>
          </w:tcPr>
          <w:p w14:paraId="30E9A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质保期内</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提供7×24小时现场技术服务，并提供充足的备品备件，满足日常维修需求</w:t>
            </w:r>
            <w:r>
              <w:rPr>
                <w:rFonts w:hint="eastAsia" w:ascii="仿宋" w:hAnsi="仿宋" w:eastAsia="仿宋" w:cs="仿宋"/>
                <w:bCs/>
                <w:color w:val="auto"/>
                <w:sz w:val="24"/>
                <w:szCs w:val="24"/>
                <w:highlight w:val="none"/>
                <w:lang w:eastAsia="zh-CN"/>
              </w:rPr>
              <w:t>。</w:t>
            </w:r>
          </w:p>
          <w:p w14:paraId="1303B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default" w:ascii="仿宋" w:hAnsi="仿宋" w:eastAsia="仿宋"/>
                <w:color w:val="auto"/>
                <w:sz w:val="24"/>
                <w:szCs w:val="20"/>
                <w:highlight w:val="none"/>
              </w:rPr>
              <w:t>质保期内因</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本身缺陷造成各种故障应由</w:t>
            </w:r>
            <w:r>
              <w:rPr>
                <w:rFonts w:hint="eastAsia" w:ascii="仿宋" w:hAnsi="仿宋" w:eastAsia="仿宋"/>
                <w:bCs/>
                <w:color w:val="auto"/>
                <w:sz w:val="24"/>
                <w:szCs w:val="20"/>
                <w:highlight w:val="none"/>
                <w:lang w:eastAsia="zh-CN"/>
              </w:rPr>
              <w:t>中标人</w:t>
            </w:r>
            <w:r>
              <w:rPr>
                <w:rFonts w:hint="default" w:ascii="仿宋" w:hAnsi="仿宋" w:eastAsia="仿宋"/>
                <w:color w:val="auto"/>
                <w:sz w:val="24"/>
                <w:szCs w:val="20"/>
                <w:highlight w:val="none"/>
              </w:rPr>
              <w:t>免费维修，并在《投标文件》中说明在保质期内提供的服务计划。</w:t>
            </w:r>
            <w:r>
              <w:rPr>
                <w:rFonts w:hint="eastAsia" w:ascii="仿宋" w:hAnsi="仿宋" w:eastAsia="仿宋"/>
                <w:color w:val="auto"/>
                <w:sz w:val="24"/>
                <w:szCs w:val="20"/>
                <w:highlight w:val="none"/>
                <w:lang w:eastAsia="zh-CN"/>
              </w:rPr>
              <w:t>如</w:t>
            </w:r>
            <w:r>
              <w:rPr>
                <w:rFonts w:hint="default" w:ascii="仿宋" w:hAnsi="仿宋" w:eastAsia="仿宋"/>
                <w:color w:val="auto"/>
                <w:sz w:val="24"/>
                <w:szCs w:val="20"/>
                <w:highlight w:val="none"/>
              </w:rPr>
              <w:t>质保期内因不能排除的故障而影响工作的情况每发生一次，其质保期相应延长60天，质保期内因货物本身缺陷造成各种故障应由</w:t>
            </w:r>
            <w:r>
              <w:rPr>
                <w:rFonts w:hint="eastAsia" w:ascii="仿宋" w:hAnsi="仿宋" w:eastAsia="仿宋"/>
                <w:color w:val="auto"/>
                <w:sz w:val="24"/>
                <w:szCs w:val="20"/>
                <w:highlight w:val="none"/>
                <w:lang w:eastAsia="zh-CN"/>
              </w:rPr>
              <w:t>中标</w:t>
            </w:r>
            <w:r>
              <w:rPr>
                <w:rFonts w:hint="default" w:ascii="仿宋" w:hAnsi="仿宋" w:eastAsia="仿宋"/>
                <w:color w:val="auto"/>
                <w:sz w:val="24"/>
                <w:szCs w:val="20"/>
                <w:highlight w:val="none"/>
              </w:rPr>
              <w:t>人免费予以更换。在</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整个使用期内，</w:t>
            </w:r>
            <w:r>
              <w:rPr>
                <w:rFonts w:hint="eastAsia" w:ascii="仿宋" w:hAnsi="仿宋" w:eastAsia="仿宋"/>
                <w:bCs/>
                <w:color w:val="auto"/>
                <w:sz w:val="24"/>
                <w:szCs w:val="20"/>
                <w:highlight w:val="none"/>
                <w:lang w:eastAsia="zh-CN"/>
              </w:rPr>
              <w:t>中标人</w:t>
            </w:r>
            <w:r>
              <w:rPr>
                <w:rFonts w:hint="default" w:ascii="仿宋" w:hAnsi="仿宋" w:eastAsia="仿宋"/>
                <w:color w:val="auto"/>
                <w:sz w:val="24"/>
                <w:szCs w:val="20"/>
                <w:highlight w:val="none"/>
              </w:rPr>
              <w:t>应确保</w:t>
            </w:r>
            <w:r>
              <w:rPr>
                <w:rFonts w:hint="eastAsia" w:ascii="仿宋" w:hAnsi="仿宋" w:eastAsia="仿宋"/>
                <w:color w:val="auto"/>
                <w:sz w:val="24"/>
                <w:szCs w:val="20"/>
                <w:highlight w:val="none"/>
              </w:rPr>
              <w:t>货物</w:t>
            </w:r>
            <w:r>
              <w:rPr>
                <w:rFonts w:hint="default" w:ascii="仿宋" w:hAnsi="仿宋" w:eastAsia="仿宋"/>
                <w:color w:val="auto"/>
                <w:sz w:val="24"/>
                <w:szCs w:val="20"/>
                <w:highlight w:val="none"/>
              </w:rPr>
              <w:t>的正常使用。在接到</w:t>
            </w:r>
            <w:r>
              <w:rPr>
                <w:rFonts w:hint="eastAsia" w:ascii="仿宋" w:hAnsi="仿宋" w:eastAsia="仿宋"/>
                <w:color w:val="auto"/>
                <w:sz w:val="24"/>
                <w:szCs w:val="20"/>
                <w:highlight w:val="none"/>
              </w:rPr>
              <w:t>采购人</w:t>
            </w:r>
            <w:r>
              <w:rPr>
                <w:rFonts w:hint="default" w:ascii="仿宋" w:hAnsi="仿宋" w:eastAsia="仿宋"/>
                <w:color w:val="auto"/>
                <w:sz w:val="24"/>
                <w:szCs w:val="20"/>
                <w:highlight w:val="none"/>
              </w:rPr>
              <w:t>维修要求后</w:t>
            </w:r>
            <w:r>
              <w:rPr>
                <w:rFonts w:hint="eastAsia" w:ascii="仿宋" w:hAnsi="仿宋" w:eastAsia="仿宋"/>
                <w:b w:val="0"/>
                <w:bCs/>
                <w:i w:val="0"/>
                <w:iCs/>
                <w:color w:val="auto"/>
                <w:sz w:val="24"/>
                <w:szCs w:val="20"/>
                <w:highlight w:val="none"/>
                <w:u w:val="none"/>
              </w:rPr>
              <w:t>30分钟</w:t>
            </w:r>
            <w:r>
              <w:rPr>
                <w:rFonts w:hint="default" w:ascii="仿宋" w:hAnsi="仿宋" w:eastAsia="仿宋"/>
                <w:color w:val="auto"/>
                <w:sz w:val="24"/>
                <w:szCs w:val="20"/>
                <w:highlight w:val="none"/>
              </w:rPr>
              <w:t>内作出响应，</w:t>
            </w:r>
            <w:r>
              <w:rPr>
                <w:rFonts w:hint="eastAsia" w:ascii="仿宋" w:hAnsi="仿宋" w:eastAsia="仿宋"/>
                <w:b w:val="0"/>
                <w:bCs w:val="0"/>
                <w:i w:val="0"/>
                <w:iCs w:val="0"/>
                <w:color w:val="auto"/>
                <w:sz w:val="24"/>
                <w:szCs w:val="20"/>
                <w:highlight w:val="none"/>
                <w:u w:val="none"/>
                <w:lang w:val="en-US" w:eastAsia="zh-CN"/>
              </w:rPr>
              <w:t>2</w:t>
            </w:r>
            <w:r>
              <w:rPr>
                <w:rFonts w:hint="eastAsia" w:ascii="仿宋" w:hAnsi="仿宋" w:eastAsia="仿宋"/>
                <w:b w:val="0"/>
                <w:bCs w:val="0"/>
                <w:i w:val="0"/>
                <w:iCs w:val="0"/>
                <w:color w:val="auto"/>
                <w:sz w:val="24"/>
                <w:szCs w:val="20"/>
                <w:highlight w:val="none"/>
                <w:u w:val="none"/>
              </w:rPr>
              <w:t>小时</w:t>
            </w:r>
            <w:r>
              <w:rPr>
                <w:rFonts w:hint="eastAsia" w:ascii="仿宋" w:hAnsi="仿宋" w:eastAsia="仿宋"/>
                <w:color w:val="auto"/>
                <w:sz w:val="24"/>
                <w:szCs w:val="20"/>
                <w:highlight w:val="none"/>
              </w:rPr>
              <w:t>到达现场处置，24</w:t>
            </w:r>
            <w:r>
              <w:rPr>
                <w:rFonts w:hint="default" w:ascii="仿宋" w:hAnsi="仿宋" w:eastAsia="仿宋"/>
                <w:color w:val="auto"/>
                <w:sz w:val="24"/>
                <w:szCs w:val="20"/>
                <w:highlight w:val="none"/>
              </w:rPr>
              <w:t>小时内修复。若不能修复，则需要免费提供后备或替代</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，以保证</w:t>
            </w:r>
            <w:r>
              <w:rPr>
                <w:rFonts w:hint="eastAsia" w:ascii="仿宋" w:hAnsi="仿宋" w:eastAsia="仿宋"/>
                <w:color w:val="auto"/>
                <w:sz w:val="24"/>
                <w:szCs w:val="20"/>
                <w:highlight w:val="none"/>
              </w:rPr>
              <w:t>采购人</w:t>
            </w:r>
            <w:r>
              <w:rPr>
                <w:rFonts w:hint="default" w:ascii="仿宋" w:hAnsi="仿宋" w:eastAsia="仿宋"/>
                <w:color w:val="auto"/>
                <w:sz w:val="24"/>
                <w:szCs w:val="20"/>
                <w:highlight w:val="none"/>
              </w:rPr>
              <w:t>正常的</w:t>
            </w:r>
            <w:r>
              <w:rPr>
                <w:rFonts w:hint="eastAsia" w:ascii="仿宋" w:hAnsi="仿宋" w:eastAsia="仿宋"/>
                <w:color w:val="auto"/>
                <w:sz w:val="24"/>
                <w:szCs w:val="20"/>
                <w:highlight w:val="none"/>
              </w:rPr>
              <w:t>使用</w:t>
            </w:r>
            <w:r>
              <w:rPr>
                <w:rFonts w:hint="eastAsia" w:ascii="仿宋" w:hAnsi="仿宋" w:eastAsia="仿宋"/>
                <w:color w:val="auto"/>
                <w:sz w:val="24"/>
                <w:szCs w:val="20"/>
                <w:highlight w:val="none"/>
                <w:lang w:eastAsia="zh-CN"/>
              </w:rPr>
              <w:t>。</w:t>
            </w:r>
          </w:p>
          <w:p w14:paraId="06645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如遇有特别活动或重大节日中标人须协助保障时，派专业的工程师进行协助，确保各系统正常运行</w:t>
            </w:r>
            <w:r>
              <w:rPr>
                <w:rFonts w:hint="eastAsia" w:ascii="仿宋" w:hAnsi="仿宋" w:eastAsia="仿宋" w:cs="仿宋"/>
                <w:bCs/>
                <w:color w:val="auto"/>
                <w:sz w:val="24"/>
                <w:szCs w:val="24"/>
                <w:highlight w:val="none"/>
                <w:lang w:eastAsia="zh-CN"/>
              </w:rPr>
              <w:t>。</w:t>
            </w:r>
          </w:p>
          <w:p w14:paraId="39D44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投标</w:t>
            </w:r>
            <w:r>
              <w:rPr>
                <w:rFonts w:hint="eastAsia" w:ascii="仿宋" w:hAnsi="仿宋" w:eastAsia="仿宋" w:cs="仿宋"/>
                <w:bCs/>
                <w:color w:val="auto"/>
                <w:sz w:val="24"/>
                <w:szCs w:val="24"/>
                <w:highlight w:val="none"/>
              </w:rPr>
              <w:t>人在投标时</w:t>
            </w:r>
            <w:r>
              <w:rPr>
                <w:rFonts w:hint="eastAsia" w:ascii="仿宋" w:hAnsi="仿宋" w:eastAsia="仿宋" w:cs="仿宋"/>
                <w:color w:val="auto"/>
                <w:sz w:val="24"/>
                <w:szCs w:val="24"/>
                <w:highlight w:val="none"/>
              </w:rPr>
              <w:t>应提供质保期后的服务计划或建议，明确收费事项及标准，保修后免费维修。</w:t>
            </w:r>
          </w:p>
        </w:tc>
      </w:tr>
      <w:tr w14:paraId="43DA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11" w:type="dxa"/>
            <w:noWrap w:val="0"/>
            <w:vAlign w:val="center"/>
          </w:tcPr>
          <w:p w14:paraId="1F78431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952" w:type="dxa"/>
            <w:noWrap w:val="0"/>
            <w:vAlign w:val="center"/>
          </w:tcPr>
          <w:p w14:paraId="2DFE69F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安全责任</w:t>
            </w:r>
          </w:p>
        </w:tc>
        <w:tc>
          <w:tcPr>
            <w:tcW w:w="6644" w:type="dxa"/>
            <w:noWrap w:val="0"/>
            <w:vAlign w:val="center"/>
          </w:tcPr>
          <w:p w14:paraId="6DE12E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在项目实施过程中的各种意外，其责任由中标人承担，采购人不承担任何责任。</w:t>
            </w:r>
          </w:p>
        </w:tc>
      </w:tr>
    </w:tbl>
    <w:p w14:paraId="7CE27293">
      <w:pPr>
        <w:pStyle w:val="348"/>
        <w:numPr>
          <w:ilvl w:val="0"/>
          <w:numId w:val="0"/>
        </w:numPr>
        <w:bidi w:val="0"/>
        <w:jc w:val="both"/>
        <w:rPr>
          <w:rFonts w:hint="eastAsia" w:ascii="仿宋" w:hAnsi="仿宋" w:eastAsia="仿宋" w:cs="仿宋"/>
          <w:sz w:val="24"/>
          <w:szCs w:val="24"/>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93"/>
    <w:p w14:paraId="757981D5">
      <w:pPr>
        <w:pStyle w:val="3"/>
        <w:spacing w:line="700" w:lineRule="exact"/>
        <w:ind w:left="0" w:firstLine="0"/>
        <w:jc w:val="center"/>
        <w:rPr>
          <w:rFonts w:hint="eastAsia" w:ascii="仿宋" w:hAnsi="仿宋" w:eastAsia="仿宋" w:cs="仿宋"/>
          <w:b/>
          <w:bCs/>
          <w:color w:val="auto"/>
          <w:sz w:val="36"/>
          <w:szCs w:val="36"/>
        </w:rPr>
      </w:pPr>
      <w:bookmarkStart w:id="106" w:name="_Toc22296"/>
      <w:bookmarkStart w:id="107" w:name="_Toc54978899"/>
      <w:bookmarkStart w:id="108" w:name="_Toc297662418"/>
      <w:bookmarkStart w:id="109" w:name="_Toc340321940"/>
      <w:bookmarkStart w:id="110" w:name="_Toc340322195"/>
      <w:bookmarkStart w:id="111" w:name="_Toc339302155"/>
      <w:bookmarkStart w:id="112" w:name="_Toc17741"/>
      <w:bookmarkStart w:id="113" w:name="_Toc4171"/>
      <w:bookmarkStart w:id="114" w:name="_Toc226337793"/>
      <w:bookmarkStart w:id="115" w:name="_Toc340322183"/>
      <w:bookmarkStart w:id="116" w:name="_Toc340321928"/>
      <w:bookmarkStart w:id="117" w:name="_Toc248065071"/>
      <w:bookmarkStart w:id="118" w:name="_Toc339302144"/>
      <w:r>
        <w:rPr>
          <w:rFonts w:hint="eastAsia" w:ascii="仿宋" w:hAnsi="仿宋" w:eastAsia="仿宋" w:cs="仿宋"/>
          <w:b/>
          <w:bCs/>
          <w:color w:val="auto"/>
          <w:sz w:val="36"/>
          <w:szCs w:val="36"/>
          <w:lang w:val="en-US" w:eastAsia="zh-CN"/>
        </w:rPr>
        <w:t>第</w:t>
      </w:r>
      <w:r>
        <w:rPr>
          <w:rFonts w:hint="eastAsia" w:ascii="仿宋" w:hAnsi="仿宋" w:eastAsia="仿宋" w:cs="仿宋"/>
          <w:b/>
          <w:bCs/>
          <w:color w:val="auto"/>
          <w:sz w:val="36"/>
          <w:szCs w:val="36"/>
        </w:rPr>
        <w:t>四部分  评标办法</w:t>
      </w:r>
      <w:bookmarkEnd w:id="106"/>
      <w:bookmarkEnd w:id="107"/>
      <w:bookmarkEnd w:id="108"/>
      <w:bookmarkEnd w:id="109"/>
      <w:bookmarkEnd w:id="110"/>
      <w:bookmarkEnd w:id="111"/>
      <w:bookmarkEnd w:id="112"/>
    </w:p>
    <w:p w14:paraId="76D16C9B">
      <w:pPr>
        <w:pStyle w:val="5"/>
        <w:spacing w:before="120" w:beforeLines="0" w:after="120" w:afterLines="0" w:line="440" w:lineRule="exact"/>
        <w:ind w:firstLine="103"/>
        <w:rPr>
          <w:rFonts w:hint="eastAsia" w:ascii="仿宋" w:hAnsi="仿宋" w:eastAsia="仿宋" w:cs="仿宋"/>
          <w:color w:val="auto"/>
          <w:sz w:val="24"/>
          <w:szCs w:val="24"/>
        </w:rPr>
      </w:pPr>
      <w:bookmarkStart w:id="119" w:name="_Toc297662419"/>
      <w:bookmarkStart w:id="120" w:name="_Toc22707"/>
      <w:r>
        <w:rPr>
          <w:rFonts w:hint="eastAsia" w:ascii="仿宋" w:hAnsi="仿宋" w:eastAsia="仿宋" w:cs="仿宋"/>
          <w:color w:val="auto"/>
          <w:sz w:val="24"/>
          <w:szCs w:val="24"/>
        </w:rPr>
        <w:t>一、评标组织</w:t>
      </w:r>
      <w:bookmarkEnd w:id="119"/>
      <w:bookmarkEnd w:id="120"/>
    </w:p>
    <w:p w14:paraId="5D72121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14:paraId="3ADAA4A6">
      <w:pPr>
        <w:pStyle w:val="5"/>
        <w:spacing w:before="120" w:beforeLines="0" w:after="120" w:afterLines="0" w:line="440" w:lineRule="exact"/>
        <w:ind w:firstLine="103"/>
        <w:rPr>
          <w:rFonts w:hint="eastAsia" w:ascii="仿宋" w:hAnsi="仿宋" w:eastAsia="仿宋" w:cs="仿宋"/>
          <w:color w:val="auto"/>
          <w:sz w:val="24"/>
          <w:szCs w:val="24"/>
        </w:rPr>
      </w:pPr>
      <w:bookmarkStart w:id="121" w:name="_Toc11215"/>
      <w:bookmarkStart w:id="122" w:name="_Toc297662420"/>
      <w:r>
        <w:rPr>
          <w:rFonts w:hint="eastAsia" w:ascii="仿宋" w:hAnsi="仿宋" w:eastAsia="仿宋" w:cs="仿宋"/>
          <w:color w:val="auto"/>
          <w:sz w:val="24"/>
          <w:szCs w:val="24"/>
        </w:rPr>
        <w:t>二、评标方法</w:t>
      </w:r>
      <w:bookmarkEnd w:id="121"/>
      <w:bookmarkEnd w:id="122"/>
    </w:p>
    <w:p w14:paraId="2739A5A7">
      <w:pPr>
        <w:spacing w:line="440" w:lineRule="exact"/>
        <w:ind w:firstLine="551" w:firstLineChars="218"/>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本项目采用综合评分法。</w:t>
      </w:r>
      <w:r>
        <w:rPr>
          <w:rFonts w:hint="eastAsia" w:ascii="仿宋" w:hAnsi="仿宋" w:eastAsia="仿宋" w:cs="仿宋"/>
          <w:color w:val="auto"/>
          <w:kern w:val="2"/>
          <w:sz w:val="24"/>
          <w:szCs w:val="24"/>
          <w:lang w:val="en-US" w:eastAsia="zh-CN" w:bidi="ar-SA"/>
        </w:rPr>
        <w:t>开标后，凡投标人不符合投标资格或投标文件完整性、合法性存在欠缺的，或投标文件实质性内容和关键格式严重不符合有关规定和不响应采购文件要求的，作为无效标予以废除，不进入评议打分范围。</w:t>
      </w:r>
    </w:p>
    <w:p w14:paraId="5B38DF9D">
      <w:pPr>
        <w:pStyle w:val="32"/>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评标委员会以审标、询标为基础依据，对投标文件及投标人分别进行分析评议，按《评标细则》由评委独立评议计分，取汇总后的算术平均值。</w:t>
      </w:r>
    </w:p>
    <w:p w14:paraId="3F8CB1FC">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w:t>
      </w:r>
      <w:r>
        <w:rPr>
          <w:rFonts w:hint="eastAsia" w:ascii="仿宋" w:hAnsi="仿宋" w:eastAsia="仿宋" w:cs="仿宋"/>
          <w:color w:val="auto"/>
          <w:sz w:val="24"/>
          <w:szCs w:val="24"/>
          <w:lang w:val="en-US" w:eastAsia="zh-CN"/>
        </w:rPr>
        <w:t>本项目组织</w:t>
      </w:r>
      <w:r>
        <w:rPr>
          <w:rFonts w:hint="eastAsia" w:ascii="仿宋" w:hAnsi="仿宋" w:eastAsia="仿宋" w:cs="仿宋"/>
          <w:color w:val="auto"/>
          <w:sz w:val="24"/>
          <w:szCs w:val="24"/>
        </w:rPr>
        <w:t>重新招标。</w:t>
      </w:r>
    </w:p>
    <w:p w14:paraId="590B466D">
      <w:pPr>
        <w:pStyle w:val="5"/>
        <w:spacing w:before="120" w:beforeLines="0" w:after="120" w:afterLines="0" w:line="440" w:lineRule="exact"/>
        <w:ind w:firstLine="103"/>
        <w:rPr>
          <w:rFonts w:hint="eastAsia" w:ascii="仿宋" w:hAnsi="仿宋" w:eastAsia="仿宋" w:cs="仿宋"/>
          <w:color w:val="auto"/>
          <w:sz w:val="24"/>
          <w:szCs w:val="24"/>
        </w:rPr>
      </w:pPr>
      <w:bookmarkStart w:id="123" w:name="_Toc297662421"/>
      <w:bookmarkStart w:id="124" w:name="_Toc4514"/>
      <w:r>
        <w:rPr>
          <w:rFonts w:hint="eastAsia" w:ascii="仿宋" w:hAnsi="仿宋" w:eastAsia="仿宋" w:cs="仿宋"/>
          <w:color w:val="auto"/>
          <w:sz w:val="24"/>
          <w:szCs w:val="24"/>
        </w:rPr>
        <w:t>三、定标办法</w:t>
      </w:r>
      <w:bookmarkEnd w:id="123"/>
      <w:bookmarkEnd w:id="124"/>
    </w:p>
    <w:p w14:paraId="6DA2BD36">
      <w:pPr>
        <w:pStyle w:val="32"/>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评标结束后，采购人根据评标委员会提交的评标报告和推荐意见，对进入候选的投标人进行最终审查。终审后根据推荐的候选</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情况确定</w:t>
      </w:r>
      <w:r>
        <w:rPr>
          <w:rFonts w:hint="eastAsia" w:ascii="仿宋" w:hAnsi="仿宋" w:eastAsia="仿宋" w:cs="仿宋"/>
          <w:color w:val="auto"/>
          <w:sz w:val="24"/>
          <w:szCs w:val="24"/>
          <w:lang w:eastAsia="zh-CN"/>
        </w:rPr>
        <w:t>中标人</w:t>
      </w:r>
      <w:r>
        <w:rPr>
          <w:rFonts w:hint="eastAsia" w:ascii="仿宋" w:hAnsi="仿宋" w:eastAsia="仿宋" w:cs="仿宋"/>
          <w:color w:val="auto"/>
          <w:sz w:val="24"/>
          <w:szCs w:val="24"/>
        </w:rPr>
        <w:t>。</w:t>
      </w:r>
      <w:r>
        <w:rPr>
          <w:rFonts w:hint="eastAsia" w:ascii="仿宋" w:hAnsi="仿宋" w:eastAsia="仿宋" w:cs="仿宋"/>
          <w:b/>
          <w:bCs/>
          <w:color w:val="auto"/>
          <w:spacing w:val="6"/>
          <w:sz w:val="24"/>
          <w:szCs w:val="24"/>
        </w:rPr>
        <w:t>最低报价不是中标的唯一保证。</w:t>
      </w:r>
    </w:p>
    <w:p w14:paraId="6FA49E2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整个评标过程应严格保密，评标委员会成员及工作人员应严格遵守纪律，不得泄漏任何评标信息。</w:t>
      </w:r>
    </w:p>
    <w:p w14:paraId="71ACF909">
      <w:pPr>
        <w:pStyle w:val="5"/>
        <w:spacing w:before="120" w:beforeLines="0" w:after="120" w:afterLines="0" w:line="440" w:lineRule="exact"/>
        <w:ind w:firstLine="103"/>
        <w:rPr>
          <w:rFonts w:hint="eastAsia" w:ascii="仿宋" w:hAnsi="仿宋" w:eastAsia="仿宋" w:cs="仿宋"/>
          <w:color w:val="auto"/>
          <w:sz w:val="28"/>
          <w:szCs w:val="28"/>
        </w:rPr>
      </w:pPr>
      <w:bookmarkStart w:id="125" w:name="_Toc19935"/>
      <w:r>
        <w:rPr>
          <w:rFonts w:hint="eastAsia" w:ascii="仿宋" w:hAnsi="仿宋" w:eastAsia="仿宋" w:cs="仿宋"/>
          <w:color w:val="auto"/>
          <w:sz w:val="28"/>
          <w:szCs w:val="28"/>
        </w:rPr>
        <w:t>四、评标细则</w:t>
      </w:r>
      <w:bookmarkEnd w:id="125"/>
    </w:p>
    <w:p w14:paraId="678F8A85">
      <w:pPr>
        <w:spacing w:line="440" w:lineRule="exact"/>
        <w:rPr>
          <w:rFonts w:hint="eastAsia" w:ascii="仿宋" w:hAnsi="仿宋" w:eastAsia="仿宋" w:cs="仿宋"/>
          <w:color w:val="auto"/>
          <w:sz w:val="24"/>
          <w:szCs w:val="24"/>
        </w:rPr>
      </w:pPr>
      <w:r>
        <w:rPr>
          <w:rFonts w:hint="eastAsia" w:ascii="仿宋" w:hAnsi="仿宋" w:eastAsia="仿宋" w:cs="仿宋"/>
          <w:color w:val="auto"/>
          <w:kern w:val="0"/>
          <w:sz w:val="24"/>
          <w:szCs w:val="24"/>
        </w:rPr>
        <w:t>一、</w:t>
      </w:r>
      <w:r>
        <w:rPr>
          <w:rFonts w:hint="eastAsia" w:ascii="仿宋" w:hAnsi="仿宋" w:eastAsia="仿宋" w:cs="仿宋"/>
          <w:color w:val="auto"/>
          <w:sz w:val="24"/>
          <w:szCs w:val="24"/>
        </w:rPr>
        <w:t>技术资信部分</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分。</w:t>
      </w:r>
    </w:p>
    <w:p w14:paraId="44162C1B">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（一）各评委成员按评标细则进行评审，计算精确到小数点后二位（各家单位的分值为所有评标成员给出的值的算术平均值）。</w:t>
      </w:r>
    </w:p>
    <w:p w14:paraId="68CA335C">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（二）技术资信分值（</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分）</w:t>
      </w:r>
    </w:p>
    <w:tbl>
      <w:tblPr>
        <w:tblStyle w:val="79"/>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1"/>
        <w:gridCol w:w="1308"/>
        <w:gridCol w:w="6499"/>
        <w:gridCol w:w="861"/>
      </w:tblGrid>
      <w:tr w14:paraId="7474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851" w:type="dxa"/>
            <w:tcBorders>
              <w:tl2br w:val="nil"/>
              <w:tr2bl w:val="nil"/>
            </w:tcBorders>
            <w:shd w:val="clear" w:color="auto" w:fill="auto"/>
            <w:vAlign w:val="center"/>
          </w:tcPr>
          <w:p w14:paraId="34649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08" w:type="dxa"/>
            <w:tcBorders>
              <w:tl2br w:val="nil"/>
              <w:tr2bl w:val="nil"/>
            </w:tcBorders>
            <w:shd w:val="clear" w:color="auto" w:fill="auto"/>
            <w:vAlign w:val="center"/>
          </w:tcPr>
          <w:p w14:paraId="554FA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评审内容</w:t>
            </w:r>
          </w:p>
        </w:tc>
        <w:tc>
          <w:tcPr>
            <w:tcW w:w="6499" w:type="dxa"/>
            <w:tcBorders>
              <w:tl2br w:val="nil"/>
              <w:tr2bl w:val="nil"/>
            </w:tcBorders>
            <w:shd w:val="clear" w:color="auto" w:fill="auto"/>
            <w:vAlign w:val="center"/>
          </w:tcPr>
          <w:p w14:paraId="0DDFC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评审细则</w:t>
            </w:r>
          </w:p>
        </w:tc>
        <w:tc>
          <w:tcPr>
            <w:tcW w:w="861" w:type="dxa"/>
            <w:tcBorders>
              <w:tl2br w:val="nil"/>
              <w:tr2bl w:val="nil"/>
            </w:tcBorders>
            <w:shd w:val="clear" w:color="auto" w:fill="auto"/>
            <w:vAlign w:val="center"/>
          </w:tcPr>
          <w:p w14:paraId="37205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14:paraId="33CF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3" w:hRule="atLeast"/>
        </w:trPr>
        <w:tc>
          <w:tcPr>
            <w:tcW w:w="851" w:type="dxa"/>
            <w:tcBorders>
              <w:tl2br w:val="nil"/>
              <w:tr2bl w:val="nil"/>
            </w:tcBorders>
            <w:shd w:val="clear" w:color="auto" w:fill="auto"/>
            <w:vAlign w:val="center"/>
          </w:tcPr>
          <w:p w14:paraId="62B25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1</w:t>
            </w:r>
          </w:p>
        </w:tc>
        <w:tc>
          <w:tcPr>
            <w:tcW w:w="1308" w:type="dxa"/>
            <w:tcBorders>
              <w:tl2br w:val="nil"/>
              <w:tr2bl w:val="nil"/>
            </w:tcBorders>
            <w:shd w:val="clear" w:color="auto" w:fill="auto"/>
            <w:vAlign w:val="center"/>
          </w:tcPr>
          <w:p w14:paraId="5A4030B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资信证书</w:t>
            </w:r>
          </w:p>
        </w:tc>
        <w:tc>
          <w:tcPr>
            <w:tcW w:w="6499" w:type="dxa"/>
            <w:tcBorders>
              <w:tl2br w:val="nil"/>
              <w:tr2bl w:val="nil"/>
            </w:tcBorders>
            <w:shd w:val="clear" w:color="auto" w:fill="auto"/>
            <w:vAlign w:val="center"/>
          </w:tcPr>
          <w:p w14:paraId="3B9461E2">
            <w:pPr>
              <w:keepNext w:val="0"/>
              <w:keepLines w:val="0"/>
              <w:widowControl/>
              <w:numPr>
                <w:ilvl w:val="0"/>
                <w:numId w:val="19"/>
              </w:numPr>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投标人具有ITSS信息技术服务标准符合性证书的得1分；</w:t>
            </w:r>
          </w:p>
          <w:p w14:paraId="7872BE37">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投标人具有隐私信息管理体系认证证书ISO/IEC27701的得1分；</w:t>
            </w:r>
          </w:p>
          <w:p w14:paraId="6AB90779">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投标人具有数据安全能力成熟度认证证书ISO/IEC37988的得1分；</w:t>
            </w:r>
          </w:p>
          <w:p w14:paraId="3667C2BE">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color w:val="auto"/>
                <w:kern w:val="0"/>
                <w:sz w:val="24"/>
                <w:szCs w:val="24"/>
                <w:lang w:val="en-US" w:eastAsia="zh-CN" w:bidi="ar"/>
              </w:rPr>
              <w:t>（提供有效期内相关证书扫描件并加盖CA签章）。</w:t>
            </w:r>
          </w:p>
        </w:tc>
        <w:tc>
          <w:tcPr>
            <w:tcW w:w="861" w:type="dxa"/>
            <w:tcBorders>
              <w:tl2br w:val="nil"/>
              <w:tr2bl w:val="nil"/>
            </w:tcBorders>
            <w:shd w:val="clear" w:color="auto" w:fill="auto"/>
            <w:vAlign w:val="center"/>
          </w:tcPr>
          <w:p w14:paraId="0704D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Cs/>
                <w:color w:val="auto"/>
                <w:sz w:val="24"/>
                <w:szCs w:val="24"/>
                <w:lang w:val="en-US" w:eastAsia="zh-CN" w:bidi="ar"/>
              </w:rPr>
              <w:t>3分</w:t>
            </w:r>
          </w:p>
        </w:tc>
      </w:tr>
      <w:tr w14:paraId="41CE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7" w:hRule="atLeast"/>
        </w:trPr>
        <w:tc>
          <w:tcPr>
            <w:tcW w:w="851" w:type="dxa"/>
            <w:tcBorders>
              <w:tl2br w:val="nil"/>
              <w:tr2bl w:val="nil"/>
            </w:tcBorders>
            <w:shd w:val="clear" w:color="auto" w:fill="auto"/>
            <w:vAlign w:val="center"/>
          </w:tcPr>
          <w:p w14:paraId="1276C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308" w:type="dxa"/>
            <w:tcBorders>
              <w:tl2br w:val="nil"/>
              <w:tr2bl w:val="nil"/>
            </w:tcBorders>
            <w:shd w:val="clear" w:color="auto" w:fill="auto"/>
            <w:vAlign w:val="center"/>
          </w:tcPr>
          <w:p w14:paraId="40F14B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业绩</w:t>
            </w:r>
          </w:p>
        </w:tc>
        <w:tc>
          <w:tcPr>
            <w:tcW w:w="6499" w:type="dxa"/>
            <w:tcBorders>
              <w:tl2br w:val="nil"/>
              <w:tr2bl w:val="nil"/>
            </w:tcBorders>
            <w:shd w:val="clear" w:color="auto" w:fill="auto"/>
            <w:vAlign w:val="center"/>
          </w:tcPr>
          <w:p w14:paraId="585A6B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投标人提供自2022年1月1日（以合同签订时间为准）以来同类项目业绩，每提供一份得1分，最高得2分。</w:t>
            </w:r>
          </w:p>
          <w:p w14:paraId="3F6877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（提供合同扫扫描件并加盖CA签章）</w:t>
            </w:r>
          </w:p>
        </w:tc>
        <w:tc>
          <w:tcPr>
            <w:tcW w:w="861" w:type="dxa"/>
            <w:tcBorders>
              <w:tl2br w:val="nil"/>
              <w:tr2bl w:val="nil"/>
            </w:tcBorders>
            <w:shd w:val="clear" w:color="auto" w:fill="auto"/>
            <w:vAlign w:val="center"/>
          </w:tcPr>
          <w:p w14:paraId="728FAC41">
            <w:pPr>
              <w:keepNext w:val="0"/>
              <w:keepLines w:val="0"/>
              <w:suppressLineNumbers w:val="0"/>
              <w:spacing w:before="0" w:beforeAutospacing="0" w:after="0" w:afterAutospacing="0" w:line="320" w:lineRule="exact"/>
              <w:ind w:left="0" w:leftChars="0" w:right="0" w:rightChars="0"/>
              <w:jc w:val="center"/>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2分</w:t>
            </w:r>
          </w:p>
        </w:tc>
      </w:tr>
      <w:tr w14:paraId="2BD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7" w:hRule="atLeast"/>
        </w:trPr>
        <w:tc>
          <w:tcPr>
            <w:tcW w:w="851" w:type="dxa"/>
            <w:tcBorders>
              <w:tl2br w:val="nil"/>
              <w:tr2bl w:val="nil"/>
            </w:tcBorders>
            <w:shd w:val="clear" w:color="auto" w:fill="auto"/>
            <w:vAlign w:val="center"/>
          </w:tcPr>
          <w:p w14:paraId="306A8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308" w:type="dxa"/>
            <w:vMerge w:val="restart"/>
            <w:tcBorders>
              <w:tl2br w:val="nil"/>
              <w:tr2bl w:val="nil"/>
            </w:tcBorders>
            <w:shd w:val="clear" w:color="auto" w:fill="auto"/>
            <w:vAlign w:val="center"/>
          </w:tcPr>
          <w:p w14:paraId="56CE2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人员配置</w:t>
            </w:r>
          </w:p>
        </w:tc>
        <w:tc>
          <w:tcPr>
            <w:tcW w:w="6499" w:type="dxa"/>
            <w:tcBorders>
              <w:tl2br w:val="nil"/>
              <w:tr2bl w:val="nil"/>
            </w:tcBorders>
            <w:shd w:val="clear" w:color="auto" w:fill="auto"/>
            <w:vAlign w:val="center"/>
          </w:tcPr>
          <w:p w14:paraId="2162602E">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拟派项目负责人</w:t>
            </w:r>
            <w:r>
              <w:rPr>
                <w:rFonts w:hint="eastAsia" w:ascii="仿宋" w:hAnsi="仿宋" w:eastAsia="仿宋" w:cs="仿宋"/>
                <w:b/>
                <w:bCs/>
                <w:color w:val="auto"/>
                <w:kern w:val="0"/>
                <w:sz w:val="24"/>
                <w:szCs w:val="24"/>
                <w:lang w:eastAsia="zh-CN" w:bidi="ar"/>
              </w:rPr>
              <w:t>：（</w:t>
            </w:r>
            <w:r>
              <w:rPr>
                <w:rFonts w:hint="eastAsia" w:ascii="仿宋" w:hAnsi="仿宋" w:eastAsia="仿宋" w:cs="仿宋"/>
                <w:b/>
                <w:bCs/>
                <w:color w:val="auto"/>
                <w:kern w:val="0"/>
                <w:sz w:val="24"/>
                <w:szCs w:val="24"/>
                <w:lang w:val="en-US" w:eastAsia="zh-CN" w:bidi="ar"/>
              </w:rPr>
              <w:t>1人）</w:t>
            </w:r>
          </w:p>
          <w:p w14:paraId="4259A5B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具有网络安全能力认证</w:t>
            </w:r>
            <w:r>
              <w:rPr>
                <w:rFonts w:hint="eastAsia" w:ascii="仿宋" w:hAnsi="仿宋" w:eastAsia="仿宋" w:cs="仿宋"/>
                <w:color w:val="auto"/>
                <w:kern w:val="0"/>
                <w:sz w:val="24"/>
                <w:szCs w:val="24"/>
                <w:lang w:eastAsia="zh-CN" w:bidi="ar"/>
              </w:rPr>
              <w:t>证书</w:t>
            </w:r>
            <w:r>
              <w:rPr>
                <w:rFonts w:hint="eastAsia" w:ascii="仿宋" w:hAnsi="仿宋" w:eastAsia="仿宋" w:cs="仿宋"/>
                <w:color w:val="auto"/>
                <w:kern w:val="0"/>
                <w:sz w:val="24"/>
                <w:szCs w:val="24"/>
                <w:lang w:bidi="ar"/>
              </w:rPr>
              <w:t>、信息安全保障人员认证证书、通信中级（互联网技术）证书的，每有1本证书得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最高得</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分。</w:t>
            </w:r>
          </w:p>
          <w:p w14:paraId="1055800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highlight w:val="none"/>
                <w:lang w:val="en-US" w:eastAsia="zh-CN"/>
              </w:rPr>
              <w:t>（提供证书扫描件及2024年10-12月在投标单位社保缴纳证明并加盖CA签章）</w:t>
            </w:r>
          </w:p>
        </w:tc>
        <w:tc>
          <w:tcPr>
            <w:tcW w:w="861" w:type="dxa"/>
            <w:tcBorders>
              <w:tl2br w:val="nil"/>
              <w:tr2bl w:val="nil"/>
            </w:tcBorders>
            <w:shd w:val="clear" w:color="auto" w:fill="auto"/>
            <w:vAlign w:val="center"/>
          </w:tcPr>
          <w:p w14:paraId="278CE095">
            <w:pPr>
              <w:keepNext w:val="0"/>
              <w:keepLines w:val="0"/>
              <w:suppressLineNumbers w:val="0"/>
              <w:spacing w:before="0" w:beforeAutospacing="0" w:after="0" w:afterAutospacing="0" w:line="320" w:lineRule="exact"/>
              <w:ind w:left="0" w:leftChars="0" w:right="0" w:rightChars="0"/>
              <w:jc w:val="center"/>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3分</w:t>
            </w:r>
          </w:p>
        </w:tc>
      </w:tr>
      <w:tr w14:paraId="1A7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4" w:hRule="atLeast"/>
        </w:trPr>
        <w:tc>
          <w:tcPr>
            <w:tcW w:w="851" w:type="dxa"/>
            <w:tcBorders>
              <w:tl2br w:val="nil"/>
              <w:tr2bl w:val="nil"/>
            </w:tcBorders>
            <w:shd w:val="clear" w:color="auto" w:fill="auto"/>
            <w:vAlign w:val="center"/>
          </w:tcPr>
          <w:p w14:paraId="12698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308" w:type="dxa"/>
            <w:vMerge w:val="continue"/>
            <w:tcBorders>
              <w:tl2br w:val="nil"/>
              <w:tr2bl w:val="nil"/>
            </w:tcBorders>
            <w:shd w:val="clear" w:color="auto" w:fill="auto"/>
            <w:vAlign w:val="center"/>
          </w:tcPr>
          <w:p w14:paraId="3B5F7EFC">
            <w:pPr>
              <w:keepNext w:val="0"/>
              <w:keepLines w:val="0"/>
              <w:widowControl/>
              <w:suppressLineNumbers w:val="0"/>
              <w:spacing w:before="0" w:beforeAutospacing="0" w:after="0" w:afterAutospacing="0"/>
              <w:ind w:left="0" w:right="0"/>
              <w:jc w:val="left"/>
              <w:textAlignment w:val="center"/>
              <w:rPr>
                <w:color w:val="auto"/>
                <w:szCs w:val="22"/>
              </w:rPr>
            </w:pPr>
          </w:p>
        </w:tc>
        <w:tc>
          <w:tcPr>
            <w:tcW w:w="6499" w:type="dxa"/>
            <w:tcBorders>
              <w:tl2br w:val="nil"/>
              <w:tr2bl w:val="nil"/>
            </w:tcBorders>
            <w:shd w:val="clear" w:color="auto" w:fill="auto"/>
            <w:vAlign w:val="center"/>
          </w:tcPr>
          <w:p w14:paraId="036D5A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拟派技术负责人：（1人）</w:t>
            </w:r>
          </w:p>
          <w:p w14:paraId="6321BA6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具有信息系统项目管理师高级证书、网络工程师中级及以上和信息通信技术高级工程师证书的，每</w:t>
            </w:r>
            <w:r>
              <w:rPr>
                <w:rFonts w:hint="eastAsia" w:ascii="仿宋" w:hAnsi="仿宋" w:eastAsia="仿宋" w:cs="仿宋"/>
                <w:color w:val="auto"/>
                <w:kern w:val="0"/>
                <w:sz w:val="24"/>
                <w:szCs w:val="24"/>
                <w:lang w:val="en-US" w:eastAsia="zh-CN" w:bidi="ar"/>
              </w:rPr>
              <w:t>提供</w:t>
            </w:r>
            <w:r>
              <w:rPr>
                <w:rFonts w:hint="eastAsia" w:ascii="仿宋" w:hAnsi="仿宋" w:eastAsia="仿宋" w:cs="仿宋"/>
                <w:color w:val="auto"/>
                <w:kern w:val="0"/>
                <w:sz w:val="24"/>
                <w:szCs w:val="24"/>
                <w:lang w:bidi="ar"/>
              </w:rPr>
              <w:t>1本证书得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最高得</w:t>
            </w:r>
            <w:r>
              <w:rPr>
                <w:rFonts w:hint="eastAsia" w:ascii="仿宋" w:hAnsi="仿宋" w:eastAsia="仿宋" w:cs="仿宋"/>
                <w:color w:val="auto"/>
                <w:kern w:val="0"/>
                <w:sz w:val="24"/>
                <w:szCs w:val="24"/>
                <w:lang w:val="en-US" w:eastAsia="zh-CN" w:bidi="ar"/>
              </w:rPr>
              <w:t>3</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w:t>
            </w:r>
          </w:p>
          <w:p w14:paraId="2B028B7F">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b/>
                <w:bCs/>
                <w:color w:val="auto"/>
                <w:sz w:val="24"/>
                <w:szCs w:val="24"/>
                <w:highlight w:val="none"/>
                <w:lang w:val="en-US" w:eastAsia="zh-CN"/>
              </w:rPr>
              <w:t>（提供证书扫描件及2024年10-12月在投标单位社保缴纳证明并加盖CA签章）</w:t>
            </w:r>
          </w:p>
        </w:tc>
        <w:tc>
          <w:tcPr>
            <w:tcW w:w="861" w:type="dxa"/>
            <w:tcBorders>
              <w:tl2br w:val="nil"/>
              <w:tr2bl w:val="nil"/>
            </w:tcBorders>
            <w:shd w:val="clear" w:color="auto" w:fill="auto"/>
            <w:vAlign w:val="center"/>
          </w:tcPr>
          <w:p w14:paraId="0C11595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3分</w:t>
            </w:r>
          </w:p>
        </w:tc>
      </w:tr>
      <w:tr w14:paraId="3ABE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31" w:hRule="atLeast"/>
        </w:trPr>
        <w:tc>
          <w:tcPr>
            <w:tcW w:w="851" w:type="dxa"/>
            <w:tcBorders>
              <w:tl2br w:val="nil"/>
              <w:tr2bl w:val="nil"/>
            </w:tcBorders>
            <w:shd w:val="clear" w:color="auto" w:fill="auto"/>
            <w:vAlign w:val="center"/>
          </w:tcPr>
          <w:p w14:paraId="3137C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308" w:type="dxa"/>
            <w:vMerge w:val="continue"/>
            <w:tcBorders>
              <w:tl2br w:val="nil"/>
              <w:tr2bl w:val="nil"/>
            </w:tcBorders>
            <w:shd w:val="clear" w:color="auto" w:fill="auto"/>
            <w:vAlign w:val="center"/>
          </w:tcPr>
          <w:p w14:paraId="63D4C3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val="en-US" w:eastAsia="zh-CN" w:bidi="ar"/>
              </w:rPr>
            </w:pPr>
          </w:p>
        </w:tc>
        <w:tc>
          <w:tcPr>
            <w:tcW w:w="6499" w:type="dxa"/>
            <w:tcBorders>
              <w:tl2br w:val="nil"/>
              <w:tr2bl w:val="nil"/>
            </w:tcBorders>
            <w:shd w:val="clear" w:color="auto" w:fill="auto"/>
            <w:vAlign w:val="center"/>
          </w:tcPr>
          <w:p w14:paraId="6D7BF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拟派项目团队成员</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eastAsia="zh-CN"/>
              </w:rPr>
              <w:t>负责人及技术负责人除外</w:t>
            </w:r>
            <w:r>
              <w:rPr>
                <w:rFonts w:hint="eastAsia" w:ascii="仿宋" w:hAnsi="仿宋" w:eastAsia="仿宋" w:cs="仿宋"/>
                <w:b/>
                <w:bCs/>
                <w:color w:val="auto"/>
                <w:sz w:val="24"/>
                <w:szCs w:val="24"/>
                <w:highlight w:val="none"/>
              </w:rPr>
              <w:t>）</w:t>
            </w:r>
          </w:p>
          <w:p w14:paraId="70FE4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具有系统集成项目管理工程师中级及以上、软件设计师中级及以上、网络工程师中级及以上、CISP信息安全认证工程师证书的，每</w:t>
            </w:r>
            <w:r>
              <w:rPr>
                <w:rFonts w:hint="eastAsia" w:ascii="仿宋" w:hAnsi="仿宋" w:eastAsia="仿宋" w:cs="仿宋"/>
                <w:color w:val="auto"/>
                <w:kern w:val="0"/>
                <w:sz w:val="24"/>
                <w:szCs w:val="24"/>
                <w:lang w:val="en-US" w:eastAsia="zh-CN" w:bidi="ar"/>
              </w:rPr>
              <w:t>提供</w:t>
            </w:r>
            <w:r>
              <w:rPr>
                <w:rFonts w:hint="eastAsia" w:ascii="仿宋" w:hAnsi="仿宋" w:eastAsia="仿宋" w:cs="仿宋"/>
                <w:color w:val="auto"/>
                <w:kern w:val="0"/>
                <w:sz w:val="24"/>
                <w:szCs w:val="24"/>
                <w:lang w:bidi="ar"/>
              </w:rPr>
              <w:t>1本证书得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最高得</w:t>
            </w:r>
            <w:r>
              <w:rPr>
                <w:rFonts w:hint="eastAsia" w:ascii="仿宋" w:hAnsi="仿宋" w:eastAsia="仿宋" w:cs="仿宋"/>
                <w:color w:val="auto"/>
                <w:kern w:val="0"/>
                <w:sz w:val="24"/>
                <w:szCs w:val="24"/>
                <w:lang w:val="en-US" w:eastAsia="zh-CN" w:bidi="ar"/>
              </w:rPr>
              <w:t>4</w:t>
            </w:r>
            <w:r>
              <w:rPr>
                <w:rFonts w:hint="eastAsia" w:ascii="仿宋" w:hAnsi="仿宋" w:eastAsia="仿宋" w:cs="仿宋"/>
                <w:color w:val="auto"/>
                <w:kern w:val="0"/>
                <w:sz w:val="24"/>
                <w:szCs w:val="24"/>
                <w:lang w:bidi="ar"/>
              </w:rPr>
              <w:t>分。</w:t>
            </w:r>
          </w:p>
          <w:p w14:paraId="29138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以上同一人员不累计得分，同一人员具有多种证书的按一人算，提供人员清单、资质证书扫描件及2024年10-12月在投标单位社保缴纳证明并加盖CA签章）。</w:t>
            </w:r>
          </w:p>
        </w:tc>
        <w:tc>
          <w:tcPr>
            <w:tcW w:w="861" w:type="dxa"/>
            <w:tcBorders>
              <w:tl2br w:val="nil"/>
              <w:tr2bl w:val="nil"/>
            </w:tcBorders>
            <w:shd w:val="clear" w:color="auto" w:fill="auto"/>
            <w:vAlign w:val="center"/>
          </w:tcPr>
          <w:p w14:paraId="6262FC0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4分</w:t>
            </w:r>
          </w:p>
        </w:tc>
      </w:tr>
      <w:tr w14:paraId="3245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8" w:hRule="atLeast"/>
        </w:trPr>
        <w:tc>
          <w:tcPr>
            <w:tcW w:w="851" w:type="dxa"/>
            <w:tcBorders>
              <w:tl2br w:val="nil"/>
              <w:tr2bl w:val="nil"/>
            </w:tcBorders>
            <w:shd w:val="clear" w:color="auto" w:fill="auto"/>
            <w:vAlign w:val="center"/>
          </w:tcPr>
          <w:p w14:paraId="7326F428">
            <w:pPr>
              <w:keepNext w:val="0"/>
              <w:keepLines w:val="0"/>
              <w:widowControl/>
              <w:suppressLineNumbers w:val="0"/>
              <w:spacing w:before="0" w:beforeAutospacing="0" w:after="0" w:afterAutospacing="0"/>
              <w:ind w:left="0" w:right="0" w:firstLine="240" w:firstLineChars="10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1308" w:type="dxa"/>
            <w:tcBorders>
              <w:tl2br w:val="nil"/>
              <w:tr2bl w:val="nil"/>
            </w:tcBorders>
            <w:shd w:val="clear" w:color="auto" w:fill="auto"/>
            <w:vAlign w:val="center"/>
          </w:tcPr>
          <w:p w14:paraId="69AC1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技术参数与采购需求的符合性</w:t>
            </w:r>
          </w:p>
        </w:tc>
        <w:tc>
          <w:tcPr>
            <w:tcW w:w="6499" w:type="dxa"/>
            <w:tcBorders>
              <w:tl2br w:val="nil"/>
              <w:tr2bl w:val="nil"/>
            </w:tcBorders>
            <w:shd w:val="clear" w:color="auto" w:fill="auto"/>
            <w:vAlign w:val="center"/>
          </w:tcPr>
          <w:p w14:paraId="37E0F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技术参数全部满足招标文件要求得满分</w:t>
            </w:r>
            <w:r>
              <w:rPr>
                <w:rFonts w:hint="eastAsia" w:ascii="仿宋" w:hAnsi="仿宋" w:eastAsia="仿宋" w:cs="仿宋"/>
                <w:color w:val="auto"/>
                <w:kern w:val="0"/>
                <w:sz w:val="24"/>
                <w:szCs w:val="24"/>
                <w:lang w:val="en-US" w:eastAsia="zh-CN" w:bidi="ar"/>
              </w:rPr>
              <w:t>24</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招标文件技术参数中“▲”为重要</w:t>
            </w:r>
            <w:r>
              <w:rPr>
                <w:rFonts w:hint="eastAsia" w:ascii="仿宋" w:hAnsi="仿宋" w:eastAsia="仿宋" w:cs="仿宋"/>
                <w:color w:val="auto"/>
                <w:kern w:val="0"/>
                <w:sz w:val="24"/>
                <w:szCs w:val="24"/>
                <w:lang w:val="en-US" w:eastAsia="zh-CN" w:bidi="ar"/>
              </w:rPr>
              <w:t>技术指标</w:t>
            </w:r>
            <w:r>
              <w:rPr>
                <w:rFonts w:hint="eastAsia" w:ascii="仿宋" w:hAnsi="仿宋" w:eastAsia="仿宋" w:cs="仿宋"/>
                <w:color w:val="auto"/>
                <w:kern w:val="0"/>
                <w:sz w:val="24"/>
                <w:szCs w:val="24"/>
                <w:lang w:bidi="ar"/>
              </w:rPr>
              <w:t>，如出现负偏离每项扣2分；其他</w:t>
            </w:r>
            <w:r>
              <w:rPr>
                <w:rFonts w:hint="eastAsia" w:ascii="仿宋" w:hAnsi="仿宋" w:eastAsia="仿宋" w:cs="仿宋"/>
                <w:color w:val="auto"/>
                <w:kern w:val="0"/>
                <w:sz w:val="24"/>
                <w:szCs w:val="24"/>
                <w:lang w:val="en-US" w:eastAsia="zh-CN" w:bidi="ar"/>
              </w:rPr>
              <w:t>为一般技术指标，如出现负偏离的</w:t>
            </w:r>
            <w:r>
              <w:rPr>
                <w:rFonts w:hint="eastAsia" w:ascii="仿宋" w:hAnsi="仿宋" w:eastAsia="仿宋" w:cs="仿宋"/>
                <w:color w:val="auto"/>
                <w:kern w:val="0"/>
                <w:sz w:val="24"/>
                <w:szCs w:val="24"/>
                <w:lang w:bidi="ar"/>
              </w:rPr>
              <w:t>每项扣1分；扣完为止。</w:t>
            </w:r>
            <w:r>
              <w:rPr>
                <w:rFonts w:hint="eastAsia" w:ascii="仿宋" w:hAnsi="仿宋" w:eastAsia="仿宋" w:cs="仿宋"/>
                <w:b/>
                <w:bCs/>
                <w:color w:val="auto"/>
                <w:kern w:val="0"/>
                <w:sz w:val="24"/>
                <w:szCs w:val="24"/>
                <w:lang w:eastAsia="zh-CN" w:bidi="ar"/>
              </w:rPr>
              <w:t>（</w:t>
            </w:r>
            <w:r>
              <w:rPr>
                <w:rFonts w:hint="eastAsia" w:ascii="仿宋" w:hAnsi="仿宋" w:eastAsia="仿宋" w:cs="仿宋"/>
                <w:b/>
                <w:bCs/>
                <w:color w:val="auto"/>
                <w:kern w:val="0"/>
                <w:sz w:val="24"/>
                <w:szCs w:val="24"/>
                <w:lang w:bidi="ar"/>
              </w:rPr>
              <w:t>投标时</w:t>
            </w:r>
            <w:r>
              <w:rPr>
                <w:rFonts w:hint="eastAsia" w:ascii="仿宋" w:hAnsi="仿宋" w:eastAsia="仿宋" w:cs="仿宋"/>
                <w:b/>
                <w:bCs/>
                <w:color w:val="auto"/>
                <w:kern w:val="0"/>
                <w:sz w:val="24"/>
                <w:szCs w:val="24"/>
                <w:lang w:val="en-US" w:eastAsia="zh-CN" w:bidi="ar"/>
              </w:rPr>
              <w:t>须</w:t>
            </w:r>
            <w:r>
              <w:rPr>
                <w:rFonts w:hint="eastAsia" w:ascii="仿宋" w:hAnsi="仿宋" w:eastAsia="仿宋" w:cs="仿宋"/>
                <w:b/>
                <w:bCs/>
                <w:color w:val="auto"/>
                <w:kern w:val="0"/>
                <w:sz w:val="24"/>
                <w:szCs w:val="24"/>
                <w:lang w:bidi="ar"/>
              </w:rPr>
              <w:t>根据</w:t>
            </w:r>
            <w:r>
              <w:rPr>
                <w:rFonts w:hint="eastAsia" w:ascii="仿宋" w:hAnsi="仿宋" w:eastAsia="仿宋" w:cs="仿宋"/>
                <w:b/>
                <w:bCs/>
                <w:color w:val="auto"/>
                <w:kern w:val="0"/>
                <w:sz w:val="24"/>
                <w:szCs w:val="24"/>
                <w:lang w:val="en-US" w:eastAsia="zh-CN" w:bidi="ar"/>
              </w:rPr>
              <w:t>招标文件要求提供相关证明材料，不提供作负偏离处理，</w:t>
            </w:r>
            <w:r>
              <w:rPr>
                <w:rFonts w:hint="eastAsia" w:ascii="仿宋" w:hAnsi="仿宋" w:eastAsia="仿宋" w:cs="仿宋"/>
                <w:b/>
                <w:bCs/>
                <w:color w:val="auto"/>
                <w:sz w:val="24"/>
                <w:szCs w:val="22"/>
                <w:highlight w:val="none"/>
                <w:lang w:val="en-US" w:eastAsia="zh-CN"/>
              </w:rPr>
              <w:t>所投产品不得缺项、漏项，如有缺项、漏项的本项得0分。）</w:t>
            </w:r>
          </w:p>
        </w:tc>
        <w:tc>
          <w:tcPr>
            <w:tcW w:w="861" w:type="dxa"/>
            <w:tcBorders>
              <w:tl2br w:val="nil"/>
              <w:tr2bl w:val="nil"/>
            </w:tcBorders>
            <w:shd w:val="clear" w:color="auto" w:fill="auto"/>
            <w:vAlign w:val="center"/>
          </w:tcPr>
          <w:p w14:paraId="1015DBA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24分</w:t>
            </w:r>
          </w:p>
        </w:tc>
      </w:tr>
      <w:tr w14:paraId="4391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851" w:type="dxa"/>
            <w:tcBorders>
              <w:tl2br w:val="nil"/>
              <w:tr2bl w:val="nil"/>
            </w:tcBorders>
            <w:shd w:val="clear" w:color="auto" w:fill="auto"/>
            <w:vAlign w:val="center"/>
          </w:tcPr>
          <w:p w14:paraId="760DB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308" w:type="dxa"/>
            <w:tcBorders>
              <w:tl2br w:val="nil"/>
              <w:tr2bl w:val="nil"/>
            </w:tcBorders>
            <w:shd w:val="clear" w:color="auto" w:fill="auto"/>
            <w:vAlign w:val="center"/>
          </w:tcPr>
          <w:p w14:paraId="1CDFCE7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深化设计方案</w:t>
            </w:r>
          </w:p>
        </w:tc>
        <w:tc>
          <w:tcPr>
            <w:tcW w:w="6499" w:type="dxa"/>
            <w:tcBorders>
              <w:tl2br w:val="nil"/>
              <w:tr2bl w:val="nil"/>
            </w:tcBorders>
            <w:shd w:val="clear" w:color="auto" w:fill="auto"/>
            <w:vAlign w:val="center"/>
          </w:tcPr>
          <w:p w14:paraId="24555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根据投标人</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val="en-US" w:eastAsia="zh-CN"/>
              </w:rPr>
              <w:t>的针对</w:t>
            </w:r>
            <w:r>
              <w:rPr>
                <w:rFonts w:hint="eastAsia" w:ascii="仿宋" w:hAnsi="仿宋" w:eastAsia="仿宋" w:cs="仿宋"/>
                <w:b w:val="0"/>
                <w:bCs w:val="0"/>
                <w:color w:val="auto"/>
                <w:sz w:val="24"/>
                <w:szCs w:val="24"/>
                <w:highlight w:val="none"/>
              </w:rPr>
              <w:t>本项目的整体</w:t>
            </w:r>
            <w:r>
              <w:rPr>
                <w:rFonts w:hint="eastAsia" w:ascii="仿宋" w:hAnsi="仿宋" w:eastAsia="仿宋" w:cs="仿宋"/>
                <w:b w:val="0"/>
                <w:bCs w:val="0"/>
                <w:color w:val="auto"/>
                <w:sz w:val="24"/>
                <w:szCs w:val="24"/>
                <w:highlight w:val="none"/>
                <w:lang w:val="en-US" w:eastAsia="zh-CN"/>
              </w:rPr>
              <w:t>深化设计方案（包括整体系统架构、各系统设计方案、</w:t>
            </w:r>
            <w:r>
              <w:rPr>
                <w:rFonts w:hint="eastAsia" w:ascii="仿宋" w:hAnsi="仿宋" w:eastAsia="仿宋" w:cs="仿宋"/>
                <w:b w:val="0"/>
                <w:bCs w:val="0"/>
                <w:color w:val="auto"/>
                <w:sz w:val="24"/>
                <w:szCs w:val="24"/>
                <w:highlight w:val="none"/>
              </w:rPr>
              <w:t>设备组成</w:t>
            </w:r>
            <w:r>
              <w:rPr>
                <w:rFonts w:hint="eastAsia" w:ascii="仿宋" w:hAnsi="仿宋" w:eastAsia="仿宋" w:cs="仿宋"/>
                <w:b w:val="0"/>
                <w:bCs w:val="0"/>
                <w:color w:val="auto"/>
                <w:sz w:val="24"/>
                <w:szCs w:val="24"/>
                <w:highlight w:val="none"/>
                <w:lang w:val="en-US" w:eastAsia="zh-CN"/>
              </w:rPr>
              <w:t>等），评审专家</w:t>
            </w:r>
            <w:r>
              <w:rPr>
                <w:rFonts w:hint="eastAsia" w:ascii="仿宋" w:hAnsi="仿宋" w:eastAsia="仿宋" w:cs="仿宋"/>
                <w:b w:val="0"/>
                <w:bCs w:val="0"/>
                <w:color w:val="auto"/>
                <w:sz w:val="24"/>
                <w:szCs w:val="24"/>
                <w:highlight w:val="none"/>
              </w:rPr>
              <w:t>根据其方案内容的完整性、合理性、</w:t>
            </w:r>
            <w:r>
              <w:rPr>
                <w:rFonts w:hint="eastAsia" w:ascii="仿宋" w:hAnsi="仿宋" w:eastAsia="仿宋" w:cs="仿宋"/>
                <w:b w:val="0"/>
                <w:bCs w:val="0"/>
                <w:color w:val="auto"/>
                <w:sz w:val="24"/>
                <w:szCs w:val="24"/>
                <w:highlight w:val="none"/>
                <w:lang w:val="en-US" w:eastAsia="zh-CN"/>
              </w:rPr>
              <w:t>优越性</w:t>
            </w:r>
            <w:r>
              <w:rPr>
                <w:rFonts w:hint="eastAsia" w:ascii="仿宋" w:hAnsi="仿宋" w:eastAsia="仿宋" w:cs="仿宋"/>
                <w:b w:val="0"/>
                <w:bCs w:val="0"/>
                <w:color w:val="auto"/>
                <w:sz w:val="24"/>
                <w:szCs w:val="24"/>
                <w:highlight w:val="none"/>
              </w:rPr>
              <w:t>等进行综合评审</w:t>
            </w:r>
            <w:r>
              <w:rPr>
                <w:rFonts w:hint="eastAsia" w:ascii="仿宋" w:hAnsi="仿宋" w:eastAsia="仿宋" w:cs="仿宋"/>
                <w:b w:val="0"/>
                <w:bCs w:val="0"/>
                <w:color w:val="auto"/>
                <w:sz w:val="24"/>
                <w:szCs w:val="24"/>
                <w:highlight w:val="none"/>
                <w:lang w:eastAsia="zh-CN"/>
              </w:rPr>
              <w:t>。</w:t>
            </w:r>
          </w:p>
          <w:p w14:paraId="11F173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（满分6分，评分范围6，5.5，5，4.5，4，3.5，3，2.5，2，1.5，1，0.5，0）</w:t>
            </w:r>
          </w:p>
        </w:tc>
        <w:tc>
          <w:tcPr>
            <w:tcW w:w="861" w:type="dxa"/>
            <w:tcBorders>
              <w:tl2br w:val="nil"/>
              <w:tr2bl w:val="nil"/>
            </w:tcBorders>
            <w:shd w:val="clear" w:color="auto" w:fill="auto"/>
            <w:vAlign w:val="center"/>
          </w:tcPr>
          <w:p w14:paraId="2A6C8BD5">
            <w:pPr>
              <w:keepNext w:val="0"/>
              <w:keepLines w:val="0"/>
              <w:suppressLineNumbers w:val="0"/>
              <w:spacing w:before="0" w:beforeAutospacing="0" w:after="0" w:afterAutospacing="0" w:line="320" w:lineRule="exact"/>
              <w:ind w:left="0" w:leftChars="0" w:right="0" w:rightChars="0"/>
              <w:jc w:val="center"/>
              <w:rPr>
                <w:rFonts w:hint="default" w:ascii="仿宋" w:hAnsi="仿宋" w:eastAsia="仿宋" w:cs="仿宋"/>
                <w:bCs/>
                <w:color w:val="auto"/>
                <w:sz w:val="24"/>
                <w:szCs w:val="24"/>
                <w:lang w:val="en-US" w:eastAsia="zh-CN" w:bidi="ar"/>
              </w:rPr>
            </w:pPr>
            <w:r>
              <w:rPr>
                <w:rFonts w:hint="eastAsia" w:ascii="仿宋" w:hAnsi="仿宋" w:eastAsia="仿宋" w:cs="仿宋"/>
                <w:bCs/>
                <w:color w:val="auto"/>
                <w:sz w:val="24"/>
                <w:szCs w:val="24"/>
                <w:lang w:val="en-US" w:eastAsia="zh-CN" w:bidi="ar"/>
              </w:rPr>
              <w:t>6分</w:t>
            </w:r>
          </w:p>
        </w:tc>
      </w:tr>
      <w:tr w14:paraId="697E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7" w:hRule="atLeast"/>
        </w:trPr>
        <w:tc>
          <w:tcPr>
            <w:tcW w:w="851" w:type="dxa"/>
            <w:tcBorders>
              <w:tl2br w:val="nil"/>
              <w:tr2bl w:val="nil"/>
            </w:tcBorders>
            <w:shd w:val="clear" w:color="auto" w:fill="auto"/>
            <w:vAlign w:val="center"/>
          </w:tcPr>
          <w:p w14:paraId="7C7D2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308" w:type="dxa"/>
            <w:vMerge w:val="restart"/>
            <w:tcBorders>
              <w:tl2br w:val="nil"/>
              <w:tr2bl w:val="nil"/>
            </w:tcBorders>
            <w:shd w:val="clear" w:color="auto" w:fill="auto"/>
            <w:vAlign w:val="center"/>
          </w:tcPr>
          <w:p w14:paraId="6D6F29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lang w:bidi="ar"/>
              </w:rPr>
              <w:t>施工组织方案</w:t>
            </w:r>
          </w:p>
        </w:tc>
        <w:tc>
          <w:tcPr>
            <w:tcW w:w="6499" w:type="dxa"/>
            <w:tcBorders>
              <w:tl2br w:val="nil"/>
              <w:tr2bl w:val="nil"/>
            </w:tcBorders>
            <w:shd w:val="clear" w:color="auto" w:fill="auto"/>
            <w:vAlign w:val="center"/>
          </w:tcPr>
          <w:p w14:paraId="48BF8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Style w:val="447"/>
                <w:rFonts w:hint="eastAsia" w:ascii="仿宋" w:hAnsi="仿宋" w:eastAsia="仿宋" w:cs="仿宋"/>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投标人根据采购需求结合自身方案，提供一份完整的项目组织实施方案</w:t>
            </w:r>
            <w:r>
              <w:rPr>
                <w:rStyle w:val="447"/>
                <w:rFonts w:hint="eastAsia" w:ascii="仿宋" w:hAnsi="仿宋" w:eastAsia="仿宋" w:cs="仿宋"/>
                <w:b/>
                <w:bCs/>
                <w:color w:val="auto"/>
                <w:sz w:val="24"/>
                <w:szCs w:val="24"/>
                <w:highlight w:val="none"/>
                <w:lang w:val="en-US" w:eastAsia="zh-CN" w:bidi="ar"/>
              </w:rPr>
              <w:t>（包括供货安排、项目进度安排、各个实施节点的计划、安全作业措施、质量控制措施等）</w:t>
            </w:r>
            <w:r>
              <w:rPr>
                <w:rStyle w:val="447"/>
                <w:rFonts w:hint="eastAsia" w:ascii="仿宋" w:hAnsi="仿宋" w:eastAsia="仿宋" w:cs="仿宋"/>
                <w:color w:val="auto"/>
                <w:sz w:val="24"/>
                <w:szCs w:val="24"/>
                <w:highlight w:val="none"/>
                <w:lang w:val="en-US" w:eastAsia="zh-CN" w:bidi="ar"/>
              </w:rPr>
              <w:t>等内容进行综合评分：</w:t>
            </w:r>
          </w:p>
          <w:p w14:paraId="7BAA0F8F">
            <w:pPr>
              <w:keepNext w:val="0"/>
              <w:keepLines w:val="0"/>
              <w:widowControl/>
              <w:suppressLineNumbers w:val="0"/>
              <w:spacing w:before="0" w:beforeAutospacing="0" w:after="0" w:afterAutospacing="0"/>
              <w:ind w:left="0" w:right="0"/>
              <w:jc w:val="left"/>
              <w:textAlignment w:val="center"/>
              <w:rPr>
                <w:rStyle w:val="447"/>
                <w:rFonts w:hint="eastAsia" w:ascii="仿宋" w:hAnsi="仿宋" w:eastAsia="仿宋" w:cs="仿宋"/>
                <w:b w:val="0"/>
                <w:bCs w:val="0"/>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（1）</w:t>
            </w:r>
            <w:r>
              <w:rPr>
                <w:rStyle w:val="447"/>
                <w:rFonts w:hint="eastAsia" w:ascii="仿宋" w:hAnsi="仿宋" w:eastAsia="仿宋" w:cs="仿宋"/>
                <w:b w:val="0"/>
                <w:bCs w:val="0"/>
                <w:color w:val="auto"/>
                <w:sz w:val="24"/>
                <w:szCs w:val="24"/>
                <w:highlight w:val="none"/>
                <w:lang w:val="en-US" w:eastAsia="zh-CN" w:bidi="ar"/>
              </w:rPr>
              <w:t>供货、项目进度安排（</w:t>
            </w:r>
            <w:r>
              <w:rPr>
                <w:rFonts w:hint="eastAsia" w:ascii="仿宋" w:hAnsi="仿宋" w:eastAsia="仿宋" w:cs="仿宋"/>
                <w:b w:val="0"/>
                <w:bCs w:val="0"/>
                <w:color w:val="auto"/>
                <w:sz w:val="24"/>
                <w:szCs w:val="24"/>
                <w:highlight w:val="none"/>
                <w:lang w:val="en-US" w:eastAsia="zh-CN"/>
              </w:rPr>
              <w:t>评分范围2，1.8，1.6，1.4,1.2，1.0，0.8，0.6，0.4，0.2，0</w:t>
            </w:r>
            <w:r>
              <w:rPr>
                <w:rStyle w:val="447"/>
                <w:rFonts w:hint="eastAsia" w:ascii="仿宋" w:hAnsi="仿宋" w:eastAsia="仿宋" w:cs="仿宋"/>
                <w:b w:val="0"/>
                <w:bCs w:val="0"/>
                <w:color w:val="auto"/>
                <w:sz w:val="24"/>
                <w:szCs w:val="24"/>
                <w:highlight w:val="none"/>
                <w:lang w:val="en-US" w:eastAsia="zh-CN" w:bidi="ar"/>
              </w:rPr>
              <w:t>）；</w:t>
            </w:r>
          </w:p>
          <w:p w14:paraId="04662E39">
            <w:pPr>
              <w:keepNext w:val="0"/>
              <w:keepLines w:val="0"/>
              <w:widowControl/>
              <w:suppressLineNumbers w:val="0"/>
              <w:spacing w:before="0" w:beforeAutospacing="0" w:after="0" w:afterAutospacing="0"/>
              <w:ind w:left="0" w:right="0"/>
              <w:jc w:val="left"/>
              <w:textAlignment w:val="center"/>
              <w:rPr>
                <w:rStyle w:val="447"/>
                <w:rFonts w:hint="eastAsia" w:ascii="仿宋" w:hAnsi="仿宋" w:eastAsia="仿宋" w:cs="仿宋"/>
                <w:b/>
                <w:bCs/>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（2）各个实施节点的计划</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评分范围2，1.8，1.6，1.4,1.2，1.0，0.8，0.6，0.4，0.2，0</w:t>
            </w:r>
            <w:r>
              <w:rPr>
                <w:rStyle w:val="447"/>
                <w:rFonts w:hint="eastAsia" w:ascii="仿宋" w:hAnsi="仿宋" w:eastAsia="仿宋" w:cs="仿宋"/>
                <w:b w:val="0"/>
                <w:bCs w:val="0"/>
                <w:color w:val="auto"/>
                <w:sz w:val="24"/>
                <w:szCs w:val="24"/>
                <w:highlight w:val="none"/>
                <w:lang w:val="en-US" w:eastAsia="zh-CN" w:bidi="ar"/>
              </w:rPr>
              <w:t>）；</w:t>
            </w:r>
          </w:p>
          <w:p w14:paraId="752E29A3">
            <w:pPr>
              <w:keepNext w:val="0"/>
              <w:keepLines w:val="0"/>
              <w:widowControl/>
              <w:suppressLineNumbers w:val="0"/>
              <w:spacing w:before="0" w:beforeAutospacing="0" w:after="0" w:afterAutospacing="0"/>
              <w:ind w:left="0" w:right="0"/>
              <w:jc w:val="left"/>
              <w:textAlignment w:val="center"/>
              <w:rPr>
                <w:rStyle w:val="447"/>
                <w:rFonts w:hint="eastAsia" w:ascii="仿宋" w:hAnsi="仿宋" w:eastAsia="仿宋" w:cs="仿宋"/>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（3）安全作业措施</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评分范围2，1.8，1.6，1.4,1.2，1.0，0.8，0.6，0.4，0.2，0</w:t>
            </w:r>
            <w:r>
              <w:rPr>
                <w:rStyle w:val="447"/>
                <w:rFonts w:hint="eastAsia" w:ascii="仿宋" w:hAnsi="仿宋" w:eastAsia="仿宋" w:cs="仿宋"/>
                <w:b w:val="0"/>
                <w:bCs w:val="0"/>
                <w:color w:val="auto"/>
                <w:sz w:val="24"/>
                <w:szCs w:val="24"/>
                <w:highlight w:val="none"/>
                <w:lang w:val="en-US" w:eastAsia="zh-CN" w:bidi="ar"/>
              </w:rPr>
              <w:t>）；</w:t>
            </w:r>
          </w:p>
          <w:p w14:paraId="4C1402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lang w:val="en-US" w:eastAsia="zh-CN"/>
              </w:rPr>
            </w:pPr>
            <w:r>
              <w:rPr>
                <w:rStyle w:val="447"/>
                <w:rFonts w:hint="eastAsia" w:ascii="仿宋" w:hAnsi="仿宋" w:eastAsia="仿宋" w:cs="仿宋"/>
                <w:color w:val="auto"/>
                <w:sz w:val="24"/>
                <w:szCs w:val="24"/>
                <w:highlight w:val="none"/>
                <w:lang w:val="en-US" w:eastAsia="zh-CN" w:bidi="ar"/>
              </w:rPr>
              <w:t>（4）质量控制措施</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评分范围2，1.8，1.6，1.4,1.2，1.0，0.8，0.6，0.4，0.2，0</w:t>
            </w:r>
            <w:r>
              <w:rPr>
                <w:rStyle w:val="447"/>
                <w:rFonts w:hint="eastAsia" w:ascii="仿宋" w:hAnsi="仿宋" w:eastAsia="仿宋" w:cs="仿宋"/>
                <w:b w:val="0"/>
                <w:bCs w:val="0"/>
                <w:color w:val="auto"/>
                <w:sz w:val="24"/>
                <w:szCs w:val="24"/>
                <w:highlight w:val="none"/>
                <w:lang w:val="en-US" w:eastAsia="zh-CN" w:bidi="ar"/>
              </w:rPr>
              <w:t>）。</w:t>
            </w:r>
          </w:p>
        </w:tc>
        <w:tc>
          <w:tcPr>
            <w:tcW w:w="861" w:type="dxa"/>
            <w:tcBorders>
              <w:tl2br w:val="nil"/>
              <w:tr2bl w:val="nil"/>
            </w:tcBorders>
            <w:shd w:val="clear" w:color="auto" w:fill="auto"/>
            <w:vAlign w:val="center"/>
          </w:tcPr>
          <w:p w14:paraId="6DC55B7C">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8分</w:t>
            </w:r>
          </w:p>
        </w:tc>
      </w:tr>
      <w:tr w14:paraId="0DB8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2" w:hRule="atLeast"/>
        </w:trPr>
        <w:tc>
          <w:tcPr>
            <w:tcW w:w="851" w:type="dxa"/>
            <w:tcBorders>
              <w:tl2br w:val="nil"/>
              <w:tr2bl w:val="nil"/>
            </w:tcBorders>
            <w:shd w:val="clear" w:color="auto" w:fill="auto"/>
            <w:vAlign w:val="center"/>
          </w:tcPr>
          <w:p w14:paraId="2D369A55">
            <w:pPr>
              <w:keepNext w:val="0"/>
              <w:keepLines w:val="0"/>
              <w:widowControl/>
              <w:suppressLineNumbers w:val="0"/>
              <w:spacing w:before="0" w:beforeAutospacing="0" w:after="0" w:afterAutospacing="0"/>
              <w:ind w:left="0" w:right="0"/>
              <w:jc w:val="center"/>
              <w:textAlignment w:val="center"/>
              <w:rPr>
                <w:rFonts w:hint="eastAsia" w:eastAsia="宋体"/>
                <w:color w:val="auto"/>
                <w:szCs w:val="22"/>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1308" w:type="dxa"/>
            <w:vMerge w:val="continue"/>
            <w:tcBorders>
              <w:tl2br w:val="nil"/>
              <w:tr2bl w:val="nil"/>
            </w:tcBorders>
            <w:shd w:val="clear" w:color="auto" w:fill="auto"/>
            <w:vAlign w:val="center"/>
          </w:tcPr>
          <w:p w14:paraId="4AD05D00">
            <w:pPr>
              <w:keepNext w:val="0"/>
              <w:keepLines w:val="0"/>
              <w:widowControl/>
              <w:suppressLineNumbers w:val="0"/>
              <w:spacing w:before="0" w:beforeAutospacing="0" w:after="0" w:afterAutospacing="0"/>
              <w:ind w:left="0" w:right="0"/>
              <w:jc w:val="left"/>
              <w:textAlignment w:val="center"/>
              <w:rPr>
                <w:color w:val="auto"/>
                <w:szCs w:val="22"/>
              </w:rPr>
            </w:pPr>
          </w:p>
        </w:tc>
        <w:tc>
          <w:tcPr>
            <w:tcW w:w="6499" w:type="dxa"/>
            <w:tcBorders>
              <w:tl2br w:val="nil"/>
              <w:tr2bl w:val="nil"/>
            </w:tcBorders>
            <w:shd w:val="clear" w:color="auto" w:fill="auto"/>
            <w:vAlign w:val="center"/>
          </w:tcPr>
          <w:p w14:paraId="056D9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Style w:val="447"/>
                <w:rFonts w:hint="eastAsia" w:ascii="仿宋" w:hAnsi="仿宋" w:eastAsia="仿宋" w:cs="仿宋"/>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根据投标人提供完整、有效的安装调试实施方案</w:t>
            </w:r>
            <w:r>
              <w:rPr>
                <w:rStyle w:val="447"/>
                <w:rFonts w:hint="eastAsia" w:ascii="仿宋" w:hAnsi="仿宋" w:eastAsia="仿宋" w:cs="仿宋"/>
                <w:b/>
                <w:bCs/>
                <w:color w:val="auto"/>
                <w:sz w:val="24"/>
                <w:szCs w:val="24"/>
                <w:highlight w:val="none"/>
                <w:lang w:val="en-US" w:eastAsia="zh-CN" w:bidi="ar"/>
              </w:rPr>
              <w:t>（包括安装调试、测试、技术标准、验收）</w:t>
            </w:r>
            <w:r>
              <w:rPr>
                <w:rStyle w:val="447"/>
                <w:rFonts w:hint="eastAsia" w:ascii="仿宋" w:hAnsi="仿宋" w:eastAsia="仿宋" w:cs="仿宋"/>
                <w:color w:val="auto"/>
                <w:sz w:val="24"/>
                <w:szCs w:val="24"/>
                <w:highlight w:val="none"/>
                <w:lang w:val="en-US" w:eastAsia="zh-CN" w:bidi="ar"/>
              </w:rPr>
              <w:t>等内容进行综合评分：</w:t>
            </w:r>
          </w:p>
          <w:p w14:paraId="7D3A0A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bidi="ar"/>
              </w:rPr>
            </w:pPr>
            <w:r>
              <w:rPr>
                <w:rStyle w:val="447"/>
                <w:rFonts w:hint="eastAsia" w:ascii="仿宋" w:hAnsi="仿宋" w:eastAsia="仿宋" w:cs="仿宋"/>
                <w:color w:val="auto"/>
                <w:sz w:val="24"/>
                <w:szCs w:val="24"/>
                <w:highlight w:val="none"/>
                <w:lang w:val="en-US" w:eastAsia="zh-CN" w:bidi="ar"/>
              </w:rPr>
              <w:t>（满分5分，</w:t>
            </w:r>
            <w:r>
              <w:rPr>
                <w:rFonts w:hint="eastAsia" w:ascii="仿宋" w:hAnsi="仿宋" w:eastAsia="仿宋" w:cs="仿宋"/>
                <w:b w:val="0"/>
                <w:bCs w:val="0"/>
                <w:color w:val="auto"/>
                <w:sz w:val="24"/>
                <w:szCs w:val="24"/>
                <w:highlight w:val="none"/>
                <w:lang w:val="en-US" w:eastAsia="zh-CN"/>
              </w:rPr>
              <w:t>评分范围5，4.5，4，3.5，3，2.5，2，1.5，1，0.5，0</w:t>
            </w:r>
            <w:r>
              <w:rPr>
                <w:rStyle w:val="447"/>
                <w:rFonts w:hint="eastAsia" w:ascii="仿宋" w:hAnsi="仿宋" w:eastAsia="仿宋" w:cs="仿宋"/>
                <w:color w:val="auto"/>
                <w:sz w:val="24"/>
                <w:szCs w:val="24"/>
                <w:highlight w:val="none"/>
                <w:lang w:val="en-US" w:eastAsia="zh-CN" w:bidi="ar"/>
              </w:rPr>
              <w:t>）</w:t>
            </w:r>
          </w:p>
        </w:tc>
        <w:tc>
          <w:tcPr>
            <w:tcW w:w="861" w:type="dxa"/>
            <w:tcBorders>
              <w:tl2br w:val="nil"/>
              <w:tr2bl w:val="nil"/>
            </w:tcBorders>
            <w:shd w:val="clear" w:color="auto" w:fill="auto"/>
            <w:vAlign w:val="center"/>
          </w:tcPr>
          <w:p w14:paraId="730D0E3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5分</w:t>
            </w:r>
          </w:p>
        </w:tc>
      </w:tr>
      <w:tr w14:paraId="34D0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trPr>
        <w:tc>
          <w:tcPr>
            <w:tcW w:w="851" w:type="dxa"/>
            <w:tcBorders>
              <w:tl2br w:val="nil"/>
              <w:tr2bl w:val="nil"/>
            </w:tcBorders>
            <w:shd w:val="clear" w:color="auto" w:fill="auto"/>
            <w:vAlign w:val="center"/>
          </w:tcPr>
          <w:p w14:paraId="636C9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308" w:type="dxa"/>
            <w:vMerge w:val="restart"/>
            <w:tcBorders>
              <w:tl2br w:val="nil"/>
              <w:tr2bl w:val="nil"/>
            </w:tcBorders>
            <w:shd w:val="clear" w:color="auto" w:fill="auto"/>
            <w:vAlign w:val="center"/>
          </w:tcPr>
          <w:p w14:paraId="4245F2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售后服务</w:t>
            </w:r>
          </w:p>
        </w:tc>
        <w:tc>
          <w:tcPr>
            <w:tcW w:w="6499" w:type="dxa"/>
            <w:tcBorders>
              <w:tl2br w:val="nil"/>
              <w:tr2bl w:val="nil"/>
            </w:tcBorders>
            <w:shd w:val="clear" w:color="auto" w:fill="auto"/>
            <w:vAlign w:val="center"/>
          </w:tcPr>
          <w:p w14:paraId="400B74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b/>
                <w:bCs/>
                <w:color w:val="auto"/>
                <w:sz w:val="24"/>
                <w:szCs w:val="24"/>
                <w:highlight w:val="none"/>
                <w:lang w:val="en-US" w:eastAsia="zh-CN"/>
              </w:rPr>
              <w:t>质保期:</w:t>
            </w:r>
            <w:r>
              <w:rPr>
                <w:rFonts w:hint="eastAsia" w:ascii="仿宋" w:hAnsi="仿宋" w:eastAsia="仿宋" w:cs="仿宋"/>
                <w:color w:val="auto"/>
                <w:sz w:val="24"/>
                <w:szCs w:val="24"/>
                <w:highlight w:val="none"/>
              </w:rPr>
              <w:t>在招标文件要求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的基础上，每增加一年</w:t>
            </w:r>
            <w:r>
              <w:rPr>
                <w:rFonts w:hint="eastAsia" w:ascii="仿宋" w:hAnsi="仿宋" w:eastAsia="仿宋" w:cs="仿宋"/>
                <w:color w:val="auto"/>
                <w:sz w:val="24"/>
                <w:szCs w:val="24"/>
                <w:highlight w:val="none"/>
                <w:lang w:val="en-US" w:eastAsia="zh-CN"/>
              </w:rPr>
              <w:t>得2</w:t>
            </w:r>
            <w:r>
              <w:rPr>
                <w:rFonts w:hint="eastAsia" w:ascii="仿宋" w:hAnsi="仿宋" w:eastAsia="仿宋" w:cs="仿宋"/>
                <w:color w:val="auto"/>
                <w:sz w:val="24"/>
                <w:szCs w:val="24"/>
                <w:highlight w:val="none"/>
              </w:rPr>
              <w:t>分，最多</w:t>
            </w:r>
            <w:r>
              <w:rPr>
                <w:rFonts w:hint="eastAsia" w:ascii="仿宋" w:hAnsi="仿宋" w:eastAsia="仿宋" w:cs="仿宋"/>
                <w:color w:val="auto"/>
                <w:sz w:val="24"/>
                <w:szCs w:val="24"/>
                <w:highlight w:val="none"/>
                <w:lang w:val="en-US" w:eastAsia="zh-CN"/>
              </w:rPr>
              <w:t>得4</w:t>
            </w:r>
            <w:r>
              <w:rPr>
                <w:rFonts w:hint="eastAsia" w:ascii="仿宋" w:hAnsi="仿宋" w:eastAsia="仿宋" w:cs="仿宋"/>
                <w:color w:val="auto"/>
                <w:sz w:val="24"/>
                <w:szCs w:val="24"/>
                <w:highlight w:val="none"/>
              </w:rPr>
              <w:t>分。</w:t>
            </w:r>
          </w:p>
        </w:tc>
        <w:tc>
          <w:tcPr>
            <w:tcW w:w="861" w:type="dxa"/>
            <w:tcBorders>
              <w:tl2br w:val="nil"/>
              <w:tr2bl w:val="nil"/>
            </w:tcBorders>
            <w:shd w:val="clear" w:color="auto" w:fill="auto"/>
            <w:vAlign w:val="center"/>
          </w:tcPr>
          <w:p w14:paraId="6F9008EB">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r>
      <w:tr w14:paraId="28D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8" w:hRule="atLeast"/>
        </w:trPr>
        <w:tc>
          <w:tcPr>
            <w:tcW w:w="851" w:type="dxa"/>
            <w:tcBorders>
              <w:tl2br w:val="nil"/>
              <w:tr2bl w:val="nil"/>
            </w:tcBorders>
            <w:shd w:val="clear" w:color="auto" w:fill="auto"/>
            <w:vAlign w:val="center"/>
          </w:tcPr>
          <w:p w14:paraId="25037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308" w:type="dxa"/>
            <w:vMerge w:val="continue"/>
            <w:tcBorders>
              <w:tl2br w:val="nil"/>
              <w:tr2bl w:val="nil"/>
            </w:tcBorders>
            <w:shd w:val="clear" w:color="auto" w:fill="auto"/>
            <w:vAlign w:val="center"/>
          </w:tcPr>
          <w:p w14:paraId="0991AEC1">
            <w:pPr>
              <w:keepNext w:val="0"/>
              <w:keepLines w:val="0"/>
              <w:widowControl/>
              <w:suppressLineNumbers w:val="0"/>
              <w:spacing w:before="0" w:beforeAutospacing="0" w:after="0" w:afterAutospacing="0"/>
              <w:ind w:left="0" w:right="0"/>
              <w:jc w:val="left"/>
              <w:textAlignment w:val="center"/>
              <w:rPr>
                <w:color w:val="auto"/>
                <w:szCs w:val="22"/>
              </w:rPr>
            </w:pPr>
          </w:p>
        </w:tc>
        <w:tc>
          <w:tcPr>
            <w:tcW w:w="6499" w:type="dxa"/>
            <w:tcBorders>
              <w:tl2br w:val="nil"/>
              <w:tr2bl w:val="nil"/>
            </w:tcBorders>
            <w:shd w:val="clear" w:color="auto" w:fill="auto"/>
            <w:vAlign w:val="center"/>
          </w:tcPr>
          <w:p w14:paraId="1CBA52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售后服务负责人</w:t>
            </w:r>
            <w:r>
              <w:rPr>
                <w:rFonts w:hint="eastAsia" w:ascii="仿宋" w:hAnsi="仿宋" w:eastAsia="仿宋" w:cs="仿宋"/>
                <w:b/>
                <w:bCs/>
                <w:color w:val="auto"/>
                <w:kern w:val="0"/>
                <w:sz w:val="24"/>
                <w:szCs w:val="24"/>
                <w:lang w:eastAsia="zh-CN" w:bidi="ar"/>
              </w:rPr>
              <w:t>（</w:t>
            </w:r>
            <w:r>
              <w:rPr>
                <w:rFonts w:hint="eastAsia" w:ascii="仿宋" w:hAnsi="仿宋" w:eastAsia="仿宋" w:cs="仿宋"/>
                <w:b/>
                <w:bCs/>
                <w:color w:val="auto"/>
                <w:kern w:val="0"/>
                <w:sz w:val="24"/>
                <w:szCs w:val="24"/>
                <w:lang w:val="en-US" w:eastAsia="zh-CN" w:bidi="ar"/>
              </w:rPr>
              <w:t>1人）</w:t>
            </w:r>
          </w:p>
          <w:p w14:paraId="7C677E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具有高级通信工程师（互联网技术）</w:t>
            </w:r>
            <w:r>
              <w:rPr>
                <w:rFonts w:hint="eastAsia" w:ascii="仿宋" w:hAnsi="仿宋" w:eastAsia="仿宋" w:cs="仿宋"/>
                <w:color w:val="auto"/>
                <w:kern w:val="0"/>
                <w:sz w:val="24"/>
                <w:szCs w:val="24"/>
                <w:lang w:val="en-US" w:eastAsia="zh-CN" w:bidi="ar"/>
              </w:rPr>
              <w:t>的得1分；</w:t>
            </w:r>
          </w:p>
          <w:p w14:paraId="6FA8F1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（2）具有</w:t>
            </w:r>
            <w:r>
              <w:rPr>
                <w:rFonts w:hint="eastAsia" w:ascii="仿宋" w:hAnsi="仿宋" w:eastAsia="仿宋" w:cs="仿宋"/>
                <w:color w:val="auto"/>
                <w:kern w:val="0"/>
                <w:sz w:val="24"/>
                <w:szCs w:val="24"/>
                <w:lang w:bidi="ar"/>
              </w:rPr>
              <w:t>计算机网络管理员（一级）</w:t>
            </w:r>
            <w:r>
              <w:rPr>
                <w:rFonts w:hint="eastAsia" w:ascii="仿宋" w:hAnsi="仿宋" w:eastAsia="仿宋" w:cs="仿宋"/>
                <w:color w:val="auto"/>
                <w:kern w:val="0"/>
                <w:sz w:val="24"/>
                <w:szCs w:val="24"/>
                <w:lang w:val="en-US" w:eastAsia="zh-CN" w:bidi="ar"/>
              </w:rPr>
              <w:t>的得1分。</w:t>
            </w:r>
          </w:p>
          <w:p w14:paraId="1589A7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b/>
                <w:bCs/>
                <w:color w:val="auto"/>
                <w:sz w:val="24"/>
                <w:szCs w:val="24"/>
                <w:highlight w:val="none"/>
                <w:lang w:val="en-US" w:eastAsia="zh-CN"/>
              </w:rPr>
              <w:t>（提供证书扫描件及2024年10-12月在投标人社保缴纳证明并加盖CA签章）。</w:t>
            </w:r>
          </w:p>
        </w:tc>
        <w:tc>
          <w:tcPr>
            <w:tcW w:w="861" w:type="dxa"/>
            <w:tcBorders>
              <w:tl2br w:val="nil"/>
              <w:tr2bl w:val="nil"/>
            </w:tcBorders>
            <w:shd w:val="clear" w:color="auto" w:fill="auto"/>
            <w:vAlign w:val="center"/>
          </w:tcPr>
          <w:p w14:paraId="736D6A0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2分</w:t>
            </w:r>
          </w:p>
        </w:tc>
      </w:tr>
      <w:tr w14:paraId="5D2E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8" w:hRule="atLeast"/>
        </w:trPr>
        <w:tc>
          <w:tcPr>
            <w:tcW w:w="851" w:type="dxa"/>
            <w:tcBorders>
              <w:tl2br w:val="nil"/>
              <w:tr2bl w:val="nil"/>
            </w:tcBorders>
            <w:shd w:val="clear" w:color="auto" w:fill="auto"/>
            <w:vAlign w:val="center"/>
          </w:tcPr>
          <w:p w14:paraId="21B52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308" w:type="dxa"/>
            <w:vMerge w:val="continue"/>
            <w:tcBorders>
              <w:tl2br w:val="nil"/>
              <w:tr2bl w:val="nil"/>
            </w:tcBorders>
            <w:shd w:val="clear" w:color="auto" w:fill="auto"/>
            <w:vAlign w:val="center"/>
          </w:tcPr>
          <w:p w14:paraId="12628793">
            <w:pPr>
              <w:keepNext w:val="0"/>
              <w:keepLines w:val="0"/>
              <w:widowControl/>
              <w:suppressLineNumbers w:val="0"/>
              <w:spacing w:before="0" w:beforeAutospacing="0" w:after="0" w:afterAutospacing="0"/>
              <w:ind w:left="0" w:right="0"/>
              <w:jc w:val="left"/>
              <w:textAlignment w:val="center"/>
              <w:rPr>
                <w:szCs w:val="22"/>
              </w:rPr>
            </w:pPr>
          </w:p>
        </w:tc>
        <w:tc>
          <w:tcPr>
            <w:tcW w:w="6499" w:type="dxa"/>
            <w:tcBorders>
              <w:tl2br w:val="nil"/>
              <w:tr2bl w:val="nil"/>
            </w:tcBorders>
            <w:shd w:val="clear" w:color="auto" w:fill="auto"/>
            <w:vAlign w:val="center"/>
          </w:tcPr>
          <w:p w14:paraId="1FC61A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根据投标人提供的售后服务方案</w:t>
            </w:r>
            <w:r>
              <w:rPr>
                <w:rFonts w:hint="eastAsia" w:ascii="仿宋" w:hAnsi="仿宋" w:eastAsia="仿宋" w:cs="仿宋"/>
                <w:b/>
                <w:bCs/>
                <w:i w:val="0"/>
                <w:iCs w:val="0"/>
                <w:color w:val="auto"/>
                <w:kern w:val="2"/>
                <w:sz w:val="24"/>
                <w:szCs w:val="24"/>
                <w:highlight w:val="none"/>
                <w:vertAlign w:val="baseline"/>
                <w:lang w:val="en-US" w:eastAsia="zh-CN" w:bidi="ar-SA"/>
              </w:rPr>
              <w:t>（</w:t>
            </w:r>
            <w:r>
              <w:rPr>
                <w:rFonts w:hint="default" w:ascii="仿宋" w:hAnsi="仿宋" w:eastAsia="仿宋" w:cs="仿宋"/>
                <w:b/>
                <w:bCs/>
                <w:i w:val="0"/>
                <w:iCs w:val="0"/>
                <w:color w:val="auto"/>
                <w:kern w:val="2"/>
                <w:sz w:val="24"/>
                <w:szCs w:val="24"/>
                <w:highlight w:val="none"/>
                <w:vertAlign w:val="baseline"/>
                <w:lang w:val="en-US" w:eastAsia="zh-CN" w:bidi="ar-SA"/>
              </w:rPr>
              <w:t>包括但不限</w:t>
            </w:r>
            <w:r>
              <w:rPr>
                <w:rFonts w:hint="eastAsia" w:ascii="仿宋" w:hAnsi="仿宋" w:eastAsia="仿宋" w:cs="仿宋"/>
                <w:b/>
                <w:bCs/>
                <w:i w:val="0"/>
                <w:iCs w:val="0"/>
                <w:color w:val="auto"/>
                <w:kern w:val="2"/>
                <w:sz w:val="24"/>
                <w:szCs w:val="24"/>
                <w:highlight w:val="none"/>
                <w:vertAlign w:val="baseline"/>
                <w:lang w:val="en-US" w:eastAsia="zh-CN" w:bidi="ar-SA"/>
              </w:rPr>
              <w:t>于</w:t>
            </w:r>
            <w:r>
              <w:rPr>
                <w:rFonts w:hint="default" w:ascii="仿宋" w:hAnsi="仿宋" w:eastAsia="仿宋" w:cs="仿宋"/>
                <w:b/>
                <w:bCs/>
                <w:i w:val="0"/>
                <w:iCs w:val="0"/>
                <w:color w:val="auto"/>
                <w:kern w:val="2"/>
                <w:sz w:val="24"/>
                <w:szCs w:val="24"/>
                <w:highlight w:val="none"/>
                <w:vertAlign w:val="baseline"/>
                <w:lang w:val="en-US" w:eastAsia="zh-CN" w:bidi="ar-SA"/>
              </w:rPr>
              <w:t>售后服务机构</w:t>
            </w:r>
            <w:r>
              <w:rPr>
                <w:rFonts w:hint="eastAsia" w:ascii="仿宋" w:hAnsi="仿宋" w:eastAsia="仿宋" w:cs="仿宋"/>
                <w:b/>
                <w:bCs/>
                <w:i w:val="0"/>
                <w:iCs w:val="0"/>
                <w:color w:val="auto"/>
                <w:kern w:val="2"/>
                <w:sz w:val="24"/>
                <w:szCs w:val="24"/>
                <w:highlight w:val="none"/>
                <w:vertAlign w:val="baseline"/>
                <w:lang w:val="en-US" w:eastAsia="zh-CN" w:bidi="ar-SA"/>
              </w:rPr>
              <w:t>设置</w:t>
            </w:r>
            <w:r>
              <w:rPr>
                <w:rFonts w:hint="default" w:ascii="仿宋" w:hAnsi="仿宋" w:eastAsia="仿宋" w:cs="仿宋"/>
                <w:b/>
                <w:bCs/>
                <w:i w:val="0"/>
                <w:iCs w:val="0"/>
                <w:color w:val="auto"/>
                <w:kern w:val="2"/>
                <w:sz w:val="24"/>
                <w:szCs w:val="24"/>
                <w:highlight w:val="none"/>
                <w:vertAlign w:val="baseline"/>
                <w:lang w:val="en-US" w:eastAsia="zh-CN" w:bidi="ar-SA"/>
              </w:rPr>
              <w:t>、</w:t>
            </w:r>
            <w:r>
              <w:rPr>
                <w:rFonts w:hint="eastAsia" w:ascii="仿宋" w:hAnsi="仿宋" w:eastAsia="仿宋" w:cs="仿宋"/>
                <w:b/>
                <w:bCs/>
                <w:i w:val="0"/>
                <w:iCs w:val="0"/>
                <w:color w:val="auto"/>
                <w:kern w:val="2"/>
                <w:sz w:val="24"/>
                <w:szCs w:val="24"/>
                <w:highlight w:val="none"/>
                <w:vertAlign w:val="baseline"/>
                <w:lang w:val="en-US" w:eastAsia="zh-CN" w:bidi="ar-SA"/>
              </w:rPr>
              <w:t>故障响应时间、培训方案、</w:t>
            </w:r>
            <w:r>
              <w:rPr>
                <w:rFonts w:hint="default" w:ascii="仿宋" w:hAnsi="仿宋" w:eastAsia="仿宋" w:cs="仿宋"/>
                <w:b/>
                <w:bCs/>
                <w:i w:val="0"/>
                <w:iCs w:val="0"/>
                <w:color w:val="auto"/>
                <w:kern w:val="2"/>
                <w:sz w:val="24"/>
                <w:szCs w:val="24"/>
                <w:highlight w:val="none"/>
                <w:vertAlign w:val="baseline"/>
                <w:lang w:val="en-US" w:eastAsia="zh-CN" w:bidi="ar-SA"/>
              </w:rPr>
              <w:t>应急处理措施、巡检、维保、回访服务制度、</w:t>
            </w:r>
            <w:r>
              <w:rPr>
                <w:rFonts w:hint="eastAsia" w:ascii="仿宋" w:hAnsi="仿宋" w:eastAsia="仿宋" w:cs="仿宋"/>
                <w:b/>
                <w:bCs/>
                <w:i w:val="0"/>
                <w:iCs w:val="0"/>
                <w:color w:val="auto"/>
                <w:kern w:val="2"/>
                <w:sz w:val="24"/>
                <w:szCs w:val="24"/>
                <w:highlight w:val="none"/>
                <w:vertAlign w:val="baseline"/>
                <w:lang w:val="en-US" w:eastAsia="zh-CN" w:bidi="ar-SA"/>
              </w:rPr>
              <w:t>备品备件</w:t>
            </w:r>
            <w:r>
              <w:rPr>
                <w:rFonts w:hint="default" w:ascii="仿宋" w:hAnsi="仿宋" w:eastAsia="仿宋" w:cs="仿宋"/>
                <w:b/>
                <w:bCs/>
                <w:i w:val="0"/>
                <w:iCs w:val="0"/>
                <w:color w:val="auto"/>
                <w:kern w:val="2"/>
                <w:sz w:val="24"/>
                <w:szCs w:val="24"/>
                <w:highlight w:val="none"/>
                <w:vertAlign w:val="baseline"/>
                <w:lang w:val="en-US" w:eastAsia="zh-CN" w:bidi="ar-SA"/>
              </w:rPr>
              <w:t>等</w:t>
            </w:r>
            <w:r>
              <w:rPr>
                <w:rFonts w:hint="eastAsia" w:ascii="仿宋" w:hAnsi="仿宋" w:eastAsia="仿宋" w:cs="仿宋"/>
                <w:b w:val="0"/>
                <w:bCs w:val="0"/>
                <w:i w:val="0"/>
                <w:iCs w:val="0"/>
                <w:color w:val="auto"/>
                <w:kern w:val="2"/>
                <w:sz w:val="24"/>
                <w:szCs w:val="24"/>
                <w:highlight w:val="none"/>
                <w:vertAlign w:val="baseline"/>
                <w:lang w:val="en-US" w:eastAsia="zh-CN" w:bidi="ar-SA"/>
              </w:rPr>
              <w:t>），评审专家根据方案的完整性、合理性等进行综合评分。</w:t>
            </w:r>
          </w:p>
          <w:p w14:paraId="620F2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Style w:val="447"/>
                <w:rFonts w:hint="eastAsia" w:ascii="仿宋" w:hAnsi="仿宋" w:eastAsia="仿宋" w:cs="仿宋"/>
                <w:b w:val="0"/>
                <w:bCs w:val="0"/>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（1）售后服务机构设置</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p w14:paraId="08FA3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Style w:val="447"/>
                <w:rFonts w:hint="eastAsia" w:ascii="仿宋" w:hAnsi="仿宋" w:eastAsia="仿宋" w:cs="仿宋"/>
                <w:b/>
                <w:bCs/>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（2）故障响应时间</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p w14:paraId="18D2C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Style w:val="447"/>
                <w:rFonts w:hint="eastAsia" w:ascii="仿宋" w:hAnsi="仿宋" w:eastAsia="仿宋" w:cs="仿宋"/>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（3）培训方案</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p w14:paraId="6DA925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Style w:val="447"/>
                <w:rFonts w:hint="eastAsia" w:ascii="仿宋" w:hAnsi="仿宋" w:eastAsia="仿宋" w:cs="仿宋"/>
                <w:b w:val="0"/>
                <w:bCs w:val="0"/>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（4）应急处理措施</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p w14:paraId="29BA8D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Style w:val="447"/>
                <w:rFonts w:hint="eastAsia" w:ascii="仿宋" w:hAnsi="仿宋" w:eastAsia="仿宋" w:cs="仿宋"/>
                <w:b w:val="0"/>
                <w:bCs w:val="0"/>
                <w:color w:val="auto"/>
                <w:sz w:val="24"/>
                <w:szCs w:val="24"/>
                <w:highlight w:val="none"/>
                <w:lang w:val="en-US" w:eastAsia="zh-CN" w:bidi="ar"/>
              </w:rPr>
            </w:pPr>
            <w:r>
              <w:rPr>
                <w:rStyle w:val="447"/>
                <w:rFonts w:hint="eastAsia" w:ascii="仿宋" w:hAnsi="仿宋" w:eastAsia="仿宋" w:cs="仿宋"/>
                <w:color w:val="auto"/>
                <w:sz w:val="24"/>
                <w:szCs w:val="24"/>
                <w:highlight w:val="none"/>
                <w:lang w:val="en-US" w:eastAsia="zh-CN" w:bidi="ar"/>
              </w:rPr>
              <w:t>（5）巡检、维保、回访服务制度</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p w14:paraId="2196B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 w:hAnsi="仿宋" w:eastAsia="仿宋" w:cs="仿宋"/>
                <w:color w:val="000000"/>
                <w:kern w:val="0"/>
                <w:sz w:val="24"/>
                <w:szCs w:val="24"/>
                <w:lang w:bidi="ar"/>
              </w:rPr>
            </w:pPr>
            <w:r>
              <w:rPr>
                <w:rStyle w:val="447"/>
                <w:rFonts w:hint="eastAsia" w:ascii="仿宋" w:hAnsi="仿宋" w:eastAsia="仿宋" w:cs="仿宋"/>
                <w:color w:val="auto"/>
                <w:sz w:val="24"/>
                <w:szCs w:val="24"/>
                <w:highlight w:val="none"/>
                <w:lang w:val="en-US" w:eastAsia="zh-CN" w:bidi="ar"/>
              </w:rPr>
              <w:t>（6）备品备件</w:t>
            </w:r>
            <w:r>
              <w:rPr>
                <w:rStyle w:val="447"/>
                <w:rFonts w:hint="eastAsia" w:ascii="仿宋" w:hAnsi="仿宋" w:eastAsia="仿宋" w:cs="仿宋"/>
                <w:b w:val="0"/>
                <w:bCs w:val="0"/>
                <w:color w:val="auto"/>
                <w:sz w:val="24"/>
                <w:szCs w:val="24"/>
                <w:highlight w:val="none"/>
                <w:lang w:val="en-US" w:eastAsia="zh-CN" w:bidi="ar"/>
              </w:rPr>
              <w:t>（</w:t>
            </w:r>
            <w:r>
              <w:rPr>
                <w:rFonts w:hint="eastAsia" w:ascii="仿宋" w:hAnsi="仿宋" w:eastAsia="仿宋" w:cs="仿宋"/>
                <w:b w:val="0"/>
                <w:bCs w:val="0"/>
                <w:color w:val="auto"/>
                <w:sz w:val="24"/>
                <w:szCs w:val="24"/>
                <w:highlight w:val="none"/>
                <w:lang w:val="en-US" w:eastAsia="zh-CN"/>
              </w:rPr>
              <w:t>评分范围1，0.8，0.6，0.4，0.2，0</w:t>
            </w:r>
            <w:r>
              <w:rPr>
                <w:rStyle w:val="447"/>
                <w:rFonts w:hint="eastAsia" w:ascii="仿宋" w:hAnsi="仿宋" w:eastAsia="仿宋" w:cs="仿宋"/>
                <w:b w:val="0"/>
                <w:bCs w:val="0"/>
                <w:color w:val="auto"/>
                <w:sz w:val="24"/>
                <w:szCs w:val="24"/>
                <w:highlight w:val="none"/>
                <w:lang w:val="en-US" w:eastAsia="zh-CN" w:bidi="ar"/>
              </w:rPr>
              <w:t>）。</w:t>
            </w:r>
          </w:p>
        </w:tc>
        <w:tc>
          <w:tcPr>
            <w:tcW w:w="861" w:type="dxa"/>
            <w:tcBorders>
              <w:tl2br w:val="nil"/>
              <w:tr2bl w:val="nil"/>
            </w:tcBorders>
            <w:shd w:val="clear" w:color="auto" w:fill="auto"/>
            <w:vAlign w:val="center"/>
          </w:tcPr>
          <w:p w14:paraId="59683B7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6分</w:t>
            </w:r>
          </w:p>
        </w:tc>
      </w:tr>
    </w:tbl>
    <w:p w14:paraId="7D78348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注：商务技术分低于42分的（商务技术分值的60%），视为采购人不能接受的附加条件。</w:t>
      </w:r>
    </w:p>
    <w:p w14:paraId="5C19DA7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价格部分</w:t>
      </w:r>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分</w:t>
      </w:r>
    </w:p>
    <w:p w14:paraId="2AD2280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评标基准价：</w:t>
      </w:r>
      <w:r>
        <w:rPr>
          <w:rFonts w:hint="eastAsia" w:ascii="仿宋" w:hAnsi="仿宋" w:eastAsia="仿宋" w:cs="仿宋"/>
          <w:color w:val="auto"/>
          <w:sz w:val="24"/>
          <w:szCs w:val="24"/>
        </w:rPr>
        <w:t>价格分采用低价优先法计算，</w:t>
      </w:r>
      <w:r>
        <w:rPr>
          <w:rFonts w:hint="eastAsia" w:ascii="仿宋" w:hAnsi="仿宋" w:eastAsia="仿宋" w:cs="仿宋"/>
          <w:color w:val="auto"/>
          <w:kern w:val="0"/>
          <w:sz w:val="24"/>
          <w:szCs w:val="24"/>
        </w:rPr>
        <w:t>以有效投标人的最低</w:t>
      </w:r>
      <w:r>
        <w:rPr>
          <w:rFonts w:hint="eastAsia" w:ascii="仿宋" w:hAnsi="仿宋" w:eastAsia="仿宋" w:cs="仿宋"/>
          <w:color w:val="auto"/>
          <w:kern w:val="0"/>
          <w:sz w:val="24"/>
          <w:szCs w:val="24"/>
          <w:lang w:val="en-US" w:eastAsia="zh-CN"/>
        </w:rPr>
        <w:t>投标报价</w:t>
      </w:r>
      <w:r>
        <w:rPr>
          <w:rFonts w:hint="eastAsia" w:ascii="仿宋" w:hAnsi="仿宋" w:eastAsia="仿宋" w:cs="仿宋"/>
          <w:color w:val="auto"/>
          <w:kern w:val="0"/>
          <w:sz w:val="24"/>
          <w:szCs w:val="24"/>
        </w:rPr>
        <w:t>为评标基准价，其价格分为满分。</w:t>
      </w:r>
    </w:p>
    <w:p w14:paraId="2D40E9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其他投标人的价格分统一按照下列公式计算：</w:t>
      </w:r>
    </w:p>
    <w:p w14:paraId="7F2D487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投标报价得分=(评标基准价／投标报价)×</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%×100</w:t>
      </w:r>
    </w:p>
    <w:p w14:paraId="53CF874E">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rPr>
          <w:rFonts w:hint="eastAsia" w:ascii="仿宋" w:hAnsi="仿宋" w:eastAsia="仿宋" w:cs="仿宋"/>
          <w:b/>
          <w:bCs/>
          <w:color w:val="0000FF"/>
          <w:sz w:val="24"/>
          <w:szCs w:val="24"/>
          <w:highlight w:val="none"/>
        </w:rPr>
      </w:pPr>
      <w:r>
        <w:rPr>
          <w:rFonts w:hint="eastAsia" w:ascii="仿宋" w:hAnsi="仿宋" w:eastAsia="仿宋" w:cs="仿宋"/>
          <w:b/>
          <w:bCs w:val="0"/>
          <w:iCs/>
          <w:color w:val="000000" w:themeColor="text1"/>
          <w:sz w:val="24"/>
          <w:lang w:eastAsia="zh-CN"/>
          <w14:textFill>
            <w14:solidFill>
              <w14:schemeClr w14:val="tx1"/>
            </w14:solidFill>
          </w14:textFill>
        </w:rPr>
        <w:t>本项目风险控制价为</w:t>
      </w:r>
      <w:r>
        <w:rPr>
          <w:rFonts w:hint="eastAsia" w:ascii="仿宋" w:hAnsi="仿宋" w:eastAsia="仿宋" w:cs="仿宋"/>
          <w:b/>
          <w:color w:val="000000" w:themeColor="text1"/>
          <w:sz w:val="24"/>
          <w:lang w:val="en-US" w:eastAsia="zh-CN"/>
          <w14:textFill>
            <w14:solidFill>
              <w14:schemeClr w14:val="tx1"/>
            </w14:solidFill>
          </w14:textFill>
        </w:rPr>
        <w:t>1711323</w:t>
      </w:r>
      <w:r>
        <w:rPr>
          <w:rFonts w:hint="eastAsia" w:ascii="仿宋" w:hAnsi="仿宋" w:eastAsia="仿宋" w:cs="仿宋"/>
          <w:b/>
          <w:bCs w:val="0"/>
          <w:iCs/>
          <w:color w:val="000000" w:themeColor="text1"/>
          <w:sz w:val="24"/>
          <w:lang w:val="en-US" w:eastAsia="zh-CN"/>
          <w14:textFill>
            <w14:solidFill>
              <w14:schemeClr w14:val="tx1"/>
            </w14:solidFill>
          </w14:textFill>
        </w:rPr>
        <w:t>元</w:t>
      </w:r>
      <w:r>
        <w:rPr>
          <w:rFonts w:hint="eastAsia" w:ascii="仿宋" w:hAnsi="仿宋" w:eastAsia="仿宋" w:cs="仿宋"/>
          <w:b/>
          <w:bCs w:val="0"/>
          <w:iCs/>
          <w:color w:val="000000" w:themeColor="text1"/>
          <w:sz w:val="24"/>
          <w:lang w:eastAsia="zh-CN"/>
          <w14:textFill>
            <w14:solidFill>
              <w14:schemeClr w14:val="tx1"/>
            </w14:solidFill>
          </w14:textFill>
        </w:rPr>
        <w:t>（预算金额的</w:t>
      </w:r>
      <w:r>
        <w:rPr>
          <w:rFonts w:hint="eastAsia" w:ascii="仿宋" w:hAnsi="仿宋" w:eastAsia="仿宋" w:cs="仿宋"/>
          <w:b/>
          <w:bCs w:val="0"/>
          <w:iCs/>
          <w:color w:val="000000" w:themeColor="text1"/>
          <w:sz w:val="24"/>
          <w:lang w:val="en-US" w:eastAsia="zh-CN"/>
          <w14:textFill>
            <w14:solidFill>
              <w14:schemeClr w14:val="tx1"/>
            </w14:solidFill>
          </w14:textFill>
        </w:rPr>
        <w:t>80%</w:t>
      </w:r>
      <w:r>
        <w:rPr>
          <w:rFonts w:hint="eastAsia" w:ascii="仿宋" w:hAnsi="仿宋" w:eastAsia="仿宋" w:cs="仿宋"/>
          <w:b/>
          <w:bCs w:val="0"/>
          <w:iCs/>
          <w:color w:val="000000" w:themeColor="text1"/>
          <w:sz w:val="24"/>
          <w:lang w:eastAsia="zh-CN"/>
          <w14:textFill>
            <w14:solidFill>
              <w14:schemeClr w14:val="tx1"/>
            </w14:solidFill>
          </w14:textFill>
        </w:rPr>
        <w:t>）</w:t>
      </w:r>
      <w:r>
        <w:rPr>
          <w:rFonts w:hint="eastAsia" w:ascii="仿宋" w:hAnsi="仿宋" w:eastAsia="仿宋" w:cs="仿宋"/>
          <w:b/>
          <w:bCs w:val="0"/>
          <w:iCs/>
          <w:color w:val="000000" w:themeColor="text1"/>
          <w:sz w:val="24"/>
          <w:lang w:val="en-US" w:eastAsia="zh-CN"/>
          <w14:textFill>
            <w14:solidFill>
              <w14:schemeClr w14:val="tx1"/>
            </w14:solidFill>
          </w14:textFill>
        </w:rPr>
        <w:t>。</w:t>
      </w:r>
      <w:r>
        <w:rPr>
          <w:rFonts w:hint="eastAsia" w:ascii="仿宋" w:hAnsi="仿宋" w:eastAsia="仿宋" w:cs="仿宋"/>
          <w:b/>
          <w:bCs w:val="0"/>
          <w:iCs/>
          <w:color w:val="000000" w:themeColor="text1"/>
          <w:sz w:val="24"/>
          <w14:textFill>
            <w14:solidFill>
              <w14:schemeClr w14:val="tx1"/>
            </w14:solidFill>
          </w14:textFill>
        </w:rPr>
        <w:t>凡低于该风险控制价</w:t>
      </w:r>
      <w:r>
        <w:rPr>
          <w:rFonts w:hint="eastAsia" w:ascii="仿宋" w:hAnsi="仿宋" w:eastAsia="仿宋" w:cs="仿宋"/>
          <w:b/>
          <w:bCs w:val="0"/>
          <w:iCs/>
          <w:color w:val="000000" w:themeColor="text1"/>
          <w:sz w:val="24"/>
          <w:lang w:eastAsia="zh-CN"/>
          <w14:textFill>
            <w14:solidFill>
              <w14:schemeClr w14:val="tx1"/>
            </w14:solidFill>
          </w14:textFill>
        </w:rPr>
        <w:t>中标</w:t>
      </w:r>
      <w:r>
        <w:rPr>
          <w:rFonts w:hint="eastAsia" w:ascii="仿宋" w:hAnsi="仿宋" w:eastAsia="仿宋" w:cs="仿宋"/>
          <w:b/>
          <w:bCs w:val="0"/>
          <w:iCs/>
          <w:color w:val="000000" w:themeColor="text1"/>
          <w:sz w:val="24"/>
          <w14:textFill>
            <w14:solidFill>
              <w14:schemeClr w14:val="tx1"/>
            </w14:solidFill>
          </w14:textFill>
        </w:rPr>
        <w:t>的，</w:t>
      </w:r>
      <w:r>
        <w:rPr>
          <w:rFonts w:hint="eastAsia" w:ascii="仿宋" w:hAnsi="仿宋" w:eastAsia="仿宋" w:cs="仿宋"/>
          <w:b/>
          <w:bCs w:val="0"/>
          <w:iCs/>
          <w:color w:val="000000" w:themeColor="text1"/>
          <w:sz w:val="24"/>
          <w:lang w:val="en-US" w:eastAsia="zh-CN"/>
          <w14:textFill>
            <w14:solidFill>
              <w14:schemeClr w14:val="tx1"/>
            </w14:solidFill>
          </w14:textFill>
        </w:rPr>
        <w:t>中标单位</w:t>
      </w:r>
      <w:r>
        <w:rPr>
          <w:rFonts w:hint="eastAsia" w:ascii="仿宋" w:hAnsi="仿宋" w:eastAsia="仿宋" w:cs="仿宋"/>
          <w:b/>
          <w:bCs w:val="0"/>
          <w:iCs/>
          <w:color w:val="000000" w:themeColor="text1"/>
          <w:sz w:val="24"/>
          <w14:textFill>
            <w14:solidFill>
              <w14:schemeClr w14:val="tx1"/>
            </w14:solidFill>
          </w14:textFill>
        </w:rPr>
        <w:t>必须在</w:t>
      </w:r>
      <w:r>
        <w:rPr>
          <w:rFonts w:hint="eastAsia" w:ascii="仿宋" w:hAnsi="仿宋" w:eastAsia="仿宋" w:cs="仿宋"/>
          <w:b/>
          <w:bCs w:val="0"/>
          <w:iCs/>
          <w:color w:val="000000" w:themeColor="text1"/>
          <w:sz w:val="24"/>
          <w:lang w:val="en-US" w:eastAsia="zh-CN"/>
          <w14:textFill>
            <w14:solidFill>
              <w14:schemeClr w14:val="tx1"/>
            </w14:solidFill>
          </w14:textFill>
        </w:rPr>
        <w:t>中标通知书发出10个工作日内</w:t>
      </w:r>
      <w:r>
        <w:rPr>
          <w:rFonts w:hint="eastAsia" w:ascii="仿宋" w:hAnsi="仿宋" w:eastAsia="仿宋" w:cs="仿宋"/>
          <w:b/>
          <w:bCs w:val="0"/>
          <w:iCs/>
          <w:color w:val="000000" w:themeColor="text1"/>
          <w:sz w:val="24"/>
          <w14:textFill>
            <w14:solidFill>
              <w14:schemeClr w14:val="tx1"/>
            </w14:solidFill>
          </w14:textFill>
        </w:rPr>
        <w:t>额外补交</w:t>
      </w:r>
      <w:r>
        <w:rPr>
          <w:rFonts w:hint="eastAsia" w:ascii="仿宋" w:hAnsi="仿宋" w:eastAsia="仿宋" w:cs="仿宋"/>
          <w:b/>
          <w:bCs w:val="0"/>
          <w:iCs/>
          <w:color w:val="000000" w:themeColor="text1"/>
          <w:sz w:val="24"/>
          <w:lang w:val="en-US" w:eastAsia="zh-CN"/>
          <w14:textFill>
            <w14:solidFill>
              <w14:schemeClr w14:val="tx1"/>
            </w14:solidFill>
          </w14:textFill>
        </w:rPr>
        <w:t>成交</w:t>
      </w:r>
      <w:r>
        <w:rPr>
          <w:rFonts w:hint="eastAsia" w:ascii="仿宋" w:hAnsi="仿宋" w:eastAsia="仿宋" w:cs="仿宋"/>
          <w:b/>
          <w:bCs w:val="0"/>
          <w:iCs/>
          <w:color w:val="000000" w:themeColor="text1"/>
          <w:sz w:val="24"/>
          <w14:textFill>
            <w14:solidFill>
              <w14:schemeClr w14:val="tx1"/>
            </w14:solidFill>
          </w14:textFill>
        </w:rPr>
        <w:t>价与风险控制价之差额，</w:t>
      </w:r>
      <w:r>
        <w:rPr>
          <w:rFonts w:hint="eastAsia" w:ascii="仿宋" w:hAnsi="仿宋" w:eastAsia="仿宋" w:cs="仿宋"/>
          <w:b/>
          <w:bCs w:val="0"/>
          <w:iCs/>
          <w:color w:val="000000" w:themeColor="text1"/>
          <w:sz w:val="24"/>
          <w:lang w:val="en-US" w:eastAsia="zh-CN"/>
          <w14:textFill>
            <w14:solidFill>
              <w14:schemeClr w14:val="tx1"/>
            </w14:solidFill>
          </w14:textFill>
        </w:rPr>
        <w:t>中标供应商逾期</w:t>
      </w:r>
      <w:r>
        <w:rPr>
          <w:rFonts w:hint="eastAsia" w:ascii="仿宋" w:hAnsi="仿宋" w:eastAsia="仿宋" w:cs="仿宋"/>
          <w:b/>
          <w:bCs w:val="0"/>
          <w:iCs/>
          <w:color w:val="000000" w:themeColor="text1"/>
          <w:sz w:val="24"/>
          <w14:textFill>
            <w14:solidFill>
              <w14:schemeClr w14:val="tx1"/>
            </w14:solidFill>
          </w14:textFill>
        </w:rPr>
        <w:t>不缴纳的视为放弃</w:t>
      </w:r>
      <w:r>
        <w:rPr>
          <w:rFonts w:hint="eastAsia" w:ascii="仿宋" w:hAnsi="仿宋" w:eastAsia="仿宋" w:cs="仿宋"/>
          <w:b/>
          <w:bCs w:val="0"/>
          <w:iCs/>
          <w:color w:val="000000" w:themeColor="text1"/>
          <w:sz w:val="24"/>
          <w:lang w:val="en-US" w:eastAsia="zh-CN"/>
          <w14:textFill>
            <w14:solidFill>
              <w14:schemeClr w14:val="tx1"/>
            </w14:solidFill>
          </w14:textFill>
        </w:rPr>
        <w:t>成交</w:t>
      </w:r>
      <w:r>
        <w:rPr>
          <w:rFonts w:hint="eastAsia" w:ascii="仿宋" w:hAnsi="仿宋" w:eastAsia="仿宋" w:cs="仿宋"/>
          <w:b/>
          <w:bCs w:val="0"/>
          <w:iCs/>
          <w:color w:val="000000" w:themeColor="text1"/>
          <w:sz w:val="24"/>
          <w14:textFill>
            <w14:solidFill>
              <w14:schemeClr w14:val="tx1"/>
            </w14:solidFill>
          </w14:textFill>
        </w:rPr>
        <w:t>，</w:t>
      </w:r>
      <w:r>
        <w:rPr>
          <w:rFonts w:hint="eastAsia" w:ascii="仿宋" w:hAnsi="仿宋" w:eastAsia="仿宋" w:cs="仿宋"/>
          <w:b/>
          <w:bCs w:val="0"/>
          <w:iCs/>
          <w:color w:val="000000" w:themeColor="text1"/>
          <w:sz w:val="24"/>
          <w:lang w:eastAsia="zh-CN"/>
          <w14:textFill>
            <w14:solidFill>
              <w14:schemeClr w14:val="tx1"/>
            </w14:solidFill>
          </w14:textFill>
        </w:rPr>
        <w:t>本项目</w:t>
      </w:r>
      <w:r>
        <w:rPr>
          <w:rFonts w:hint="eastAsia" w:ascii="仿宋" w:hAnsi="仿宋" w:eastAsia="仿宋" w:cs="仿宋"/>
          <w:b/>
          <w:bCs w:val="0"/>
          <w:iCs/>
          <w:color w:val="000000" w:themeColor="text1"/>
          <w:sz w:val="24"/>
          <w14:textFill>
            <w14:solidFill>
              <w14:schemeClr w14:val="tx1"/>
            </w14:solidFill>
          </w14:textFill>
        </w:rPr>
        <w:t>重新组织</w:t>
      </w:r>
      <w:r>
        <w:rPr>
          <w:rFonts w:hint="eastAsia" w:ascii="仿宋" w:hAnsi="仿宋" w:eastAsia="仿宋" w:cs="仿宋"/>
          <w:b/>
          <w:bCs w:val="0"/>
          <w:iCs/>
          <w:color w:val="000000" w:themeColor="text1"/>
          <w:sz w:val="24"/>
          <w:lang w:eastAsia="zh-CN"/>
          <w14:textFill>
            <w14:solidFill>
              <w14:schemeClr w14:val="tx1"/>
            </w14:solidFill>
          </w14:textFill>
        </w:rPr>
        <w:t>采购</w:t>
      </w:r>
      <w:r>
        <w:rPr>
          <w:rFonts w:hint="eastAsia" w:ascii="仿宋" w:hAnsi="仿宋" w:eastAsia="仿宋" w:cs="仿宋"/>
          <w:b/>
          <w:bCs w:val="0"/>
          <w:iCs/>
          <w:color w:val="000000" w:themeColor="text1"/>
          <w:sz w:val="24"/>
          <w14:textFill>
            <w14:solidFill>
              <w14:schemeClr w14:val="tx1"/>
            </w14:solidFill>
          </w14:textFill>
        </w:rPr>
        <w:t>。差额保证金在</w:t>
      </w:r>
      <w:r>
        <w:rPr>
          <w:rFonts w:hint="eastAsia" w:ascii="仿宋" w:hAnsi="仿宋" w:eastAsia="仿宋" w:cs="仿宋"/>
          <w:b/>
          <w:bCs w:val="0"/>
          <w:iCs/>
          <w:color w:val="000000" w:themeColor="text1"/>
          <w:sz w:val="24"/>
          <w:lang w:val="en-US" w:eastAsia="zh-CN"/>
          <w14:textFill>
            <w14:solidFill>
              <w14:schemeClr w14:val="tx1"/>
            </w14:solidFill>
          </w14:textFill>
        </w:rPr>
        <w:t>质保</w:t>
      </w:r>
      <w:r>
        <w:rPr>
          <w:rFonts w:hint="eastAsia" w:ascii="仿宋" w:hAnsi="仿宋" w:eastAsia="仿宋" w:cs="仿宋"/>
          <w:b/>
          <w:bCs w:val="0"/>
          <w:iCs/>
          <w:color w:val="000000" w:themeColor="text1"/>
          <w:sz w:val="24"/>
          <w14:textFill>
            <w14:solidFill>
              <w14:schemeClr w14:val="tx1"/>
            </w14:solidFill>
          </w14:textFill>
        </w:rPr>
        <w:t>期</w:t>
      </w:r>
      <w:r>
        <w:rPr>
          <w:rFonts w:hint="eastAsia" w:ascii="仿宋" w:hAnsi="仿宋" w:eastAsia="仿宋" w:cs="仿宋"/>
          <w:b/>
          <w:bCs w:val="0"/>
          <w:iCs/>
          <w:color w:val="000000" w:themeColor="text1"/>
          <w:sz w:val="24"/>
          <w:lang w:val="en-US" w:eastAsia="zh-CN"/>
          <w14:textFill>
            <w14:solidFill>
              <w14:schemeClr w14:val="tx1"/>
            </w14:solidFill>
          </w14:textFill>
        </w:rPr>
        <w:t>满</w:t>
      </w:r>
      <w:r>
        <w:rPr>
          <w:rFonts w:hint="eastAsia" w:ascii="仿宋" w:hAnsi="仿宋" w:eastAsia="仿宋" w:cs="仿宋"/>
          <w:b/>
          <w:bCs w:val="0"/>
          <w:iCs/>
          <w:color w:val="000000" w:themeColor="text1"/>
          <w:sz w:val="24"/>
          <w14:textFill>
            <w14:solidFill>
              <w14:schemeClr w14:val="tx1"/>
            </w14:solidFill>
          </w14:textFill>
        </w:rPr>
        <w:t>后</w:t>
      </w:r>
      <w:r>
        <w:rPr>
          <w:rFonts w:hint="eastAsia" w:ascii="仿宋" w:hAnsi="仿宋" w:eastAsia="仿宋" w:cs="仿宋"/>
          <w:b/>
          <w:bCs w:val="0"/>
          <w:iCs/>
          <w:color w:val="000000" w:themeColor="text1"/>
          <w:sz w:val="24"/>
          <w:lang w:val="en-US" w:eastAsia="zh-CN"/>
          <w14:textFill>
            <w14:solidFill>
              <w14:schemeClr w14:val="tx1"/>
            </w14:solidFill>
          </w14:textFill>
        </w:rPr>
        <w:t>7个工作日</w:t>
      </w:r>
      <w:r>
        <w:rPr>
          <w:rFonts w:hint="eastAsia" w:ascii="仿宋" w:hAnsi="仿宋" w:eastAsia="仿宋" w:cs="仿宋"/>
          <w:b/>
          <w:bCs w:val="0"/>
          <w:iCs/>
          <w:color w:val="000000" w:themeColor="text1"/>
          <w:sz w:val="24"/>
          <w14:textFill>
            <w14:solidFill>
              <w14:schemeClr w14:val="tx1"/>
            </w14:solidFill>
          </w14:textFill>
        </w:rPr>
        <w:t>内无息退还</w:t>
      </w:r>
      <w:r>
        <w:rPr>
          <w:rFonts w:hint="eastAsia" w:ascii="仿宋" w:hAnsi="仿宋" w:eastAsia="仿宋" w:cs="仿宋"/>
          <w:b/>
          <w:bCs w:val="0"/>
          <w:iCs/>
          <w:color w:val="000000" w:themeColor="text1"/>
          <w:sz w:val="24"/>
          <w:lang w:eastAsia="zh-CN"/>
          <w14:textFill>
            <w14:solidFill>
              <w14:schemeClr w14:val="tx1"/>
            </w14:solidFill>
          </w14:textFill>
        </w:rPr>
        <w:t>。</w:t>
      </w:r>
      <w:r>
        <w:rPr>
          <w:rFonts w:hint="eastAsia" w:ascii="仿宋" w:hAnsi="仿宋" w:eastAsia="仿宋" w:cs="仿宋"/>
          <w:b/>
          <w:bCs w:val="0"/>
          <w:iCs/>
          <w:color w:val="000000" w:themeColor="text1"/>
          <w:sz w:val="24"/>
          <w14:textFill>
            <w14:solidFill>
              <w14:schemeClr w14:val="tx1"/>
            </w14:solidFill>
          </w14:textFill>
        </w:rPr>
        <w:t>（差额保证金</w:t>
      </w:r>
      <w:r>
        <w:rPr>
          <w:rFonts w:hint="eastAsia" w:ascii="仿宋" w:hAnsi="仿宋" w:eastAsia="仿宋" w:cs="仿宋"/>
          <w:b/>
          <w:bCs w:val="0"/>
          <w:iCs/>
          <w:color w:val="000000" w:themeColor="text1"/>
          <w:sz w:val="24"/>
          <w:lang w:eastAsia="zh-CN"/>
          <w14:textFill>
            <w14:solidFill>
              <w14:schemeClr w14:val="tx1"/>
            </w14:solidFill>
          </w14:textFill>
        </w:rPr>
        <w:t>须</w:t>
      </w:r>
      <w:r>
        <w:rPr>
          <w:rFonts w:hint="eastAsia" w:ascii="仿宋" w:hAnsi="仿宋" w:eastAsia="仿宋" w:cs="仿宋"/>
          <w:b/>
          <w:bCs w:val="0"/>
          <w:iCs/>
          <w:color w:val="000000" w:themeColor="text1"/>
          <w:sz w:val="24"/>
          <w14:textFill>
            <w14:solidFill>
              <w14:schemeClr w14:val="tx1"/>
            </w14:solidFill>
          </w14:textFill>
        </w:rPr>
        <w:t>以现金、电汇、转账方式交纳）</w:t>
      </w:r>
      <w:r>
        <w:rPr>
          <w:rFonts w:hint="eastAsia" w:ascii="仿宋" w:hAnsi="仿宋" w:eastAsia="仿宋" w:cs="仿宋"/>
          <w:b/>
          <w:bCs w:val="0"/>
          <w:iCs/>
          <w:color w:val="000000" w:themeColor="text1"/>
          <w:sz w:val="24"/>
          <w:lang w:val="en-US" w:eastAsia="zh-CN"/>
          <w14:textFill>
            <w14:solidFill>
              <w14:schemeClr w14:val="tx1"/>
            </w14:solidFill>
          </w14:textFill>
        </w:rPr>
        <w:t>。</w:t>
      </w:r>
    </w:p>
    <w:p w14:paraId="1F1CABD3">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rPr>
          <w:rFonts w:hint="eastAsia" w:ascii="仿宋" w:hAnsi="仿宋" w:eastAsia="仿宋" w:cs="仿宋"/>
          <w:b/>
          <w:bCs/>
          <w:color w:val="FF0000"/>
          <w:sz w:val="24"/>
          <w:szCs w:val="24"/>
          <w:highlight w:val="none"/>
        </w:rPr>
      </w:pPr>
    </w:p>
    <w:p w14:paraId="67A52CCC">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color w:val="auto"/>
          <w:kern w:val="0"/>
          <w:sz w:val="24"/>
          <w:szCs w:val="24"/>
          <w:lang w:eastAsia="zh-CN"/>
        </w:rPr>
        <w:t>乐采云</w:t>
      </w:r>
      <w:r>
        <w:rPr>
          <w:rFonts w:hint="eastAsia" w:ascii="仿宋" w:hAnsi="仿宋" w:eastAsia="仿宋" w:cs="仿宋"/>
          <w:b/>
          <w:bCs/>
          <w:color w:val="auto"/>
          <w:kern w:val="0"/>
          <w:sz w:val="24"/>
          <w:szCs w:val="24"/>
        </w:rPr>
        <w:t>平台提供线上说明，必要时提交相关证明材料。投标人不能在规定时间内合理说明原因并提供证明材料的，评标委员会应当将该投标人的投标文件作无效处理，并在评审报告中说明。</w:t>
      </w:r>
    </w:p>
    <w:p w14:paraId="034D5782">
      <w:pPr>
        <w:pStyle w:val="3"/>
        <w:spacing w:line="700" w:lineRule="exact"/>
        <w:rPr>
          <w:rFonts w:hint="eastAsia" w:ascii="仿宋" w:hAnsi="仿宋" w:eastAsia="仿宋" w:cs="仿宋"/>
          <w:bCs/>
          <w:color w:val="auto"/>
          <w:sz w:val="32"/>
          <w:szCs w:val="32"/>
          <w:lang w:val="en-US" w:eastAsia="zh-CN"/>
        </w:rPr>
      </w:pPr>
      <w:bookmarkStart w:id="126" w:name="_Toc54978900"/>
      <w:r>
        <w:rPr>
          <w:rFonts w:hint="eastAsia" w:ascii="仿宋" w:hAnsi="仿宋" w:eastAsia="仿宋" w:cs="仿宋"/>
          <w:b/>
          <w:bCs/>
          <w:color w:val="auto"/>
          <w:sz w:val="32"/>
          <w:szCs w:val="32"/>
        </w:rPr>
        <w:t xml:space="preserve">第五部分  </w:t>
      </w:r>
      <w:bookmarkEnd w:id="126"/>
      <w:r>
        <w:rPr>
          <w:rFonts w:hint="eastAsia" w:ascii="仿宋" w:hAnsi="仿宋" w:eastAsia="仿宋" w:cs="仿宋"/>
          <w:b/>
          <w:bCs/>
          <w:color w:val="auto"/>
          <w:sz w:val="32"/>
          <w:szCs w:val="32"/>
          <w:lang w:val="en-US" w:eastAsia="zh-CN"/>
        </w:rPr>
        <w:t>拟签订合同范本</w:t>
      </w:r>
    </w:p>
    <w:p w14:paraId="7D9478C5">
      <w:pPr>
        <w:pStyle w:val="74"/>
        <w:widowControl w:val="0"/>
        <w:tabs>
          <w:tab w:val="left" w:pos="180"/>
        </w:tabs>
        <w:snapToGrid w:val="0"/>
        <w:spacing w:before="0" w:beforeAutospacing="0" w:after="0" w:afterAutospacing="0" w:line="460" w:lineRule="exact"/>
        <w:jc w:val="center"/>
        <w:rPr>
          <w:rFonts w:hint="eastAsia" w:ascii="仿宋" w:hAnsi="仿宋" w:eastAsia="仿宋" w:cs="仿宋"/>
          <w:b/>
          <w:color w:val="auto"/>
          <w:sz w:val="24"/>
          <w:szCs w:val="24"/>
        </w:rPr>
      </w:pPr>
      <w:bookmarkStart w:id="127" w:name="_Toc54978901"/>
      <w:bookmarkStart w:id="128" w:name="_Toc32443"/>
      <w:r>
        <w:rPr>
          <w:rFonts w:hint="eastAsia" w:ascii="仿宋" w:hAnsi="仿宋" w:eastAsia="仿宋" w:cs="仿宋"/>
          <w:b/>
          <w:color w:val="auto"/>
          <w:kern w:val="2"/>
          <w:sz w:val="24"/>
          <w:szCs w:val="24"/>
          <w:lang w:val="en-US" w:eastAsia="zh-CN" w:bidi="ar"/>
        </w:rPr>
        <w:t xml:space="preserve">                                           </w:t>
      </w:r>
      <w:r>
        <w:rPr>
          <w:rFonts w:hint="eastAsia" w:ascii="仿宋" w:hAnsi="仿宋" w:eastAsia="仿宋" w:cs="仿宋"/>
          <w:b/>
          <w:color w:val="auto"/>
          <w:kern w:val="2"/>
          <w:sz w:val="24"/>
          <w:szCs w:val="24"/>
          <w:lang w:bidi="ar"/>
        </w:rPr>
        <w:t>合同编号：</w:t>
      </w:r>
    </w:p>
    <w:p w14:paraId="3CB2DFF4">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rPr>
      </w:pPr>
    </w:p>
    <w:p w14:paraId="795E25FA">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（采购单位） </w:t>
      </w:r>
    </w:p>
    <w:p w14:paraId="2B23142E">
      <w:pPr>
        <w:keepNext w:val="0"/>
        <w:keepLines w:val="0"/>
        <w:pageBreakBefore w:val="0"/>
        <w:kinsoku/>
        <w:wordWrap/>
        <w:overflowPunct/>
        <w:topLinePunct w:val="0"/>
        <w:bidi w:val="0"/>
        <w:spacing w:line="360" w:lineRule="auto"/>
        <w:contextualSpacing/>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（供应商）  </w:t>
      </w:r>
    </w:p>
    <w:p w14:paraId="171AFF68">
      <w:pPr>
        <w:keepNext w:val="0"/>
        <w:keepLines w:val="0"/>
        <w:pageBreakBefore w:val="0"/>
        <w:kinsoku/>
        <w:wordWrap/>
        <w:overflowPunct/>
        <w:topLinePunct w:val="0"/>
        <w:bidi w:val="0"/>
        <w:spacing w:line="360" w:lineRule="auto"/>
        <w:ind w:firstLine="480" w:firstLineChars="200"/>
        <w:contextualSpacing/>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根据</w:t>
      </w:r>
      <w:r>
        <w:rPr>
          <w:rFonts w:hint="eastAsia" w:ascii="仿宋" w:hAnsi="仿宋" w:eastAsia="仿宋" w:cs="仿宋"/>
          <w:snapToGrid w:val="0"/>
          <w:color w:val="auto"/>
          <w:sz w:val="24"/>
          <w:szCs w:val="24"/>
        </w:rPr>
        <w:t>《中华人民共和国民法典》等有关法律法规精神，甲方经过公开招标采购方式确定乙方为</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eastAsia="zh-CN"/>
        </w:rPr>
        <w:t>嵊州市浦口街道月亮湖畔共富驿站智能化建设项目</w:t>
      </w:r>
      <w:r>
        <w:rPr>
          <w:rFonts w:hint="eastAsia" w:ascii="仿宋" w:hAnsi="仿宋" w:eastAsia="仿宋" w:cs="仿宋"/>
          <w:snapToGrid w:val="0"/>
          <w:color w:val="auto"/>
          <w:sz w:val="24"/>
          <w:szCs w:val="24"/>
        </w:rPr>
        <w:t>的</w:t>
      </w:r>
      <w:r>
        <w:rPr>
          <w:rFonts w:hint="eastAsia" w:ascii="仿宋" w:hAnsi="仿宋" w:eastAsia="仿宋" w:cs="仿宋"/>
          <w:snapToGrid w:val="0"/>
          <w:color w:val="auto"/>
          <w:sz w:val="24"/>
          <w:szCs w:val="24"/>
          <w:lang w:eastAsia="zh-CN"/>
        </w:rPr>
        <w:t>中标人</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双</w:t>
      </w:r>
      <w:r>
        <w:rPr>
          <w:rFonts w:hint="eastAsia" w:ascii="仿宋" w:hAnsi="仿宋" w:eastAsia="仿宋" w:cs="仿宋"/>
          <w:snapToGrid w:val="0"/>
          <w:color w:val="auto"/>
          <w:sz w:val="24"/>
          <w:szCs w:val="24"/>
        </w:rPr>
        <w:t>方经协商达成以下条款：</w:t>
      </w:r>
    </w:p>
    <w:p w14:paraId="32782D38">
      <w:pPr>
        <w:spacing w:line="24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lang w:eastAsia="zh-CN"/>
        </w:rPr>
        <w:t>一、</w:t>
      </w: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lang w:eastAsia="zh-CN"/>
        </w:rPr>
        <w:t>合同金额</w:t>
      </w:r>
    </w:p>
    <w:tbl>
      <w:tblPr>
        <w:tblStyle w:val="79"/>
        <w:tblpPr w:leftFromText="180" w:rightFromText="180" w:vertAnchor="text" w:horzAnchor="page" w:tblpX="1441" w:tblpY="24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407"/>
        <w:gridCol w:w="1592"/>
        <w:gridCol w:w="1488"/>
        <w:gridCol w:w="1535"/>
        <w:gridCol w:w="1534"/>
      </w:tblGrid>
      <w:tr w14:paraId="3EB8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43" w:type="dxa"/>
            <w:noWrap w:val="0"/>
            <w:vAlign w:val="center"/>
          </w:tcPr>
          <w:p w14:paraId="54879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2407" w:type="dxa"/>
            <w:noWrap w:val="0"/>
            <w:vAlign w:val="center"/>
          </w:tcPr>
          <w:p w14:paraId="5DF14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内容</w:t>
            </w:r>
          </w:p>
        </w:tc>
        <w:tc>
          <w:tcPr>
            <w:tcW w:w="1592" w:type="dxa"/>
            <w:noWrap w:val="0"/>
            <w:vAlign w:val="center"/>
          </w:tcPr>
          <w:p w14:paraId="663C0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品牌</w:t>
            </w:r>
            <w:r>
              <w:rPr>
                <w:rFonts w:hint="eastAsia" w:ascii="仿宋" w:hAnsi="仿宋" w:eastAsia="仿宋" w:cs="仿宋"/>
                <w:color w:val="auto"/>
                <w:sz w:val="24"/>
                <w:szCs w:val="24"/>
                <w:lang w:val="en-US" w:eastAsia="zh-CN"/>
              </w:rPr>
              <w:t>/</w:t>
            </w:r>
          </w:p>
          <w:p w14:paraId="107E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规格型号</w:t>
            </w:r>
          </w:p>
        </w:tc>
        <w:tc>
          <w:tcPr>
            <w:tcW w:w="1488" w:type="dxa"/>
            <w:noWrap w:val="0"/>
            <w:vAlign w:val="center"/>
          </w:tcPr>
          <w:p w14:paraId="496BA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1535" w:type="dxa"/>
            <w:noWrap w:val="0"/>
            <w:vAlign w:val="center"/>
          </w:tcPr>
          <w:p w14:paraId="3FF7E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单价（元）</w:t>
            </w:r>
          </w:p>
        </w:tc>
        <w:tc>
          <w:tcPr>
            <w:tcW w:w="1534" w:type="dxa"/>
            <w:noWrap w:val="0"/>
            <w:vAlign w:val="center"/>
          </w:tcPr>
          <w:p w14:paraId="6418A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小计（元）</w:t>
            </w:r>
          </w:p>
        </w:tc>
      </w:tr>
      <w:tr w14:paraId="7C7D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43" w:type="dxa"/>
            <w:noWrap w:val="0"/>
            <w:vAlign w:val="center"/>
          </w:tcPr>
          <w:p w14:paraId="08485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2407" w:type="dxa"/>
            <w:noWrap w:val="0"/>
            <w:vAlign w:val="center"/>
          </w:tcPr>
          <w:p w14:paraId="2F4F4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p>
        </w:tc>
        <w:tc>
          <w:tcPr>
            <w:tcW w:w="1592" w:type="dxa"/>
            <w:noWrap w:val="0"/>
            <w:vAlign w:val="center"/>
          </w:tcPr>
          <w:p w14:paraId="4ABFB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p>
        </w:tc>
        <w:tc>
          <w:tcPr>
            <w:tcW w:w="1488" w:type="dxa"/>
            <w:noWrap w:val="0"/>
            <w:vAlign w:val="center"/>
          </w:tcPr>
          <w:p w14:paraId="11A90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p>
        </w:tc>
        <w:tc>
          <w:tcPr>
            <w:tcW w:w="1535" w:type="dxa"/>
            <w:noWrap w:val="0"/>
            <w:vAlign w:val="center"/>
          </w:tcPr>
          <w:p w14:paraId="7F2B6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lang w:val="en-US" w:eastAsia="zh-CN"/>
              </w:rPr>
            </w:pPr>
          </w:p>
        </w:tc>
        <w:tc>
          <w:tcPr>
            <w:tcW w:w="1534" w:type="dxa"/>
            <w:noWrap w:val="0"/>
            <w:vAlign w:val="center"/>
          </w:tcPr>
          <w:p w14:paraId="01A6A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p>
        </w:tc>
      </w:tr>
      <w:tr w14:paraId="2DC9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230" w:type="dxa"/>
            <w:gridSpan w:val="4"/>
            <w:noWrap w:val="0"/>
            <w:vAlign w:val="center"/>
          </w:tcPr>
          <w:p w14:paraId="2140E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合计（小写）</w:t>
            </w:r>
          </w:p>
        </w:tc>
        <w:tc>
          <w:tcPr>
            <w:tcW w:w="3069" w:type="dxa"/>
            <w:gridSpan w:val="2"/>
            <w:noWrap w:val="0"/>
            <w:vAlign w:val="center"/>
          </w:tcPr>
          <w:p w14:paraId="25D74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r>
              <w:rPr>
                <w:rFonts w:hint="default" w:ascii="Arial" w:hAnsi="Arial" w:eastAsia="仿宋" w:cs="Arial"/>
                <w:color w:val="auto"/>
                <w:sz w:val="24"/>
                <w:szCs w:val="24"/>
                <w:lang w:eastAsia="zh-CN"/>
              </w:rPr>
              <w:t>¥</w:t>
            </w:r>
          </w:p>
        </w:tc>
      </w:tr>
      <w:tr w14:paraId="6B5E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299" w:type="dxa"/>
            <w:gridSpan w:val="6"/>
            <w:noWrap w:val="0"/>
            <w:vAlign w:val="center"/>
          </w:tcPr>
          <w:p w14:paraId="33556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合计金额（大写）：</w:t>
            </w:r>
          </w:p>
        </w:tc>
      </w:tr>
    </w:tbl>
    <w:p w14:paraId="05782C33">
      <w:pPr>
        <w:spacing w:line="360" w:lineRule="auto"/>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 xml:space="preserve"> 注：以上合同总价包括</w:t>
      </w:r>
      <w:r>
        <w:rPr>
          <w:rFonts w:hint="eastAsia" w:ascii="仿宋" w:hAnsi="仿宋" w:eastAsia="仿宋" w:cs="仿宋"/>
          <w:kern w:val="0"/>
          <w:sz w:val="24"/>
          <w:szCs w:val="24"/>
          <w:lang w:val="zh-CN"/>
        </w:rPr>
        <w:t>本项目所需产品的制造、运输、装卸、安装、产品保护、备品备件、验收、售后服务、税费及完成</w:t>
      </w:r>
      <w:r>
        <w:rPr>
          <w:rFonts w:hint="eastAsia" w:ascii="仿宋" w:hAnsi="仿宋" w:eastAsia="仿宋" w:cs="仿宋"/>
          <w:kern w:val="0"/>
          <w:sz w:val="24"/>
          <w:szCs w:val="24"/>
          <w:lang w:eastAsia="zh-CN"/>
        </w:rPr>
        <w:t>本</w:t>
      </w:r>
      <w:r>
        <w:rPr>
          <w:rFonts w:hint="eastAsia" w:ascii="仿宋" w:hAnsi="仿宋" w:eastAsia="仿宋" w:cs="仿宋"/>
          <w:kern w:val="0"/>
          <w:sz w:val="24"/>
          <w:szCs w:val="24"/>
        </w:rPr>
        <w:t>项目所需的全部费用，乙方不得以任何理由再增加费用，如有缺项、漏项均有乙方承担，甲方不再另行支付</w:t>
      </w:r>
      <w:r>
        <w:rPr>
          <w:rFonts w:hint="eastAsia" w:ascii="仿宋" w:hAnsi="仿宋" w:eastAsia="仿宋" w:cs="仿宋"/>
          <w:color w:val="auto"/>
          <w:sz w:val="24"/>
          <w:szCs w:val="24"/>
        </w:rPr>
        <w:t>。</w:t>
      </w:r>
    </w:p>
    <w:p w14:paraId="64677587">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lang w:eastAsia="zh-CN"/>
        </w:rPr>
        <w:t>二、交货时间及地点</w:t>
      </w:r>
      <w:r>
        <w:rPr>
          <w:rFonts w:hint="eastAsia" w:ascii="仿宋" w:hAnsi="仿宋" w:eastAsia="仿宋" w:cs="仿宋"/>
          <w:kern w:val="0"/>
          <w:sz w:val="24"/>
          <w:szCs w:val="24"/>
        </w:rPr>
        <w:t xml:space="preserve"> </w:t>
      </w:r>
    </w:p>
    <w:p w14:paraId="14FB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1.交货时间：</w:t>
      </w:r>
    </w:p>
    <w:p w14:paraId="5EC95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lang w:val="en-US" w:eastAsia="zh-CN" w:bidi="ar-SA"/>
        </w:rPr>
        <w:t>2.交货地点：</w:t>
      </w:r>
    </w:p>
    <w:p w14:paraId="03922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C00000"/>
          <w:sz w:val="24"/>
          <w:szCs w:val="24"/>
          <w:highlight w:val="none"/>
          <w:lang w:val="en-US" w:eastAsia="zh-CN"/>
        </w:rPr>
      </w:pPr>
      <w:r>
        <w:rPr>
          <w:rFonts w:hint="eastAsia" w:ascii="仿宋" w:hAnsi="仿宋" w:eastAsia="仿宋" w:cs="仿宋"/>
          <w:color w:val="auto"/>
          <w:sz w:val="24"/>
          <w:szCs w:val="24"/>
          <w:highlight w:val="none"/>
          <w:lang w:val="en-US" w:eastAsia="zh-CN"/>
        </w:rPr>
        <w:t>3.安装调试：</w:t>
      </w:r>
    </w:p>
    <w:p w14:paraId="670E1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三</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验收</w:t>
      </w:r>
    </w:p>
    <w:p w14:paraId="62EE41EB">
      <w:pPr>
        <w:keepNext w:val="0"/>
        <w:keepLines w:val="0"/>
        <w:suppressLineNumbers w:val="0"/>
        <w:spacing w:before="0" w:beforeAutospacing="0" w:after="0" w:afterAutospacing="0" w:line="360" w:lineRule="auto"/>
        <w:ind w:left="0" w:right="0" w:firstLine="480" w:firstLineChars="200"/>
        <w:rPr>
          <w:rFonts w:hint="default" w:ascii="仿宋" w:hAnsi="仿宋" w:eastAsia="仿宋"/>
          <w:bCs/>
          <w:color w:val="auto"/>
          <w:sz w:val="24"/>
          <w:szCs w:val="20"/>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bCs/>
          <w:color w:val="auto"/>
          <w:sz w:val="24"/>
          <w:szCs w:val="20"/>
          <w:highlight w:val="none"/>
        </w:rPr>
        <w:t>本项目验收工作由</w:t>
      </w:r>
      <w:r>
        <w:rPr>
          <w:rFonts w:hint="eastAsia" w:ascii="仿宋" w:hAnsi="仿宋" w:eastAsia="仿宋"/>
          <w:bCs/>
          <w:color w:val="auto"/>
          <w:sz w:val="24"/>
          <w:szCs w:val="20"/>
          <w:highlight w:val="none"/>
          <w:lang w:eastAsia="zh-CN"/>
        </w:rPr>
        <w:t>甲方或委托单位</w:t>
      </w:r>
      <w:r>
        <w:rPr>
          <w:rFonts w:hint="eastAsia" w:ascii="仿宋" w:hAnsi="仿宋" w:eastAsia="仿宋"/>
          <w:bCs/>
          <w:color w:val="auto"/>
          <w:sz w:val="24"/>
          <w:szCs w:val="20"/>
          <w:highlight w:val="none"/>
        </w:rPr>
        <w:t>组织实施，验收工作在</w:t>
      </w:r>
      <w:r>
        <w:rPr>
          <w:rFonts w:hint="eastAsia" w:ascii="仿宋" w:hAnsi="仿宋" w:eastAsia="仿宋"/>
          <w:bCs/>
          <w:color w:val="auto"/>
          <w:sz w:val="24"/>
          <w:szCs w:val="20"/>
          <w:highlight w:val="none"/>
          <w:lang w:eastAsia="zh-CN"/>
        </w:rPr>
        <w:t>乙方</w:t>
      </w:r>
      <w:r>
        <w:rPr>
          <w:rFonts w:hint="eastAsia" w:ascii="仿宋" w:hAnsi="仿宋" w:eastAsia="仿宋"/>
          <w:bCs/>
          <w:color w:val="auto"/>
          <w:sz w:val="24"/>
          <w:szCs w:val="20"/>
          <w:highlight w:val="none"/>
        </w:rPr>
        <w:t>项目实施完毕，经自验合格，提交验收申请后5个工作日内启动。</w:t>
      </w:r>
    </w:p>
    <w:p w14:paraId="6712A53D">
      <w:pPr>
        <w:keepNext w:val="0"/>
        <w:keepLines w:val="0"/>
        <w:suppressLineNumbers w:val="0"/>
        <w:spacing w:before="0" w:beforeAutospacing="0" w:after="0" w:afterAutospacing="0" w:line="360" w:lineRule="auto"/>
        <w:ind w:left="0" w:right="0" w:firstLine="480" w:firstLineChars="200"/>
        <w:rPr>
          <w:rFonts w:hint="default" w:ascii="仿宋" w:hAnsi="仿宋" w:eastAsia="仿宋"/>
          <w:bCs/>
          <w:color w:val="auto"/>
          <w:sz w:val="24"/>
          <w:szCs w:val="20"/>
          <w:highlight w:val="none"/>
        </w:rPr>
      </w:pPr>
      <w:r>
        <w:rPr>
          <w:rFonts w:hint="eastAsia" w:ascii="仿宋" w:hAnsi="仿宋" w:eastAsia="仿宋"/>
          <w:bCs/>
          <w:color w:val="auto"/>
          <w:sz w:val="24"/>
          <w:szCs w:val="20"/>
          <w:highlight w:val="none"/>
          <w:lang w:val="en-US" w:eastAsia="zh-CN"/>
        </w:rPr>
        <w:t>2.</w:t>
      </w:r>
      <w:r>
        <w:rPr>
          <w:rFonts w:hint="eastAsia" w:ascii="仿宋" w:hAnsi="仿宋" w:eastAsia="仿宋"/>
          <w:bCs/>
          <w:color w:val="auto"/>
          <w:sz w:val="24"/>
          <w:szCs w:val="20"/>
          <w:highlight w:val="none"/>
        </w:rPr>
        <w:t>验收符合质量要求，验收合格。</w:t>
      </w:r>
    </w:p>
    <w:p w14:paraId="03D5B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bCs/>
          <w:color w:val="auto"/>
          <w:sz w:val="24"/>
          <w:szCs w:val="20"/>
          <w:highlight w:val="none"/>
          <w:lang w:val="en-US" w:eastAsia="zh-CN"/>
        </w:rPr>
      </w:pPr>
      <w:r>
        <w:rPr>
          <w:rFonts w:hint="eastAsia" w:ascii="仿宋" w:hAnsi="仿宋" w:eastAsia="仿宋"/>
          <w:bCs/>
          <w:color w:val="auto"/>
          <w:sz w:val="24"/>
          <w:szCs w:val="20"/>
          <w:highlight w:val="none"/>
          <w:lang w:val="en-US" w:eastAsia="zh-CN"/>
        </w:rPr>
        <w:t>3.验收方式：安装完毕，根据</w:t>
      </w:r>
      <w:r>
        <w:rPr>
          <w:rFonts w:hint="eastAsia" w:ascii="仿宋" w:hAnsi="仿宋" w:eastAsia="仿宋"/>
          <w:bCs/>
          <w:color w:val="auto"/>
          <w:sz w:val="24"/>
          <w:szCs w:val="20"/>
          <w:highlight w:val="none"/>
          <w:lang w:eastAsia="zh-CN"/>
        </w:rPr>
        <w:t>甲方</w:t>
      </w:r>
      <w:r>
        <w:rPr>
          <w:rFonts w:hint="eastAsia" w:ascii="仿宋" w:hAnsi="仿宋" w:eastAsia="仿宋"/>
          <w:bCs/>
          <w:color w:val="auto"/>
          <w:sz w:val="24"/>
          <w:szCs w:val="20"/>
          <w:highlight w:val="none"/>
          <w:lang w:val="en-US" w:eastAsia="zh-CN"/>
        </w:rPr>
        <w:t>需要，可以委托国家认可的专业检测机构进行检测，费用由乙方承担。</w:t>
      </w:r>
    </w:p>
    <w:p w14:paraId="7FDDA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bCs/>
          <w:color w:val="auto"/>
          <w:sz w:val="24"/>
          <w:szCs w:val="20"/>
          <w:highlight w:val="none"/>
          <w:lang w:val="en-US" w:eastAsia="zh-CN"/>
        </w:rPr>
      </w:pPr>
      <w:r>
        <w:rPr>
          <w:rFonts w:hint="eastAsia" w:ascii="仿宋" w:hAnsi="仿宋" w:eastAsia="仿宋"/>
          <w:bCs/>
          <w:color w:val="auto"/>
          <w:sz w:val="24"/>
          <w:szCs w:val="20"/>
          <w:highlight w:val="none"/>
          <w:lang w:val="en-US" w:eastAsia="zh-CN"/>
        </w:rPr>
        <w:t>4.验收条件及标准：设备技术参数与技术标书一致，性能指标达到或超过规定的标准。技术规范要求中提到的技术资料、工具、备件等已经按规定的数量移交完毕。</w:t>
      </w:r>
    </w:p>
    <w:p w14:paraId="7F3213EF">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bCs/>
          <w:color w:val="auto"/>
          <w:sz w:val="24"/>
          <w:szCs w:val="20"/>
          <w:highlight w:val="none"/>
          <w:lang w:val="en-US" w:eastAsia="zh-CN"/>
        </w:rPr>
        <w:t>5.如第一次验收未合格，乙方应找出原因进行更正，乙方应承担由此而产生的全部费用。如第二次验收仍不能符合合格条件，</w:t>
      </w:r>
      <w:r>
        <w:rPr>
          <w:rFonts w:hint="eastAsia" w:ascii="仿宋" w:hAnsi="仿宋" w:eastAsia="仿宋"/>
          <w:bCs/>
          <w:color w:val="auto"/>
          <w:sz w:val="24"/>
          <w:szCs w:val="20"/>
          <w:highlight w:val="none"/>
          <w:lang w:eastAsia="zh-CN"/>
        </w:rPr>
        <w:t>甲方</w:t>
      </w:r>
      <w:r>
        <w:rPr>
          <w:rFonts w:hint="eastAsia" w:ascii="仿宋" w:hAnsi="仿宋" w:eastAsia="仿宋"/>
          <w:bCs/>
          <w:color w:val="auto"/>
          <w:sz w:val="24"/>
          <w:szCs w:val="20"/>
          <w:highlight w:val="none"/>
          <w:lang w:val="en-US" w:eastAsia="zh-CN"/>
        </w:rPr>
        <w:t>可拒绝接受全部货物，乙方负责赔偿一切损失</w:t>
      </w:r>
      <w:r>
        <w:rPr>
          <w:rFonts w:hint="eastAsia" w:ascii="仿宋" w:hAnsi="仿宋" w:eastAsia="仿宋" w:cs="仿宋"/>
          <w:color w:val="auto"/>
          <w:sz w:val="24"/>
          <w:szCs w:val="24"/>
          <w:highlight w:val="none"/>
          <w:lang w:val="en-US" w:eastAsia="zh-CN"/>
        </w:rPr>
        <w:t>。</w:t>
      </w:r>
    </w:p>
    <w:p w14:paraId="276A8BF6">
      <w:pPr>
        <w:pStyle w:val="42"/>
        <w:keepNext w:val="0"/>
        <w:keepLines w:val="0"/>
        <w:pageBreakBefore w:val="0"/>
        <w:widowControl w:val="0"/>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四、履约保证金</w:t>
      </w:r>
    </w:p>
    <w:p w14:paraId="16E06A53">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0000FF"/>
          <w:sz w:val="24"/>
          <w:szCs w:val="24"/>
          <w:lang w:val="en-US" w:eastAsia="zh-CN"/>
        </w:rPr>
      </w:pPr>
      <w:r>
        <w:rPr>
          <w:rFonts w:hint="eastAsia" w:ascii="仿宋" w:hAnsi="仿宋" w:eastAsia="仿宋" w:cs="仿宋"/>
          <w:b w:val="0"/>
          <w:bCs w:val="0"/>
          <w:color w:val="auto"/>
          <w:sz w:val="24"/>
          <w:szCs w:val="24"/>
          <w:highlight w:val="none"/>
          <w:lang w:val="en-US" w:eastAsia="zh-CN"/>
        </w:rPr>
        <w:t>乙方向甲方缴纳合同价的1%作为履约保证金，验收合格后无质量问题15个工作日内无息退还。</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履约保证金支付方式：保函、网上银行、电汇、汇票或转</w:t>
      </w:r>
      <w:r>
        <w:rPr>
          <w:rFonts w:hint="eastAsia" w:ascii="仿宋" w:hAnsi="仿宋" w:eastAsia="仿宋" w:cs="仿宋"/>
          <w:color w:val="auto"/>
          <w:kern w:val="0"/>
          <w:sz w:val="24"/>
          <w:szCs w:val="24"/>
          <w:highlight w:val="none"/>
          <w:lang w:eastAsia="zh-CN"/>
        </w:rPr>
        <w:t>账</w:t>
      </w:r>
      <w:r>
        <w:rPr>
          <w:rFonts w:hint="eastAsia" w:ascii="仿宋" w:hAnsi="仿宋" w:eastAsia="仿宋" w:cs="仿宋"/>
          <w:color w:val="auto"/>
          <w:kern w:val="0"/>
          <w:sz w:val="24"/>
          <w:szCs w:val="24"/>
          <w:highlight w:val="none"/>
        </w:rPr>
        <w:t>形式。</w:t>
      </w:r>
      <w:r>
        <w:rPr>
          <w:rFonts w:hint="eastAsia" w:ascii="仿宋" w:hAnsi="仿宋" w:eastAsia="仿宋" w:cs="仿宋"/>
          <w:color w:val="auto"/>
          <w:kern w:val="0"/>
          <w:sz w:val="24"/>
          <w:szCs w:val="24"/>
          <w:highlight w:val="none"/>
          <w:lang w:eastAsia="zh-CN"/>
        </w:rPr>
        <w:t>）</w:t>
      </w:r>
    </w:p>
    <w:p w14:paraId="4FDD81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Autospacing="0" w:line="360" w:lineRule="auto"/>
        <w:ind w:right="0" w:rightChars="0" w:firstLine="0" w:firstLineChars="0"/>
        <w:jc w:val="both"/>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五、付款方式</w:t>
      </w:r>
    </w:p>
    <w:p w14:paraId="2A81A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全部项目安装调试并验收合格后支付合同价的70%，经有资质的第三方机构审计后支付至审定价的98.5%，余款在质保期满后10日内付清。</w:t>
      </w:r>
    </w:p>
    <w:p w14:paraId="3BB3B5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2.每次结算前乙方均须提供符合甲方要求的正式发票。</w:t>
      </w:r>
    </w:p>
    <w:p w14:paraId="188A4E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六、质保期</w:t>
      </w:r>
    </w:p>
    <w:p w14:paraId="34041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kern w:val="0"/>
          <w:sz w:val="24"/>
          <w:szCs w:val="24"/>
          <w:lang w:val="en-US" w:eastAsia="zh-CN"/>
        </w:rPr>
        <w:t>本项目质保期为</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en-US" w:eastAsia="zh-CN"/>
        </w:rPr>
        <w:t>年（自验收合格之日起计）</w:t>
      </w:r>
      <w:r>
        <w:rPr>
          <w:rFonts w:hint="eastAsia" w:ascii="仿宋" w:hAnsi="仿宋" w:eastAsia="仿宋" w:cs="仿宋"/>
          <w:b w:val="0"/>
          <w:bCs w:val="0"/>
          <w:color w:val="auto"/>
          <w:kern w:val="2"/>
          <w:sz w:val="24"/>
          <w:szCs w:val="24"/>
          <w:lang w:val="en-US" w:eastAsia="zh-CN" w:bidi="ar-SA"/>
        </w:rPr>
        <w:t>。</w:t>
      </w:r>
    </w:p>
    <w:p w14:paraId="4BD3D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 w:hAnsi="仿宋" w:eastAsia="仿宋" w:cs="仿宋"/>
          <w:b/>
          <w:bCs/>
          <w:sz w:val="24"/>
          <w:lang w:eastAsia="zh-CN"/>
        </w:rPr>
      </w:pPr>
      <w:r>
        <w:rPr>
          <w:rFonts w:hint="eastAsia" w:ascii="仿宋" w:hAnsi="仿宋" w:eastAsia="仿宋" w:cs="仿宋"/>
          <w:b/>
          <w:bCs/>
          <w:sz w:val="24"/>
          <w:lang w:eastAsia="zh-CN"/>
        </w:rPr>
        <w:t>七、售后服务</w:t>
      </w:r>
    </w:p>
    <w:p w14:paraId="1CB0E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Cs/>
          <w:color w:val="auto"/>
          <w:sz w:val="24"/>
          <w:szCs w:val="24"/>
          <w:highlight w:val="none"/>
        </w:rPr>
        <w:t>质保期内</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提供7×24小时现场技术服务，并提供充足的备品备件，满足日常维修需求</w:t>
      </w:r>
      <w:r>
        <w:rPr>
          <w:rFonts w:hint="eastAsia" w:ascii="仿宋" w:hAnsi="仿宋" w:eastAsia="仿宋" w:cs="仿宋"/>
          <w:bCs/>
          <w:color w:val="auto"/>
          <w:sz w:val="24"/>
          <w:szCs w:val="24"/>
          <w:highlight w:val="none"/>
          <w:lang w:eastAsia="zh-CN"/>
        </w:rPr>
        <w:t>。</w:t>
      </w:r>
    </w:p>
    <w:p w14:paraId="11EC4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default" w:ascii="仿宋" w:hAnsi="仿宋" w:eastAsia="仿宋"/>
          <w:color w:val="auto"/>
          <w:sz w:val="24"/>
          <w:szCs w:val="20"/>
          <w:highlight w:val="none"/>
        </w:rPr>
        <w:t>质保期内因</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本身缺陷造成各种故障应由</w:t>
      </w:r>
      <w:r>
        <w:rPr>
          <w:rFonts w:hint="eastAsia" w:ascii="仿宋" w:hAnsi="仿宋" w:eastAsia="仿宋" w:cs="仿宋"/>
          <w:bCs/>
          <w:color w:val="auto"/>
          <w:sz w:val="24"/>
          <w:szCs w:val="24"/>
          <w:highlight w:val="none"/>
          <w:lang w:eastAsia="zh-CN"/>
        </w:rPr>
        <w:t>乙方</w:t>
      </w:r>
      <w:r>
        <w:rPr>
          <w:rFonts w:hint="default" w:ascii="仿宋" w:hAnsi="仿宋" w:eastAsia="仿宋"/>
          <w:color w:val="auto"/>
          <w:sz w:val="24"/>
          <w:szCs w:val="20"/>
          <w:highlight w:val="none"/>
        </w:rPr>
        <w:t>免费维修，并在《投标文件》中说明在保质期内提供的服务计划。</w:t>
      </w:r>
      <w:r>
        <w:rPr>
          <w:rFonts w:hint="eastAsia" w:ascii="仿宋" w:hAnsi="仿宋" w:eastAsia="仿宋"/>
          <w:color w:val="auto"/>
          <w:sz w:val="24"/>
          <w:szCs w:val="20"/>
          <w:highlight w:val="none"/>
          <w:lang w:eastAsia="zh-CN"/>
        </w:rPr>
        <w:t>如</w:t>
      </w:r>
      <w:r>
        <w:rPr>
          <w:rFonts w:hint="default" w:ascii="仿宋" w:hAnsi="仿宋" w:eastAsia="仿宋"/>
          <w:color w:val="auto"/>
          <w:sz w:val="24"/>
          <w:szCs w:val="20"/>
          <w:highlight w:val="none"/>
        </w:rPr>
        <w:t>质保期内因不能排除的故障而影响工作的情况每发生一次，其质保期相应延长60天，质保期内因货物本身缺陷造成各种故障应由</w:t>
      </w:r>
      <w:r>
        <w:rPr>
          <w:rFonts w:hint="eastAsia" w:ascii="仿宋" w:hAnsi="仿宋" w:eastAsia="仿宋" w:cs="仿宋"/>
          <w:bCs/>
          <w:color w:val="auto"/>
          <w:sz w:val="24"/>
          <w:szCs w:val="24"/>
          <w:highlight w:val="none"/>
          <w:lang w:eastAsia="zh-CN"/>
        </w:rPr>
        <w:t>乙方</w:t>
      </w:r>
      <w:r>
        <w:rPr>
          <w:rFonts w:hint="default" w:ascii="仿宋" w:hAnsi="仿宋" w:eastAsia="仿宋"/>
          <w:color w:val="auto"/>
          <w:sz w:val="24"/>
          <w:szCs w:val="20"/>
          <w:highlight w:val="none"/>
        </w:rPr>
        <w:t>免费予以更换。在</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整个使用期内，</w:t>
      </w:r>
      <w:r>
        <w:rPr>
          <w:rFonts w:hint="eastAsia" w:ascii="仿宋" w:hAnsi="仿宋" w:eastAsia="仿宋" w:cs="仿宋"/>
          <w:bCs/>
          <w:color w:val="auto"/>
          <w:sz w:val="24"/>
          <w:szCs w:val="24"/>
          <w:highlight w:val="none"/>
          <w:lang w:eastAsia="zh-CN"/>
        </w:rPr>
        <w:t>乙方</w:t>
      </w:r>
      <w:r>
        <w:rPr>
          <w:rFonts w:hint="default" w:ascii="仿宋" w:hAnsi="仿宋" w:eastAsia="仿宋"/>
          <w:color w:val="auto"/>
          <w:sz w:val="24"/>
          <w:szCs w:val="20"/>
          <w:highlight w:val="none"/>
        </w:rPr>
        <w:t>应确保</w:t>
      </w:r>
      <w:r>
        <w:rPr>
          <w:rFonts w:hint="eastAsia" w:ascii="仿宋" w:hAnsi="仿宋" w:eastAsia="仿宋"/>
          <w:color w:val="auto"/>
          <w:sz w:val="24"/>
          <w:szCs w:val="20"/>
          <w:highlight w:val="none"/>
        </w:rPr>
        <w:t>货物</w:t>
      </w:r>
      <w:r>
        <w:rPr>
          <w:rFonts w:hint="default" w:ascii="仿宋" w:hAnsi="仿宋" w:eastAsia="仿宋"/>
          <w:color w:val="auto"/>
          <w:sz w:val="24"/>
          <w:szCs w:val="20"/>
          <w:highlight w:val="none"/>
        </w:rPr>
        <w:t>的正常使用。在接到</w:t>
      </w:r>
      <w:r>
        <w:rPr>
          <w:rFonts w:hint="eastAsia" w:ascii="仿宋" w:hAnsi="仿宋" w:eastAsia="仿宋"/>
          <w:color w:val="auto"/>
          <w:sz w:val="24"/>
          <w:szCs w:val="20"/>
          <w:highlight w:val="none"/>
          <w:lang w:eastAsia="zh-CN"/>
        </w:rPr>
        <w:t>甲方</w:t>
      </w:r>
      <w:r>
        <w:rPr>
          <w:rFonts w:hint="default" w:ascii="仿宋" w:hAnsi="仿宋" w:eastAsia="仿宋"/>
          <w:color w:val="auto"/>
          <w:sz w:val="24"/>
          <w:szCs w:val="20"/>
          <w:highlight w:val="none"/>
        </w:rPr>
        <w:t>维修要求后</w:t>
      </w:r>
      <w:r>
        <w:rPr>
          <w:rFonts w:hint="eastAsia" w:ascii="仿宋" w:hAnsi="仿宋" w:eastAsia="仿宋"/>
          <w:b w:val="0"/>
          <w:bCs/>
          <w:i w:val="0"/>
          <w:iCs/>
          <w:color w:val="auto"/>
          <w:sz w:val="24"/>
          <w:szCs w:val="20"/>
          <w:highlight w:val="none"/>
          <w:u w:val="none"/>
        </w:rPr>
        <w:t>30分钟</w:t>
      </w:r>
      <w:r>
        <w:rPr>
          <w:rFonts w:hint="default" w:ascii="仿宋" w:hAnsi="仿宋" w:eastAsia="仿宋"/>
          <w:color w:val="auto"/>
          <w:sz w:val="24"/>
          <w:szCs w:val="20"/>
          <w:highlight w:val="none"/>
        </w:rPr>
        <w:t>内作出响应，</w:t>
      </w:r>
      <w:r>
        <w:rPr>
          <w:rFonts w:hint="eastAsia" w:ascii="仿宋" w:hAnsi="仿宋" w:eastAsia="仿宋"/>
          <w:b w:val="0"/>
          <w:bCs w:val="0"/>
          <w:i w:val="0"/>
          <w:iCs w:val="0"/>
          <w:color w:val="auto"/>
          <w:sz w:val="24"/>
          <w:szCs w:val="20"/>
          <w:highlight w:val="none"/>
          <w:u w:val="none"/>
          <w:lang w:val="en-US" w:eastAsia="zh-CN"/>
        </w:rPr>
        <w:t>2</w:t>
      </w:r>
      <w:r>
        <w:rPr>
          <w:rFonts w:hint="eastAsia" w:ascii="仿宋" w:hAnsi="仿宋" w:eastAsia="仿宋"/>
          <w:b w:val="0"/>
          <w:bCs w:val="0"/>
          <w:i w:val="0"/>
          <w:iCs w:val="0"/>
          <w:color w:val="auto"/>
          <w:sz w:val="24"/>
          <w:szCs w:val="20"/>
          <w:highlight w:val="none"/>
          <w:u w:val="none"/>
        </w:rPr>
        <w:t>小时</w:t>
      </w:r>
      <w:r>
        <w:rPr>
          <w:rFonts w:hint="eastAsia" w:ascii="仿宋" w:hAnsi="仿宋" w:eastAsia="仿宋"/>
          <w:color w:val="auto"/>
          <w:sz w:val="24"/>
          <w:szCs w:val="20"/>
          <w:highlight w:val="none"/>
        </w:rPr>
        <w:t>到达现场处置，24</w:t>
      </w:r>
      <w:r>
        <w:rPr>
          <w:rFonts w:hint="default" w:ascii="仿宋" w:hAnsi="仿宋" w:eastAsia="仿宋"/>
          <w:color w:val="auto"/>
          <w:sz w:val="24"/>
          <w:szCs w:val="20"/>
          <w:highlight w:val="none"/>
        </w:rPr>
        <w:t>小时内修复。若不能修复，则需要免费提供后备或替代</w:t>
      </w:r>
      <w:r>
        <w:rPr>
          <w:rFonts w:hint="eastAsia" w:ascii="仿宋" w:hAnsi="仿宋" w:eastAsia="仿宋"/>
          <w:color w:val="auto"/>
          <w:sz w:val="24"/>
          <w:szCs w:val="20"/>
          <w:highlight w:val="none"/>
        </w:rPr>
        <w:t>产品</w:t>
      </w:r>
      <w:r>
        <w:rPr>
          <w:rFonts w:hint="default" w:ascii="仿宋" w:hAnsi="仿宋" w:eastAsia="仿宋"/>
          <w:color w:val="auto"/>
          <w:sz w:val="24"/>
          <w:szCs w:val="20"/>
          <w:highlight w:val="none"/>
        </w:rPr>
        <w:t>，以保证</w:t>
      </w:r>
      <w:r>
        <w:rPr>
          <w:rFonts w:hint="eastAsia" w:ascii="仿宋" w:hAnsi="仿宋" w:eastAsia="仿宋"/>
          <w:color w:val="auto"/>
          <w:sz w:val="24"/>
          <w:szCs w:val="20"/>
          <w:highlight w:val="none"/>
          <w:lang w:eastAsia="zh-CN"/>
        </w:rPr>
        <w:t>甲方</w:t>
      </w:r>
      <w:r>
        <w:rPr>
          <w:rFonts w:hint="default" w:ascii="仿宋" w:hAnsi="仿宋" w:eastAsia="仿宋"/>
          <w:color w:val="auto"/>
          <w:sz w:val="24"/>
          <w:szCs w:val="20"/>
          <w:highlight w:val="none"/>
        </w:rPr>
        <w:t>正常的</w:t>
      </w:r>
      <w:r>
        <w:rPr>
          <w:rFonts w:hint="eastAsia" w:ascii="仿宋" w:hAnsi="仿宋" w:eastAsia="仿宋"/>
          <w:color w:val="auto"/>
          <w:sz w:val="24"/>
          <w:szCs w:val="20"/>
          <w:highlight w:val="none"/>
        </w:rPr>
        <w:t>使用</w:t>
      </w:r>
      <w:r>
        <w:rPr>
          <w:rFonts w:hint="eastAsia" w:ascii="仿宋" w:hAnsi="仿宋" w:eastAsia="仿宋"/>
          <w:color w:val="auto"/>
          <w:sz w:val="24"/>
          <w:szCs w:val="20"/>
          <w:highlight w:val="none"/>
          <w:lang w:eastAsia="zh-CN"/>
        </w:rPr>
        <w:t>。</w:t>
      </w:r>
    </w:p>
    <w:p w14:paraId="2C210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如遇有特别活动或重大节日</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须协助保障时，派专业的工程师进行协助，确保各系统正常运行</w:t>
      </w:r>
      <w:r>
        <w:rPr>
          <w:rFonts w:hint="eastAsia" w:ascii="仿宋" w:hAnsi="仿宋" w:eastAsia="仿宋" w:cs="仿宋"/>
          <w:bCs/>
          <w:color w:val="auto"/>
          <w:sz w:val="24"/>
          <w:szCs w:val="24"/>
          <w:highlight w:val="none"/>
          <w:lang w:eastAsia="zh-CN"/>
        </w:rPr>
        <w:t>。</w:t>
      </w:r>
    </w:p>
    <w:p w14:paraId="5321D26D">
      <w:pPr>
        <w:pStyle w:val="42"/>
        <w:keepNext w:val="0"/>
        <w:keepLines w:val="0"/>
        <w:pageBreakBefore w:val="0"/>
        <w:widowControl w:val="0"/>
        <w:numPr>
          <w:ilvl w:val="0"/>
          <w:numId w:val="0"/>
        </w:numPr>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八、安全责任</w:t>
      </w:r>
    </w:p>
    <w:p w14:paraId="7E2BBBEE">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在项目实施过程中的各种意外，其责任由乙方承担，甲方不承担任何责任。</w:t>
      </w:r>
    </w:p>
    <w:p w14:paraId="04B652F9">
      <w:pPr>
        <w:pStyle w:val="42"/>
        <w:keepNext w:val="0"/>
        <w:keepLines w:val="0"/>
        <w:pageBreakBefore w:val="0"/>
        <w:widowControl w:val="0"/>
        <w:numPr>
          <w:ilvl w:val="0"/>
          <w:numId w:val="0"/>
        </w:numPr>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九、</w:t>
      </w:r>
      <w:r>
        <w:rPr>
          <w:rFonts w:hint="eastAsia" w:ascii="仿宋" w:hAnsi="仿宋" w:eastAsia="仿宋" w:cs="仿宋"/>
          <w:b/>
          <w:bCs w:val="0"/>
          <w:color w:val="auto"/>
          <w:sz w:val="24"/>
          <w:szCs w:val="24"/>
        </w:rPr>
        <w:t>转包</w:t>
      </w:r>
      <w:r>
        <w:rPr>
          <w:rFonts w:hint="eastAsia" w:ascii="仿宋" w:hAnsi="仿宋" w:eastAsia="仿宋" w:cs="仿宋"/>
          <w:b/>
          <w:bCs w:val="0"/>
          <w:color w:val="auto"/>
          <w:sz w:val="24"/>
          <w:szCs w:val="24"/>
          <w:lang w:eastAsia="zh-CN"/>
        </w:rPr>
        <w:t>及</w:t>
      </w:r>
      <w:r>
        <w:rPr>
          <w:rFonts w:hint="eastAsia" w:ascii="仿宋" w:hAnsi="仿宋" w:eastAsia="仿宋" w:cs="仿宋"/>
          <w:b/>
          <w:bCs w:val="0"/>
          <w:color w:val="auto"/>
          <w:sz w:val="24"/>
          <w:szCs w:val="24"/>
        </w:rPr>
        <w:t>分包</w:t>
      </w:r>
    </w:p>
    <w:p w14:paraId="1E8378C3">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本合同范围的货物，应由乙方直接供应，不得转让他人供应；</w:t>
      </w:r>
    </w:p>
    <w:p w14:paraId="39735C7D">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除非得到甲方的书面同意，乙方不得将本合同范围的货物全部或部分分包给他人供应；</w:t>
      </w:r>
    </w:p>
    <w:p w14:paraId="5727E4A0">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如有转让和未经甲方同意的分包行为，甲方有权解除合同</w:t>
      </w:r>
      <w:r>
        <w:rPr>
          <w:rFonts w:hint="eastAsia" w:ascii="仿宋" w:hAnsi="仿宋" w:eastAsia="仿宋" w:cs="仿宋"/>
          <w:bCs/>
          <w:color w:val="auto"/>
          <w:sz w:val="24"/>
          <w:szCs w:val="24"/>
          <w:lang w:eastAsia="zh-CN"/>
        </w:rPr>
        <w:t>。</w:t>
      </w:r>
    </w:p>
    <w:p w14:paraId="6A9557CF">
      <w:pPr>
        <w:keepNext w:val="0"/>
        <w:keepLines w:val="0"/>
        <w:pageBreakBefore w:val="0"/>
        <w:widowControl w:val="0"/>
        <w:shd w:val="clear"/>
        <w:kinsoku/>
        <w:wordWrap/>
        <w:overflowPunct/>
        <w:topLinePunct w:val="0"/>
        <w:autoSpaceDE/>
        <w:autoSpaceDN/>
        <w:bidi w:val="0"/>
        <w:adjustRightInd w:val="0"/>
        <w:snapToGrid/>
        <w:spacing w:before="157" w:beforeLines="50"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lang w:val="en-US" w:eastAsia="zh-CN"/>
        </w:rPr>
        <w:t>十、</w:t>
      </w:r>
      <w:r>
        <w:rPr>
          <w:rFonts w:hint="eastAsia" w:ascii="仿宋" w:hAnsi="仿宋" w:eastAsia="仿宋" w:cs="仿宋"/>
          <w:b/>
          <w:bCs/>
          <w:color w:val="auto"/>
          <w:sz w:val="24"/>
          <w:szCs w:val="24"/>
          <w:highlight w:val="none"/>
        </w:rPr>
        <w:t>违约责任</w:t>
      </w:r>
    </w:p>
    <w:p w14:paraId="600E75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1.甲方无正当理由拒绝履行合同的，对于乙方已经履行的部分，乙方有权要求甲方支付，同时甲方向乙方偿付合同款项百分之五作为违约金。</w:t>
      </w:r>
    </w:p>
    <w:p w14:paraId="3634561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甲方无故逾期办理款项支付手续的,甲方应按逾期付款的金额每日万分之五向乙方支付违约金。逾期超过60日的，乙方有权要求甲方支付逾期部分价款百分之五违约金。甲方因财务审批流程导致逾期付款的，不视为违约。</w:t>
      </w:r>
    </w:p>
    <w:p w14:paraId="5B6C32D1">
      <w:pPr>
        <w:pStyle w:val="4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3.乙方未能如期履行合同的，自逾期之日起，向甲方每日偿付合同总价万分之五作为逾期违约金；逾期30日不能交货的，应向甲方支付合同总价百分之五作为违约金，同时不免除乙方的继续履行和损失赔偿的义务，同时甲方有权解除合同。</w:t>
      </w:r>
    </w:p>
    <w:p w14:paraId="1C968C7E">
      <w:pPr>
        <w:pStyle w:val="42"/>
        <w:keepNext w:val="0"/>
        <w:keepLines w:val="0"/>
        <w:pageBreakBefore w:val="0"/>
        <w:widowControl w:val="0"/>
        <w:numPr>
          <w:ilvl w:val="0"/>
          <w:numId w:val="0"/>
        </w:numPr>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十一、知识产权</w:t>
      </w:r>
    </w:p>
    <w:p w14:paraId="74DE7437">
      <w:pPr>
        <w:pStyle w:val="4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color w:val="auto"/>
          <w:sz w:val="24"/>
          <w:szCs w:val="24"/>
          <w:highlight w:val="none"/>
        </w:rPr>
        <w:t>乙方应保证提供服务过程中不会侵犯任何第三方的知识产权。如因此发生任何针对甲方的争议、索赔、诉讼等，产生的一切法律责任与费用均由乙方承担</w:t>
      </w:r>
      <w:r>
        <w:rPr>
          <w:rFonts w:hint="eastAsia" w:ascii="仿宋" w:hAnsi="仿宋" w:eastAsia="仿宋" w:cs="仿宋"/>
          <w:b w:val="0"/>
          <w:bCs/>
          <w:color w:val="auto"/>
          <w:sz w:val="24"/>
          <w:szCs w:val="24"/>
          <w:lang w:val="en-US" w:eastAsia="zh-CN"/>
        </w:rPr>
        <w:t>。</w:t>
      </w:r>
    </w:p>
    <w:p w14:paraId="4AFE1C4E">
      <w:pPr>
        <w:pStyle w:val="42"/>
        <w:keepNext w:val="0"/>
        <w:keepLines w:val="0"/>
        <w:pageBreakBefore w:val="0"/>
        <w:widowControl w:val="0"/>
        <w:kinsoku/>
        <w:wordWrap/>
        <w:overflowPunct/>
        <w:topLinePunct w:val="0"/>
        <w:autoSpaceDE/>
        <w:autoSpaceDN/>
        <w:bidi w:val="0"/>
        <w:adjustRightInd/>
        <w:snapToGrid w:val="0"/>
        <w:spacing w:before="156"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十二、</w:t>
      </w:r>
      <w:r>
        <w:rPr>
          <w:rFonts w:hint="eastAsia" w:ascii="仿宋" w:hAnsi="仿宋" w:eastAsia="仿宋" w:cs="仿宋"/>
          <w:b/>
          <w:bCs w:val="0"/>
          <w:color w:val="auto"/>
          <w:sz w:val="24"/>
          <w:szCs w:val="24"/>
        </w:rPr>
        <w:t>税费</w:t>
      </w:r>
    </w:p>
    <w:p w14:paraId="54AE1840">
      <w:pPr>
        <w:keepNext w:val="0"/>
        <w:keepLines w:val="0"/>
        <w:pageBreakBefore w:val="0"/>
        <w:widowControl w:val="0"/>
        <w:kinsoku/>
        <w:wordWrap/>
        <w:overflowPunct/>
        <w:topLinePunct w:val="0"/>
        <w:autoSpaceDE/>
        <w:autoSpaceDN/>
        <w:bidi w:val="0"/>
        <w:adjustRightInd/>
        <w:snapToGrid w:val="0"/>
        <w:spacing w:after="120" w:afterLines="5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本合同执行中相关的一切税费均由乙方负担。</w:t>
      </w:r>
    </w:p>
    <w:p w14:paraId="6072A3CB">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eastAsia="zh-CN"/>
        </w:rPr>
        <w:t>三</w:t>
      </w:r>
      <w:r>
        <w:rPr>
          <w:rFonts w:hint="eastAsia" w:ascii="仿宋" w:hAnsi="仿宋" w:eastAsia="仿宋" w:cs="仿宋"/>
          <w:b/>
          <w:bCs w:val="0"/>
          <w:color w:val="auto"/>
          <w:sz w:val="24"/>
          <w:szCs w:val="24"/>
        </w:rPr>
        <w:t>、不可抗力事件处理</w:t>
      </w:r>
    </w:p>
    <w:p w14:paraId="20A04EE6">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14:paraId="7118C740">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不可抗力事件发生后，应立即通知对方，并寄送有关权威机构出具的证明。</w:t>
      </w:r>
    </w:p>
    <w:p w14:paraId="03642933">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不可抗力事件延续120天以上，</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方应通过友好协商，确定是否继续履行合同。</w:t>
      </w:r>
    </w:p>
    <w:p w14:paraId="61DCBB6E">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rPr>
        <w:t>、合同争议的解决</w:t>
      </w:r>
    </w:p>
    <w:p w14:paraId="2716AF7B">
      <w:pPr>
        <w:pStyle w:val="42"/>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方在执行合同中所发生的一切争议，应通过协商解决。如协商不成，可向甲方所在地提起仲裁或法院起诉。</w:t>
      </w:r>
    </w:p>
    <w:p w14:paraId="4F3C1767">
      <w:pPr>
        <w:pStyle w:val="42"/>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、合同生效及其它</w:t>
      </w:r>
    </w:p>
    <w:p w14:paraId="0D39F4A6">
      <w:pPr>
        <w:pStyle w:val="15"/>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凡有关本合同或与本合同中发生的争端，</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方应通过友好协商，妥善解决。如通过协商仍不能解决时，可向绍兴市仲裁机构申请仲裁或向嵊州市人民法院起诉。</w:t>
      </w:r>
    </w:p>
    <w:p w14:paraId="181A519F">
      <w:pPr>
        <w:pStyle w:val="15"/>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仲裁和诉讼费用除绍兴市仲裁机构和嵊州市人民法院另有裁决外，由败诉方承担。</w:t>
      </w:r>
    </w:p>
    <w:p w14:paraId="5A85B8DF">
      <w:pPr>
        <w:pStyle w:val="15"/>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在仲裁和诉讼期间，除正在进行裁定的部分外，本合同其他部分应继续执行。</w:t>
      </w:r>
    </w:p>
    <w:p w14:paraId="23895659">
      <w:pPr>
        <w:pStyle w:val="15"/>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合同应在</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rPr>
        <w:t>方签字盖章后开始生效。</w:t>
      </w:r>
    </w:p>
    <w:p w14:paraId="270D5AA2">
      <w:pPr>
        <w:pStyle w:val="15"/>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本合同未尽事宜，遵照《民法典》有关条文执行。</w:t>
      </w:r>
    </w:p>
    <w:p w14:paraId="5EA96A32">
      <w:pPr>
        <w:spacing w:line="408"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份，具有同等法律效力，甲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w:t>
      </w:r>
      <w:r>
        <w:rPr>
          <w:rFonts w:hint="eastAsia" w:ascii="仿宋" w:hAnsi="仿宋" w:eastAsia="仿宋" w:cs="仿宋"/>
          <w:color w:val="auto"/>
          <w:sz w:val="24"/>
          <w:szCs w:val="24"/>
          <w:lang w:eastAsia="zh-CN"/>
        </w:rPr>
        <w:t>双</w:t>
      </w:r>
      <w:r>
        <w:rPr>
          <w:rFonts w:hint="eastAsia" w:ascii="仿宋" w:hAnsi="仿宋" w:eastAsia="仿宋" w:cs="仿宋"/>
          <w:color w:val="auto"/>
          <w:sz w:val="24"/>
          <w:szCs w:val="24"/>
        </w:rPr>
        <w:t>方各执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份；代理机构备案</w:t>
      </w:r>
      <w:r>
        <w:rPr>
          <w:rFonts w:hint="eastAsia" w:ascii="仿宋" w:hAnsi="仿宋" w:eastAsia="仿宋" w:cs="仿宋"/>
          <w:color w:val="auto"/>
          <w:sz w:val="24"/>
          <w:szCs w:val="24"/>
          <w:lang w:eastAsia="zh-CN"/>
        </w:rPr>
        <w:t>壹</w:t>
      </w:r>
      <w:r>
        <w:rPr>
          <w:rFonts w:hint="eastAsia" w:ascii="仿宋" w:hAnsi="仿宋" w:eastAsia="仿宋" w:cs="仿宋"/>
          <w:color w:val="auto"/>
          <w:sz w:val="24"/>
          <w:szCs w:val="24"/>
        </w:rPr>
        <w:t>份。</w:t>
      </w:r>
    </w:p>
    <w:p w14:paraId="5EC54BD8">
      <w:pPr>
        <w:pStyle w:val="32"/>
        <w:spacing w:line="460" w:lineRule="exact"/>
        <w:ind w:firstLine="420"/>
        <w:contextualSpacing/>
        <w:rPr>
          <w:rFonts w:hint="eastAsia" w:ascii="仿宋" w:hAnsi="仿宋" w:eastAsia="仿宋" w:cs="仿宋"/>
          <w:sz w:val="24"/>
          <w:szCs w:val="24"/>
          <w:lang w:eastAsia="zh-CN"/>
        </w:rPr>
      </w:pPr>
      <w:r>
        <w:rPr>
          <w:rFonts w:hint="eastAsia" w:ascii="仿宋" w:hAnsi="仿宋" w:eastAsia="仿宋" w:cs="仿宋"/>
          <w:sz w:val="24"/>
          <w:szCs w:val="24"/>
        </w:rPr>
        <w:t xml:space="preserve">甲方：                                   乙方： </w:t>
      </w:r>
      <w:r>
        <w:rPr>
          <w:rFonts w:hint="eastAsia" w:ascii="仿宋" w:hAnsi="仿宋" w:eastAsia="仿宋" w:cs="仿宋"/>
          <w:sz w:val="24"/>
          <w:szCs w:val="24"/>
          <w:lang w:val="en-US" w:eastAsia="zh-CN"/>
        </w:rPr>
        <w:t xml:space="preserve">                                 </w:t>
      </w:r>
    </w:p>
    <w:p w14:paraId="739C062C">
      <w:pPr>
        <w:pStyle w:val="32"/>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地址：                                   地址： </w:t>
      </w:r>
    </w:p>
    <w:p w14:paraId="0EFA3397">
      <w:pPr>
        <w:pStyle w:val="32"/>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法定（授权）代表人：                     法定（授权）代表人：</w:t>
      </w:r>
    </w:p>
    <w:p w14:paraId="3D172F7C">
      <w:pPr>
        <w:pStyle w:val="32"/>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电    话：                               电    话： </w:t>
      </w:r>
    </w:p>
    <w:p w14:paraId="13AAD0C2">
      <w:pPr>
        <w:pStyle w:val="32"/>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2D4482E3">
      <w:pPr>
        <w:pStyle w:val="32"/>
        <w:spacing w:line="460" w:lineRule="exact"/>
        <w:ind w:firstLine="420"/>
        <w:rPr>
          <w:rFonts w:hint="eastAsia" w:ascii="仿宋" w:hAnsi="仿宋" w:eastAsia="仿宋" w:cs="仿宋"/>
          <w:sz w:val="24"/>
          <w:szCs w:val="24"/>
        </w:rPr>
      </w:pPr>
      <w:r>
        <w:rPr>
          <w:rFonts w:hint="eastAsia" w:ascii="仿宋" w:hAnsi="仿宋" w:eastAsia="仿宋" w:cs="仿宋"/>
          <w:sz w:val="24"/>
          <w:szCs w:val="24"/>
        </w:rPr>
        <w:t>账    号：                               账    号：</w:t>
      </w:r>
    </w:p>
    <w:p w14:paraId="75A96B1D">
      <w:pPr>
        <w:pStyle w:val="32"/>
        <w:spacing w:line="460" w:lineRule="exact"/>
        <w:ind w:firstLine="420"/>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14:paraId="47619D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10CB8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注：具体以</w:t>
      </w:r>
      <w:r>
        <w:rPr>
          <w:rFonts w:hint="eastAsia" w:ascii="仿宋" w:hAnsi="仿宋" w:eastAsia="仿宋" w:cs="仿宋"/>
          <w:b/>
          <w:bCs/>
          <w:color w:val="auto"/>
          <w:sz w:val="24"/>
          <w:szCs w:val="24"/>
          <w:lang w:val="en-US" w:eastAsia="zh-CN"/>
        </w:rPr>
        <w:t>双</w:t>
      </w:r>
      <w:r>
        <w:rPr>
          <w:rFonts w:hint="eastAsia" w:ascii="仿宋" w:hAnsi="仿宋" w:eastAsia="仿宋" w:cs="仿宋"/>
          <w:b/>
          <w:bCs/>
          <w:color w:val="auto"/>
          <w:sz w:val="24"/>
          <w:szCs w:val="24"/>
        </w:rPr>
        <w:t>方签定的正式合同为准，合同内容不得违背本招标文件实质性要求。</w:t>
      </w:r>
    </w:p>
    <w:p w14:paraId="5F42D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7DC22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08368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60CE05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7A68E7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69CFEC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70CAA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color w:val="auto"/>
          <w:sz w:val="24"/>
          <w:szCs w:val="24"/>
        </w:rPr>
      </w:pPr>
    </w:p>
    <w:p w14:paraId="0288D02E">
      <w:pPr>
        <w:rPr>
          <w:rStyle w:val="484"/>
          <w:rFonts w:hint="eastAsia" w:ascii="仿宋" w:hAnsi="仿宋" w:eastAsia="仿宋" w:cs="仿宋"/>
          <w:b/>
          <w:bCs/>
          <w:color w:val="auto"/>
          <w:sz w:val="32"/>
          <w:szCs w:val="32"/>
        </w:rPr>
      </w:pPr>
      <w:r>
        <w:rPr>
          <w:rStyle w:val="484"/>
          <w:rFonts w:hint="eastAsia" w:ascii="仿宋" w:hAnsi="仿宋" w:eastAsia="仿宋" w:cs="仿宋"/>
          <w:b/>
          <w:bCs/>
          <w:color w:val="auto"/>
          <w:sz w:val="32"/>
          <w:szCs w:val="32"/>
        </w:rPr>
        <w:br w:type="page"/>
      </w:r>
    </w:p>
    <w:p w14:paraId="5D0BBB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6"/>
          <w:szCs w:val="36"/>
          <w:lang w:eastAsia="zh-CN"/>
        </w:rPr>
      </w:pPr>
    </w:p>
    <w:p w14:paraId="7490A8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rPr>
      </w:pPr>
      <w:r>
        <w:rPr>
          <w:rStyle w:val="484"/>
          <w:rFonts w:hint="eastAsia" w:ascii="仿宋" w:hAnsi="仿宋" w:eastAsia="仿宋" w:cs="仿宋"/>
          <w:b/>
          <w:bCs/>
          <w:color w:val="auto"/>
          <w:sz w:val="36"/>
          <w:szCs w:val="36"/>
          <w:lang w:eastAsia="zh-CN"/>
        </w:rPr>
        <w:t>第六部分</w:t>
      </w:r>
      <w:r>
        <w:rPr>
          <w:rStyle w:val="484"/>
          <w:rFonts w:hint="eastAsia" w:ascii="仿宋" w:hAnsi="仿宋" w:eastAsia="仿宋" w:cs="仿宋"/>
          <w:b/>
          <w:bCs/>
          <w:color w:val="auto"/>
          <w:sz w:val="36"/>
          <w:szCs w:val="36"/>
          <w:lang w:val="en-US" w:eastAsia="zh-CN"/>
        </w:rPr>
        <w:t xml:space="preserve">  </w:t>
      </w:r>
      <w:r>
        <w:rPr>
          <w:rStyle w:val="484"/>
          <w:rFonts w:hint="eastAsia" w:ascii="仿宋" w:hAnsi="仿宋" w:eastAsia="仿宋" w:cs="仿宋"/>
          <w:b/>
          <w:bCs/>
          <w:color w:val="auto"/>
          <w:sz w:val="36"/>
          <w:szCs w:val="36"/>
        </w:rPr>
        <w:t>投标文件格式</w:t>
      </w:r>
      <w:r>
        <w:rPr>
          <w:rStyle w:val="484"/>
          <w:rFonts w:hint="eastAsia" w:ascii="仿宋" w:hAnsi="仿宋" w:eastAsia="仿宋" w:cs="仿宋"/>
          <w:b/>
          <w:bCs/>
          <w:color w:val="auto"/>
          <w:sz w:val="36"/>
          <w:szCs w:val="36"/>
          <w:lang w:val="en-US" w:eastAsia="zh-CN"/>
        </w:rPr>
        <w:t>及其附件</w:t>
      </w:r>
      <w:r>
        <w:rPr>
          <w:rStyle w:val="484"/>
          <w:rFonts w:hint="eastAsia" w:ascii="仿宋" w:hAnsi="仿宋" w:eastAsia="仿宋" w:cs="仿宋"/>
          <w:b/>
          <w:bCs/>
          <w:color w:val="auto"/>
          <w:sz w:val="36"/>
          <w:szCs w:val="36"/>
        </w:rPr>
        <w:t>格式</w:t>
      </w:r>
    </w:p>
    <w:p w14:paraId="6E3E689C">
      <w:pPr>
        <w:pStyle w:val="42"/>
        <w:rPr>
          <w:rStyle w:val="484"/>
          <w:rFonts w:hint="eastAsia" w:ascii="仿宋" w:hAnsi="仿宋" w:eastAsia="仿宋" w:cs="仿宋"/>
          <w:b/>
          <w:bCs/>
          <w:color w:val="auto"/>
          <w:sz w:val="32"/>
          <w:szCs w:val="32"/>
          <w:lang w:val="en-US" w:eastAsia="zh-CN"/>
        </w:rPr>
      </w:pPr>
    </w:p>
    <w:p w14:paraId="0B6F8956">
      <w:pPr>
        <w:pStyle w:val="42"/>
        <w:rPr>
          <w:rStyle w:val="484"/>
          <w:rFonts w:hint="eastAsia" w:ascii="仿宋" w:hAnsi="仿宋" w:eastAsia="仿宋" w:cs="仿宋"/>
          <w:b/>
          <w:bCs/>
          <w:color w:val="auto"/>
          <w:sz w:val="32"/>
          <w:szCs w:val="32"/>
          <w:lang w:val="en-US" w:eastAsia="zh-CN"/>
        </w:rPr>
      </w:pPr>
    </w:p>
    <w:p w14:paraId="650A8E06">
      <w:pPr>
        <w:pStyle w:val="42"/>
        <w:rPr>
          <w:rFonts w:hint="eastAsia" w:ascii="仿宋" w:hAnsi="仿宋" w:eastAsia="仿宋" w:cs="仿宋"/>
          <w:b/>
          <w:bCs/>
          <w:color w:val="auto"/>
          <w:kern w:val="2"/>
          <w:sz w:val="36"/>
          <w:szCs w:val="36"/>
          <w:lang w:val="en-US" w:eastAsia="zh-CN" w:bidi="ar-SA"/>
        </w:rPr>
      </w:pPr>
    </w:p>
    <w:p w14:paraId="4C2BDAEA">
      <w:pPr>
        <w:pStyle w:val="42"/>
        <w:rPr>
          <w:rFonts w:hint="eastAsia" w:ascii="仿宋" w:hAnsi="仿宋" w:eastAsia="仿宋" w:cs="仿宋"/>
          <w:color w:val="auto"/>
          <w:sz w:val="44"/>
          <w:szCs w:val="44"/>
        </w:rPr>
      </w:pPr>
      <w:r>
        <w:rPr>
          <w:rFonts w:hint="eastAsia" w:ascii="仿宋" w:hAnsi="仿宋" w:eastAsia="仿宋" w:cs="仿宋"/>
          <w:b/>
          <w:bCs/>
          <w:color w:val="auto"/>
          <w:kern w:val="2"/>
          <w:sz w:val="36"/>
          <w:szCs w:val="36"/>
          <w:lang w:val="en-US" w:eastAsia="zh-CN" w:bidi="ar-SA"/>
        </w:rPr>
        <w:t>投标文件封面</w:t>
      </w:r>
      <w:r>
        <w:rPr>
          <w:rFonts w:hint="eastAsia" w:ascii="仿宋" w:hAnsi="仿宋" w:eastAsia="仿宋" w:cs="仿宋"/>
          <w:color w:val="auto"/>
          <w:sz w:val="24"/>
          <w:szCs w:val="22"/>
        </w:rPr>
        <w:t xml:space="preserve">                                              </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rPr>
        <w:t xml:space="preserve">  </w:t>
      </w:r>
    </w:p>
    <w:p w14:paraId="7E75C8C9">
      <w:pPr>
        <w:rPr>
          <w:rFonts w:hint="eastAsia" w:ascii="仿宋" w:hAnsi="仿宋" w:eastAsia="仿宋" w:cs="仿宋"/>
          <w:color w:val="auto"/>
          <w:sz w:val="44"/>
          <w:szCs w:val="44"/>
        </w:rPr>
      </w:pPr>
    </w:p>
    <w:p w14:paraId="6A1ED7C3">
      <w:pPr>
        <w:jc w:val="center"/>
        <w:rPr>
          <w:rFonts w:hint="eastAsia" w:ascii="仿宋" w:hAnsi="仿宋" w:eastAsia="仿宋" w:cs="仿宋"/>
          <w:color w:val="auto"/>
          <w:sz w:val="40"/>
          <w:szCs w:val="40"/>
          <w:lang w:val="en-US" w:eastAsia="zh-CN"/>
        </w:rPr>
      </w:pPr>
      <w:r>
        <w:rPr>
          <w:rFonts w:hint="eastAsia" w:ascii="仿宋" w:hAnsi="仿宋" w:eastAsia="仿宋" w:cs="仿宋"/>
          <w:color w:val="auto"/>
          <w:sz w:val="48"/>
          <w:szCs w:val="48"/>
          <w:lang w:val="en-US" w:eastAsia="zh-CN"/>
        </w:rPr>
        <w:t xml:space="preserve"> </w:t>
      </w:r>
      <w:r>
        <w:rPr>
          <w:rFonts w:hint="eastAsia" w:ascii="仿宋" w:hAnsi="仿宋" w:eastAsia="仿宋" w:cs="仿宋"/>
          <w:color w:val="auto"/>
          <w:sz w:val="40"/>
          <w:szCs w:val="40"/>
          <w:lang w:val="en-US" w:eastAsia="zh-CN"/>
        </w:rPr>
        <w:t>(项目名称)项目</w:t>
      </w:r>
    </w:p>
    <w:p w14:paraId="0D74D9F7">
      <w:pPr>
        <w:jc w:val="center"/>
        <w:rPr>
          <w:rFonts w:hint="eastAsia" w:ascii="仿宋" w:hAnsi="仿宋" w:eastAsia="仿宋" w:cs="仿宋"/>
          <w:color w:val="auto"/>
          <w:sz w:val="32"/>
          <w:szCs w:val="32"/>
          <w:lang w:val="en-US" w:eastAsia="zh-CN"/>
        </w:rPr>
      </w:pPr>
    </w:p>
    <w:p w14:paraId="47214532">
      <w:pPr>
        <w:jc w:val="center"/>
        <w:rPr>
          <w:rFonts w:hint="default" w:ascii="仿宋" w:hAnsi="仿宋" w:eastAsia="仿宋" w:cs="仿宋"/>
          <w:color w:val="auto"/>
          <w:sz w:val="36"/>
          <w:szCs w:val="36"/>
          <w:lang w:val="en-US" w:eastAsia="zh-CN"/>
        </w:rPr>
      </w:pPr>
      <w:r>
        <w:rPr>
          <w:rFonts w:hint="eastAsia" w:ascii="仿宋" w:hAnsi="仿宋" w:eastAsia="仿宋" w:cs="仿宋"/>
          <w:color w:val="auto"/>
          <w:sz w:val="32"/>
          <w:szCs w:val="32"/>
          <w:lang w:val="en-US" w:eastAsia="zh-CN"/>
        </w:rPr>
        <w:t>项目编号：SXWH2024-12-16</w:t>
      </w:r>
    </w:p>
    <w:p w14:paraId="02DB2445">
      <w:pPr>
        <w:spacing w:line="240" w:lineRule="auto"/>
        <w:jc w:val="center"/>
        <w:rPr>
          <w:rFonts w:hint="eastAsia" w:ascii="仿宋" w:hAnsi="仿宋" w:eastAsia="仿宋" w:cs="仿宋"/>
          <w:b/>
          <w:bCs/>
          <w:sz w:val="48"/>
          <w:szCs w:val="48"/>
          <w:highlight w:val="none"/>
          <w:lang w:eastAsia="zh-CN"/>
        </w:rPr>
      </w:pPr>
    </w:p>
    <w:p w14:paraId="40A66F99">
      <w:pPr>
        <w:spacing w:line="240" w:lineRule="auto"/>
        <w:jc w:val="center"/>
        <w:rPr>
          <w:rFonts w:hint="eastAsia" w:ascii="仿宋" w:hAnsi="仿宋" w:eastAsia="仿宋" w:cs="仿宋"/>
          <w:b/>
          <w:bCs/>
          <w:sz w:val="48"/>
          <w:szCs w:val="48"/>
          <w:highlight w:val="none"/>
          <w:lang w:eastAsia="zh-CN"/>
        </w:rPr>
      </w:pPr>
    </w:p>
    <w:p w14:paraId="3049614E">
      <w:pPr>
        <w:spacing w:line="240" w:lineRule="auto"/>
        <w:jc w:val="center"/>
        <w:rPr>
          <w:rFonts w:hint="eastAsia" w:ascii="仿宋" w:hAnsi="仿宋" w:eastAsia="仿宋" w:cs="仿宋"/>
          <w:b/>
          <w:bCs/>
          <w:sz w:val="48"/>
          <w:szCs w:val="48"/>
          <w:highlight w:val="none"/>
          <w:lang w:eastAsia="zh-CN"/>
        </w:rPr>
      </w:pPr>
    </w:p>
    <w:p w14:paraId="3E15A80B">
      <w:pPr>
        <w:spacing w:line="240" w:lineRule="auto"/>
        <w:jc w:val="center"/>
        <w:rPr>
          <w:rFonts w:hint="eastAsia" w:ascii="仿宋" w:hAnsi="仿宋" w:eastAsia="仿宋" w:cs="仿宋"/>
          <w:b/>
          <w:bCs/>
          <w:sz w:val="48"/>
          <w:szCs w:val="48"/>
          <w:highlight w:val="none"/>
          <w:lang w:eastAsia="zh-CN"/>
        </w:rPr>
      </w:pPr>
    </w:p>
    <w:p w14:paraId="734D2FB7">
      <w:pPr>
        <w:spacing w:line="240" w:lineRule="auto"/>
        <w:jc w:val="center"/>
        <w:rPr>
          <w:rFonts w:hint="eastAsia" w:ascii="仿宋" w:hAnsi="仿宋" w:eastAsia="仿宋" w:cs="仿宋"/>
          <w:b/>
          <w:bCs/>
          <w:sz w:val="48"/>
          <w:szCs w:val="48"/>
          <w:highlight w:val="none"/>
          <w:lang w:eastAsia="zh-CN"/>
        </w:rPr>
      </w:pPr>
    </w:p>
    <w:p w14:paraId="7D515492">
      <w:pPr>
        <w:spacing w:line="240" w:lineRule="auto"/>
        <w:jc w:val="center"/>
        <w:rPr>
          <w:rFonts w:hint="eastAsia" w:ascii="仿宋" w:hAnsi="仿宋" w:eastAsia="仿宋" w:cs="仿宋"/>
          <w:b/>
          <w:bCs/>
          <w:sz w:val="48"/>
          <w:szCs w:val="48"/>
          <w:highlight w:val="none"/>
        </w:rPr>
      </w:pPr>
      <w:r>
        <w:rPr>
          <w:rFonts w:hint="eastAsia" w:ascii="仿宋" w:hAnsi="仿宋" w:eastAsia="仿宋" w:cs="仿宋"/>
          <w:b/>
          <w:bCs/>
          <w:sz w:val="44"/>
          <w:szCs w:val="44"/>
          <w:highlight w:val="none"/>
          <w:lang w:eastAsia="zh-CN"/>
        </w:rPr>
        <w:t>资格文件</w:t>
      </w:r>
      <w:r>
        <w:rPr>
          <w:rFonts w:hint="eastAsia" w:ascii="仿宋" w:hAnsi="仿宋" w:eastAsia="仿宋" w:cs="仿宋"/>
          <w:b/>
          <w:bCs/>
          <w:sz w:val="44"/>
          <w:szCs w:val="44"/>
          <w:highlight w:val="none"/>
        </w:rPr>
        <w:t>/</w:t>
      </w:r>
      <w:r>
        <w:rPr>
          <w:rFonts w:hint="eastAsia" w:ascii="仿宋" w:hAnsi="仿宋" w:eastAsia="仿宋" w:cs="仿宋"/>
          <w:b/>
          <w:bCs/>
          <w:sz w:val="44"/>
          <w:szCs w:val="44"/>
          <w:highlight w:val="none"/>
          <w:lang w:val="en-US" w:eastAsia="zh-CN"/>
        </w:rPr>
        <w:t>商务</w:t>
      </w:r>
      <w:r>
        <w:rPr>
          <w:rFonts w:hint="eastAsia" w:ascii="仿宋" w:hAnsi="仿宋" w:eastAsia="仿宋" w:cs="仿宋"/>
          <w:b/>
          <w:bCs/>
          <w:sz w:val="44"/>
          <w:szCs w:val="44"/>
          <w:highlight w:val="none"/>
        </w:rPr>
        <w:t>技术文件/报价文件</w:t>
      </w:r>
    </w:p>
    <w:p w14:paraId="0F8C6687">
      <w:pPr>
        <w:ind w:firstLine="0" w:firstLineChars="0"/>
        <w:rPr>
          <w:rFonts w:hint="eastAsia" w:ascii="仿宋" w:hAnsi="仿宋" w:eastAsia="仿宋" w:cs="仿宋"/>
          <w:highlight w:val="none"/>
        </w:rPr>
      </w:pPr>
    </w:p>
    <w:p w14:paraId="13E1D606">
      <w:pPr>
        <w:ind w:firstLine="0" w:firstLineChars="0"/>
        <w:rPr>
          <w:rFonts w:hint="eastAsia" w:ascii="仿宋" w:hAnsi="仿宋" w:eastAsia="仿宋" w:cs="仿宋"/>
          <w:highlight w:val="none"/>
        </w:rPr>
      </w:pPr>
    </w:p>
    <w:p w14:paraId="04558C41">
      <w:pPr>
        <w:ind w:firstLine="0" w:firstLineChars="0"/>
        <w:rPr>
          <w:rFonts w:hint="eastAsia" w:ascii="仿宋" w:hAnsi="仿宋" w:eastAsia="仿宋" w:cs="仿宋"/>
          <w:highlight w:val="none"/>
        </w:rPr>
      </w:pPr>
    </w:p>
    <w:p w14:paraId="6DD90680">
      <w:pPr>
        <w:pStyle w:val="119"/>
        <w:rPr>
          <w:rFonts w:hint="eastAsia" w:ascii="仿宋" w:hAnsi="仿宋" w:eastAsia="仿宋" w:cs="仿宋"/>
          <w:highlight w:val="none"/>
        </w:rPr>
      </w:pPr>
    </w:p>
    <w:p w14:paraId="3900574A">
      <w:pPr>
        <w:pStyle w:val="119"/>
        <w:rPr>
          <w:rFonts w:hint="eastAsia" w:ascii="仿宋" w:hAnsi="仿宋" w:eastAsia="仿宋" w:cs="仿宋"/>
          <w:highlight w:val="none"/>
        </w:rPr>
      </w:pPr>
    </w:p>
    <w:p w14:paraId="379B5C05">
      <w:pPr>
        <w:pStyle w:val="119"/>
        <w:rPr>
          <w:rFonts w:hint="eastAsia" w:ascii="仿宋" w:hAnsi="仿宋" w:eastAsia="仿宋" w:cs="仿宋"/>
          <w:highlight w:val="none"/>
        </w:rPr>
      </w:pPr>
    </w:p>
    <w:p w14:paraId="043078BD">
      <w:pPr>
        <w:pStyle w:val="119"/>
        <w:rPr>
          <w:rFonts w:hint="eastAsia" w:ascii="仿宋" w:hAnsi="仿宋" w:eastAsia="仿宋" w:cs="仿宋"/>
          <w:highlight w:val="none"/>
        </w:rPr>
      </w:pPr>
    </w:p>
    <w:p w14:paraId="7A95AD8C">
      <w:pPr>
        <w:rPr>
          <w:rFonts w:hint="eastAsia" w:ascii="仿宋" w:hAnsi="仿宋" w:eastAsia="仿宋" w:cs="仿宋"/>
          <w:highlight w:val="none"/>
        </w:rPr>
      </w:pPr>
    </w:p>
    <w:p w14:paraId="673E2E1B">
      <w:pPr>
        <w:ind w:firstLine="480"/>
        <w:rPr>
          <w:rFonts w:hint="eastAsia" w:ascii="仿宋" w:hAnsi="仿宋" w:eastAsia="仿宋" w:cs="仿宋"/>
          <w:highlight w:val="none"/>
        </w:rPr>
      </w:pPr>
    </w:p>
    <w:p w14:paraId="4751E1B2">
      <w:pPr>
        <w:keepNext w:val="0"/>
        <w:keepLines w:val="0"/>
        <w:pageBreakBefore w:val="0"/>
        <w:kinsoku/>
        <w:wordWrap/>
        <w:overflowPunct/>
        <w:topLinePunct w:val="0"/>
        <w:autoSpaceDE/>
        <w:autoSpaceDN/>
        <w:bidi w:val="0"/>
        <w:adjustRightInd/>
        <w:snapToGrid/>
        <w:spacing w:line="720" w:lineRule="exact"/>
        <w:ind w:firstLine="640"/>
        <w:textAlignment w:val="auto"/>
        <w:rPr>
          <w:rFonts w:hint="eastAsia" w:ascii="仿宋" w:hAnsi="仿宋" w:eastAsia="仿宋" w:cs="仿宋"/>
          <w:sz w:val="32"/>
          <w:highlight w:val="none"/>
          <w:u w:val="single"/>
        </w:rPr>
      </w:pPr>
      <w:r>
        <w:rPr>
          <w:rFonts w:hint="eastAsia" w:ascii="仿宋" w:hAnsi="仿宋" w:eastAsia="仿宋" w:cs="仿宋"/>
          <w:sz w:val="32"/>
          <w:highlight w:val="none"/>
        </w:rPr>
        <w:t>投 标 人：</w:t>
      </w:r>
      <w:r>
        <w:rPr>
          <w:rFonts w:hint="eastAsia" w:ascii="仿宋" w:hAnsi="仿宋" w:eastAsia="仿宋" w:cs="仿宋"/>
          <w:sz w:val="32"/>
          <w:highlight w:val="none"/>
          <w:u w:val="single"/>
        </w:rPr>
        <w:t xml:space="preserve">     （全称）（加盖公章）    </w:t>
      </w:r>
    </w:p>
    <w:p w14:paraId="6C23C53C">
      <w:pPr>
        <w:keepNext w:val="0"/>
        <w:keepLines w:val="0"/>
        <w:pageBreakBefore w:val="0"/>
        <w:widowControl/>
        <w:kinsoku/>
        <w:wordWrap/>
        <w:overflowPunct/>
        <w:topLinePunct w:val="0"/>
        <w:autoSpaceDE/>
        <w:autoSpaceDN/>
        <w:bidi w:val="0"/>
        <w:adjustRightInd/>
        <w:snapToGrid/>
        <w:spacing w:line="720" w:lineRule="exact"/>
        <w:ind w:firstLine="640" w:firstLineChars="200"/>
        <w:jc w:val="both"/>
        <w:textAlignment w:val="auto"/>
        <w:rPr>
          <w:rFonts w:hint="eastAsia" w:ascii="仿宋" w:hAnsi="仿宋" w:eastAsia="仿宋" w:cs="仿宋"/>
          <w:b/>
          <w:color w:val="auto"/>
          <w:kern w:val="0"/>
          <w:sz w:val="28"/>
          <w:szCs w:val="28"/>
          <w:lang w:val="zh-CN"/>
        </w:rPr>
      </w:pPr>
      <w:r>
        <w:rPr>
          <w:rFonts w:hint="eastAsia" w:ascii="仿宋" w:hAnsi="仿宋" w:eastAsia="仿宋" w:cs="仿宋"/>
          <w:sz w:val="32"/>
          <w:highlight w:val="none"/>
        </w:rPr>
        <w:t>投标人地址：</w:t>
      </w:r>
      <w:r>
        <w:rPr>
          <w:rFonts w:hint="eastAsia" w:ascii="仿宋" w:hAnsi="仿宋" w:eastAsia="仿宋" w:cs="仿宋"/>
          <w:sz w:val="32"/>
          <w:highlight w:val="none"/>
          <w:u w:val="single"/>
          <w:lang w:val="en-US" w:eastAsia="zh-CN"/>
        </w:rPr>
        <w:t xml:space="preserve">                           </w:t>
      </w:r>
    </w:p>
    <w:p w14:paraId="14D97B72">
      <w:pPr>
        <w:keepNext w:val="0"/>
        <w:keepLines w:val="0"/>
        <w:pageBreakBefore w:val="0"/>
        <w:kinsoku/>
        <w:wordWrap/>
        <w:overflowPunct/>
        <w:topLinePunct w:val="0"/>
        <w:autoSpaceDE/>
        <w:autoSpaceDN/>
        <w:bidi w:val="0"/>
        <w:adjustRightInd/>
        <w:snapToGrid/>
        <w:spacing w:line="720" w:lineRule="exact"/>
        <w:ind w:firstLine="640"/>
        <w:textAlignment w:val="auto"/>
        <w:rPr>
          <w:rFonts w:hint="default" w:ascii="仿宋" w:hAnsi="仿宋" w:eastAsia="仿宋" w:cs="仿宋"/>
          <w:sz w:val="32"/>
          <w:highlight w:val="none"/>
          <w:u w:val="single"/>
          <w:lang w:val="en-US" w:eastAsia="zh-CN"/>
        </w:rPr>
      </w:pPr>
      <w:r>
        <w:rPr>
          <w:rFonts w:hint="eastAsia" w:ascii="仿宋" w:hAnsi="仿宋" w:eastAsia="仿宋" w:cs="仿宋"/>
          <w:sz w:val="32"/>
          <w:highlight w:val="none"/>
          <w:lang w:val="zh-CN"/>
        </w:rPr>
        <w:t>日</w:t>
      </w:r>
      <w:r>
        <w:rPr>
          <w:rFonts w:hint="eastAsia" w:ascii="仿宋" w:hAnsi="仿宋" w:eastAsia="仿宋" w:cs="仿宋"/>
          <w:sz w:val="32"/>
          <w:highlight w:val="none"/>
          <w:lang w:val="en-US" w:eastAsia="zh-CN"/>
        </w:rPr>
        <w:t xml:space="preserve">     </w:t>
      </w:r>
      <w:r>
        <w:rPr>
          <w:rFonts w:hint="eastAsia" w:ascii="仿宋" w:hAnsi="仿宋" w:eastAsia="仿宋" w:cs="仿宋"/>
          <w:sz w:val="32"/>
          <w:highlight w:val="none"/>
          <w:lang w:val="zh-CN"/>
        </w:rPr>
        <w:t>期：</w:t>
      </w:r>
      <w:r>
        <w:rPr>
          <w:rFonts w:hint="eastAsia" w:ascii="仿宋" w:hAnsi="仿宋" w:eastAsia="仿宋" w:cs="仿宋"/>
          <w:sz w:val="32"/>
          <w:highlight w:val="none"/>
          <w:u w:val="single"/>
          <w:lang w:val="en-US" w:eastAsia="zh-CN"/>
        </w:rPr>
        <w:t xml:space="preserve">                            </w:t>
      </w:r>
    </w:p>
    <w:p w14:paraId="12472041">
      <w:pPr>
        <w:widowControl/>
        <w:adjustRightInd/>
        <w:jc w:val="center"/>
        <w:rPr>
          <w:rFonts w:hint="eastAsia" w:ascii="仿宋" w:hAnsi="仿宋" w:eastAsia="仿宋" w:cs="仿宋"/>
          <w:b/>
          <w:color w:val="auto"/>
          <w:kern w:val="0"/>
          <w:sz w:val="24"/>
          <w:szCs w:val="24"/>
          <w:highlight w:val="none"/>
          <w:lang w:val="zh-CN"/>
        </w:rPr>
      </w:pPr>
    </w:p>
    <w:p w14:paraId="79D95743">
      <w:pPr>
        <w:widowControl/>
        <w:adjustRightInd/>
        <w:jc w:val="center"/>
        <w:rPr>
          <w:rFonts w:hint="eastAsia" w:ascii="仿宋" w:hAnsi="仿宋" w:eastAsia="仿宋" w:cs="仿宋"/>
          <w:b/>
          <w:color w:val="auto"/>
          <w:kern w:val="0"/>
          <w:sz w:val="24"/>
          <w:szCs w:val="24"/>
          <w:highlight w:val="none"/>
          <w:lang w:val="zh-CN"/>
        </w:rPr>
      </w:pPr>
    </w:p>
    <w:p w14:paraId="31C6DE3B">
      <w:pPr>
        <w:widowControl/>
        <w:adjustRightInd/>
        <w:jc w:val="center"/>
        <w:rPr>
          <w:rFonts w:hint="eastAsia" w:ascii="仿宋" w:hAnsi="仿宋" w:eastAsia="仿宋" w:cs="仿宋"/>
          <w:b/>
          <w:color w:val="auto"/>
          <w:kern w:val="0"/>
          <w:sz w:val="32"/>
          <w:szCs w:val="32"/>
          <w:highlight w:val="none"/>
          <w:lang w:val="zh-CN"/>
        </w:rPr>
      </w:pPr>
    </w:p>
    <w:p w14:paraId="486CBDEE">
      <w:pPr>
        <w:widowControl/>
        <w:adjustRightInd/>
        <w:jc w:val="center"/>
        <w:rPr>
          <w:rFonts w:hint="eastAsia" w:ascii="仿宋" w:hAnsi="仿宋" w:eastAsia="仿宋" w:cs="仿宋"/>
          <w:b/>
          <w:color w:val="auto"/>
          <w:kern w:val="0"/>
          <w:sz w:val="32"/>
          <w:szCs w:val="32"/>
          <w:highlight w:val="none"/>
          <w:lang w:val="zh-CN"/>
        </w:rPr>
      </w:pPr>
    </w:p>
    <w:p w14:paraId="7A49AFCF">
      <w:pPr>
        <w:widowControl/>
        <w:adjustRightInd/>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一、</w:t>
      </w:r>
      <w:r>
        <w:rPr>
          <w:rFonts w:hint="eastAsia" w:ascii="仿宋" w:hAnsi="仿宋" w:eastAsia="仿宋" w:cs="仿宋"/>
          <w:b/>
          <w:bCs/>
          <w:color w:val="auto"/>
          <w:sz w:val="32"/>
          <w:szCs w:val="32"/>
          <w:highlight w:val="none"/>
          <w:lang w:eastAsia="zh-CN"/>
        </w:rPr>
        <w:t>资格文件</w:t>
      </w:r>
      <w:r>
        <w:rPr>
          <w:rFonts w:hint="eastAsia" w:ascii="仿宋" w:hAnsi="仿宋" w:eastAsia="仿宋" w:cs="仿宋"/>
          <w:b/>
          <w:color w:val="auto"/>
          <w:sz w:val="32"/>
          <w:szCs w:val="32"/>
          <w:highlight w:val="none"/>
        </w:rPr>
        <w:t>目录</w:t>
      </w:r>
    </w:p>
    <w:p w14:paraId="3B159616">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p>
    <w:p w14:paraId="0E003E10">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（1）营业执照扫描件；</w:t>
      </w:r>
    </w:p>
    <w:p w14:paraId="347C17F6">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（2）符合参加政企采购活动应当具备的一般条件的承诺函【格式附后】；</w:t>
      </w:r>
    </w:p>
    <w:p w14:paraId="224370B9">
      <w:pPr>
        <w:pStyle w:val="42"/>
        <w:pageBreakBefore w:val="0"/>
        <w:kinsoku/>
        <w:wordWrap/>
        <w:overflowPunct/>
        <w:topLinePunct w:val="0"/>
        <w:bidi w:val="0"/>
        <w:spacing w:line="360" w:lineRule="auto"/>
        <w:ind w:left="0" w:leftChars="0"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（3）符合特定资格要求的相关证明材料（如有，提供扫描件）。</w:t>
      </w:r>
    </w:p>
    <w:p w14:paraId="69116E9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D8EB50B">
      <w:pPr>
        <w:snapToGrid w:val="0"/>
        <w:spacing w:line="360" w:lineRule="auto"/>
        <w:ind w:right="480"/>
        <w:jc w:val="center"/>
        <w:rPr>
          <w:rFonts w:hint="eastAsia" w:ascii="仿宋" w:hAnsi="仿宋" w:eastAsia="仿宋" w:cs="仿宋"/>
          <w:b/>
          <w:color w:val="auto"/>
          <w:kern w:val="0"/>
          <w:sz w:val="24"/>
          <w:szCs w:val="24"/>
          <w:highlight w:val="none"/>
          <w:lang w:eastAsia="zh-CN"/>
        </w:rPr>
      </w:pPr>
      <w:bookmarkStart w:id="148" w:name="_GoBack"/>
      <w:bookmarkEnd w:id="148"/>
    </w:p>
    <w:p w14:paraId="343FDACA">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8462408">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3CAA8A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83CE12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329823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C9F20AA">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40B6B9D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CBB241F">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9D40362">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7D12F457">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680252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A94B500">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195BE8A">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32518BD6">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0374BC75">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FDD0B2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257331B8">
      <w:pPr>
        <w:snapToGrid w:val="0"/>
        <w:spacing w:line="360" w:lineRule="auto"/>
        <w:ind w:right="480"/>
        <w:jc w:val="both"/>
        <w:rPr>
          <w:rFonts w:hint="eastAsia" w:ascii="仿宋" w:hAnsi="仿宋" w:eastAsia="仿宋" w:cs="仿宋"/>
          <w:b/>
          <w:color w:val="auto"/>
          <w:kern w:val="0"/>
          <w:sz w:val="24"/>
          <w:szCs w:val="24"/>
          <w:highlight w:val="none"/>
          <w:lang w:eastAsia="zh-CN"/>
        </w:rPr>
      </w:pPr>
    </w:p>
    <w:p w14:paraId="5DD6A141">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E65A839">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82DE95B">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5C2FBB2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893916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11335A04">
      <w:pPr>
        <w:snapToGrid w:val="0"/>
        <w:spacing w:line="360" w:lineRule="auto"/>
        <w:ind w:right="480"/>
        <w:jc w:val="center"/>
        <w:rPr>
          <w:rFonts w:hint="eastAsia" w:ascii="仿宋" w:hAnsi="仿宋" w:eastAsia="仿宋" w:cs="仿宋"/>
          <w:b/>
          <w:color w:val="auto"/>
          <w:kern w:val="0"/>
          <w:sz w:val="24"/>
          <w:szCs w:val="24"/>
          <w:highlight w:val="none"/>
          <w:lang w:eastAsia="zh-CN"/>
        </w:rPr>
      </w:pPr>
    </w:p>
    <w:p w14:paraId="6BDA9D8A">
      <w:pPr>
        <w:snapToGrid w:val="0"/>
        <w:spacing w:line="360" w:lineRule="auto"/>
        <w:ind w:right="48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（一）营业执照扫描件</w:t>
      </w:r>
    </w:p>
    <w:p w14:paraId="55ABC9A5">
      <w:pPr>
        <w:pStyle w:val="66"/>
        <w:ind w:left="0" w:leftChars="0" w:firstLine="0" w:firstLineChars="0"/>
        <w:rPr>
          <w:rFonts w:hint="eastAsia" w:ascii="仿宋" w:hAnsi="仿宋" w:eastAsia="仿宋" w:cs="仿宋"/>
          <w:color w:val="auto"/>
          <w:sz w:val="32"/>
          <w:szCs w:val="32"/>
          <w:highlight w:val="none"/>
          <w:lang w:eastAsia="zh-CN"/>
        </w:rPr>
      </w:pPr>
    </w:p>
    <w:p w14:paraId="6AECEEE2">
      <w:pPr>
        <w:pStyle w:val="78"/>
        <w:ind w:left="0" w:leftChars="0" w:firstLine="0" w:firstLineChars="0"/>
        <w:rPr>
          <w:rFonts w:hint="eastAsia" w:ascii="仿宋" w:hAnsi="仿宋" w:eastAsia="仿宋" w:cs="仿宋"/>
          <w:color w:val="auto"/>
          <w:sz w:val="32"/>
          <w:szCs w:val="32"/>
          <w:highlight w:val="none"/>
          <w:lang w:eastAsia="zh-CN"/>
        </w:rPr>
      </w:pPr>
    </w:p>
    <w:p w14:paraId="2529143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符合参加政</w:t>
      </w:r>
      <w:r>
        <w:rPr>
          <w:rFonts w:hint="eastAsia" w:ascii="仿宋" w:hAnsi="仿宋" w:eastAsia="仿宋" w:cs="仿宋"/>
          <w:b/>
          <w:color w:val="auto"/>
          <w:kern w:val="0"/>
          <w:sz w:val="32"/>
          <w:szCs w:val="32"/>
          <w:highlight w:val="none"/>
          <w:lang w:eastAsia="zh-CN"/>
        </w:rPr>
        <w:t>企</w:t>
      </w:r>
      <w:r>
        <w:rPr>
          <w:rFonts w:hint="eastAsia" w:ascii="仿宋" w:hAnsi="仿宋" w:eastAsia="仿宋" w:cs="仿宋"/>
          <w:b/>
          <w:color w:val="auto"/>
          <w:kern w:val="0"/>
          <w:sz w:val="32"/>
          <w:szCs w:val="32"/>
          <w:highlight w:val="none"/>
        </w:rPr>
        <w:t>采购活动应当具备的一般条件的承诺函</w:t>
      </w:r>
    </w:p>
    <w:p w14:paraId="68B0C0D6">
      <w:pPr>
        <w:snapToGrid w:val="0"/>
        <w:spacing w:line="360" w:lineRule="auto"/>
        <w:rPr>
          <w:rFonts w:hint="eastAsia" w:ascii="仿宋" w:hAnsi="仿宋" w:eastAsia="仿宋" w:cs="仿宋"/>
          <w:color w:val="auto"/>
          <w:sz w:val="24"/>
          <w:szCs w:val="24"/>
          <w:highlight w:val="none"/>
          <w:u w:val="single"/>
        </w:rPr>
      </w:pPr>
    </w:p>
    <w:p w14:paraId="0205CE2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（采购人）、（采购代理机构）</w:t>
      </w:r>
      <w:r>
        <w:rPr>
          <w:rFonts w:hint="eastAsia" w:ascii="仿宋" w:hAnsi="仿宋" w:eastAsia="仿宋" w:cs="仿宋"/>
          <w:color w:val="auto"/>
          <w:sz w:val="24"/>
          <w:szCs w:val="24"/>
          <w:highlight w:val="none"/>
        </w:rPr>
        <w:t>：</w:t>
      </w:r>
    </w:p>
    <w:p w14:paraId="093BE20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kern w:val="0"/>
          <w:sz w:val="24"/>
          <w:szCs w:val="24"/>
          <w:highlight w:val="none"/>
          <w:lang w:val="zh-CN"/>
        </w:rPr>
        <w:t>（项目</w:t>
      </w:r>
      <w:r>
        <w:rPr>
          <w:rFonts w:hint="eastAsia" w:ascii="仿宋" w:hAnsi="仿宋" w:eastAsia="仿宋" w:cs="仿宋"/>
          <w:color w:val="auto"/>
          <w:sz w:val="24"/>
          <w:szCs w:val="24"/>
          <w:highlight w:val="none"/>
          <w:lang w:val="zh-CN"/>
        </w:rPr>
        <w:t>编号：</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rPr>
        <w:t>政</w:t>
      </w:r>
      <w:r>
        <w:rPr>
          <w:rFonts w:hint="eastAsia" w:ascii="仿宋" w:hAnsi="仿宋" w:eastAsia="仿宋" w:cs="仿宋"/>
          <w:color w:val="auto"/>
          <w:sz w:val="24"/>
          <w:szCs w:val="24"/>
          <w:highlight w:val="none"/>
          <w:lang w:eastAsia="zh-CN"/>
        </w:rPr>
        <w:t>企</w:t>
      </w:r>
      <w:r>
        <w:rPr>
          <w:rFonts w:hint="eastAsia" w:ascii="仿宋" w:hAnsi="仿宋" w:eastAsia="仿宋" w:cs="仿宋"/>
          <w:color w:val="auto"/>
          <w:sz w:val="24"/>
          <w:szCs w:val="24"/>
          <w:highlight w:val="none"/>
        </w:rPr>
        <w:t>采购活动，郑重承诺：</w:t>
      </w:r>
    </w:p>
    <w:p w14:paraId="76EDED29">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嵊州市市属国有企业货物和服务采购管理办法（试行）</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十七</w:t>
      </w:r>
      <w:r>
        <w:rPr>
          <w:rFonts w:hint="eastAsia" w:ascii="仿宋" w:hAnsi="仿宋" w:eastAsia="仿宋" w:cs="仿宋"/>
          <w:color w:val="auto"/>
          <w:sz w:val="24"/>
          <w:szCs w:val="24"/>
          <w:highlight w:val="none"/>
        </w:rPr>
        <w:t>条第规定的条件：</w:t>
      </w:r>
    </w:p>
    <w:p w14:paraId="4283A7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AF06F6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5DD0D21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7636F77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23F92C4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w:t>
      </w:r>
      <w:r>
        <w:rPr>
          <w:rFonts w:hint="eastAsia" w:ascii="仿宋" w:hAnsi="仿宋" w:eastAsia="仿宋" w:cs="仿宋"/>
          <w:color w:val="auto"/>
          <w:sz w:val="24"/>
          <w:szCs w:val="24"/>
          <w:highlight w:val="none"/>
          <w:lang w:eastAsia="zh-CN"/>
        </w:rPr>
        <w:t>府</w:t>
      </w:r>
      <w:r>
        <w:rPr>
          <w:rFonts w:hint="eastAsia" w:ascii="仿宋" w:hAnsi="仿宋" w:eastAsia="仿宋" w:cs="仿宋"/>
          <w:color w:val="auto"/>
          <w:sz w:val="24"/>
          <w:szCs w:val="24"/>
          <w:highlight w:val="none"/>
        </w:rPr>
        <w:t>采购活动前三年内，在经营活动中没有重大违法记录；</w:t>
      </w:r>
    </w:p>
    <w:p w14:paraId="02448D7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0ED523E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5D1246D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5ED47D6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4AEFAED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2220540B">
      <w:pPr>
        <w:snapToGrid w:val="0"/>
        <w:spacing w:line="360" w:lineRule="auto"/>
        <w:ind w:firstLine="480" w:firstLineChars="200"/>
        <w:rPr>
          <w:rFonts w:hint="eastAsia" w:ascii="仿宋" w:hAnsi="仿宋" w:eastAsia="仿宋" w:cs="仿宋"/>
          <w:color w:val="auto"/>
          <w:sz w:val="24"/>
          <w:szCs w:val="24"/>
          <w:highlight w:val="none"/>
        </w:rPr>
      </w:pPr>
    </w:p>
    <w:p w14:paraId="016CB4DC">
      <w:pPr>
        <w:snapToGrid w:val="0"/>
        <w:spacing w:line="360" w:lineRule="auto"/>
        <w:rPr>
          <w:rFonts w:hint="eastAsia" w:ascii="仿宋" w:hAnsi="仿宋" w:eastAsia="仿宋" w:cs="仿宋"/>
          <w:color w:val="auto"/>
          <w:kern w:val="0"/>
          <w:sz w:val="24"/>
          <w:szCs w:val="24"/>
          <w:highlight w:val="none"/>
          <w:lang w:val="zh-CN"/>
        </w:rPr>
      </w:pPr>
    </w:p>
    <w:p w14:paraId="5CA0E242">
      <w:pPr>
        <w:snapToGrid w:val="0"/>
        <w:spacing w:line="360" w:lineRule="auto"/>
        <w:ind w:firstLine="5520" w:firstLine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35CB8EB2">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7A440E8C">
      <w:pPr>
        <w:spacing w:line="360" w:lineRule="auto"/>
        <w:jc w:val="both"/>
        <w:rPr>
          <w:rFonts w:hint="eastAsia" w:ascii="仿宋" w:hAnsi="仿宋" w:eastAsia="仿宋" w:cs="仿宋"/>
          <w:b/>
          <w:color w:val="auto"/>
          <w:sz w:val="32"/>
          <w:szCs w:val="32"/>
          <w:highlight w:val="none"/>
          <w:lang w:eastAsia="zh-CN"/>
        </w:rPr>
      </w:pPr>
    </w:p>
    <w:p w14:paraId="591F7A9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符合特定资格条件要求的资质文件（</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rPr>
        <w:t>）</w:t>
      </w:r>
    </w:p>
    <w:p w14:paraId="69F049B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文件第一部分”中“合格的供应商应具备的特定资格要求”编制；如果本项目没有设置特定资格条件，则不需要提供）</w:t>
      </w:r>
    </w:p>
    <w:p w14:paraId="55E04EE3">
      <w:pPr>
        <w:widowControl/>
        <w:spacing w:line="360" w:lineRule="auto"/>
        <w:ind w:firstLine="480" w:firstLineChars="200"/>
        <w:jc w:val="left"/>
        <w:rPr>
          <w:rFonts w:hint="eastAsia" w:ascii="仿宋" w:hAnsi="仿宋" w:eastAsia="仿宋" w:cs="仿宋"/>
          <w:color w:val="auto"/>
          <w:sz w:val="24"/>
          <w:szCs w:val="24"/>
          <w:highlight w:val="none"/>
        </w:rPr>
      </w:pPr>
    </w:p>
    <w:p w14:paraId="6F0BE9CA">
      <w:pPr>
        <w:pStyle w:val="2"/>
        <w:rPr>
          <w:rFonts w:hint="eastAsia" w:ascii="仿宋" w:hAnsi="仿宋" w:eastAsia="仿宋" w:cs="仿宋"/>
          <w:color w:val="auto"/>
          <w:sz w:val="24"/>
          <w:szCs w:val="24"/>
          <w:highlight w:val="none"/>
        </w:rPr>
      </w:pPr>
    </w:p>
    <w:p w14:paraId="79D4DC0C">
      <w:pPr>
        <w:pStyle w:val="78"/>
        <w:rPr>
          <w:rFonts w:hint="eastAsia" w:ascii="仿宋" w:hAnsi="仿宋" w:eastAsia="仿宋" w:cs="仿宋"/>
          <w:color w:val="auto"/>
          <w:sz w:val="24"/>
          <w:szCs w:val="24"/>
          <w:highlight w:val="none"/>
        </w:rPr>
      </w:pPr>
    </w:p>
    <w:p w14:paraId="144B763C">
      <w:pPr>
        <w:snapToGrid w:val="0"/>
        <w:spacing w:line="360" w:lineRule="auto"/>
        <w:ind w:firstLine="5880" w:firstLineChars="2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28B240E3">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6A1A389C">
      <w:pPr>
        <w:snapToGrid w:val="0"/>
        <w:spacing w:line="360" w:lineRule="auto"/>
        <w:rPr>
          <w:rFonts w:hint="eastAsia" w:ascii="仿宋" w:hAnsi="仿宋" w:eastAsia="仿宋" w:cs="仿宋"/>
          <w:color w:val="auto"/>
          <w:kern w:val="0"/>
          <w:sz w:val="24"/>
          <w:szCs w:val="24"/>
          <w:highlight w:val="none"/>
          <w:lang w:val="zh-CN"/>
        </w:rPr>
      </w:pPr>
    </w:p>
    <w:p w14:paraId="0BCDC0C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7B39FBD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5DAA10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742B16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E7589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AEB239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BC9706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55C26E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A4C70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F155CB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4FC601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CFF6CB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62BB36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E0FC98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3A56A74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67F5624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52CF003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color w:val="auto"/>
          <w:sz w:val="24"/>
          <w:szCs w:val="24"/>
          <w:highlight w:val="none"/>
          <w:lang w:eastAsia="zh-CN"/>
        </w:rPr>
      </w:pPr>
    </w:p>
    <w:p w14:paraId="0A01862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color w:val="auto"/>
          <w:sz w:val="32"/>
          <w:szCs w:val="32"/>
          <w:highlight w:val="none"/>
        </w:rPr>
        <w:t>资信文件</w:t>
      </w:r>
      <w:r>
        <w:rPr>
          <w:rFonts w:hint="eastAsia" w:ascii="仿宋" w:hAnsi="仿宋" w:eastAsia="仿宋" w:cs="仿宋"/>
          <w:b/>
          <w:color w:val="auto"/>
          <w:sz w:val="32"/>
          <w:szCs w:val="32"/>
          <w:highlight w:val="none"/>
          <w:lang w:eastAsia="zh-CN"/>
        </w:rPr>
        <w:t>目录</w:t>
      </w:r>
    </w:p>
    <w:p w14:paraId="63531386">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14:paraId="2A26CA14">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（1）评分索引表【格式附后】；</w:t>
      </w:r>
    </w:p>
    <w:p w14:paraId="7A89D412">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（2）营业执照扫描件；</w:t>
      </w:r>
    </w:p>
    <w:p w14:paraId="012B5B06">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（3）投标响应函【格式附后】；</w:t>
      </w:r>
    </w:p>
    <w:p w14:paraId="7E9E082C">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（4）授权委托书或法定代表人（单位负责人、自然人本人）身份证明【格式附后】；</w:t>
      </w:r>
    </w:p>
    <w:p w14:paraId="5E92409A">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（5）主要业绩证明【格式附后】；</w:t>
      </w:r>
    </w:p>
    <w:p w14:paraId="47AFACB9">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（6）项目小组人员名单【格式附后】；</w:t>
      </w:r>
    </w:p>
    <w:p w14:paraId="2E38A445">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（7）商务资信响应表、技术偏离表【格式附后】；</w:t>
      </w:r>
    </w:p>
    <w:p w14:paraId="7712C7A3">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（8）设备配置清单（如果有）【格式附后】；</w:t>
      </w:r>
    </w:p>
    <w:p w14:paraId="1EB05DA8">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（9）评标标准相应的商务技术资料；</w:t>
      </w:r>
    </w:p>
    <w:p w14:paraId="603913A5">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（10）供应商廉洁自律承诺书【格式附后】；</w:t>
      </w:r>
    </w:p>
    <w:p w14:paraId="7E1F5B6B">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（11）投标人认为需要提供的与本项目其他相关资料。</w:t>
      </w:r>
    </w:p>
    <w:p w14:paraId="50AADE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484"/>
          <w:rFonts w:hint="eastAsia" w:ascii="仿宋" w:hAnsi="仿宋" w:eastAsia="仿宋" w:cs="仿宋"/>
          <w:b/>
          <w:bCs/>
          <w:color w:val="auto"/>
          <w:sz w:val="32"/>
          <w:szCs w:val="32"/>
        </w:rPr>
      </w:pPr>
      <w:r>
        <w:rPr>
          <w:rFonts w:hint="eastAsia" w:ascii="仿宋" w:hAnsi="仿宋" w:eastAsia="仿宋" w:cs="仿宋"/>
          <w:b/>
          <w:color w:val="auto"/>
          <w:spacing w:val="20"/>
          <w:sz w:val="24"/>
          <w:szCs w:val="24"/>
          <w:highlight w:val="none"/>
        </w:rPr>
        <w:t>注：以上目录是编制</w:t>
      </w:r>
      <w:r>
        <w:rPr>
          <w:rFonts w:hint="eastAsia" w:ascii="仿宋" w:hAnsi="仿宋" w:eastAsia="仿宋" w:cs="仿宋"/>
          <w:b/>
          <w:color w:val="auto"/>
          <w:spacing w:val="20"/>
          <w:sz w:val="24"/>
          <w:szCs w:val="24"/>
          <w:highlight w:val="none"/>
          <w:lang w:val="en-US" w:eastAsia="zh-CN"/>
        </w:rPr>
        <w:t>投标</w:t>
      </w:r>
      <w:r>
        <w:rPr>
          <w:rFonts w:hint="eastAsia" w:ascii="仿宋" w:hAnsi="仿宋" w:eastAsia="仿宋" w:cs="仿宋"/>
          <w:b/>
          <w:color w:val="auto"/>
          <w:spacing w:val="20"/>
          <w:sz w:val="24"/>
          <w:szCs w:val="24"/>
          <w:highlight w:val="none"/>
        </w:rPr>
        <w:t>文件</w:t>
      </w:r>
      <w:r>
        <w:rPr>
          <w:rFonts w:hint="eastAsia" w:ascii="仿宋" w:hAnsi="仿宋" w:eastAsia="仿宋" w:cs="仿宋"/>
          <w:b/>
          <w:color w:val="auto"/>
          <w:spacing w:val="20"/>
          <w:sz w:val="24"/>
          <w:szCs w:val="24"/>
          <w:highlight w:val="none"/>
          <w:lang w:eastAsia="zh-CN"/>
        </w:rPr>
        <w:t>商务技术文件部分</w:t>
      </w:r>
      <w:r>
        <w:rPr>
          <w:rFonts w:hint="eastAsia" w:ascii="仿宋" w:hAnsi="仿宋" w:eastAsia="仿宋" w:cs="仿宋"/>
          <w:b/>
          <w:color w:val="auto"/>
          <w:spacing w:val="20"/>
          <w:sz w:val="24"/>
          <w:szCs w:val="24"/>
          <w:highlight w:val="none"/>
        </w:rPr>
        <w:t>的基本格式要求，各</w:t>
      </w:r>
      <w:r>
        <w:rPr>
          <w:rFonts w:hint="eastAsia" w:ascii="仿宋" w:hAnsi="仿宋" w:eastAsia="仿宋" w:cs="仿宋"/>
          <w:b/>
          <w:color w:val="auto"/>
          <w:spacing w:val="20"/>
          <w:sz w:val="24"/>
          <w:szCs w:val="24"/>
          <w:highlight w:val="none"/>
          <w:lang w:val="en-US" w:eastAsia="zh-CN"/>
        </w:rPr>
        <w:t>投标人</w:t>
      </w:r>
      <w:r>
        <w:rPr>
          <w:rFonts w:hint="eastAsia" w:ascii="仿宋" w:hAnsi="仿宋" w:eastAsia="仿宋" w:cs="仿宋"/>
          <w:b/>
          <w:color w:val="auto"/>
          <w:spacing w:val="20"/>
          <w:sz w:val="24"/>
          <w:szCs w:val="24"/>
          <w:highlight w:val="none"/>
        </w:rPr>
        <w:t>可根据自身情况进一步细化（关联）。</w:t>
      </w:r>
      <w:r>
        <w:rPr>
          <w:rStyle w:val="484"/>
          <w:rFonts w:hint="eastAsia" w:ascii="仿宋" w:hAnsi="仿宋" w:eastAsia="仿宋" w:cs="仿宋"/>
          <w:b/>
          <w:bCs/>
          <w:color w:val="auto"/>
          <w:sz w:val="32"/>
          <w:szCs w:val="32"/>
        </w:rPr>
        <w:t xml:space="preserve"> </w:t>
      </w:r>
    </w:p>
    <w:p w14:paraId="58D4F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lang w:val="en-US" w:eastAsia="zh-CN"/>
        </w:rPr>
      </w:pPr>
    </w:p>
    <w:p w14:paraId="7F04FD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484"/>
          <w:rFonts w:hint="eastAsia" w:ascii="仿宋" w:hAnsi="仿宋" w:eastAsia="仿宋" w:cs="仿宋"/>
          <w:b/>
          <w:bCs/>
          <w:color w:val="auto"/>
          <w:sz w:val="32"/>
          <w:szCs w:val="32"/>
          <w:lang w:val="en-US" w:eastAsia="zh-CN"/>
        </w:rPr>
      </w:pPr>
    </w:p>
    <w:bookmarkEnd w:id="113"/>
    <w:bookmarkEnd w:id="114"/>
    <w:bookmarkEnd w:id="115"/>
    <w:bookmarkEnd w:id="116"/>
    <w:bookmarkEnd w:id="117"/>
    <w:bookmarkEnd w:id="118"/>
    <w:bookmarkEnd w:id="127"/>
    <w:bookmarkEnd w:id="128"/>
    <w:p w14:paraId="30AEA353">
      <w:pPr>
        <w:widowControl/>
        <w:rPr>
          <w:rFonts w:hint="eastAsia" w:ascii="仿宋" w:hAnsi="仿宋" w:eastAsia="仿宋" w:cs="仿宋"/>
          <w:color w:val="auto"/>
          <w:kern w:val="0"/>
          <w:sz w:val="24"/>
          <w:szCs w:val="24"/>
        </w:rPr>
      </w:pPr>
      <w:bookmarkStart w:id="129" w:name="_Toc489481899"/>
      <w:bookmarkStart w:id="130" w:name="_Toc340321931"/>
      <w:bookmarkStart w:id="131" w:name="_Toc32609"/>
      <w:bookmarkStart w:id="132" w:name="_Toc340322186"/>
      <w:bookmarkStart w:id="133" w:name="_Toc339302147"/>
      <w:bookmarkStart w:id="134" w:name="_Toc180555954"/>
    </w:p>
    <w:p w14:paraId="0127FE94">
      <w:pPr>
        <w:widowControl/>
        <w:rPr>
          <w:rFonts w:hint="eastAsia" w:ascii="仿宋" w:hAnsi="仿宋" w:eastAsia="仿宋" w:cs="仿宋"/>
          <w:color w:val="auto"/>
          <w:kern w:val="0"/>
          <w:sz w:val="24"/>
          <w:szCs w:val="24"/>
        </w:rPr>
      </w:pPr>
    </w:p>
    <w:p w14:paraId="2CC88BC3">
      <w:pPr>
        <w:widowControl/>
        <w:rPr>
          <w:rFonts w:hint="eastAsia" w:ascii="仿宋" w:hAnsi="仿宋" w:eastAsia="仿宋" w:cs="仿宋"/>
          <w:color w:val="auto"/>
          <w:kern w:val="0"/>
          <w:sz w:val="24"/>
          <w:szCs w:val="24"/>
        </w:rPr>
      </w:pPr>
    </w:p>
    <w:p w14:paraId="79691C19">
      <w:pPr>
        <w:widowControl/>
        <w:rPr>
          <w:rFonts w:hint="eastAsia" w:ascii="仿宋" w:hAnsi="仿宋" w:eastAsia="仿宋" w:cs="仿宋"/>
          <w:color w:val="auto"/>
          <w:kern w:val="0"/>
          <w:sz w:val="24"/>
          <w:szCs w:val="24"/>
        </w:rPr>
      </w:pPr>
    </w:p>
    <w:p w14:paraId="2E16B5E6">
      <w:pPr>
        <w:widowControl/>
        <w:rPr>
          <w:rFonts w:hint="eastAsia" w:ascii="仿宋" w:hAnsi="仿宋" w:eastAsia="仿宋" w:cs="仿宋"/>
          <w:color w:val="auto"/>
          <w:kern w:val="0"/>
          <w:sz w:val="24"/>
          <w:szCs w:val="24"/>
        </w:rPr>
      </w:pPr>
    </w:p>
    <w:p w14:paraId="00F229B6">
      <w:pPr>
        <w:widowControl/>
        <w:rPr>
          <w:rFonts w:hint="eastAsia" w:ascii="仿宋" w:hAnsi="仿宋" w:eastAsia="仿宋" w:cs="仿宋"/>
          <w:color w:val="auto"/>
          <w:kern w:val="0"/>
          <w:sz w:val="24"/>
          <w:szCs w:val="24"/>
        </w:rPr>
      </w:pPr>
    </w:p>
    <w:p w14:paraId="55C623DA">
      <w:pPr>
        <w:widowControl/>
        <w:rPr>
          <w:rFonts w:hint="eastAsia" w:ascii="仿宋" w:hAnsi="仿宋" w:eastAsia="仿宋" w:cs="仿宋"/>
          <w:color w:val="auto"/>
          <w:kern w:val="0"/>
          <w:sz w:val="24"/>
          <w:szCs w:val="24"/>
        </w:rPr>
      </w:pPr>
    </w:p>
    <w:p w14:paraId="686DDB27">
      <w:pPr>
        <w:widowControl/>
        <w:rPr>
          <w:rFonts w:hint="eastAsia" w:ascii="仿宋" w:hAnsi="仿宋" w:eastAsia="仿宋" w:cs="仿宋"/>
          <w:color w:val="auto"/>
          <w:kern w:val="0"/>
          <w:sz w:val="24"/>
          <w:szCs w:val="24"/>
        </w:rPr>
      </w:pPr>
    </w:p>
    <w:p w14:paraId="3B1232AB">
      <w:pPr>
        <w:widowControl/>
        <w:rPr>
          <w:rFonts w:hint="eastAsia" w:ascii="仿宋" w:hAnsi="仿宋" w:eastAsia="仿宋" w:cs="仿宋"/>
          <w:color w:val="auto"/>
          <w:kern w:val="0"/>
          <w:sz w:val="24"/>
          <w:szCs w:val="24"/>
        </w:rPr>
      </w:pPr>
    </w:p>
    <w:p w14:paraId="165FC013">
      <w:pPr>
        <w:widowControl/>
        <w:rPr>
          <w:rFonts w:hint="eastAsia" w:ascii="仿宋" w:hAnsi="仿宋" w:eastAsia="仿宋" w:cs="仿宋"/>
          <w:color w:val="auto"/>
          <w:kern w:val="0"/>
          <w:sz w:val="24"/>
          <w:szCs w:val="24"/>
        </w:rPr>
      </w:pPr>
    </w:p>
    <w:p w14:paraId="1C2647ED">
      <w:pPr>
        <w:widowControl/>
        <w:rPr>
          <w:rFonts w:hint="eastAsia" w:ascii="仿宋" w:hAnsi="仿宋" w:eastAsia="仿宋" w:cs="仿宋"/>
          <w:color w:val="auto"/>
          <w:kern w:val="0"/>
          <w:sz w:val="24"/>
          <w:szCs w:val="24"/>
        </w:rPr>
      </w:pPr>
    </w:p>
    <w:p w14:paraId="780E5A6D">
      <w:pPr>
        <w:widowControl/>
        <w:rPr>
          <w:rFonts w:hint="eastAsia" w:ascii="仿宋" w:hAnsi="仿宋" w:eastAsia="仿宋" w:cs="仿宋"/>
          <w:color w:val="auto"/>
          <w:kern w:val="0"/>
          <w:sz w:val="24"/>
          <w:szCs w:val="24"/>
        </w:rPr>
      </w:pPr>
    </w:p>
    <w:p w14:paraId="3AB7E644">
      <w:pPr>
        <w:widowControl/>
        <w:rPr>
          <w:rFonts w:hint="eastAsia" w:ascii="仿宋" w:hAnsi="仿宋" w:eastAsia="仿宋" w:cs="仿宋"/>
          <w:color w:val="auto"/>
          <w:kern w:val="0"/>
          <w:sz w:val="24"/>
          <w:szCs w:val="24"/>
        </w:rPr>
      </w:pPr>
    </w:p>
    <w:p w14:paraId="17EE19C5">
      <w:pPr>
        <w:widowControl/>
        <w:rPr>
          <w:rFonts w:hint="eastAsia" w:ascii="仿宋" w:hAnsi="仿宋" w:eastAsia="仿宋" w:cs="仿宋"/>
          <w:color w:val="auto"/>
          <w:kern w:val="0"/>
          <w:sz w:val="24"/>
          <w:szCs w:val="24"/>
        </w:rPr>
      </w:pPr>
    </w:p>
    <w:p w14:paraId="1CF8F270">
      <w:pPr>
        <w:widowControl/>
        <w:rPr>
          <w:rFonts w:hint="eastAsia" w:ascii="仿宋" w:hAnsi="仿宋" w:eastAsia="仿宋" w:cs="仿宋"/>
          <w:color w:val="auto"/>
          <w:kern w:val="0"/>
          <w:sz w:val="24"/>
          <w:szCs w:val="24"/>
        </w:rPr>
      </w:pPr>
    </w:p>
    <w:p w14:paraId="7218D94A">
      <w:pPr>
        <w:widowControl/>
        <w:rPr>
          <w:rFonts w:hint="eastAsia" w:ascii="仿宋" w:hAnsi="仿宋" w:eastAsia="仿宋" w:cs="仿宋"/>
          <w:color w:val="auto"/>
          <w:kern w:val="0"/>
          <w:sz w:val="24"/>
          <w:szCs w:val="24"/>
        </w:rPr>
      </w:pPr>
    </w:p>
    <w:p w14:paraId="2B004EB7">
      <w:pPr>
        <w:widowControl/>
        <w:rPr>
          <w:rFonts w:hint="eastAsia" w:ascii="仿宋" w:hAnsi="仿宋" w:eastAsia="仿宋" w:cs="仿宋"/>
          <w:color w:val="auto"/>
          <w:kern w:val="0"/>
          <w:sz w:val="24"/>
          <w:szCs w:val="24"/>
        </w:rPr>
      </w:pPr>
    </w:p>
    <w:p w14:paraId="490422B3">
      <w:pPr>
        <w:widowControl/>
        <w:rPr>
          <w:rFonts w:hint="eastAsia" w:ascii="仿宋" w:hAnsi="仿宋" w:eastAsia="仿宋" w:cs="仿宋"/>
          <w:color w:val="auto"/>
          <w:kern w:val="0"/>
          <w:sz w:val="24"/>
          <w:szCs w:val="24"/>
        </w:rPr>
      </w:pPr>
    </w:p>
    <w:p w14:paraId="6ACCC4BE">
      <w:pPr>
        <w:spacing w:line="500" w:lineRule="exact"/>
        <w:jc w:val="center"/>
        <w:textAlignment w:val="baseline"/>
        <w:rPr>
          <w:rStyle w:val="503"/>
          <w:rFonts w:hint="eastAsia" w:ascii="仿宋" w:hAnsi="仿宋" w:eastAsia="仿宋" w:cs="仿宋"/>
          <w:b/>
          <w:bCs/>
          <w:color w:val="auto"/>
          <w:sz w:val="32"/>
          <w:szCs w:val="32"/>
          <w:highlight w:val="none"/>
        </w:rPr>
      </w:pPr>
      <w:r>
        <w:rPr>
          <w:rStyle w:val="503"/>
          <w:rFonts w:hint="eastAsia" w:ascii="仿宋" w:hAnsi="仿宋" w:eastAsia="仿宋" w:cs="仿宋"/>
          <w:b/>
          <w:bCs/>
          <w:color w:val="auto"/>
          <w:sz w:val="32"/>
          <w:szCs w:val="32"/>
          <w:highlight w:val="none"/>
          <w:lang w:eastAsia="zh-CN"/>
        </w:rPr>
        <w:t>（</w:t>
      </w:r>
      <w:r>
        <w:rPr>
          <w:rStyle w:val="503"/>
          <w:rFonts w:hint="eastAsia" w:ascii="仿宋" w:hAnsi="仿宋" w:eastAsia="仿宋" w:cs="仿宋"/>
          <w:b/>
          <w:bCs/>
          <w:color w:val="auto"/>
          <w:sz w:val="32"/>
          <w:szCs w:val="32"/>
          <w:highlight w:val="none"/>
          <w:lang w:val="en-US" w:eastAsia="zh-CN"/>
        </w:rPr>
        <w:t>一</w:t>
      </w:r>
      <w:r>
        <w:rPr>
          <w:rStyle w:val="503"/>
          <w:rFonts w:hint="eastAsia" w:ascii="仿宋" w:hAnsi="仿宋" w:eastAsia="仿宋" w:cs="仿宋"/>
          <w:b/>
          <w:bCs/>
          <w:color w:val="auto"/>
          <w:sz w:val="32"/>
          <w:szCs w:val="32"/>
          <w:highlight w:val="none"/>
          <w:lang w:eastAsia="zh-CN"/>
        </w:rPr>
        <w:t>）</w:t>
      </w:r>
      <w:r>
        <w:rPr>
          <w:rStyle w:val="503"/>
          <w:rFonts w:hint="eastAsia" w:ascii="仿宋" w:hAnsi="仿宋" w:eastAsia="仿宋" w:cs="仿宋"/>
          <w:b/>
          <w:bCs/>
          <w:color w:val="auto"/>
          <w:sz w:val="32"/>
          <w:szCs w:val="32"/>
          <w:highlight w:val="none"/>
        </w:rPr>
        <w:t>评分索引表</w:t>
      </w:r>
    </w:p>
    <w:tbl>
      <w:tblPr>
        <w:tblStyle w:val="79"/>
        <w:tblW w:w="9143" w:type="dxa"/>
        <w:jc w:val="center"/>
        <w:tblLayout w:type="fixed"/>
        <w:tblCellMar>
          <w:top w:w="0" w:type="dxa"/>
          <w:left w:w="0" w:type="dxa"/>
          <w:bottom w:w="0" w:type="dxa"/>
          <w:right w:w="0" w:type="dxa"/>
        </w:tblCellMar>
      </w:tblPr>
      <w:tblGrid>
        <w:gridCol w:w="733"/>
        <w:gridCol w:w="1723"/>
        <w:gridCol w:w="4551"/>
        <w:gridCol w:w="1114"/>
        <w:gridCol w:w="1022"/>
      </w:tblGrid>
      <w:tr w14:paraId="66B8B4B3">
        <w:tblPrEx>
          <w:tblCellMar>
            <w:top w:w="0" w:type="dxa"/>
            <w:left w:w="0" w:type="dxa"/>
            <w:bottom w:w="0" w:type="dxa"/>
            <w:right w:w="0" w:type="dxa"/>
          </w:tblCellMar>
        </w:tblPrEx>
        <w:trPr>
          <w:trHeight w:val="863"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ADAC5E5">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lang w:eastAsia="zh-CN"/>
              </w:rPr>
            </w:pPr>
            <w:r>
              <w:rPr>
                <w:rStyle w:val="503"/>
                <w:rFonts w:hint="eastAsia" w:ascii="仿宋" w:hAnsi="仿宋" w:eastAsia="仿宋" w:cs="仿宋"/>
                <w:b/>
                <w:bCs/>
                <w:color w:val="auto"/>
                <w:sz w:val="24"/>
                <w:szCs w:val="24"/>
                <w:highlight w:val="none"/>
                <w:lang w:eastAsia="zh-CN"/>
              </w:rPr>
              <w:t>序号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F650D02">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评审内容</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792083A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评分标准</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42E60A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rPr>
            </w:pPr>
            <w:r>
              <w:rPr>
                <w:rStyle w:val="503"/>
                <w:rFonts w:hint="eastAsia" w:ascii="仿宋" w:hAnsi="仿宋" w:eastAsia="仿宋" w:cs="仿宋"/>
                <w:b/>
                <w:bCs/>
                <w:color w:val="auto"/>
                <w:sz w:val="24"/>
                <w:szCs w:val="24"/>
                <w:highlight w:val="none"/>
              </w:rPr>
              <w:t>分值</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A52BE30">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b/>
                <w:bCs/>
                <w:color w:val="auto"/>
                <w:sz w:val="24"/>
                <w:szCs w:val="24"/>
                <w:highlight w:val="none"/>
                <w:lang w:eastAsia="zh-CN"/>
              </w:rPr>
            </w:pPr>
            <w:r>
              <w:rPr>
                <w:rStyle w:val="503"/>
                <w:rFonts w:hint="eastAsia" w:ascii="仿宋" w:hAnsi="仿宋" w:eastAsia="仿宋" w:cs="仿宋"/>
                <w:b/>
                <w:bCs/>
                <w:color w:val="auto"/>
                <w:sz w:val="24"/>
                <w:szCs w:val="24"/>
                <w:highlight w:val="none"/>
              </w:rPr>
              <w:t>评分对应页码</w:t>
            </w:r>
          </w:p>
        </w:tc>
      </w:tr>
      <w:tr w14:paraId="4AB9B349">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44EFB2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90329AD">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014BFBD3">
            <w:pPr>
              <w:keepNext w:val="0"/>
              <w:keepLines w:val="0"/>
              <w:widowControl/>
              <w:suppressLineNumbers w:val="0"/>
              <w:spacing w:before="0" w:beforeAutospacing="0" w:after="0" w:afterAutospacing="0" w:line="360" w:lineRule="auto"/>
              <w:ind w:left="0" w:right="0"/>
              <w:jc w:val="left"/>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E4FB922">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D67BBCF">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r>
      <w:tr w14:paraId="7E9E8A05">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00493E2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E7609E8">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302EED5">
            <w:pPr>
              <w:keepNext w:val="0"/>
              <w:keepLines w:val="0"/>
              <w:widowControl/>
              <w:suppressLineNumbers w:val="0"/>
              <w:spacing w:before="0" w:beforeAutospacing="0" w:after="0" w:afterAutospacing="0" w:line="360" w:lineRule="auto"/>
              <w:ind w:left="0" w:right="0"/>
              <w:jc w:val="left"/>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B2C695C">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0A98BE0">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34CD660D">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E42A4A6">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BCAB2BA">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1A24A68">
            <w:pPr>
              <w:keepNext w:val="0"/>
              <w:keepLines w:val="0"/>
              <w:widowControl/>
              <w:suppressLineNumbers w:val="0"/>
              <w:spacing w:before="0" w:beforeAutospacing="0" w:after="0" w:afterAutospacing="0" w:line="360" w:lineRule="auto"/>
              <w:ind w:left="0" w:right="0"/>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9732D2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2A0DE3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6816E6C2">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209039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CAD9F4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0A4E0E2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BF8AD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936CD2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19EFD0DB">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0A169E7E">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r>
              <w:rPr>
                <w:rStyle w:val="503"/>
                <w:rFonts w:hint="eastAsia" w:ascii="仿宋" w:hAnsi="仿宋" w:eastAsia="仿宋" w:cs="仿宋"/>
                <w:color w:val="auto"/>
                <w:sz w:val="24"/>
                <w:szCs w:val="24"/>
                <w:highlight w:val="none"/>
                <w:lang w:val="en-US" w:eastAsia="zh-CN"/>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390FDC2">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CE755FC">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CDC49A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2AAEF2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2327CA42">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3B8AF9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0D3677D">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r>
              <w:rPr>
                <w:rStyle w:val="503"/>
                <w:rFonts w:hint="eastAsia" w:ascii="仿宋" w:hAnsi="仿宋" w:eastAsia="仿宋" w:cs="仿宋"/>
                <w:color w:val="auto"/>
                <w:sz w:val="24"/>
                <w:szCs w:val="24"/>
                <w:highlight w:val="none"/>
                <w:lang w:val="en-US" w:eastAsia="zh-CN"/>
              </w:rPr>
              <w:t>......</w:t>
            </w: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F212227">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710856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3897D3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2237C98A">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049DD2EE">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7DF78FC">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64DE15D6">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169E6B3">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A1B52C1">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1E9B16D6">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8553C3C">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630D47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5DB74CA2">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1EE1E4">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3753E19B">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1237272B">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0741AA3">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D996585">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2BE440A5">
            <w:pPr>
              <w:keepNext w:val="0"/>
              <w:keepLines w:val="0"/>
              <w:widowControl/>
              <w:suppressLineNumbers w:val="0"/>
              <w:spacing w:before="0" w:beforeAutospacing="0" w:after="0" w:afterAutospacing="0" w:line="380" w:lineRule="exact"/>
              <w:ind w:left="0" w:right="0"/>
              <w:jc w:val="left"/>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307A285">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EBFDD54">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r w14:paraId="0102D757">
        <w:tblPrEx>
          <w:tblCellMar>
            <w:top w:w="0" w:type="dxa"/>
            <w:left w:w="0" w:type="dxa"/>
            <w:bottom w:w="0" w:type="dxa"/>
            <w:right w:w="0" w:type="dxa"/>
          </w:tblCellMar>
        </w:tblPrEx>
        <w:trPr>
          <w:trHeight w:val="737"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3ADF6F2">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BD7D3B8">
            <w:pPr>
              <w:keepNext w:val="0"/>
              <w:keepLines w:val="0"/>
              <w:widowControl/>
              <w:suppressLineNumbers w:val="0"/>
              <w:spacing w:before="0" w:beforeAutospacing="0" w:after="0" w:afterAutospacing="0" w:line="360" w:lineRule="auto"/>
              <w:ind w:left="0" w:right="0"/>
              <w:jc w:val="center"/>
              <w:textAlignment w:val="baseline"/>
              <w:rPr>
                <w:rStyle w:val="503"/>
                <w:rFonts w:hint="eastAsia" w:ascii="仿宋" w:hAnsi="仿宋" w:eastAsia="仿宋" w:cs="仿宋"/>
                <w:color w:val="auto"/>
                <w:sz w:val="24"/>
                <w:szCs w:val="24"/>
                <w:highlight w:val="none"/>
                <w:lang w:val="en-US" w:eastAsia="zh-CN"/>
              </w:rPr>
            </w:pPr>
          </w:p>
        </w:tc>
        <w:tc>
          <w:tcPr>
            <w:tcW w:w="4551" w:type="dxa"/>
            <w:tcBorders>
              <w:top w:val="single" w:color="000000" w:sz="4" w:space="0"/>
              <w:left w:val="single" w:color="000000" w:sz="4" w:space="0"/>
              <w:bottom w:val="single" w:color="000000" w:sz="4" w:space="0"/>
              <w:right w:val="single" w:color="000000" w:sz="4" w:space="0"/>
            </w:tcBorders>
            <w:noWrap w:val="0"/>
            <w:vAlign w:val="center"/>
          </w:tcPr>
          <w:p w14:paraId="7E50B276">
            <w:pPr>
              <w:keepNext w:val="0"/>
              <w:keepLines w:val="0"/>
              <w:widowControl/>
              <w:suppressLineNumbers w:val="0"/>
              <w:spacing w:before="0" w:beforeAutospacing="0" w:after="0" w:afterAutospacing="0" w:line="380" w:lineRule="exact"/>
              <w:ind w:left="0" w:right="0"/>
              <w:jc w:val="left"/>
              <w:textAlignment w:val="baseline"/>
              <w:rPr>
                <w:rStyle w:val="503"/>
                <w:rFonts w:hint="eastAsia" w:ascii="仿宋" w:hAnsi="仿宋" w:eastAsia="仿宋" w:cs="仿宋"/>
                <w:color w:val="auto"/>
                <w:sz w:val="24"/>
                <w:szCs w:val="24"/>
                <w:highlight w:val="none"/>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82E1469">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4500E3F">
            <w:pPr>
              <w:keepNext w:val="0"/>
              <w:keepLines w:val="0"/>
              <w:widowControl/>
              <w:suppressLineNumbers w:val="0"/>
              <w:spacing w:before="0" w:beforeAutospacing="0" w:after="0" w:afterAutospacing="0" w:line="360" w:lineRule="auto"/>
              <w:ind w:left="0" w:right="0"/>
              <w:jc w:val="center"/>
              <w:textAlignment w:val="center"/>
              <w:rPr>
                <w:rStyle w:val="503"/>
                <w:rFonts w:hint="eastAsia" w:ascii="仿宋" w:hAnsi="仿宋" w:eastAsia="仿宋" w:cs="仿宋"/>
                <w:color w:val="auto"/>
                <w:sz w:val="24"/>
                <w:szCs w:val="24"/>
                <w:highlight w:val="none"/>
              </w:rPr>
            </w:pPr>
          </w:p>
        </w:tc>
      </w:tr>
    </w:tbl>
    <w:p w14:paraId="290E215F">
      <w:pPr>
        <w:widowControl/>
        <w:rPr>
          <w:rFonts w:hint="eastAsia" w:ascii="仿宋" w:hAnsi="仿宋" w:eastAsia="仿宋" w:cs="仿宋"/>
          <w:color w:val="auto"/>
          <w:kern w:val="0"/>
          <w:sz w:val="24"/>
          <w:szCs w:val="24"/>
        </w:rPr>
      </w:pPr>
      <w:r>
        <w:rPr>
          <w:rStyle w:val="503"/>
          <w:rFonts w:hint="eastAsia" w:ascii="仿宋" w:hAnsi="仿宋" w:eastAsia="仿宋" w:cs="仿宋"/>
          <w:b/>
          <w:bCs/>
          <w:color w:val="auto"/>
          <w:sz w:val="24"/>
          <w:szCs w:val="24"/>
          <w:highlight w:val="none"/>
        </w:rPr>
        <w:t>注：评审</w:t>
      </w:r>
      <w:r>
        <w:rPr>
          <w:rStyle w:val="503"/>
          <w:rFonts w:hint="eastAsia" w:ascii="仿宋" w:hAnsi="仿宋" w:eastAsia="仿宋" w:cs="仿宋"/>
          <w:b/>
          <w:bCs/>
          <w:color w:val="auto"/>
          <w:sz w:val="24"/>
          <w:szCs w:val="24"/>
          <w:highlight w:val="none"/>
          <w:lang w:eastAsia="zh-CN"/>
        </w:rPr>
        <w:t>内容</w:t>
      </w:r>
      <w:r>
        <w:rPr>
          <w:rStyle w:val="503"/>
          <w:rFonts w:hint="eastAsia" w:ascii="仿宋" w:hAnsi="仿宋" w:eastAsia="仿宋" w:cs="仿宋"/>
          <w:b/>
          <w:bCs/>
          <w:color w:val="auto"/>
          <w:sz w:val="24"/>
          <w:szCs w:val="24"/>
          <w:highlight w:val="none"/>
        </w:rPr>
        <w:t>、评分标准、分值对应“评审标准”内容。</w:t>
      </w:r>
    </w:p>
    <w:p w14:paraId="0DF8C8C3">
      <w:pPr>
        <w:widowControl/>
        <w:rPr>
          <w:rFonts w:hint="eastAsia" w:ascii="仿宋" w:hAnsi="仿宋" w:eastAsia="仿宋" w:cs="仿宋"/>
          <w:color w:val="auto"/>
          <w:kern w:val="0"/>
          <w:sz w:val="24"/>
          <w:szCs w:val="24"/>
        </w:rPr>
      </w:pPr>
    </w:p>
    <w:p w14:paraId="42C119D0">
      <w:pPr>
        <w:widowControl/>
        <w:rPr>
          <w:rFonts w:hint="eastAsia" w:ascii="仿宋" w:hAnsi="仿宋" w:eastAsia="仿宋" w:cs="仿宋"/>
          <w:color w:val="auto"/>
          <w:kern w:val="0"/>
          <w:sz w:val="24"/>
          <w:szCs w:val="24"/>
        </w:rPr>
      </w:pPr>
    </w:p>
    <w:p w14:paraId="26148987">
      <w:pPr>
        <w:widowControl/>
        <w:rPr>
          <w:rFonts w:hint="eastAsia" w:ascii="仿宋" w:hAnsi="仿宋" w:eastAsia="仿宋" w:cs="仿宋"/>
          <w:color w:val="auto"/>
          <w:kern w:val="0"/>
          <w:sz w:val="24"/>
          <w:szCs w:val="24"/>
        </w:rPr>
      </w:pPr>
    </w:p>
    <w:p w14:paraId="3CD40D2C">
      <w:pPr>
        <w:widowControl/>
        <w:rPr>
          <w:rFonts w:hint="eastAsia" w:ascii="仿宋" w:hAnsi="仿宋" w:eastAsia="仿宋" w:cs="仿宋"/>
          <w:color w:val="auto"/>
          <w:kern w:val="0"/>
          <w:sz w:val="24"/>
          <w:szCs w:val="24"/>
        </w:rPr>
      </w:pPr>
    </w:p>
    <w:p w14:paraId="6654FCC4">
      <w:pPr>
        <w:widowControl/>
        <w:rPr>
          <w:rFonts w:hint="eastAsia" w:ascii="仿宋" w:hAnsi="仿宋" w:eastAsia="仿宋" w:cs="仿宋"/>
          <w:color w:val="auto"/>
          <w:kern w:val="0"/>
          <w:sz w:val="24"/>
          <w:szCs w:val="24"/>
        </w:rPr>
      </w:pPr>
    </w:p>
    <w:p w14:paraId="3F6C3DF8">
      <w:pPr>
        <w:widowControl/>
        <w:rPr>
          <w:rFonts w:hint="eastAsia" w:ascii="仿宋" w:hAnsi="仿宋" w:eastAsia="仿宋" w:cs="仿宋"/>
          <w:color w:val="auto"/>
          <w:kern w:val="0"/>
          <w:sz w:val="24"/>
          <w:szCs w:val="24"/>
        </w:rPr>
      </w:pPr>
    </w:p>
    <w:p w14:paraId="2A0C8921">
      <w:pPr>
        <w:widowControl/>
        <w:rPr>
          <w:rFonts w:hint="eastAsia" w:ascii="仿宋" w:hAnsi="仿宋" w:eastAsia="仿宋" w:cs="仿宋"/>
          <w:color w:val="auto"/>
          <w:kern w:val="0"/>
          <w:sz w:val="24"/>
          <w:szCs w:val="24"/>
        </w:rPr>
      </w:pPr>
    </w:p>
    <w:p w14:paraId="54A2D7D9">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7CF7477">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eastAsia="zh-CN"/>
        </w:rPr>
        <w:t>）营业执照扫描件</w:t>
      </w:r>
    </w:p>
    <w:p w14:paraId="54988BA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24"/>
          <w:szCs w:val="24"/>
          <w:highlight w:val="none"/>
          <w:lang w:eastAsia="zh-CN"/>
        </w:rPr>
      </w:pPr>
    </w:p>
    <w:p w14:paraId="52D5435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lang w:eastAsia="zh-CN"/>
        </w:rPr>
      </w:pPr>
    </w:p>
    <w:p w14:paraId="00768E0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响应函</w:t>
      </w:r>
    </w:p>
    <w:p w14:paraId="6BF4979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lang w:eastAsia="zh-CN"/>
        </w:rPr>
        <w:t>致（采购人）、（采购代理机构）</w:t>
      </w:r>
      <w:r>
        <w:rPr>
          <w:rFonts w:hint="eastAsia" w:ascii="仿宋" w:hAnsi="仿宋" w:eastAsia="仿宋" w:cs="仿宋"/>
          <w:b/>
          <w:color w:val="auto"/>
          <w:sz w:val="24"/>
          <w:szCs w:val="24"/>
          <w:highlight w:val="none"/>
        </w:rPr>
        <w:t>：</w:t>
      </w:r>
    </w:p>
    <w:p w14:paraId="56F5B10F">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全称)授权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(全权代表姓名)</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(职务、职称)为全权代表，参加贵方组织的</w:t>
      </w:r>
      <w:r>
        <w:rPr>
          <w:rFonts w:hint="eastAsia" w:ascii="仿宋" w:hAnsi="仿宋" w:eastAsia="仿宋" w:cs="仿宋"/>
          <w:color w:val="auto"/>
          <w:sz w:val="24"/>
          <w:szCs w:val="24"/>
          <w:highlight w:val="none"/>
          <w:u w:val="single"/>
        </w:rPr>
        <w:t>（</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i w:val="0"/>
          <w:iCs w:val="0"/>
          <w:color w:val="auto"/>
          <w:sz w:val="24"/>
          <w:szCs w:val="24"/>
          <w:highlight w:val="none"/>
          <w:u w:val="single"/>
          <w:lang w:eastAsia="zh-CN"/>
        </w:rPr>
        <w:t>项目</w:t>
      </w:r>
      <w:r>
        <w:rPr>
          <w:rFonts w:hint="eastAsia" w:ascii="仿宋" w:hAnsi="仿宋" w:eastAsia="仿宋" w:cs="仿宋"/>
          <w:i w:val="0"/>
          <w:iCs w:val="0"/>
          <w:color w:val="auto"/>
          <w:sz w:val="24"/>
          <w:szCs w:val="24"/>
          <w:highlight w:val="none"/>
          <w:u w:val="singl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sz w:val="24"/>
          <w:szCs w:val="24"/>
          <w:highlight w:val="none"/>
        </w:rPr>
        <w:t>)采购的有关活动，并对此项目进行应标。为此：</w:t>
      </w:r>
    </w:p>
    <w:p w14:paraId="76088BA9">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我方同意在编制和提交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日期起遵守本</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文件中的承诺且在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 xml:space="preserve">有效期满之前均具有约束力。                 </w:t>
      </w:r>
    </w:p>
    <w:p w14:paraId="733FBFCC">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我方承诺已经具备参加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采购活动的供应商应当具备的条件：</w:t>
      </w:r>
    </w:p>
    <w:p w14:paraId="443DE61D">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26F524A4">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遵守国家法律、行政法规，具有良好的信誉和商业道德；</w:t>
      </w:r>
    </w:p>
    <w:p w14:paraId="4A5615E6">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具有履行合同的能力和良好的履行合同记录；</w:t>
      </w:r>
    </w:p>
    <w:p w14:paraId="7BE92F1B">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良好的资金、财务状况；</w:t>
      </w:r>
    </w:p>
    <w:p w14:paraId="48F75922">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没有发生重大经济纠纷和走私犯罪记录；</w:t>
      </w:r>
    </w:p>
    <w:p w14:paraId="45DD77F5">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文件须知规定的全部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文件。具体内容为：</w:t>
      </w:r>
    </w:p>
    <w:p w14:paraId="315A3E5E">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资格证明文件；</w:t>
      </w:r>
    </w:p>
    <w:p w14:paraId="71D82B25">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商务技术文件；</w:t>
      </w:r>
    </w:p>
    <w:p w14:paraId="74332D31">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报价文件</w:t>
      </w:r>
      <w:r>
        <w:rPr>
          <w:rFonts w:hint="eastAsia" w:ascii="仿宋" w:hAnsi="仿宋" w:eastAsia="仿宋" w:cs="仿宋"/>
          <w:color w:val="auto"/>
          <w:sz w:val="24"/>
          <w:szCs w:val="24"/>
          <w:highlight w:val="none"/>
        </w:rPr>
        <w:t>；</w:t>
      </w:r>
    </w:p>
    <w:p w14:paraId="43246579">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440" w:lineRule="exact"/>
        <w:ind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编制和提交</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文件须知要求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提交的全部文件。</w:t>
      </w:r>
    </w:p>
    <w:p w14:paraId="66D414CA">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文件要求提供服务的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p>
    <w:p w14:paraId="249E8732">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保证忠实地执行双方所签订的合同，并承担合同规定的责任和义务。</w:t>
      </w:r>
    </w:p>
    <w:p w14:paraId="13AC015C">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保证遵守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文件中的其他有关规定。如果我单位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，我方将按照《</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通知书》要求与贵方签订合同，严格履行合同义务。</w:t>
      </w:r>
    </w:p>
    <w:p w14:paraId="20146846">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后规定的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有效期内撤回</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我方同意贵方上报上级监管部门，列入不良行为名单，并给予通报。</w:t>
      </w:r>
    </w:p>
    <w:p w14:paraId="6E9F15B5">
      <w:pPr>
        <w:keepNext w:val="0"/>
        <w:keepLines w:val="0"/>
        <w:pageBreakBefore w:val="0"/>
        <w:widowControl w:val="0"/>
        <w:tabs>
          <w:tab w:val="left" w:pos="1080"/>
        </w:tabs>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我方愿意向贵方提供任何与该项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有关的数据、情况和技术资料。若贵方需要，我方愿意提供我方作出的一切承诺的证明材料。</w:t>
      </w:r>
    </w:p>
    <w:p w14:paraId="359B7F7A">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我方已详细审阅和理解全部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文件，包括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文件修改书（如有的话）、参考资料及有关附件，确认无误。</w:t>
      </w:r>
    </w:p>
    <w:p w14:paraId="1085BF2E">
      <w:pPr>
        <w:keepNext w:val="0"/>
        <w:keepLines w:val="0"/>
        <w:pageBreakBefore w:val="0"/>
        <w:widowControl w:val="0"/>
        <w:kinsoku/>
        <w:wordWrap/>
        <w:overflowPunct/>
        <w:topLinePunct w:val="0"/>
        <w:autoSpaceDE/>
        <w:autoSpaceDN/>
        <w:bidi w:val="0"/>
        <w:adjustRightInd/>
        <w:snapToGrid/>
        <w:spacing w:line="440" w:lineRule="exact"/>
        <w:ind w:right="0" w:firstLine="5760" w:firstLineChars="2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 xml:space="preserve">（电子签名）：                          </w:t>
      </w:r>
    </w:p>
    <w:p w14:paraId="53A76E11">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  年   月   日</w:t>
      </w:r>
    </w:p>
    <w:p w14:paraId="1146D0B3">
      <w:pPr>
        <w:keepNext w:val="0"/>
        <w:keepLines w:val="0"/>
        <w:pageBreakBefore w:val="0"/>
        <w:widowControl w:val="0"/>
        <w:kinsoku/>
        <w:wordWrap/>
        <w:overflowPunct/>
        <w:topLinePunct w:val="0"/>
        <w:autoSpaceDE/>
        <w:autoSpaceDN/>
        <w:bidi w:val="0"/>
        <w:adjustRightInd/>
        <w:snapToGrid/>
        <w:spacing w:line="440" w:lineRule="exact"/>
        <w:ind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FAFF75A">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p>
    <w:p w14:paraId="1E6452B6">
      <w:pPr>
        <w:spacing w:line="500" w:lineRule="exact"/>
        <w:jc w:val="center"/>
        <w:rPr>
          <w:rFonts w:hint="eastAsia" w:ascii="仿宋" w:hAnsi="仿宋" w:eastAsia="仿宋" w:cs="仿宋"/>
          <w:b/>
          <w:bCs/>
          <w:color w:val="auto"/>
          <w:sz w:val="24"/>
          <w:szCs w:val="24"/>
          <w:highlight w:val="none"/>
          <w:lang w:eastAsia="zh-CN"/>
        </w:rPr>
      </w:pPr>
    </w:p>
    <w:p w14:paraId="20E0AD79">
      <w:pPr>
        <w:spacing w:line="500" w:lineRule="exact"/>
        <w:jc w:val="center"/>
        <w:rPr>
          <w:rFonts w:hint="eastAsia" w:ascii="仿宋" w:hAnsi="仿宋" w:eastAsia="仿宋" w:cs="仿宋"/>
          <w:b/>
          <w:bCs/>
          <w:color w:val="auto"/>
          <w:sz w:val="24"/>
          <w:szCs w:val="24"/>
          <w:highlight w:val="none"/>
          <w:lang w:eastAsia="zh-CN"/>
        </w:rPr>
      </w:pPr>
    </w:p>
    <w:p w14:paraId="3DBE75A7">
      <w:pPr>
        <w:spacing w:line="500" w:lineRule="exact"/>
        <w:jc w:val="center"/>
        <w:rPr>
          <w:rFonts w:hint="eastAsia" w:ascii="仿宋" w:hAnsi="仿宋" w:eastAsia="仿宋" w:cs="仿宋"/>
          <w:b/>
          <w:bCs/>
          <w:color w:val="auto"/>
          <w:sz w:val="24"/>
          <w:szCs w:val="24"/>
          <w:highlight w:val="none"/>
          <w:lang w:eastAsia="zh-CN"/>
        </w:rPr>
      </w:pPr>
    </w:p>
    <w:p w14:paraId="443893D3">
      <w:pPr>
        <w:spacing w:line="500" w:lineRule="exact"/>
        <w:jc w:val="center"/>
        <w:rPr>
          <w:rFonts w:hint="eastAsia" w:ascii="仿宋" w:hAnsi="仿宋" w:eastAsia="仿宋" w:cs="仿宋"/>
          <w:b/>
          <w:bCs/>
          <w:color w:val="auto"/>
          <w:sz w:val="24"/>
          <w:szCs w:val="24"/>
          <w:highlight w:val="none"/>
          <w:lang w:eastAsia="zh-CN"/>
        </w:rPr>
      </w:pPr>
    </w:p>
    <w:p w14:paraId="3214E235">
      <w:pPr>
        <w:spacing w:line="500" w:lineRule="exact"/>
        <w:jc w:val="center"/>
        <w:rPr>
          <w:rFonts w:hint="eastAsia" w:ascii="仿宋" w:hAnsi="仿宋" w:eastAsia="仿宋" w:cs="仿宋"/>
          <w:b/>
          <w:bCs/>
          <w:color w:val="auto"/>
          <w:sz w:val="24"/>
          <w:szCs w:val="24"/>
          <w:highlight w:val="none"/>
          <w:lang w:eastAsia="zh-CN"/>
        </w:rPr>
      </w:pPr>
    </w:p>
    <w:p w14:paraId="5647CC67">
      <w:pPr>
        <w:spacing w:line="500" w:lineRule="exact"/>
        <w:jc w:val="center"/>
        <w:rPr>
          <w:rFonts w:hint="eastAsia" w:ascii="仿宋" w:hAnsi="仿宋" w:eastAsia="仿宋" w:cs="仿宋"/>
          <w:b/>
          <w:bCs/>
          <w:color w:val="auto"/>
          <w:sz w:val="24"/>
          <w:szCs w:val="24"/>
          <w:highlight w:val="none"/>
          <w:lang w:eastAsia="zh-CN"/>
        </w:rPr>
      </w:pPr>
    </w:p>
    <w:p w14:paraId="3FECB206">
      <w:pPr>
        <w:spacing w:line="500" w:lineRule="exact"/>
        <w:jc w:val="center"/>
        <w:rPr>
          <w:rFonts w:hint="eastAsia" w:ascii="仿宋" w:hAnsi="仿宋" w:eastAsia="仿宋" w:cs="仿宋"/>
          <w:b/>
          <w:bCs/>
          <w:color w:val="auto"/>
          <w:sz w:val="24"/>
          <w:szCs w:val="24"/>
          <w:highlight w:val="none"/>
          <w:lang w:eastAsia="zh-CN"/>
        </w:rPr>
      </w:pPr>
    </w:p>
    <w:p w14:paraId="2980BD4F">
      <w:pPr>
        <w:spacing w:line="500" w:lineRule="exact"/>
        <w:jc w:val="center"/>
        <w:rPr>
          <w:rFonts w:hint="eastAsia" w:ascii="仿宋" w:hAnsi="仿宋" w:eastAsia="仿宋" w:cs="仿宋"/>
          <w:b/>
          <w:bCs/>
          <w:color w:val="auto"/>
          <w:sz w:val="24"/>
          <w:szCs w:val="24"/>
          <w:highlight w:val="none"/>
          <w:lang w:eastAsia="zh-CN"/>
        </w:rPr>
      </w:pPr>
    </w:p>
    <w:p w14:paraId="13D31732">
      <w:pPr>
        <w:spacing w:line="500" w:lineRule="exact"/>
        <w:jc w:val="center"/>
        <w:rPr>
          <w:rFonts w:hint="eastAsia" w:ascii="仿宋" w:hAnsi="仿宋" w:eastAsia="仿宋" w:cs="仿宋"/>
          <w:b/>
          <w:bCs/>
          <w:color w:val="auto"/>
          <w:sz w:val="24"/>
          <w:szCs w:val="24"/>
          <w:highlight w:val="none"/>
          <w:lang w:eastAsia="zh-CN"/>
        </w:rPr>
      </w:pPr>
    </w:p>
    <w:p w14:paraId="4535C3A0">
      <w:pPr>
        <w:spacing w:line="500" w:lineRule="exact"/>
        <w:jc w:val="center"/>
        <w:rPr>
          <w:rFonts w:hint="eastAsia" w:ascii="仿宋" w:hAnsi="仿宋" w:eastAsia="仿宋" w:cs="仿宋"/>
          <w:b/>
          <w:bCs/>
          <w:color w:val="auto"/>
          <w:sz w:val="24"/>
          <w:szCs w:val="24"/>
          <w:highlight w:val="none"/>
          <w:lang w:eastAsia="zh-CN"/>
        </w:rPr>
      </w:pPr>
    </w:p>
    <w:p w14:paraId="62C9DC0D">
      <w:pPr>
        <w:spacing w:line="500" w:lineRule="exact"/>
        <w:jc w:val="center"/>
        <w:rPr>
          <w:rFonts w:hint="eastAsia" w:ascii="仿宋" w:hAnsi="仿宋" w:eastAsia="仿宋" w:cs="仿宋"/>
          <w:b/>
          <w:bCs/>
          <w:color w:val="auto"/>
          <w:sz w:val="24"/>
          <w:szCs w:val="24"/>
          <w:highlight w:val="none"/>
          <w:lang w:eastAsia="zh-CN"/>
        </w:rPr>
      </w:pPr>
    </w:p>
    <w:p w14:paraId="76B33C7F">
      <w:pPr>
        <w:spacing w:line="500" w:lineRule="exact"/>
        <w:jc w:val="center"/>
        <w:rPr>
          <w:rFonts w:hint="eastAsia" w:ascii="仿宋" w:hAnsi="仿宋" w:eastAsia="仿宋" w:cs="仿宋"/>
          <w:b/>
          <w:bCs/>
          <w:color w:val="auto"/>
          <w:sz w:val="24"/>
          <w:szCs w:val="24"/>
          <w:highlight w:val="none"/>
          <w:lang w:eastAsia="zh-CN"/>
        </w:rPr>
      </w:pPr>
    </w:p>
    <w:p w14:paraId="6FEBBE31">
      <w:pPr>
        <w:spacing w:line="500" w:lineRule="exact"/>
        <w:jc w:val="center"/>
        <w:rPr>
          <w:rFonts w:hint="eastAsia" w:ascii="仿宋" w:hAnsi="仿宋" w:eastAsia="仿宋" w:cs="仿宋"/>
          <w:b/>
          <w:bCs/>
          <w:color w:val="auto"/>
          <w:sz w:val="24"/>
          <w:szCs w:val="24"/>
          <w:highlight w:val="none"/>
          <w:lang w:eastAsia="zh-CN"/>
        </w:rPr>
      </w:pPr>
    </w:p>
    <w:p w14:paraId="351D2FA7">
      <w:pPr>
        <w:spacing w:line="500" w:lineRule="exact"/>
        <w:jc w:val="center"/>
        <w:rPr>
          <w:rFonts w:hint="eastAsia" w:ascii="仿宋" w:hAnsi="仿宋" w:eastAsia="仿宋" w:cs="仿宋"/>
          <w:b/>
          <w:bCs/>
          <w:color w:val="auto"/>
          <w:sz w:val="24"/>
          <w:szCs w:val="24"/>
          <w:highlight w:val="none"/>
          <w:lang w:eastAsia="zh-CN"/>
        </w:rPr>
      </w:pPr>
    </w:p>
    <w:p w14:paraId="703AFC02">
      <w:pPr>
        <w:spacing w:line="500" w:lineRule="exact"/>
        <w:jc w:val="center"/>
        <w:rPr>
          <w:rFonts w:hint="eastAsia" w:ascii="仿宋" w:hAnsi="仿宋" w:eastAsia="仿宋" w:cs="仿宋"/>
          <w:b/>
          <w:bCs/>
          <w:color w:val="auto"/>
          <w:sz w:val="24"/>
          <w:szCs w:val="24"/>
          <w:highlight w:val="none"/>
          <w:lang w:eastAsia="zh-CN"/>
        </w:rPr>
      </w:pPr>
    </w:p>
    <w:p w14:paraId="6DC20F05">
      <w:pPr>
        <w:spacing w:line="500" w:lineRule="exact"/>
        <w:jc w:val="center"/>
        <w:rPr>
          <w:rFonts w:hint="eastAsia" w:ascii="仿宋" w:hAnsi="仿宋" w:eastAsia="仿宋" w:cs="仿宋"/>
          <w:b/>
          <w:bCs/>
          <w:color w:val="auto"/>
          <w:sz w:val="24"/>
          <w:szCs w:val="24"/>
          <w:highlight w:val="none"/>
          <w:lang w:eastAsia="zh-CN"/>
        </w:rPr>
      </w:pPr>
    </w:p>
    <w:p w14:paraId="21A41B0D">
      <w:pPr>
        <w:spacing w:line="500" w:lineRule="exact"/>
        <w:jc w:val="center"/>
        <w:rPr>
          <w:rFonts w:hint="eastAsia" w:ascii="仿宋" w:hAnsi="仿宋" w:eastAsia="仿宋" w:cs="仿宋"/>
          <w:b/>
          <w:bCs/>
          <w:color w:val="auto"/>
          <w:sz w:val="24"/>
          <w:szCs w:val="24"/>
          <w:highlight w:val="none"/>
          <w:lang w:eastAsia="zh-CN"/>
        </w:rPr>
      </w:pPr>
    </w:p>
    <w:p w14:paraId="36DE4D82">
      <w:pPr>
        <w:spacing w:line="500" w:lineRule="exact"/>
        <w:jc w:val="center"/>
        <w:rPr>
          <w:rFonts w:hint="eastAsia" w:ascii="仿宋" w:hAnsi="仿宋" w:eastAsia="仿宋" w:cs="仿宋"/>
          <w:b/>
          <w:bCs/>
          <w:color w:val="auto"/>
          <w:sz w:val="24"/>
          <w:szCs w:val="24"/>
          <w:highlight w:val="none"/>
          <w:lang w:eastAsia="zh-CN"/>
        </w:rPr>
      </w:pPr>
    </w:p>
    <w:p w14:paraId="55D1C171">
      <w:pPr>
        <w:spacing w:line="500" w:lineRule="exact"/>
        <w:jc w:val="center"/>
        <w:rPr>
          <w:rFonts w:hint="eastAsia" w:ascii="仿宋" w:hAnsi="仿宋" w:eastAsia="仿宋" w:cs="仿宋"/>
          <w:b/>
          <w:bCs/>
          <w:color w:val="auto"/>
          <w:sz w:val="24"/>
          <w:szCs w:val="24"/>
          <w:highlight w:val="none"/>
          <w:lang w:eastAsia="zh-CN"/>
        </w:rPr>
      </w:pPr>
    </w:p>
    <w:p w14:paraId="6C2A5E06">
      <w:pPr>
        <w:spacing w:line="500" w:lineRule="exact"/>
        <w:jc w:val="both"/>
        <w:rPr>
          <w:rFonts w:hint="eastAsia" w:ascii="仿宋" w:hAnsi="仿宋" w:eastAsia="仿宋" w:cs="仿宋"/>
          <w:b/>
          <w:bCs/>
          <w:color w:val="auto"/>
          <w:sz w:val="24"/>
          <w:szCs w:val="24"/>
          <w:highlight w:val="none"/>
          <w:lang w:eastAsia="zh-CN"/>
        </w:rPr>
      </w:pPr>
    </w:p>
    <w:p w14:paraId="0E705375">
      <w:pPr>
        <w:spacing w:line="500" w:lineRule="exact"/>
        <w:jc w:val="center"/>
        <w:rPr>
          <w:rFonts w:hint="eastAsia" w:ascii="仿宋" w:hAnsi="仿宋" w:eastAsia="仿宋" w:cs="仿宋"/>
          <w:b/>
          <w:bCs/>
          <w:color w:val="auto"/>
          <w:sz w:val="24"/>
          <w:szCs w:val="24"/>
          <w:highlight w:val="none"/>
          <w:lang w:eastAsia="zh-CN"/>
        </w:rPr>
      </w:pPr>
    </w:p>
    <w:p w14:paraId="7AA0233D">
      <w:pPr>
        <w:spacing w:line="500" w:lineRule="exact"/>
        <w:jc w:val="center"/>
        <w:rPr>
          <w:rFonts w:hint="eastAsia" w:ascii="仿宋" w:hAnsi="仿宋" w:eastAsia="仿宋" w:cs="仿宋"/>
          <w:b/>
          <w:bCs/>
          <w:color w:val="auto"/>
          <w:sz w:val="24"/>
          <w:szCs w:val="24"/>
          <w:highlight w:val="none"/>
          <w:lang w:eastAsia="zh-CN"/>
        </w:rPr>
      </w:pPr>
    </w:p>
    <w:p w14:paraId="7077CD91">
      <w:pPr>
        <w:spacing w:line="500" w:lineRule="exact"/>
        <w:jc w:val="center"/>
        <w:rPr>
          <w:rFonts w:hint="eastAsia" w:ascii="仿宋" w:hAnsi="仿宋" w:eastAsia="仿宋" w:cs="仿宋"/>
          <w:b/>
          <w:bCs/>
          <w:color w:val="auto"/>
          <w:sz w:val="32"/>
          <w:szCs w:val="32"/>
          <w:highlight w:val="none"/>
          <w:lang w:eastAsia="zh-CN"/>
        </w:rPr>
      </w:pPr>
    </w:p>
    <w:p w14:paraId="0FC0DF34">
      <w:pPr>
        <w:spacing w:line="500" w:lineRule="exact"/>
        <w:jc w:val="center"/>
        <w:rPr>
          <w:rFonts w:hint="eastAsia" w:ascii="仿宋" w:hAnsi="仿宋" w:eastAsia="仿宋" w:cs="仿宋"/>
          <w:b/>
          <w:bCs/>
          <w:color w:val="auto"/>
          <w:sz w:val="32"/>
          <w:szCs w:val="32"/>
          <w:highlight w:val="none"/>
          <w:lang w:eastAsia="zh-CN"/>
        </w:rPr>
      </w:pPr>
    </w:p>
    <w:p w14:paraId="3E6BFD74">
      <w:pPr>
        <w:spacing w:line="50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zh-CN" w:eastAsia="zh-CN"/>
        </w:rPr>
        <w:t>授权委托书或法定代表人（单位负责人、自然人本人）身份证明</w:t>
      </w:r>
    </w:p>
    <w:p w14:paraId="51939755">
      <w:pPr>
        <w:spacing w:line="50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法定代表人身份证明</w:t>
      </w:r>
    </w:p>
    <w:p w14:paraId="5C3EAC60">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7F4E4621">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762787B">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2F7CFD20">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6824CD56">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12C9456A">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D5F731F">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25C66F5B">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1DC09862">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7D0981B1">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供应商名称）的法定代表人。</w:t>
      </w:r>
    </w:p>
    <w:p w14:paraId="0E39352C">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CE00724">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18055A6">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9426B82">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222AA0E8">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14:paraId="2439056F">
      <w:pPr>
        <w:keepNext w:val="0"/>
        <w:keepLines w:val="0"/>
        <w:pageBreakBefore w:val="0"/>
        <w:widowControl/>
        <w:kinsoku/>
        <w:wordWrap/>
        <w:overflowPunct/>
        <w:topLinePunct w:val="0"/>
        <w:autoSpaceDE/>
        <w:autoSpaceDN/>
        <w:bidi w:val="0"/>
        <w:adjustRightInd/>
        <w:snapToGrid/>
        <w:spacing w:line="360" w:lineRule="auto"/>
        <w:ind w:right="0" w:firstLine="6120" w:firstLineChars="25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日 </w:t>
      </w:r>
    </w:p>
    <w:p w14:paraId="6B4C852E">
      <w:pPr>
        <w:pStyle w:val="42"/>
        <w:spacing w:line="440" w:lineRule="atLeast"/>
        <w:jc w:val="center"/>
        <w:rPr>
          <w:rFonts w:hint="eastAsia" w:ascii="仿宋" w:hAnsi="仿宋" w:eastAsia="仿宋" w:cs="仿宋"/>
          <w:b/>
          <w:color w:val="auto"/>
          <w:kern w:val="2"/>
          <w:sz w:val="24"/>
          <w:szCs w:val="24"/>
          <w:highlight w:val="none"/>
        </w:rPr>
      </w:pPr>
    </w:p>
    <w:p w14:paraId="6931525A">
      <w:pPr>
        <w:pStyle w:val="42"/>
        <w:spacing w:line="440" w:lineRule="atLeas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7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1F6B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07873153">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29B8345">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925D467">
      <w:pPr>
        <w:pStyle w:val="42"/>
        <w:spacing w:line="440" w:lineRule="atLeast"/>
        <w:jc w:val="left"/>
        <w:rPr>
          <w:rFonts w:hint="eastAsia" w:ascii="仿宋" w:hAnsi="仿宋" w:eastAsia="仿宋" w:cs="仿宋"/>
          <w:bCs/>
          <w:color w:val="auto"/>
          <w:kern w:val="2"/>
          <w:sz w:val="24"/>
          <w:szCs w:val="24"/>
          <w:highlight w:val="none"/>
          <w:lang w:val="en-US" w:eastAsia="zh-CN" w:bidi="ar-SA"/>
        </w:rPr>
      </w:pPr>
    </w:p>
    <w:p w14:paraId="475804C7">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val="0"/>
          <w:bCs w:val="0"/>
          <w:color w:val="auto"/>
          <w:sz w:val="24"/>
          <w:szCs w:val="24"/>
          <w:highlight w:val="none"/>
          <w:lang w:val="en-US" w:eastAsia="zh-CN"/>
        </w:rPr>
      </w:pPr>
    </w:p>
    <w:p w14:paraId="2F0042F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kern w:val="2"/>
          <w:sz w:val="32"/>
          <w:szCs w:val="32"/>
          <w:highlight w:val="none"/>
        </w:rPr>
        <w:t>法定代表人授权委托书</w:t>
      </w:r>
    </w:p>
    <w:p w14:paraId="203756F6">
      <w:pPr>
        <w:pStyle w:val="2"/>
        <w:rPr>
          <w:rFonts w:hint="eastAsia" w:ascii="仿宋" w:hAnsi="仿宋" w:eastAsia="仿宋" w:cs="仿宋"/>
          <w:color w:val="auto"/>
          <w:sz w:val="24"/>
          <w:szCs w:val="24"/>
          <w:highlight w:val="none"/>
        </w:rPr>
      </w:pPr>
    </w:p>
    <w:p w14:paraId="4B943CD1">
      <w:pPr>
        <w:jc w:val="center"/>
        <w:rPr>
          <w:rFonts w:hint="eastAsia" w:ascii="仿宋" w:hAnsi="仿宋" w:eastAsia="仿宋" w:cs="仿宋"/>
          <w:color w:val="auto"/>
          <w:sz w:val="24"/>
          <w:szCs w:val="24"/>
          <w:highlight w:val="none"/>
        </w:rPr>
      </w:pPr>
    </w:p>
    <w:p w14:paraId="2478514C">
      <w:pPr>
        <w:rPr>
          <w:rFonts w:hint="eastAsia" w:ascii="仿宋" w:hAnsi="仿宋" w:eastAsia="仿宋" w:cs="仿宋"/>
          <w:color w:val="auto"/>
          <w:sz w:val="24"/>
          <w:szCs w:val="24"/>
          <w:highlight w:val="none"/>
        </w:rPr>
      </w:pPr>
    </w:p>
    <w:p w14:paraId="20082F63">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致（采购人）、（采购代理机构）</w:t>
      </w:r>
      <w:r>
        <w:rPr>
          <w:rFonts w:hint="eastAsia" w:ascii="仿宋" w:hAnsi="仿宋" w:eastAsia="仿宋" w:cs="仿宋"/>
          <w:color w:val="auto"/>
          <w:kern w:val="0"/>
          <w:sz w:val="24"/>
          <w:szCs w:val="24"/>
          <w:highlight w:val="none"/>
          <w:lang w:val="zh-CN"/>
        </w:rPr>
        <w:t>：</w:t>
      </w:r>
    </w:p>
    <w:p w14:paraId="1B461724">
      <w:pPr>
        <w:snapToGrid w:val="0"/>
        <w:spacing w:line="360" w:lineRule="auto"/>
        <w:ind w:firstLine="5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兹委派我公司</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先生/女士(其在本公司的职务是：</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 xml:space="preserve"> ，联系电话：</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传真：</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)，代表我公司全权处理</w:t>
      </w:r>
      <w:r>
        <w:rPr>
          <w:rFonts w:hint="eastAsia" w:ascii="仿宋" w:hAnsi="仿宋" w:eastAsia="仿宋" w:cs="仿宋"/>
          <w:color w:val="auto"/>
          <w:sz w:val="24"/>
          <w:szCs w:val="24"/>
          <w:highlight w:val="none"/>
        </w:rPr>
        <w:t>（项目名称）【项目编号：（采购编号）】</w:t>
      </w:r>
      <w:r>
        <w:rPr>
          <w:rFonts w:hint="eastAsia" w:ascii="仿宋" w:hAnsi="仿宋" w:eastAsia="仿宋" w:cs="仿宋"/>
          <w:color w:val="auto"/>
          <w:kern w:val="0"/>
          <w:sz w:val="24"/>
          <w:szCs w:val="24"/>
          <w:highlight w:val="none"/>
          <w:lang w:val="zh-CN"/>
        </w:rPr>
        <w:t>政府采购响应的一切事项，若</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lang w:val="zh-CN"/>
        </w:rPr>
        <w:t>则全权代表本公司签订相关合同，并负责处理合同履行等事宜。</w:t>
      </w:r>
    </w:p>
    <w:p w14:paraId="311B0A9F">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本委托书有效期：自    年 月  日起至    年  月  日止。</w:t>
      </w:r>
    </w:p>
    <w:p w14:paraId="5793FC2D">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特此告知。</w:t>
      </w:r>
    </w:p>
    <w:p w14:paraId="02B1C5CD">
      <w:pPr>
        <w:snapToGrid w:val="0"/>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p>
    <w:p w14:paraId="72F6795A">
      <w:pPr>
        <w:snapToGrid w:val="0"/>
        <w:spacing w:line="360" w:lineRule="auto"/>
        <w:rPr>
          <w:rFonts w:hint="eastAsia" w:ascii="仿宋" w:hAnsi="仿宋" w:eastAsia="仿宋" w:cs="仿宋"/>
          <w:color w:val="auto"/>
          <w:kern w:val="0"/>
          <w:sz w:val="24"/>
          <w:szCs w:val="24"/>
          <w:highlight w:val="none"/>
          <w:lang w:val="en-US" w:eastAsia="zh-CN"/>
        </w:rPr>
      </w:pPr>
    </w:p>
    <w:p w14:paraId="3C20D883">
      <w:pPr>
        <w:snapToGrid w:val="0"/>
        <w:spacing w:line="360" w:lineRule="auto"/>
        <w:ind w:firstLine="4800" w:firstLineChars="20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14:paraId="6D68A0F7">
      <w:pPr>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   日</w:t>
      </w:r>
    </w:p>
    <w:p w14:paraId="78E13903">
      <w:pPr>
        <w:snapToGrid w:val="0"/>
        <w:spacing w:line="360" w:lineRule="auto"/>
        <w:rPr>
          <w:rFonts w:hint="eastAsia" w:ascii="仿宋" w:hAnsi="仿宋" w:eastAsia="仿宋" w:cs="仿宋"/>
          <w:color w:val="auto"/>
          <w:kern w:val="0"/>
          <w:sz w:val="24"/>
          <w:szCs w:val="24"/>
          <w:highlight w:val="none"/>
          <w:lang w:val="zh-CN"/>
        </w:rPr>
      </w:pPr>
    </w:p>
    <w:p w14:paraId="7FF96B45">
      <w:pPr>
        <w:autoSpaceDE w:val="0"/>
        <w:autoSpaceDN w:val="0"/>
        <w:spacing w:line="360" w:lineRule="auto"/>
        <w:jc w:val="center"/>
        <w:rPr>
          <w:rFonts w:hint="eastAsia" w:ascii="仿宋" w:hAnsi="仿宋" w:eastAsia="仿宋" w:cs="仿宋"/>
          <w:color w:val="auto"/>
          <w:sz w:val="24"/>
          <w:szCs w:val="24"/>
          <w:highlight w:val="none"/>
        </w:rPr>
      </w:pPr>
    </w:p>
    <w:p w14:paraId="271C0E40">
      <w:pPr>
        <w:pStyle w:val="558"/>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附：</w:t>
      </w: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授权代表身份证件扫描件：</w:t>
      </w:r>
    </w:p>
    <w:tbl>
      <w:tblPr>
        <w:tblStyle w:val="7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1209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2" w:hRule="atLeast"/>
          <w:jc w:val="center"/>
        </w:trPr>
        <w:tc>
          <w:tcPr>
            <w:tcW w:w="4320" w:type="dxa"/>
            <w:noWrap w:val="0"/>
            <w:vAlign w:val="top"/>
          </w:tcPr>
          <w:p w14:paraId="1CDEF9B5">
            <w:pPr>
              <w:pStyle w:val="558"/>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7322D5AD">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c>
          <w:tcPr>
            <w:tcW w:w="4320" w:type="dxa"/>
            <w:noWrap w:val="0"/>
            <w:vAlign w:val="top"/>
          </w:tcPr>
          <w:p w14:paraId="12D20A0C">
            <w:pPr>
              <w:pStyle w:val="558"/>
              <w:keepNext w:val="0"/>
              <w:keepLines w:val="0"/>
              <w:suppressLineNumbers w:val="0"/>
              <w:spacing w:before="0" w:beforeAutospacing="0" w:after="0" w:afterAutospacing="0" w:line="360" w:lineRule="auto"/>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56486C8E">
            <w:pPr>
              <w:pStyle w:val="558"/>
              <w:keepNext w:val="0"/>
              <w:keepLines w:val="0"/>
              <w:suppressLineNumbers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643263CA">
      <w:pPr>
        <w:snapToGrid w:val="0"/>
        <w:spacing w:line="360" w:lineRule="auto"/>
        <w:ind w:firstLine="576"/>
        <w:jc w:val="right"/>
        <w:rPr>
          <w:rFonts w:hint="eastAsia" w:ascii="仿宋" w:hAnsi="仿宋" w:eastAsia="仿宋" w:cs="仿宋"/>
          <w:color w:val="auto"/>
          <w:kern w:val="0"/>
          <w:sz w:val="24"/>
          <w:szCs w:val="24"/>
          <w:highlight w:val="none"/>
          <w:lang w:val="zh-CN"/>
        </w:rPr>
      </w:pPr>
    </w:p>
    <w:p w14:paraId="6BB3A826">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E6A1A9A">
      <w:pPr>
        <w:snapToGrid w:val="0"/>
        <w:spacing w:line="360" w:lineRule="auto"/>
        <w:ind w:firstLine="576"/>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投标人名称(电子签名)：                              </w:t>
      </w:r>
    </w:p>
    <w:p w14:paraId="0FB287DB">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w:t>
      </w:r>
      <w:r>
        <w:rPr>
          <w:rFonts w:hint="eastAsia" w:ascii="仿宋" w:hAnsi="仿宋" w:eastAsia="仿宋" w:cs="仿宋"/>
          <w:color w:val="auto"/>
          <w:kern w:val="0"/>
          <w:sz w:val="24"/>
          <w:szCs w:val="24"/>
          <w:highlight w:val="none"/>
          <w:lang w:val="en-US" w:eastAsia="zh-CN"/>
        </w:rPr>
        <w:t xml:space="preserve">  日</w:t>
      </w:r>
    </w:p>
    <w:p w14:paraId="3A87A4B3">
      <w:pPr>
        <w:spacing w:line="360" w:lineRule="auto"/>
        <w:jc w:val="center"/>
        <w:rPr>
          <w:rFonts w:hint="eastAsia" w:ascii="仿宋" w:hAnsi="仿宋" w:eastAsia="仿宋" w:cs="仿宋"/>
          <w:b/>
          <w:bCs/>
          <w:color w:val="auto"/>
          <w:kern w:val="44"/>
          <w:sz w:val="24"/>
          <w:szCs w:val="24"/>
          <w:highlight w:val="none"/>
          <w:lang w:val="zh-CN" w:eastAsia="zh-CN" w:bidi="ar-SA"/>
        </w:rPr>
      </w:pPr>
    </w:p>
    <w:p w14:paraId="131FFC57">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44"/>
          <w:sz w:val="32"/>
          <w:szCs w:val="32"/>
          <w:highlight w:val="none"/>
          <w:lang w:val="zh-CN" w:eastAsia="zh-CN" w:bidi="ar-SA"/>
        </w:rPr>
        <w:t>（五）主要业绩证明</w:t>
      </w:r>
    </w:p>
    <w:tbl>
      <w:tblPr>
        <w:tblStyle w:val="79"/>
        <w:tblW w:w="9156" w:type="dxa"/>
        <w:tblInd w:w="108" w:type="dxa"/>
        <w:tblLayout w:type="fixed"/>
        <w:tblCellMar>
          <w:top w:w="0" w:type="dxa"/>
          <w:left w:w="108" w:type="dxa"/>
          <w:bottom w:w="0" w:type="dxa"/>
          <w:right w:w="108" w:type="dxa"/>
        </w:tblCellMar>
      </w:tblPr>
      <w:tblGrid>
        <w:gridCol w:w="1800"/>
        <w:gridCol w:w="986"/>
        <w:gridCol w:w="1200"/>
        <w:gridCol w:w="1260"/>
        <w:gridCol w:w="1124"/>
        <w:gridCol w:w="1921"/>
        <w:gridCol w:w="865"/>
      </w:tblGrid>
      <w:tr w14:paraId="2F19ED4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14:paraId="3633EEF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5B12EE1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4DDC6B4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D63CA5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44C9EC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2B518BD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投资</w:t>
            </w:r>
          </w:p>
          <w:p w14:paraId="245B46E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124" w:type="dxa"/>
            <w:tcBorders>
              <w:top w:val="single" w:color="auto" w:sz="6" w:space="0"/>
              <w:left w:val="single" w:color="auto" w:sz="6" w:space="0"/>
              <w:bottom w:val="single" w:color="auto" w:sz="6" w:space="0"/>
              <w:right w:val="single" w:color="auto" w:sz="6" w:space="0"/>
            </w:tcBorders>
            <w:noWrap w:val="0"/>
            <w:vAlign w:val="center"/>
          </w:tcPr>
          <w:p w14:paraId="46C6C72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合同签订</w:t>
            </w:r>
            <w:r>
              <w:rPr>
                <w:rFonts w:hint="eastAsia" w:ascii="仿宋" w:hAnsi="仿宋" w:eastAsia="仿宋" w:cs="仿宋"/>
                <w:color w:val="auto"/>
                <w:sz w:val="24"/>
                <w:szCs w:val="24"/>
                <w:highlight w:val="none"/>
              </w:rPr>
              <w:t>日期</w:t>
            </w:r>
          </w:p>
        </w:tc>
        <w:tc>
          <w:tcPr>
            <w:tcW w:w="1921" w:type="dxa"/>
            <w:tcBorders>
              <w:top w:val="single" w:color="auto" w:sz="6" w:space="0"/>
              <w:left w:val="single" w:color="auto" w:sz="6" w:space="0"/>
              <w:bottom w:val="single" w:color="auto" w:sz="6" w:space="0"/>
              <w:right w:val="single" w:color="auto" w:sz="6" w:space="0"/>
            </w:tcBorders>
            <w:noWrap w:val="0"/>
            <w:vAlign w:val="center"/>
          </w:tcPr>
          <w:p w14:paraId="3963704A">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项目地址与建设单位联系电话</w:t>
            </w:r>
          </w:p>
        </w:tc>
        <w:tc>
          <w:tcPr>
            <w:tcW w:w="865" w:type="dxa"/>
            <w:tcBorders>
              <w:top w:val="single" w:color="auto" w:sz="6" w:space="0"/>
              <w:left w:val="single" w:color="auto" w:sz="6" w:space="0"/>
              <w:bottom w:val="single" w:color="auto" w:sz="6" w:space="0"/>
              <w:right w:val="single" w:color="auto" w:sz="6" w:space="0"/>
            </w:tcBorders>
            <w:noWrap w:val="0"/>
            <w:vAlign w:val="center"/>
          </w:tcPr>
          <w:p w14:paraId="13230F1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所在页码</w:t>
            </w:r>
          </w:p>
        </w:tc>
      </w:tr>
      <w:tr w14:paraId="3608857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03A3D23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97C3D2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7ECDE4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A6EBF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59DAE7D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4669CFB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099511C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2E19FF9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1B441AA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C2C5AE3">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1AACDB5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4CD22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37CC150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230B1A4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20275E8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30DC061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528C1BC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5B21149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2FDF9F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4D4F43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3A82578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AE48D2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398ECD0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6E004C8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685FA9FE">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518732E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1C40499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0127E16">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629982F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8AA05CF">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54FA99C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r w14:paraId="76B5F926">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14:paraId="463B9C4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F7FE60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0814F6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F05524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noWrap w:val="0"/>
            <w:vAlign w:val="top"/>
          </w:tcPr>
          <w:p w14:paraId="57A4EB6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noWrap w:val="0"/>
            <w:vAlign w:val="top"/>
          </w:tcPr>
          <w:p w14:paraId="390ACAF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865" w:type="dxa"/>
            <w:tcBorders>
              <w:top w:val="single" w:color="auto" w:sz="6" w:space="0"/>
              <w:left w:val="single" w:color="auto" w:sz="6" w:space="0"/>
              <w:bottom w:val="single" w:color="auto" w:sz="6" w:space="0"/>
              <w:right w:val="single" w:color="auto" w:sz="6" w:space="0"/>
            </w:tcBorders>
            <w:noWrap w:val="0"/>
            <w:vAlign w:val="top"/>
          </w:tcPr>
          <w:p w14:paraId="2B5A520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color w:val="auto"/>
                <w:sz w:val="24"/>
                <w:szCs w:val="24"/>
                <w:highlight w:val="none"/>
              </w:rPr>
            </w:pPr>
          </w:p>
        </w:tc>
      </w:tr>
    </w:tbl>
    <w:p w14:paraId="24B98D36">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注：供应商可按上述的格式自行编制，须随表提交相应的合同</w:t>
      </w:r>
      <w:r>
        <w:rPr>
          <w:rFonts w:hint="eastAsia" w:ascii="仿宋" w:hAnsi="仿宋" w:eastAsia="仿宋" w:cs="仿宋"/>
          <w:b/>
          <w:color w:val="auto"/>
          <w:sz w:val="24"/>
          <w:szCs w:val="24"/>
          <w:highlight w:val="none"/>
          <w:lang w:val="en-US" w:eastAsia="zh-CN"/>
        </w:rPr>
        <w:t>扫描</w:t>
      </w:r>
      <w:r>
        <w:rPr>
          <w:rFonts w:hint="eastAsia" w:ascii="仿宋" w:hAnsi="仿宋" w:eastAsia="仿宋" w:cs="仿宋"/>
          <w:b/>
          <w:color w:val="auto"/>
          <w:sz w:val="24"/>
          <w:szCs w:val="24"/>
          <w:highlight w:val="none"/>
        </w:rPr>
        <w:t>件并注明所在文件页码。</w:t>
      </w:r>
    </w:p>
    <w:p w14:paraId="2D311E01">
      <w:pPr>
        <w:autoSpaceDE w:val="0"/>
        <w:autoSpaceDN w:val="0"/>
        <w:spacing w:line="360" w:lineRule="auto"/>
        <w:rPr>
          <w:rFonts w:hint="eastAsia" w:ascii="仿宋" w:hAnsi="仿宋" w:eastAsia="仿宋" w:cs="仿宋"/>
          <w:color w:val="auto"/>
          <w:sz w:val="24"/>
          <w:szCs w:val="24"/>
          <w:highlight w:val="none"/>
        </w:rPr>
      </w:pPr>
    </w:p>
    <w:p w14:paraId="51225A60">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248F610D">
      <w:pPr>
        <w:autoSpaceDE w:val="0"/>
        <w:autoSpaceDN w:val="0"/>
        <w:spacing w:line="360" w:lineRule="auto"/>
        <w:ind w:firstLine="5280" w:firstLineChars="2200"/>
        <w:rPr>
          <w:rFonts w:hint="eastAsia" w:ascii="仿宋" w:hAnsi="仿宋" w:eastAsia="仿宋" w:cs="仿宋"/>
          <w:color w:val="auto"/>
          <w:kern w:val="0"/>
          <w:sz w:val="24"/>
          <w:szCs w:val="24"/>
          <w:highlight w:val="none"/>
        </w:rPr>
      </w:pPr>
    </w:p>
    <w:p w14:paraId="6907B189">
      <w:pPr>
        <w:spacing w:line="360" w:lineRule="auto"/>
        <w:jc w:val="both"/>
        <w:rPr>
          <w:rFonts w:hint="eastAsia" w:ascii="仿宋" w:hAnsi="仿宋" w:eastAsia="仿宋" w:cs="仿宋"/>
          <w:b/>
          <w:bCs/>
          <w:color w:val="auto"/>
          <w:sz w:val="24"/>
          <w:szCs w:val="24"/>
          <w:highlight w:val="none"/>
          <w:lang w:eastAsia="zh-CN"/>
        </w:rPr>
      </w:pPr>
    </w:p>
    <w:p w14:paraId="2B037BF7">
      <w:pPr>
        <w:spacing w:line="360" w:lineRule="auto"/>
        <w:jc w:val="center"/>
        <w:rPr>
          <w:rFonts w:hint="eastAsia" w:ascii="仿宋" w:hAnsi="仿宋" w:eastAsia="仿宋" w:cs="仿宋"/>
          <w:b/>
          <w:bCs/>
          <w:color w:val="auto"/>
          <w:sz w:val="24"/>
          <w:szCs w:val="24"/>
          <w:highlight w:val="none"/>
          <w:lang w:eastAsia="zh-CN"/>
        </w:rPr>
      </w:pPr>
    </w:p>
    <w:p w14:paraId="48216247">
      <w:pPr>
        <w:spacing w:line="360" w:lineRule="auto"/>
        <w:jc w:val="center"/>
        <w:rPr>
          <w:rFonts w:hint="eastAsia" w:ascii="仿宋" w:hAnsi="仿宋" w:eastAsia="仿宋" w:cs="仿宋"/>
          <w:b/>
          <w:bCs/>
          <w:color w:val="auto"/>
          <w:sz w:val="24"/>
          <w:szCs w:val="24"/>
          <w:highlight w:val="none"/>
          <w:lang w:eastAsia="zh-CN"/>
        </w:rPr>
      </w:pPr>
    </w:p>
    <w:p w14:paraId="0464EB3B">
      <w:pPr>
        <w:spacing w:line="360" w:lineRule="auto"/>
        <w:jc w:val="center"/>
        <w:rPr>
          <w:rFonts w:hint="eastAsia" w:ascii="仿宋" w:hAnsi="仿宋" w:eastAsia="仿宋" w:cs="仿宋"/>
          <w:b/>
          <w:bCs/>
          <w:color w:val="auto"/>
          <w:sz w:val="24"/>
          <w:szCs w:val="24"/>
          <w:highlight w:val="none"/>
          <w:lang w:eastAsia="zh-CN"/>
        </w:rPr>
      </w:pPr>
    </w:p>
    <w:p w14:paraId="437919EB">
      <w:pPr>
        <w:spacing w:line="360" w:lineRule="auto"/>
        <w:jc w:val="center"/>
        <w:rPr>
          <w:rFonts w:hint="eastAsia" w:ascii="仿宋" w:hAnsi="仿宋" w:eastAsia="仿宋" w:cs="仿宋"/>
          <w:b/>
          <w:bCs/>
          <w:color w:val="auto"/>
          <w:sz w:val="24"/>
          <w:szCs w:val="24"/>
          <w:highlight w:val="none"/>
          <w:lang w:eastAsia="zh-CN"/>
        </w:rPr>
      </w:pPr>
    </w:p>
    <w:p w14:paraId="50B1CDE5">
      <w:pPr>
        <w:spacing w:line="360" w:lineRule="auto"/>
        <w:jc w:val="center"/>
        <w:rPr>
          <w:rFonts w:hint="eastAsia" w:ascii="仿宋" w:hAnsi="仿宋" w:eastAsia="仿宋" w:cs="仿宋"/>
          <w:b/>
          <w:bCs/>
          <w:color w:val="auto"/>
          <w:sz w:val="24"/>
          <w:szCs w:val="24"/>
          <w:highlight w:val="none"/>
          <w:lang w:eastAsia="zh-CN"/>
        </w:rPr>
      </w:pPr>
    </w:p>
    <w:p w14:paraId="16DAB50C">
      <w:pPr>
        <w:spacing w:line="360" w:lineRule="auto"/>
        <w:jc w:val="center"/>
        <w:rPr>
          <w:rFonts w:hint="eastAsia" w:ascii="仿宋" w:hAnsi="仿宋" w:eastAsia="仿宋" w:cs="仿宋"/>
          <w:b/>
          <w:bCs/>
          <w:color w:val="auto"/>
          <w:sz w:val="24"/>
          <w:szCs w:val="24"/>
          <w:highlight w:val="none"/>
          <w:lang w:eastAsia="zh-CN"/>
        </w:rPr>
      </w:pPr>
    </w:p>
    <w:p w14:paraId="6581962E">
      <w:pPr>
        <w:spacing w:line="360" w:lineRule="auto"/>
        <w:jc w:val="center"/>
        <w:rPr>
          <w:rFonts w:hint="eastAsia" w:ascii="仿宋" w:hAnsi="仿宋" w:eastAsia="仿宋" w:cs="仿宋"/>
          <w:b/>
          <w:bCs/>
          <w:color w:val="auto"/>
          <w:sz w:val="24"/>
          <w:szCs w:val="24"/>
          <w:highlight w:val="none"/>
          <w:lang w:eastAsia="zh-CN"/>
        </w:rPr>
      </w:pPr>
    </w:p>
    <w:p w14:paraId="0C7A8650">
      <w:pPr>
        <w:spacing w:line="360" w:lineRule="auto"/>
        <w:jc w:val="center"/>
        <w:rPr>
          <w:rFonts w:hint="eastAsia" w:ascii="仿宋" w:hAnsi="仿宋" w:eastAsia="仿宋" w:cs="仿宋"/>
          <w:b/>
          <w:bCs/>
          <w:color w:val="auto"/>
          <w:sz w:val="24"/>
          <w:szCs w:val="24"/>
          <w:highlight w:val="none"/>
          <w:lang w:eastAsia="zh-CN"/>
        </w:rPr>
      </w:pPr>
    </w:p>
    <w:p w14:paraId="751CECEB">
      <w:pPr>
        <w:spacing w:line="360" w:lineRule="auto"/>
        <w:jc w:val="center"/>
        <w:rPr>
          <w:rFonts w:hint="eastAsia" w:ascii="仿宋" w:hAnsi="仿宋" w:eastAsia="仿宋" w:cs="仿宋"/>
          <w:b/>
          <w:bCs/>
          <w:color w:val="auto"/>
          <w:sz w:val="24"/>
          <w:szCs w:val="24"/>
          <w:highlight w:val="none"/>
          <w:lang w:eastAsia="zh-CN"/>
        </w:rPr>
      </w:pPr>
    </w:p>
    <w:p w14:paraId="5478F0FF">
      <w:pPr>
        <w:spacing w:line="360" w:lineRule="auto"/>
        <w:jc w:val="center"/>
        <w:rPr>
          <w:rFonts w:hint="eastAsia" w:ascii="仿宋" w:hAnsi="仿宋" w:eastAsia="仿宋" w:cs="仿宋"/>
          <w:b/>
          <w:bCs/>
          <w:color w:val="auto"/>
          <w:sz w:val="24"/>
          <w:szCs w:val="24"/>
          <w:highlight w:val="none"/>
          <w:lang w:eastAsia="zh-CN"/>
        </w:rPr>
      </w:pPr>
    </w:p>
    <w:p w14:paraId="762FC8F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项目小组人员名单</w:t>
      </w:r>
    </w:p>
    <w:p w14:paraId="000571E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（由供应商根据采购需求及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文件要求编制）</w:t>
      </w:r>
    </w:p>
    <w:p w14:paraId="32F8C4A5">
      <w:pPr>
        <w:spacing w:line="360" w:lineRule="auto"/>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A：</w:t>
      </w:r>
      <w:r>
        <w:rPr>
          <w:rFonts w:hint="eastAsia" w:ascii="仿宋" w:hAnsi="仿宋" w:eastAsia="仿宋" w:cs="仿宋"/>
          <w:b/>
          <w:color w:val="auto"/>
          <w:sz w:val="24"/>
          <w:szCs w:val="24"/>
          <w:highlight w:val="none"/>
        </w:rPr>
        <w:t>本项目的项目经理情况表</w:t>
      </w:r>
    </w:p>
    <w:tbl>
      <w:tblPr>
        <w:tblStyle w:val="79"/>
        <w:tblW w:w="9521" w:type="dxa"/>
        <w:tblInd w:w="0" w:type="dxa"/>
        <w:tblLayout w:type="fixed"/>
        <w:tblCellMar>
          <w:top w:w="0" w:type="dxa"/>
          <w:left w:w="108" w:type="dxa"/>
          <w:bottom w:w="0" w:type="dxa"/>
          <w:right w:w="108" w:type="dxa"/>
        </w:tblCellMar>
      </w:tblPr>
      <w:tblGrid>
        <w:gridCol w:w="2554"/>
        <w:gridCol w:w="1787"/>
        <w:gridCol w:w="5180"/>
      </w:tblGrid>
      <w:tr w14:paraId="533DBCE7">
        <w:tblPrEx>
          <w:tblCellMar>
            <w:top w:w="0" w:type="dxa"/>
            <w:left w:w="108" w:type="dxa"/>
            <w:bottom w:w="0" w:type="dxa"/>
            <w:right w:w="108" w:type="dxa"/>
          </w:tblCellMar>
        </w:tblPrEx>
        <w:trPr>
          <w:trHeight w:val="1035" w:hRule="atLeast"/>
        </w:trPr>
        <w:tc>
          <w:tcPr>
            <w:tcW w:w="255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B83A1E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7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433E86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tcBorders>
              <w:top w:val="single" w:color="auto" w:sz="6" w:space="0"/>
              <w:left w:val="single" w:color="auto" w:sz="6" w:space="0"/>
              <w:bottom w:val="single" w:color="auto" w:sz="6" w:space="0"/>
              <w:right w:val="single" w:color="auto" w:sz="6" w:space="0"/>
            </w:tcBorders>
            <w:noWrap w:val="0"/>
            <w:vAlign w:val="center"/>
          </w:tcPr>
          <w:p w14:paraId="29F346E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3F3AD60C">
        <w:tblPrEx>
          <w:tblCellMar>
            <w:top w:w="0" w:type="dxa"/>
            <w:left w:w="108" w:type="dxa"/>
            <w:bottom w:w="0" w:type="dxa"/>
            <w:right w:w="108" w:type="dxa"/>
          </w:tblCellMar>
        </w:tblPrEx>
        <w:trPr>
          <w:cantSplit/>
          <w:trHeight w:val="49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644A962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7C41FF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restart"/>
            <w:tcBorders>
              <w:top w:val="single" w:color="auto" w:sz="6" w:space="0"/>
              <w:left w:val="single" w:color="auto" w:sz="6" w:space="0"/>
              <w:bottom w:val="single" w:color="auto" w:sz="6" w:space="0"/>
              <w:right w:val="single" w:color="auto" w:sz="6" w:space="0"/>
            </w:tcBorders>
            <w:noWrap w:val="0"/>
            <w:vAlign w:val="center"/>
          </w:tcPr>
          <w:p w14:paraId="71463F7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6BC82312">
        <w:tblPrEx>
          <w:tblCellMar>
            <w:top w:w="0" w:type="dxa"/>
            <w:left w:w="108" w:type="dxa"/>
            <w:bottom w:w="0" w:type="dxa"/>
            <w:right w:w="108" w:type="dxa"/>
          </w:tblCellMar>
        </w:tblPrEx>
        <w:trPr>
          <w:cantSplit/>
          <w:trHeight w:val="49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43C94C4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6F8323A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21B282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555248B9">
        <w:tblPrEx>
          <w:tblCellMar>
            <w:top w:w="0" w:type="dxa"/>
            <w:left w:w="108" w:type="dxa"/>
            <w:bottom w:w="0" w:type="dxa"/>
            <w:right w:w="108" w:type="dxa"/>
          </w:tblCellMar>
        </w:tblPrEx>
        <w:trPr>
          <w:cantSplit/>
          <w:trHeight w:val="485"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0DA019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3ADC10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029CA5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1DF9067B">
        <w:tblPrEx>
          <w:tblCellMar>
            <w:top w:w="0" w:type="dxa"/>
            <w:left w:w="108" w:type="dxa"/>
            <w:bottom w:w="0" w:type="dxa"/>
            <w:right w:w="108" w:type="dxa"/>
          </w:tblCellMar>
        </w:tblPrEx>
        <w:trPr>
          <w:cantSplit/>
          <w:trHeight w:val="519"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47F28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2F0C8C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0584275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2E6B0F68">
        <w:tblPrEx>
          <w:tblCellMar>
            <w:top w:w="0" w:type="dxa"/>
            <w:left w:w="108" w:type="dxa"/>
            <w:bottom w:w="0" w:type="dxa"/>
            <w:right w:w="108" w:type="dxa"/>
          </w:tblCellMar>
        </w:tblPrEx>
        <w:trPr>
          <w:cantSplit/>
          <w:trHeight w:val="517"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5DBE702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所学专业</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1932B0D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4EF137F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D591E7B">
        <w:tblPrEx>
          <w:tblCellMar>
            <w:top w:w="0" w:type="dxa"/>
            <w:left w:w="108" w:type="dxa"/>
            <w:bottom w:w="0" w:type="dxa"/>
            <w:right w:w="108" w:type="dxa"/>
          </w:tblCellMar>
        </w:tblPrEx>
        <w:trPr>
          <w:cantSplit/>
          <w:trHeight w:val="488"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318034A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3E60F83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5B024E5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06FDBE7">
        <w:tblPrEx>
          <w:tblCellMar>
            <w:top w:w="0" w:type="dxa"/>
            <w:left w:w="108" w:type="dxa"/>
            <w:bottom w:w="0" w:type="dxa"/>
            <w:right w:w="108" w:type="dxa"/>
          </w:tblCellMar>
        </w:tblPrEx>
        <w:trPr>
          <w:cantSplit/>
          <w:trHeight w:val="533"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011B580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4BBDBFE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403F643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8F5014C">
        <w:tblPrEx>
          <w:tblCellMar>
            <w:top w:w="0" w:type="dxa"/>
            <w:left w:w="108" w:type="dxa"/>
            <w:bottom w:w="0" w:type="dxa"/>
            <w:right w:w="108" w:type="dxa"/>
          </w:tblCellMar>
        </w:tblPrEx>
        <w:trPr>
          <w:cantSplit/>
          <w:trHeight w:val="52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7003D8C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其他资质情况</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4E9AAEA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44693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14:paraId="7F859D64">
        <w:tblPrEx>
          <w:tblCellMar>
            <w:top w:w="0" w:type="dxa"/>
            <w:left w:w="108" w:type="dxa"/>
            <w:bottom w:w="0" w:type="dxa"/>
            <w:right w:w="108" w:type="dxa"/>
          </w:tblCellMar>
        </w:tblPrEx>
        <w:trPr>
          <w:cantSplit/>
          <w:trHeight w:val="560" w:hRule="atLeast"/>
        </w:trPr>
        <w:tc>
          <w:tcPr>
            <w:tcW w:w="2554" w:type="dxa"/>
            <w:tcBorders>
              <w:top w:val="single" w:color="auto" w:sz="6" w:space="0"/>
              <w:left w:val="single" w:color="auto" w:sz="6" w:space="0"/>
              <w:bottom w:val="single" w:color="auto" w:sz="6" w:space="0"/>
              <w:right w:val="single" w:color="auto" w:sz="6" w:space="0"/>
            </w:tcBorders>
            <w:noWrap w:val="0"/>
            <w:vAlign w:val="center"/>
          </w:tcPr>
          <w:p w14:paraId="495344C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787" w:type="dxa"/>
            <w:tcBorders>
              <w:top w:val="single" w:color="auto" w:sz="6" w:space="0"/>
              <w:left w:val="single" w:color="auto" w:sz="6" w:space="0"/>
              <w:bottom w:val="single" w:color="auto" w:sz="6" w:space="0"/>
              <w:right w:val="single" w:color="auto" w:sz="4" w:space="0"/>
            </w:tcBorders>
            <w:noWrap w:val="0"/>
            <w:vAlign w:val="center"/>
          </w:tcPr>
          <w:p w14:paraId="1E0E4C8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5180" w:type="dxa"/>
            <w:vMerge w:val="continue"/>
            <w:tcBorders>
              <w:top w:val="single" w:color="auto" w:sz="6" w:space="0"/>
              <w:left w:val="single" w:color="auto" w:sz="6" w:space="0"/>
              <w:bottom w:val="single" w:color="auto" w:sz="6" w:space="0"/>
              <w:right w:val="single" w:color="auto" w:sz="6" w:space="0"/>
            </w:tcBorders>
            <w:noWrap w:val="0"/>
            <w:vAlign w:val="center"/>
          </w:tcPr>
          <w:p w14:paraId="36C90C9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14:paraId="31ED7C84">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注：随表提交相</w:t>
      </w:r>
      <w:r>
        <w:rPr>
          <w:rFonts w:hint="eastAsia" w:ascii="仿宋" w:hAnsi="仿宋" w:eastAsia="仿宋" w:cs="仿宋"/>
          <w:b/>
          <w:color w:val="auto"/>
          <w:sz w:val="24"/>
          <w:szCs w:val="24"/>
          <w:highlight w:val="none"/>
          <w:lang w:eastAsia="zh-CN"/>
        </w:rPr>
        <w:t>关证明材料。</w:t>
      </w:r>
    </w:p>
    <w:p w14:paraId="4F75CD6F">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p>
    <w:p w14:paraId="780A17FC">
      <w:pPr>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B：</w:t>
      </w:r>
      <w:r>
        <w:rPr>
          <w:rFonts w:hint="eastAsia" w:ascii="仿宋" w:hAnsi="仿宋" w:eastAsia="仿宋" w:cs="仿宋"/>
          <w:b/>
          <w:color w:val="auto"/>
          <w:sz w:val="24"/>
          <w:szCs w:val="24"/>
          <w:highlight w:val="none"/>
        </w:rPr>
        <w:t>本项目的项目小组人员情况表</w:t>
      </w:r>
      <w:r>
        <w:rPr>
          <w:rFonts w:hint="eastAsia" w:ascii="仿宋" w:hAnsi="仿宋" w:eastAsia="仿宋" w:cs="仿宋"/>
          <w:color w:val="auto"/>
          <w:sz w:val="24"/>
          <w:szCs w:val="24"/>
          <w:highlight w:val="none"/>
        </w:rPr>
        <w:t>（按此格式自制）</w:t>
      </w:r>
    </w:p>
    <w:tbl>
      <w:tblPr>
        <w:tblStyle w:val="79"/>
        <w:tblW w:w="9546" w:type="dxa"/>
        <w:tblInd w:w="7" w:type="dxa"/>
        <w:tblLayout w:type="fixed"/>
        <w:tblCellMar>
          <w:top w:w="0" w:type="dxa"/>
          <w:left w:w="108" w:type="dxa"/>
          <w:bottom w:w="0" w:type="dxa"/>
          <w:right w:w="108" w:type="dxa"/>
        </w:tblCellMar>
      </w:tblPr>
      <w:tblGrid>
        <w:gridCol w:w="609"/>
        <w:gridCol w:w="862"/>
        <w:gridCol w:w="725"/>
        <w:gridCol w:w="724"/>
        <w:gridCol w:w="914"/>
        <w:gridCol w:w="875"/>
        <w:gridCol w:w="1076"/>
        <w:gridCol w:w="1186"/>
        <w:gridCol w:w="1200"/>
        <w:gridCol w:w="1375"/>
      </w:tblGrid>
      <w:tr w14:paraId="21D4E767">
        <w:tblPrEx>
          <w:tblCellMar>
            <w:top w:w="0" w:type="dxa"/>
            <w:left w:w="108" w:type="dxa"/>
            <w:bottom w:w="0" w:type="dxa"/>
            <w:right w:w="108" w:type="dxa"/>
          </w:tblCellMar>
        </w:tblPrEx>
        <w:trPr>
          <w:trHeight w:val="910" w:hRule="atLeast"/>
        </w:trPr>
        <w:tc>
          <w:tcPr>
            <w:tcW w:w="609" w:type="dxa"/>
            <w:tcBorders>
              <w:top w:val="single" w:color="auto" w:sz="6" w:space="0"/>
              <w:left w:val="single" w:color="auto" w:sz="6" w:space="0"/>
              <w:bottom w:val="single" w:color="auto" w:sz="6" w:space="0"/>
              <w:right w:val="single" w:color="auto" w:sz="6" w:space="0"/>
            </w:tcBorders>
            <w:noWrap w:val="0"/>
            <w:vAlign w:val="center"/>
          </w:tcPr>
          <w:p w14:paraId="6FEEBDD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62" w:type="dxa"/>
            <w:tcBorders>
              <w:top w:val="single" w:color="auto" w:sz="6" w:space="0"/>
              <w:left w:val="single" w:color="auto" w:sz="6" w:space="0"/>
              <w:bottom w:val="single" w:color="auto" w:sz="6" w:space="0"/>
              <w:right w:val="single" w:color="auto" w:sz="6" w:space="0"/>
            </w:tcBorders>
            <w:noWrap w:val="0"/>
            <w:vAlign w:val="center"/>
          </w:tcPr>
          <w:p w14:paraId="7C95964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5" w:type="dxa"/>
            <w:tcBorders>
              <w:top w:val="single" w:color="auto" w:sz="6" w:space="0"/>
              <w:left w:val="single" w:color="auto" w:sz="6" w:space="0"/>
              <w:bottom w:val="single" w:color="auto" w:sz="6" w:space="0"/>
              <w:right w:val="single" w:color="auto" w:sz="6" w:space="0"/>
            </w:tcBorders>
            <w:noWrap w:val="0"/>
            <w:vAlign w:val="center"/>
          </w:tcPr>
          <w:p w14:paraId="1F87ECB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724" w:type="dxa"/>
            <w:tcBorders>
              <w:top w:val="single" w:color="auto" w:sz="6" w:space="0"/>
              <w:left w:val="single" w:color="auto" w:sz="6" w:space="0"/>
              <w:bottom w:val="single" w:color="auto" w:sz="6" w:space="0"/>
              <w:right w:val="single" w:color="auto" w:sz="6" w:space="0"/>
            </w:tcBorders>
            <w:noWrap w:val="0"/>
            <w:vAlign w:val="center"/>
          </w:tcPr>
          <w:p w14:paraId="06AF2BD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914" w:type="dxa"/>
            <w:tcBorders>
              <w:top w:val="single" w:color="auto" w:sz="6" w:space="0"/>
              <w:left w:val="single" w:color="auto" w:sz="6" w:space="0"/>
              <w:bottom w:val="single" w:color="auto" w:sz="6" w:space="0"/>
              <w:right w:val="single" w:color="auto" w:sz="6" w:space="0"/>
            </w:tcBorders>
            <w:noWrap w:val="0"/>
            <w:vAlign w:val="center"/>
          </w:tcPr>
          <w:p w14:paraId="31237B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875" w:type="dxa"/>
            <w:tcBorders>
              <w:top w:val="single" w:color="auto" w:sz="6" w:space="0"/>
              <w:left w:val="single" w:color="auto" w:sz="6" w:space="0"/>
              <w:bottom w:val="single" w:color="auto" w:sz="6" w:space="0"/>
              <w:right w:val="single" w:color="auto" w:sz="6" w:space="0"/>
            </w:tcBorders>
            <w:noWrap w:val="0"/>
            <w:vAlign w:val="center"/>
          </w:tcPr>
          <w:p w14:paraId="7FDB74E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076" w:type="dxa"/>
            <w:tcBorders>
              <w:top w:val="single" w:color="auto" w:sz="6" w:space="0"/>
              <w:left w:val="single" w:color="auto" w:sz="6" w:space="0"/>
              <w:bottom w:val="single" w:color="auto" w:sz="6" w:space="0"/>
              <w:right w:val="single" w:color="auto" w:sz="6" w:space="0"/>
            </w:tcBorders>
            <w:noWrap w:val="0"/>
            <w:vAlign w:val="center"/>
          </w:tcPr>
          <w:p w14:paraId="07D014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186" w:type="dxa"/>
            <w:tcBorders>
              <w:top w:val="single" w:color="auto" w:sz="6" w:space="0"/>
              <w:left w:val="single" w:color="auto" w:sz="6" w:space="0"/>
              <w:bottom w:val="single" w:color="auto" w:sz="6" w:space="0"/>
              <w:right w:val="single" w:color="auto" w:sz="6" w:space="0"/>
            </w:tcBorders>
            <w:noWrap w:val="0"/>
            <w:vAlign w:val="center"/>
          </w:tcPr>
          <w:p w14:paraId="6E81A9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3DB34F3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项目经历</w:t>
            </w:r>
          </w:p>
        </w:tc>
        <w:tc>
          <w:tcPr>
            <w:tcW w:w="1375" w:type="dxa"/>
            <w:tcBorders>
              <w:top w:val="single" w:color="auto" w:sz="6" w:space="0"/>
              <w:left w:val="single" w:color="auto" w:sz="6" w:space="0"/>
              <w:bottom w:val="single" w:color="auto" w:sz="6" w:space="0"/>
              <w:right w:val="single" w:color="auto" w:sz="6" w:space="0"/>
            </w:tcBorders>
            <w:noWrap w:val="0"/>
            <w:vAlign w:val="center"/>
          </w:tcPr>
          <w:p w14:paraId="415A3D8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参与本项目的到位情况</w:t>
            </w:r>
          </w:p>
        </w:tc>
      </w:tr>
      <w:tr w14:paraId="5A90E42B">
        <w:tblPrEx>
          <w:tblCellMar>
            <w:top w:w="0" w:type="dxa"/>
            <w:left w:w="108" w:type="dxa"/>
            <w:bottom w:w="0" w:type="dxa"/>
            <w:right w:w="108" w:type="dxa"/>
          </w:tblCellMar>
        </w:tblPrEx>
        <w:trPr>
          <w:trHeight w:val="639"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77C0E17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66FB77E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719A13E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4" w:type="dxa"/>
            <w:tcBorders>
              <w:top w:val="single" w:color="auto" w:sz="6" w:space="0"/>
              <w:left w:val="single" w:color="auto" w:sz="6" w:space="0"/>
              <w:bottom w:val="single" w:color="auto" w:sz="6" w:space="0"/>
              <w:right w:val="single" w:color="auto" w:sz="6" w:space="0"/>
            </w:tcBorders>
            <w:noWrap w:val="0"/>
            <w:vAlign w:val="top"/>
          </w:tcPr>
          <w:p w14:paraId="663AE8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914" w:type="dxa"/>
            <w:tcBorders>
              <w:top w:val="single" w:color="auto" w:sz="6" w:space="0"/>
              <w:left w:val="single" w:color="auto" w:sz="6" w:space="0"/>
              <w:bottom w:val="single" w:color="auto" w:sz="6" w:space="0"/>
              <w:right w:val="single" w:color="auto" w:sz="6" w:space="0"/>
            </w:tcBorders>
            <w:noWrap w:val="0"/>
            <w:vAlign w:val="top"/>
          </w:tcPr>
          <w:p w14:paraId="47C64E5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535C9F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0E0B981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4B03B9A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21B90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1B023C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1008C092">
        <w:tblPrEx>
          <w:tblCellMar>
            <w:top w:w="0" w:type="dxa"/>
            <w:left w:w="108" w:type="dxa"/>
            <w:bottom w:w="0" w:type="dxa"/>
            <w:right w:w="108" w:type="dxa"/>
          </w:tblCellMar>
        </w:tblPrEx>
        <w:trPr>
          <w:trHeight w:val="621"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5C63826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6DF23E7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2FB078E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4" w:type="dxa"/>
            <w:tcBorders>
              <w:top w:val="single" w:color="auto" w:sz="6" w:space="0"/>
              <w:left w:val="single" w:color="auto" w:sz="6" w:space="0"/>
              <w:bottom w:val="single" w:color="auto" w:sz="6" w:space="0"/>
              <w:right w:val="single" w:color="auto" w:sz="6" w:space="0"/>
            </w:tcBorders>
            <w:noWrap w:val="0"/>
            <w:vAlign w:val="top"/>
          </w:tcPr>
          <w:p w14:paraId="15389D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914" w:type="dxa"/>
            <w:tcBorders>
              <w:top w:val="single" w:color="auto" w:sz="6" w:space="0"/>
              <w:left w:val="single" w:color="auto" w:sz="6" w:space="0"/>
              <w:bottom w:val="single" w:color="auto" w:sz="6" w:space="0"/>
              <w:right w:val="single" w:color="auto" w:sz="6" w:space="0"/>
            </w:tcBorders>
            <w:noWrap w:val="0"/>
            <w:vAlign w:val="top"/>
          </w:tcPr>
          <w:p w14:paraId="0C2C6C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018D9BD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78C65F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1AA19D3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E8427D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1A422E1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r w14:paraId="406558CA">
        <w:tblPrEx>
          <w:tblCellMar>
            <w:top w:w="0" w:type="dxa"/>
            <w:left w:w="108" w:type="dxa"/>
            <w:bottom w:w="0" w:type="dxa"/>
            <w:right w:w="108" w:type="dxa"/>
          </w:tblCellMar>
        </w:tblPrEx>
        <w:trPr>
          <w:trHeight w:val="512" w:hRule="atLeast"/>
        </w:trPr>
        <w:tc>
          <w:tcPr>
            <w:tcW w:w="609" w:type="dxa"/>
            <w:tcBorders>
              <w:top w:val="single" w:color="auto" w:sz="6" w:space="0"/>
              <w:left w:val="single" w:color="auto" w:sz="6" w:space="0"/>
              <w:bottom w:val="single" w:color="auto" w:sz="6" w:space="0"/>
              <w:right w:val="single" w:color="auto" w:sz="6" w:space="0"/>
            </w:tcBorders>
            <w:noWrap w:val="0"/>
            <w:vAlign w:val="top"/>
          </w:tcPr>
          <w:p w14:paraId="41EB6EA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862" w:type="dxa"/>
            <w:tcBorders>
              <w:top w:val="single" w:color="auto" w:sz="6" w:space="0"/>
              <w:left w:val="single" w:color="auto" w:sz="6" w:space="0"/>
              <w:bottom w:val="single" w:color="auto" w:sz="6" w:space="0"/>
              <w:right w:val="single" w:color="auto" w:sz="6" w:space="0"/>
            </w:tcBorders>
            <w:noWrap w:val="0"/>
            <w:vAlign w:val="top"/>
          </w:tcPr>
          <w:p w14:paraId="1D99AD2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5" w:type="dxa"/>
            <w:tcBorders>
              <w:top w:val="single" w:color="auto" w:sz="6" w:space="0"/>
              <w:left w:val="single" w:color="auto" w:sz="6" w:space="0"/>
              <w:bottom w:val="single" w:color="auto" w:sz="6" w:space="0"/>
              <w:right w:val="single" w:color="auto" w:sz="6" w:space="0"/>
            </w:tcBorders>
            <w:noWrap w:val="0"/>
            <w:vAlign w:val="top"/>
          </w:tcPr>
          <w:p w14:paraId="033D2B9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724" w:type="dxa"/>
            <w:tcBorders>
              <w:top w:val="single" w:color="auto" w:sz="6" w:space="0"/>
              <w:left w:val="single" w:color="auto" w:sz="6" w:space="0"/>
              <w:bottom w:val="single" w:color="auto" w:sz="6" w:space="0"/>
              <w:right w:val="single" w:color="auto" w:sz="6" w:space="0"/>
            </w:tcBorders>
            <w:noWrap w:val="0"/>
            <w:vAlign w:val="top"/>
          </w:tcPr>
          <w:p w14:paraId="082F248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914" w:type="dxa"/>
            <w:tcBorders>
              <w:top w:val="single" w:color="auto" w:sz="6" w:space="0"/>
              <w:left w:val="single" w:color="auto" w:sz="6" w:space="0"/>
              <w:bottom w:val="single" w:color="auto" w:sz="6" w:space="0"/>
              <w:right w:val="single" w:color="auto" w:sz="6" w:space="0"/>
            </w:tcBorders>
            <w:noWrap w:val="0"/>
            <w:vAlign w:val="top"/>
          </w:tcPr>
          <w:p w14:paraId="38A67F2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875" w:type="dxa"/>
            <w:tcBorders>
              <w:top w:val="single" w:color="auto" w:sz="6" w:space="0"/>
              <w:left w:val="single" w:color="auto" w:sz="6" w:space="0"/>
              <w:bottom w:val="single" w:color="auto" w:sz="6" w:space="0"/>
              <w:right w:val="single" w:color="auto" w:sz="6" w:space="0"/>
            </w:tcBorders>
            <w:noWrap w:val="0"/>
            <w:vAlign w:val="top"/>
          </w:tcPr>
          <w:p w14:paraId="29813C2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top"/>
          </w:tcPr>
          <w:p w14:paraId="2032B84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186" w:type="dxa"/>
            <w:tcBorders>
              <w:top w:val="single" w:color="auto" w:sz="6" w:space="0"/>
              <w:left w:val="single" w:color="auto" w:sz="6" w:space="0"/>
              <w:bottom w:val="single" w:color="auto" w:sz="6" w:space="0"/>
              <w:right w:val="single" w:color="auto" w:sz="6" w:space="0"/>
            </w:tcBorders>
            <w:noWrap w:val="0"/>
            <w:vAlign w:val="top"/>
          </w:tcPr>
          <w:p w14:paraId="56876D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888EB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c>
          <w:tcPr>
            <w:tcW w:w="1375" w:type="dxa"/>
            <w:tcBorders>
              <w:top w:val="single" w:color="auto" w:sz="6" w:space="0"/>
              <w:left w:val="single" w:color="auto" w:sz="6" w:space="0"/>
              <w:bottom w:val="single" w:color="auto" w:sz="6" w:space="0"/>
              <w:right w:val="single" w:color="auto" w:sz="6" w:space="0"/>
            </w:tcBorders>
            <w:noWrap w:val="0"/>
            <w:vAlign w:val="top"/>
          </w:tcPr>
          <w:p w14:paraId="43E0C44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仿宋" w:hAnsi="仿宋" w:eastAsia="仿宋" w:cs="仿宋"/>
                <w:color w:val="auto"/>
                <w:sz w:val="24"/>
                <w:szCs w:val="24"/>
                <w:highlight w:val="none"/>
              </w:rPr>
            </w:pPr>
          </w:p>
        </w:tc>
      </w:tr>
    </w:tbl>
    <w:p w14:paraId="61196E27">
      <w:pPr>
        <w:keepLines w:val="0"/>
        <w:pageBreakBefore w:val="0"/>
        <w:widowControl w:val="0"/>
        <w:kinsoku/>
        <w:wordWrap/>
        <w:overflowPunct/>
        <w:topLinePunct w:val="0"/>
        <w:bidi w:val="0"/>
        <w:adjustRightInd/>
        <w:snapToGrid/>
        <w:spacing w:line="400" w:lineRule="exact"/>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注：供应商可按上述的格式自行编制，须随表提交</w:t>
      </w:r>
      <w:r>
        <w:rPr>
          <w:rFonts w:hint="eastAsia" w:ascii="仿宋" w:hAnsi="仿宋" w:eastAsia="仿宋" w:cs="仿宋"/>
          <w:b/>
          <w:color w:val="auto"/>
          <w:sz w:val="24"/>
          <w:szCs w:val="24"/>
          <w:highlight w:val="none"/>
          <w:lang w:eastAsia="zh-CN"/>
        </w:rPr>
        <w:t>相关证明材料。</w:t>
      </w:r>
    </w:p>
    <w:p w14:paraId="0387D016">
      <w:pPr>
        <w:spacing w:line="360" w:lineRule="auto"/>
        <w:jc w:val="center"/>
        <w:rPr>
          <w:rFonts w:hint="eastAsia" w:ascii="仿宋" w:hAnsi="仿宋" w:eastAsia="仿宋" w:cs="仿宋"/>
          <w:b/>
          <w:color w:val="auto"/>
          <w:kern w:val="0"/>
          <w:sz w:val="24"/>
          <w:szCs w:val="24"/>
          <w:highlight w:val="none"/>
          <w:lang w:val="zh-CN"/>
        </w:rPr>
      </w:pPr>
    </w:p>
    <w:p w14:paraId="26377AB0">
      <w:pPr>
        <w:spacing w:line="360" w:lineRule="auto"/>
        <w:jc w:val="center"/>
        <w:rPr>
          <w:rFonts w:hint="eastAsia" w:ascii="仿宋" w:hAnsi="仿宋" w:eastAsia="仿宋" w:cs="仿宋"/>
          <w:b/>
          <w:color w:val="auto"/>
          <w:kern w:val="0"/>
          <w:sz w:val="24"/>
          <w:szCs w:val="24"/>
          <w:highlight w:val="none"/>
          <w:lang w:val="zh-CN"/>
        </w:rPr>
      </w:pPr>
    </w:p>
    <w:p w14:paraId="1CDB55EA">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8429EFB">
      <w:pPr>
        <w:rPr>
          <w:rFonts w:hint="eastAsia" w:ascii="仿宋" w:hAnsi="仿宋" w:eastAsia="仿宋" w:cs="仿宋"/>
          <w:b/>
          <w:bCs/>
          <w:color w:val="auto"/>
          <w:sz w:val="24"/>
          <w:szCs w:val="24"/>
          <w:highlight w:val="none"/>
          <w:lang w:val="zh-CN"/>
        </w:rPr>
      </w:pPr>
    </w:p>
    <w:p w14:paraId="1545A5F7">
      <w:pPr>
        <w:pStyle w:val="66"/>
        <w:rPr>
          <w:rFonts w:hint="eastAsia" w:ascii="仿宋" w:hAnsi="仿宋" w:eastAsia="仿宋" w:cs="仿宋"/>
          <w:color w:val="auto"/>
          <w:sz w:val="24"/>
          <w:szCs w:val="24"/>
          <w:highlight w:val="none"/>
          <w:lang w:val="zh-CN"/>
        </w:rPr>
      </w:pPr>
    </w:p>
    <w:p w14:paraId="7C5C9760">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zh-CN"/>
        </w:rPr>
        <w:t>）商务资信响应表</w:t>
      </w:r>
    </w:p>
    <w:p w14:paraId="23729FCE">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7D0E96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785D4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94EB0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530F7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1F280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14:paraId="5910AB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765967BD">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1A70575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2AD443BE">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61C587B">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highlight w:val="none"/>
              </w:rPr>
            </w:pPr>
          </w:p>
        </w:tc>
      </w:tr>
      <w:tr w14:paraId="108B1E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0D23DE9">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492420DA">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5A9504E">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F5EC884">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C67C0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B3D539D">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D4F961C">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31183B35">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5F27E42">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DD1D5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C588482">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116E9C7D">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1EE789B">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95E9C03">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2AF298F8">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2D5DAF08">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454A7208">
      <w:pPr>
        <w:pStyle w:val="32"/>
        <w:jc w:val="center"/>
        <w:rPr>
          <w:rFonts w:hint="eastAsia" w:ascii="仿宋" w:hAnsi="仿宋" w:eastAsia="仿宋" w:cs="仿宋"/>
          <w:b/>
          <w:bCs/>
          <w:color w:val="auto"/>
          <w:kern w:val="2"/>
          <w:sz w:val="32"/>
          <w:szCs w:val="32"/>
          <w:highlight w:val="none"/>
          <w:lang w:val="en-US" w:eastAsia="zh-CN" w:bidi="ar-SA"/>
        </w:rPr>
      </w:pPr>
    </w:p>
    <w:p w14:paraId="6896F555">
      <w:pPr>
        <w:pStyle w:val="32"/>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（八）技术</w:t>
      </w:r>
      <w:r>
        <w:rPr>
          <w:rFonts w:hint="eastAsia" w:ascii="仿宋" w:hAnsi="仿宋" w:eastAsia="仿宋" w:cs="仿宋"/>
          <w:b/>
          <w:bCs/>
          <w:color w:val="auto"/>
          <w:kern w:val="2"/>
          <w:sz w:val="32"/>
          <w:szCs w:val="32"/>
          <w:highlight w:val="none"/>
          <w:lang w:val="zh-CN" w:eastAsia="zh-CN" w:bidi="ar-SA"/>
        </w:rPr>
        <w:t>偏离表</w:t>
      </w:r>
    </w:p>
    <w:p w14:paraId="6DB1BF36">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文件要求编制）</w:t>
      </w:r>
    </w:p>
    <w:tbl>
      <w:tblPr>
        <w:tblStyle w:val="7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142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68C84B32">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14:paraId="2ECBE437">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0C75FE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4B9CFFDD">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r>
      <w:tr w14:paraId="0E0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8079311">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267FBF70">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9E0640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75A81E9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7834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7CEC62A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5D73F7D1">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6FA1F94">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30A9AF5">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7B24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38F4C3D">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672816F7">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0972114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1F4E95D">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2265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0073D578">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2B482089">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1988526">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02ABDB1A">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r w14:paraId="49CF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556781E">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14:paraId="6608BB23">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3F9B5D5">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highlight w:val="none"/>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89C9EBB">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highlight w:val="none"/>
              </w:rPr>
            </w:pPr>
          </w:p>
        </w:tc>
      </w:tr>
    </w:tbl>
    <w:p w14:paraId="08182D61">
      <w:pPr>
        <w:tabs>
          <w:tab w:val="left" w:pos="570"/>
        </w:tabs>
        <w:spacing w:line="440" w:lineRule="exact"/>
        <w:jc w:val="left"/>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kern w:val="0"/>
          <w:highlight w:val="none"/>
        </w:rPr>
        <w:t>投标人保证：除商务技术偏离表列出的偏离外，投标人响应招标文件的全部要求</w:t>
      </w:r>
      <w:r>
        <w:rPr>
          <w:rFonts w:hint="eastAsia" w:ascii="仿宋" w:hAnsi="仿宋" w:eastAsia="仿宋" w:cs="仿宋"/>
          <w:color w:val="auto"/>
          <w:kern w:val="0"/>
          <w:highlight w:val="none"/>
          <w:lang w:eastAsia="zh-CN"/>
        </w:rPr>
        <w:t>。</w:t>
      </w:r>
    </w:p>
    <w:p w14:paraId="287C752B">
      <w:pPr>
        <w:snapToGrid w:val="0"/>
        <w:spacing w:before="50" w:after="50" w:line="600" w:lineRule="exact"/>
        <w:ind w:firstLine="4320" w:firstLineChars="1800"/>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 xml:space="preserve">                 </w:t>
      </w:r>
    </w:p>
    <w:p w14:paraId="04B53012">
      <w:pPr>
        <w:snapToGrid w:val="0"/>
        <w:spacing w:before="50" w:after="50" w:line="600" w:lineRule="exact"/>
        <w:ind w:firstLine="4320" w:firstLineChars="18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2721EE32">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7B0224C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7419E1DD">
      <w:pPr>
        <w:spacing w:line="360" w:lineRule="auto"/>
        <w:jc w:val="center"/>
        <w:rPr>
          <w:rFonts w:hint="eastAsia" w:ascii="仿宋" w:hAnsi="仿宋" w:eastAsia="仿宋" w:cs="仿宋"/>
          <w:b/>
          <w:bCs/>
          <w:color w:val="auto"/>
          <w:sz w:val="24"/>
          <w:szCs w:val="24"/>
          <w:highlight w:val="none"/>
          <w:lang w:eastAsia="zh-CN"/>
        </w:rPr>
      </w:pPr>
    </w:p>
    <w:p w14:paraId="7436FE76">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设备配置清单</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如有</w:t>
      </w:r>
      <w:r>
        <w:rPr>
          <w:rFonts w:hint="eastAsia" w:ascii="仿宋" w:hAnsi="仿宋" w:eastAsia="仿宋" w:cs="仿宋"/>
          <w:b/>
          <w:bCs/>
          <w:color w:val="auto"/>
          <w:sz w:val="32"/>
          <w:szCs w:val="32"/>
          <w:highlight w:val="none"/>
          <w:lang w:eastAsia="zh-CN"/>
        </w:rPr>
        <w:t>）</w:t>
      </w:r>
    </w:p>
    <w:tbl>
      <w:tblPr>
        <w:tblStyle w:val="7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5C6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14:paraId="309953AA">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31" w:type="dxa"/>
            <w:noWrap w:val="0"/>
            <w:vAlign w:val="center"/>
          </w:tcPr>
          <w:p w14:paraId="019B215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2160" w:type="dxa"/>
            <w:noWrap w:val="0"/>
            <w:vAlign w:val="center"/>
          </w:tcPr>
          <w:p w14:paraId="4012D7C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投标品牌及型号</w:t>
            </w:r>
          </w:p>
        </w:tc>
        <w:tc>
          <w:tcPr>
            <w:tcW w:w="2340" w:type="dxa"/>
            <w:noWrap w:val="0"/>
            <w:vAlign w:val="center"/>
          </w:tcPr>
          <w:p w14:paraId="2FD59E7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规格配置详细说明</w:t>
            </w:r>
          </w:p>
        </w:tc>
        <w:tc>
          <w:tcPr>
            <w:tcW w:w="1080" w:type="dxa"/>
            <w:noWrap w:val="0"/>
            <w:vAlign w:val="center"/>
          </w:tcPr>
          <w:p w14:paraId="08DA968A">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32" w:type="dxa"/>
            <w:noWrap w:val="0"/>
            <w:vAlign w:val="center"/>
          </w:tcPr>
          <w:p w14:paraId="00C9802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42E9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23E091C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734D2B4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1F448DC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16926BF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361410B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161DF9B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F28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0372DEE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2DDA2CB2">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5F2B657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4A1A294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035ACC8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732773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485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4A4AF3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43BC4046">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6703CCD3">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3893E81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67C88A0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188FB5F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2CF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003E750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2E472DA9">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10B2B93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358782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259AC0D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723C255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C7B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047FC6F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0F619248">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01DBDAD4">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A0280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596B261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4B8EEFB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964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6221F1B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7C374F6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26C3C5FD">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5C129B0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1D3C118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554CF01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89D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2B1200B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22857FAB">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02B1BD50">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43E45B7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1A97279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7F6F800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5C1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1E0D054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531" w:type="dxa"/>
            <w:noWrap w:val="0"/>
            <w:vAlign w:val="center"/>
          </w:tcPr>
          <w:p w14:paraId="623C3585">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160" w:type="dxa"/>
            <w:noWrap w:val="0"/>
            <w:vAlign w:val="center"/>
          </w:tcPr>
          <w:p w14:paraId="32B55B8A">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340" w:type="dxa"/>
            <w:noWrap w:val="0"/>
            <w:vAlign w:val="center"/>
          </w:tcPr>
          <w:p w14:paraId="2904F31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80" w:type="dxa"/>
            <w:noWrap w:val="0"/>
            <w:vAlign w:val="center"/>
          </w:tcPr>
          <w:p w14:paraId="7EE582A5">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32" w:type="dxa"/>
            <w:noWrap w:val="0"/>
            <w:vAlign w:val="center"/>
          </w:tcPr>
          <w:p w14:paraId="66AD10E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2EA2F9AA">
      <w:pPr>
        <w:autoSpaceDE w:val="0"/>
        <w:autoSpaceDN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sz w:val="24"/>
          <w:szCs w:val="24"/>
          <w:highlight w:val="none"/>
        </w:rPr>
        <w:t>如果本项目涉及硬件设备采购，须在技术文件中提供此配置清单，提供主要投标产品的技术参数证明材料（如检测报告、官网截图、产品彩页、原厂技术说明等）。</w:t>
      </w:r>
    </w:p>
    <w:p w14:paraId="12E51106">
      <w:pPr>
        <w:jc w:val="center"/>
        <w:rPr>
          <w:rFonts w:hint="eastAsia" w:ascii="仿宋" w:hAnsi="仿宋" w:eastAsia="仿宋" w:cs="仿宋"/>
          <w:b/>
          <w:bCs/>
          <w:color w:val="auto"/>
          <w:sz w:val="24"/>
          <w:szCs w:val="24"/>
          <w:highlight w:val="none"/>
          <w:lang w:val="zh-CN"/>
        </w:rPr>
      </w:pPr>
    </w:p>
    <w:p w14:paraId="0BC3BC82">
      <w:pPr>
        <w:jc w:val="center"/>
        <w:rPr>
          <w:rFonts w:hint="eastAsia" w:ascii="仿宋" w:hAnsi="仿宋" w:eastAsia="仿宋" w:cs="仿宋"/>
          <w:b/>
          <w:bCs/>
          <w:color w:val="auto"/>
          <w:sz w:val="24"/>
          <w:szCs w:val="24"/>
          <w:highlight w:val="none"/>
          <w:lang w:val="zh-CN"/>
        </w:rPr>
      </w:pPr>
    </w:p>
    <w:p w14:paraId="44DD577F">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478DADDD">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5BF80F17">
      <w:pPr>
        <w:jc w:val="both"/>
        <w:rPr>
          <w:rFonts w:hint="eastAsia" w:ascii="仿宋" w:hAnsi="仿宋" w:eastAsia="仿宋" w:cs="仿宋"/>
          <w:b/>
          <w:bCs/>
          <w:color w:val="auto"/>
          <w:sz w:val="24"/>
          <w:szCs w:val="24"/>
          <w:highlight w:val="none"/>
          <w:lang w:val="zh-CN"/>
        </w:rPr>
      </w:pPr>
    </w:p>
    <w:p w14:paraId="3CF79A3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可按此表格格式进行扩展。</w:t>
      </w:r>
    </w:p>
    <w:p w14:paraId="7B95F3A2">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3088626F">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4A2697F2">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CD4CD9E">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3EAD21DD">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3DEF0EB9">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2AD7071C">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005EA8F1">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000D38C">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6EFBAB1C">
      <w:pPr>
        <w:tabs>
          <w:tab w:val="left" w:pos="0"/>
        </w:tabs>
        <w:autoSpaceDE w:val="0"/>
        <w:autoSpaceDN w:val="0"/>
        <w:spacing w:line="360" w:lineRule="auto"/>
        <w:jc w:val="center"/>
        <w:rPr>
          <w:rFonts w:hint="eastAsia" w:ascii="仿宋" w:hAnsi="仿宋" w:eastAsia="仿宋" w:cs="仿宋"/>
          <w:b/>
          <w:bCs/>
          <w:color w:val="auto"/>
          <w:sz w:val="24"/>
          <w:szCs w:val="24"/>
          <w:highlight w:val="none"/>
          <w:lang w:eastAsia="zh-CN"/>
        </w:rPr>
      </w:pPr>
    </w:p>
    <w:p w14:paraId="576A69E5">
      <w:pPr>
        <w:tabs>
          <w:tab w:val="left" w:pos="0"/>
        </w:tabs>
        <w:autoSpaceDE w:val="0"/>
        <w:autoSpaceDN w:val="0"/>
        <w:spacing w:line="360" w:lineRule="auto"/>
        <w:jc w:val="both"/>
        <w:rPr>
          <w:rFonts w:hint="eastAsia" w:ascii="仿宋" w:hAnsi="仿宋" w:eastAsia="仿宋" w:cs="仿宋"/>
          <w:b/>
          <w:bCs/>
          <w:color w:val="auto"/>
          <w:sz w:val="24"/>
          <w:szCs w:val="24"/>
          <w:highlight w:val="none"/>
          <w:lang w:eastAsia="zh-CN"/>
        </w:rPr>
      </w:pPr>
    </w:p>
    <w:p w14:paraId="703C06CE">
      <w:pPr>
        <w:tabs>
          <w:tab w:val="left" w:pos="0"/>
        </w:tabs>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lang w:eastAsia="zh-CN"/>
        </w:rPr>
        <w:t>）</w:t>
      </w:r>
      <w:r>
        <w:rPr>
          <w:rFonts w:hint="eastAsia" w:ascii="仿宋" w:hAnsi="仿宋" w:eastAsia="仿宋" w:cs="仿宋"/>
          <w:b/>
          <w:color w:val="auto"/>
          <w:kern w:val="0"/>
          <w:sz w:val="32"/>
          <w:szCs w:val="32"/>
          <w:highlight w:val="none"/>
          <w:lang w:val="zh-CN"/>
        </w:rPr>
        <w:t>供应商廉洁自律承诺书</w:t>
      </w:r>
    </w:p>
    <w:p w14:paraId="68263E3B">
      <w:pPr>
        <w:autoSpaceDE w:val="0"/>
        <w:autoSpaceDN w:val="0"/>
        <w:spacing w:line="360" w:lineRule="auto"/>
        <w:jc w:val="left"/>
        <w:rPr>
          <w:rFonts w:hint="eastAsia" w:ascii="仿宋" w:hAnsi="仿宋" w:eastAsia="仿宋" w:cs="仿宋"/>
          <w:color w:val="auto"/>
          <w:sz w:val="24"/>
          <w:szCs w:val="24"/>
          <w:highlight w:val="none"/>
        </w:rPr>
      </w:pPr>
    </w:p>
    <w:p w14:paraId="0BD7E965">
      <w:pPr>
        <w:autoSpaceDE w:val="0"/>
        <w:autoSpaceDN w:val="0"/>
        <w:spacing w:line="360" w:lineRule="auto"/>
        <w:ind w:left="2"/>
        <w:jc w:val="left"/>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lang w:eastAsia="zh-CN"/>
        </w:rPr>
        <w:t>嵊州市经济开发区投资有限公司</w:t>
      </w:r>
      <w:r>
        <w:rPr>
          <w:rFonts w:hint="eastAsia" w:ascii="仿宋" w:hAnsi="仿宋" w:eastAsia="仿宋" w:cs="仿宋"/>
          <w:color w:val="auto"/>
          <w:kern w:val="0"/>
          <w:sz w:val="24"/>
          <w:szCs w:val="24"/>
          <w:u w:val="none"/>
          <w:lang w:val="zh-CN"/>
        </w:rPr>
        <w:t xml:space="preserve">： </w:t>
      </w:r>
      <w:r>
        <w:rPr>
          <w:rFonts w:hint="eastAsia" w:ascii="仿宋" w:hAnsi="仿宋" w:eastAsia="仿宋" w:cs="仿宋"/>
          <w:color w:val="auto"/>
          <w:kern w:val="0"/>
          <w:sz w:val="24"/>
          <w:szCs w:val="24"/>
          <w:lang w:val="zh-CN"/>
        </w:rPr>
        <w:t xml:space="preserve">   </w:t>
      </w:r>
    </w:p>
    <w:p w14:paraId="42746C11">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 xml:space="preserve">项目招标要求参加投标。在这次投标过程中和中标后，我们将严格遵守国家法律法规要求，并郑重承诺：    </w:t>
      </w:r>
    </w:p>
    <w:p w14:paraId="2548F043">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一、不向项目有关人员及部门赠送礼金礼物、有价证券、回扣以及中介费、介绍费、咨询费等好处费；    </w:t>
      </w:r>
    </w:p>
    <w:p w14:paraId="20FF6D61">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二、不为项目有关人员及部门报销应由你方单位或个人支付的费用；    </w:t>
      </w:r>
    </w:p>
    <w:p w14:paraId="088B793F">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三、不向项目有关人员及部门提供有可能影响公正的宴请和健身娱乐等活动；    </w:t>
      </w:r>
    </w:p>
    <w:p w14:paraId="5F4AE79A">
      <w:pPr>
        <w:keepNext w:val="0"/>
        <w:keepLines w:val="0"/>
        <w:pageBreakBefore w:val="0"/>
        <w:widowControl w:val="0"/>
        <w:kinsoku/>
        <w:wordWrap/>
        <w:overflowPunct/>
        <w:topLinePunct w:val="0"/>
        <w:autoSpaceDE w:val="0"/>
        <w:autoSpaceDN w:val="0"/>
        <w:bidi w:val="0"/>
        <w:adjustRightInd/>
        <w:snapToGrid/>
        <w:spacing w:line="500" w:lineRule="exact"/>
        <w:ind w:left="2" w:leftChars="1"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四、不为项目有关人员及部门出国（境）、旅游等提供方便；    </w:t>
      </w:r>
    </w:p>
    <w:p w14:paraId="26612F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五、不为项目有关人员个人装修住房、婚丧嫁娶、配偶子女工作安排等提供好处；    </w:t>
      </w:r>
    </w:p>
    <w:p w14:paraId="0EFB262E">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六、严格遵守《民法典》等相关法律，诚实守信，合法经营，坚决抵制各种违法违纪行为。    </w:t>
      </w:r>
    </w:p>
    <w:p w14:paraId="7B2BC98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进行项目建设或其他经营活动，并通报上级主管部门。由此引起的相应损失均由我单位承担</w:t>
      </w:r>
      <w:r>
        <w:rPr>
          <w:rFonts w:hint="eastAsia" w:ascii="仿宋" w:hAnsi="仿宋" w:eastAsia="仿宋" w:cs="仿宋"/>
          <w:color w:val="auto"/>
          <w:kern w:val="0"/>
          <w:sz w:val="24"/>
          <w:szCs w:val="24"/>
          <w:highlight w:val="none"/>
          <w:lang w:val="zh-CN"/>
        </w:rPr>
        <w:t>。</w:t>
      </w:r>
    </w:p>
    <w:p w14:paraId="54190D7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5B2BD79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75FD690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jc w:val="left"/>
        <w:textAlignment w:val="auto"/>
        <w:rPr>
          <w:rFonts w:hint="eastAsia" w:ascii="仿宋" w:hAnsi="仿宋" w:eastAsia="仿宋" w:cs="仿宋"/>
          <w:color w:val="auto"/>
          <w:kern w:val="0"/>
          <w:sz w:val="24"/>
          <w:szCs w:val="24"/>
          <w:highlight w:val="none"/>
          <w:lang w:val="zh-CN"/>
        </w:rPr>
      </w:pPr>
    </w:p>
    <w:p w14:paraId="7D38008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7E720CB4">
      <w:pPr>
        <w:keepNext w:val="0"/>
        <w:keepLines w:val="0"/>
        <w:pageBreakBefore w:val="0"/>
        <w:widowControl w:val="0"/>
        <w:kinsoku/>
        <w:wordWrap/>
        <w:overflowPunct/>
        <w:topLinePunct w:val="0"/>
        <w:bidi w:val="0"/>
        <w:adjustRightInd/>
        <w:snapToGrid/>
        <w:spacing w:line="500" w:lineRule="exact"/>
        <w:ind w:right="0" w:firstLine="6240" w:firstLineChars="26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7C22DFC">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24336D98">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37201D75">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6BC4978F">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5D91F250">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1328AF2A">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3C947041">
      <w:pPr>
        <w:numPr>
          <w:ilvl w:val="0"/>
          <w:numId w:val="0"/>
        </w:numPr>
        <w:spacing w:line="240" w:lineRule="auto"/>
        <w:ind w:leftChars="0"/>
        <w:rPr>
          <w:rFonts w:hint="eastAsia" w:ascii="宋体" w:hAnsi="宋体" w:eastAsia="宋体" w:cs="宋体"/>
          <w:b/>
          <w:bCs/>
          <w:color w:val="auto"/>
          <w:sz w:val="21"/>
          <w:szCs w:val="21"/>
          <w:highlight w:val="none"/>
          <w:lang w:val="en-US" w:eastAsia="zh-CN"/>
        </w:rPr>
      </w:pPr>
    </w:p>
    <w:p w14:paraId="140C73F0">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宋体" w:hAnsi="宋体" w:eastAsia="宋体" w:cs="宋体"/>
          <w:b/>
          <w:color w:val="auto"/>
          <w:kern w:val="2"/>
          <w:sz w:val="21"/>
          <w:szCs w:val="21"/>
          <w:highlight w:val="none"/>
          <w:lang w:val="en-US" w:eastAsia="zh-CN" w:bidi="ar-SA"/>
        </w:rPr>
      </w:pPr>
    </w:p>
    <w:p w14:paraId="4921A19E">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color w:val="auto"/>
          <w:kern w:val="2"/>
          <w:sz w:val="21"/>
          <w:szCs w:val="21"/>
          <w:highlight w:val="none"/>
          <w:lang w:val="en-US" w:eastAsia="zh-CN" w:bidi="ar-SA"/>
        </w:rPr>
      </w:pPr>
    </w:p>
    <w:p w14:paraId="3EFEA356">
      <w:pPr>
        <w:spacing w:line="360" w:lineRule="auto"/>
        <w:jc w:val="center"/>
        <w:rPr>
          <w:rFonts w:hint="eastAsia" w:ascii="仿宋_GB2312" w:hAnsi="仿宋_GB2312" w:eastAsia="仿宋_GB2312" w:cs="仿宋_GB2312"/>
          <w:b/>
          <w:bCs/>
          <w:color w:val="auto"/>
          <w:sz w:val="32"/>
          <w:szCs w:val="32"/>
          <w:highlight w:val="none"/>
          <w:lang w:val="en-US" w:eastAsia="zh-CN"/>
        </w:rPr>
      </w:pPr>
    </w:p>
    <w:p w14:paraId="26DAF2FF">
      <w:pPr>
        <w:spacing w:line="360" w:lineRule="auto"/>
        <w:jc w:val="center"/>
        <w:rPr>
          <w:rFonts w:hint="eastAsia" w:ascii="仿宋_GB2312" w:hAnsi="仿宋_GB2312" w:eastAsia="仿宋_GB2312" w:cs="仿宋_GB2312"/>
          <w:b/>
          <w:bCs/>
          <w:color w:val="auto"/>
          <w:sz w:val="32"/>
          <w:szCs w:val="32"/>
          <w:highlight w:val="none"/>
          <w:lang w:val="en-US" w:eastAsia="zh-CN"/>
        </w:rPr>
      </w:pPr>
    </w:p>
    <w:p w14:paraId="650AA602">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（十一）认为需要提供的与本项目其他相关资料</w:t>
      </w:r>
    </w:p>
    <w:p w14:paraId="65BA3C1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14:paraId="5ADEEFCE">
      <w:pPr>
        <w:spacing w:line="360" w:lineRule="auto"/>
        <w:rPr>
          <w:rFonts w:ascii="仿宋_GB2312" w:hAnsi="仿宋_GB2312" w:eastAsia="仿宋_GB2312" w:cs="仿宋_GB2312"/>
          <w:color w:val="auto"/>
          <w:sz w:val="24"/>
          <w:highlight w:val="none"/>
        </w:rPr>
      </w:pPr>
    </w:p>
    <w:p w14:paraId="08E808A0">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highlight w:val="none"/>
        </w:rPr>
        <w:t xml:space="preserve">（电子签名）：                          </w:t>
      </w:r>
    </w:p>
    <w:p w14:paraId="02EC7899">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4ED3AE8">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21A9067F">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kern w:val="2"/>
          <w:sz w:val="32"/>
          <w:szCs w:val="32"/>
          <w:highlight w:val="none"/>
          <w:lang w:val="en-US" w:eastAsia="zh-CN" w:bidi="ar-SA"/>
        </w:rPr>
      </w:pPr>
    </w:p>
    <w:p w14:paraId="1729F02E">
      <w:pPr>
        <w:pStyle w:val="42"/>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2"/>
          <w:sz w:val="32"/>
          <w:szCs w:val="32"/>
          <w:highlight w:val="none"/>
          <w:lang w:val="en-US" w:eastAsia="zh-CN" w:bidi="ar-SA"/>
        </w:rPr>
        <w:t>三、报价文件目录</w:t>
      </w:r>
    </w:p>
    <w:p w14:paraId="2AE0079A">
      <w:pPr>
        <w:pStyle w:val="4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14:paraId="42AB04C5">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w:t>
      </w:r>
      <w:r>
        <w:rPr>
          <w:rFonts w:hint="eastAsia" w:ascii="仿宋" w:hAnsi="仿宋" w:eastAsia="仿宋" w:cs="仿宋"/>
          <w:color w:val="auto"/>
          <w:sz w:val="24"/>
          <w:szCs w:val="24"/>
          <w:highlight w:val="none"/>
          <w:lang w:val="en-US" w:eastAsia="zh-CN"/>
        </w:rPr>
        <w:t>【格式附后】</w:t>
      </w:r>
      <w:r>
        <w:rPr>
          <w:rFonts w:hint="eastAsia" w:ascii="仿宋" w:hAnsi="仿宋" w:eastAsia="仿宋" w:cs="仿宋"/>
          <w:color w:val="auto"/>
          <w:sz w:val="24"/>
          <w:szCs w:val="24"/>
          <w:highlight w:val="none"/>
        </w:rPr>
        <w:t>；</w:t>
      </w:r>
    </w:p>
    <w:p w14:paraId="5D6C7732">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报价明细表</w:t>
      </w:r>
      <w:r>
        <w:rPr>
          <w:rFonts w:hint="eastAsia" w:ascii="仿宋" w:hAnsi="仿宋" w:eastAsia="仿宋" w:cs="仿宋"/>
          <w:color w:val="auto"/>
          <w:sz w:val="24"/>
          <w:szCs w:val="24"/>
          <w:highlight w:val="none"/>
          <w:lang w:val="en-US" w:eastAsia="zh-CN"/>
        </w:rPr>
        <w:t>【格式附后】</w:t>
      </w:r>
      <w:r>
        <w:rPr>
          <w:rFonts w:hint="eastAsia" w:ascii="仿宋" w:hAnsi="仿宋" w:eastAsia="仿宋" w:cs="仿宋"/>
          <w:color w:val="auto"/>
          <w:sz w:val="24"/>
          <w:szCs w:val="24"/>
          <w:highlight w:val="none"/>
        </w:rPr>
        <w:t>；</w:t>
      </w:r>
    </w:p>
    <w:p w14:paraId="4CE3C4F1">
      <w:pPr>
        <w:pStyle w:val="4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认为需要提供的</w:t>
      </w:r>
      <w:r>
        <w:rPr>
          <w:rFonts w:hint="eastAsia" w:ascii="仿宋" w:hAnsi="仿宋" w:eastAsia="仿宋" w:cs="仿宋"/>
          <w:color w:val="auto"/>
          <w:sz w:val="24"/>
          <w:szCs w:val="24"/>
          <w:highlight w:val="none"/>
          <w:lang w:eastAsia="zh-CN"/>
        </w:rPr>
        <w:t>其他文件或说明</w:t>
      </w:r>
      <w:r>
        <w:rPr>
          <w:rFonts w:hint="eastAsia" w:ascii="仿宋" w:hAnsi="仿宋" w:eastAsia="仿宋" w:cs="仿宋"/>
          <w:color w:val="auto"/>
          <w:sz w:val="24"/>
          <w:szCs w:val="24"/>
          <w:highlight w:val="none"/>
        </w:rPr>
        <w:t>。</w:t>
      </w:r>
    </w:p>
    <w:p w14:paraId="41D3BDC4">
      <w:pPr>
        <w:widowControl/>
        <w:rPr>
          <w:rFonts w:hint="eastAsia" w:ascii="仿宋" w:hAnsi="仿宋" w:eastAsia="仿宋" w:cs="仿宋"/>
          <w:color w:val="auto"/>
          <w:kern w:val="0"/>
          <w:sz w:val="24"/>
          <w:szCs w:val="24"/>
        </w:rPr>
      </w:pPr>
    </w:p>
    <w:p w14:paraId="59D62525">
      <w:pPr>
        <w:widowControl/>
        <w:rPr>
          <w:rFonts w:hint="eastAsia" w:ascii="仿宋" w:hAnsi="仿宋" w:eastAsia="仿宋" w:cs="仿宋"/>
          <w:color w:val="auto"/>
          <w:kern w:val="0"/>
          <w:sz w:val="24"/>
          <w:szCs w:val="24"/>
        </w:rPr>
      </w:pPr>
    </w:p>
    <w:p w14:paraId="69DEC2A9">
      <w:pPr>
        <w:rPr>
          <w:rFonts w:hint="eastAsia" w:ascii="仿宋" w:hAnsi="仿宋" w:eastAsia="仿宋" w:cs="仿宋"/>
          <w:b/>
          <w:color w:val="auto"/>
          <w:kern w:val="0"/>
          <w:sz w:val="24"/>
          <w:szCs w:val="24"/>
        </w:rPr>
      </w:pPr>
      <w:bookmarkStart w:id="135" w:name="_Toc2165"/>
      <w:bookmarkStart w:id="136" w:name="_Toc489481898"/>
      <w:bookmarkStart w:id="137" w:name="_Toc513456153"/>
      <w:bookmarkStart w:id="138" w:name="_Toc7504"/>
      <w:r>
        <w:rPr>
          <w:rFonts w:hint="eastAsia" w:ascii="仿宋" w:hAnsi="仿宋" w:eastAsia="仿宋" w:cs="仿宋"/>
          <w:b/>
          <w:color w:val="auto"/>
          <w:kern w:val="0"/>
          <w:sz w:val="24"/>
          <w:szCs w:val="24"/>
        </w:rPr>
        <w:br w:type="page"/>
      </w:r>
    </w:p>
    <w:bookmarkEnd w:id="129"/>
    <w:bookmarkEnd w:id="130"/>
    <w:bookmarkEnd w:id="131"/>
    <w:bookmarkEnd w:id="132"/>
    <w:bookmarkEnd w:id="133"/>
    <w:bookmarkEnd w:id="134"/>
    <w:bookmarkEnd w:id="135"/>
    <w:bookmarkEnd w:id="136"/>
    <w:bookmarkEnd w:id="137"/>
    <w:bookmarkEnd w:id="138"/>
    <w:p w14:paraId="73FD421F">
      <w:pPr>
        <w:pStyle w:val="4"/>
        <w:tabs>
          <w:tab w:val="left" w:pos="420"/>
        </w:tabs>
        <w:ind w:left="0" w:firstLine="6480" w:firstLineChars="2700"/>
        <w:rPr>
          <w:rFonts w:hint="eastAsia" w:ascii="仿宋" w:hAnsi="仿宋" w:eastAsia="仿宋" w:cs="仿宋"/>
          <w:b w:val="0"/>
          <w:bCs/>
          <w:color w:val="auto"/>
          <w:sz w:val="24"/>
          <w:szCs w:val="24"/>
        </w:rPr>
      </w:pPr>
      <w:bookmarkStart w:id="139" w:name="_Toc54978904"/>
    </w:p>
    <w:bookmarkEnd w:id="139"/>
    <w:p w14:paraId="4AA113FD">
      <w:pPr>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开标一览表</w:t>
      </w:r>
    </w:p>
    <w:p w14:paraId="0BB5D24B">
      <w:pPr>
        <w:spacing w:line="360" w:lineRule="auto"/>
        <w:rPr>
          <w:rFonts w:hint="eastAsia" w:ascii="仿宋" w:hAnsi="仿宋" w:eastAsia="仿宋" w:cs="仿宋"/>
          <w:color w:val="auto"/>
          <w:sz w:val="24"/>
          <w:szCs w:val="24"/>
        </w:rPr>
      </w:pPr>
    </w:p>
    <w:p w14:paraId="1B2263A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696874B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 xml:space="preserve">编号： </w:t>
      </w:r>
    </w:p>
    <w:p w14:paraId="747025F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价格单位：（人民币）元</w:t>
      </w:r>
    </w:p>
    <w:tbl>
      <w:tblPr>
        <w:tblStyle w:val="79"/>
        <w:tblpPr w:leftFromText="180" w:rightFromText="180" w:vertAnchor="text" w:horzAnchor="page" w:tblpX="1579" w:tblpY="246"/>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490"/>
        <w:gridCol w:w="1362"/>
        <w:gridCol w:w="2078"/>
        <w:gridCol w:w="1455"/>
      </w:tblGrid>
      <w:tr w14:paraId="1BFA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4" w:type="dxa"/>
            <w:noWrap w:val="0"/>
            <w:vAlign w:val="center"/>
          </w:tcPr>
          <w:p w14:paraId="2593F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3490" w:type="dxa"/>
            <w:noWrap w:val="0"/>
            <w:vAlign w:val="center"/>
          </w:tcPr>
          <w:p w14:paraId="66446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内容</w:t>
            </w:r>
          </w:p>
        </w:tc>
        <w:tc>
          <w:tcPr>
            <w:tcW w:w="1362" w:type="dxa"/>
            <w:noWrap w:val="0"/>
            <w:vAlign w:val="center"/>
          </w:tcPr>
          <w:p w14:paraId="088ED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2078" w:type="dxa"/>
            <w:noWrap w:val="0"/>
            <w:vAlign w:val="center"/>
          </w:tcPr>
          <w:p w14:paraId="222B7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投标报价（元）</w:t>
            </w:r>
          </w:p>
        </w:tc>
        <w:tc>
          <w:tcPr>
            <w:tcW w:w="1455" w:type="dxa"/>
            <w:noWrap w:val="0"/>
            <w:vAlign w:val="center"/>
          </w:tcPr>
          <w:p w14:paraId="539E9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6F0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4" w:type="dxa"/>
            <w:noWrap w:val="0"/>
            <w:vAlign w:val="center"/>
          </w:tcPr>
          <w:p w14:paraId="3B1E6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3490" w:type="dxa"/>
            <w:noWrap w:val="0"/>
            <w:vAlign w:val="center"/>
          </w:tcPr>
          <w:p w14:paraId="6C582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嵊州市浦口街道月亮湖畔共富驿站智能化建设项目</w:t>
            </w:r>
          </w:p>
        </w:tc>
        <w:tc>
          <w:tcPr>
            <w:tcW w:w="1362" w:type="dxa"/>
            <w:noWrap w:val="0"/>
            <w:vAlign w:val="center"/>
          </w:tcPr>
          <w:p w14:paraId="365A7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w:t>
            </w:r>
          </w:p>
        </w:tc>
        <w:tc>
          <w:tcPr>
            <w:tcW w:w="2078" w:type="dxa"/>
            <w:noWrap w:val="0"/>
            <w:vAlign w:val="center"/>
          </w:tcPr>
          <w:p w14:paraId="42DFE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lang w:val="en-US" w:eastAsia="zh-CN"/>
              </w:rPr>
            </w:pPr>
          </w:p>
        </w:tc>
        <w:tc>
          <w:tcPr>
            <w:tcW w:w="1455" w:type="dxa"/>
            <w:noWrap w:val="0"/>
            <w:vAlign w:val="center"/>
          </w:tcPr>
          <w:p w14:paraId="5A716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color w:val="auto"/>
                <w:sz w:val="24"/>
                <w:szCs w:val="24"/>
                <w:lang w:eastAsia="zh-CN"/>
              </w:rPr>
            </w:pPr>
          </w:p>
        </w:tc>
      </w:tr>
      <w:tr w14:paraId="19F8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199" w:type="dxa"/>
            <w:gridSpan w:val="5"/>
            <w:noWrap w:val="0"/>
            <w:vAlign w:val="center"/>
          </w:tcPr>
          <w:p w14:paraId="67E5A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投标报价（大写）：</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lang w:eastAsia="zh-CN"/>
              </w:rPr>
              <w:t>元整</w:t>
            </w:r>
          </w:p>
        </w:tc>
      </w:tr>
    </w:tbl>
    <w:p w14:paraId="514B0B15">
      <w:pPr>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sz w:val="24"/>
          <w:szCs w:val="24"/>
          <w:highlight w:val="none"/>
          <w:lang w:eastAsia="zh-CN"/>
        </w:rPr>
        <w:t>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ascii="仿宋" w:hAnsi="仿宋" w:eastAsia="仿宋" w:cs="仿宋"/>
          <w:color w:val="auto"/>
          <w:sz w:val="24"/>
          <w:szCs w:val="24"/>
          <w:highlight w:val="none"/>
          <w:lang w:eastAsia="zh-CN"/>
        </w:rPr>
        <w:t>。</w:t>
      </w:r>
    </w:p>
    <w:p w14:paraId="4B5AC6E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48BE77F4">
      <w:pPr>
        <w:spacing w:line="400" w:lineRule="exact"/>
        <w:rPr>
          <w:rFonts w:hint="eastAsia" w:ascii="仿宋" w:hAnsi="仿宋" w:eastAsia="仿宋" w:cs="仿宋"/>
          <w:color w:val="auto"/>
          <w:sz w:val="24"/>
          <w:szCs w:val="24"/>
        </w:rPr>
      </w:pPr>
      <w:bookmarkStart w:id="140" w:name="_Toc248065077"/>
      <w:bookmarkStart w:id="141" w:name="_Toc226337799"/>
      <w:bookmarkStart w:id="142" w:name="_Toc498451765"/>
      <w:bookmarkStart w:id="143" w:name="_Toc180555957"/>
      <w:bookmarkStart w:id="144" w:name="_Toc340321936"/>
      <w:bookmarkStart w:id="145" w:name="_Toc15277"/>
      <w:bookmarkStart w:id="146" w:name="_Toc340322191"/>
    </w:p>
    <w:p w14:paraId="1F7CECDA">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p>
    <w:p w14:paraId="53F792F4">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zh-CN"/>
        </w:rPr>
        <w:t>名称(电子签名)：</w:t>
      </w:r>
    </w:p>
    <w:p w14:paraId="436B1D7D">
      <w:pPr>
        <w:keepNext w:val="0"/>
        <w:keepLines w:val="0"/>
        <w:pageBreakBefore w:val="0"/>
        <w:widowControl w:val="0"/>
        <w:kinsoku/>
        <w:wordWrap/>
        <w:overflowPunct/>
        <w:topLinePunct w:val="0"/>
        <w:autoSpaceDE/>
        <w:autoSpaceDN/>
        <w:bidi w:val="0"/>
        <w:adjustRightInd/>
        <w:snapToGrid/>
        <w:spacing w:line="540" w:lineRule="exact"/>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月  日</w:t>
      </w:r>
    </w:p>
    <w:p w14:paraId="1B55D052">
      <w:pPr>
        <w:ind w:firstLine="240" w:firstLineChars="1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bookmarkEnd w:id="140"/>
      <w:bookmarkEnd w:id="141"/>
      <w:bookmarkEnd w:id="142"/>
      <w:bookmarkEnd w:id="143"/>
      <w:bookmarkEnd w:id="144"/>
      <w:bookmarkEnd w:id="145"/>
      <w:bookmarkEnd w:id="146"/>
    </w:p>
    <w:p w14:paraId="57ED42DE">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CEA94CA">
      <w:pPr>
        <w:spacing w:line="360" w:lineRule="auto"/>
        <w:jc w:val="center"/>
        <w:rPr>
          <w:rFonts w:hint="eastAsia" w:ascii="仿宋" w:hAnsi="仿宋" w:eastAsia="仿宋" w:cs="仿宋"/>
          <w:b/>
          <w:color w:val="auto"/>
          <w:sz w:val="28"/>
          <w:szCs w:val="28"/>
          <w:lang w:val="en-US" w:eastAsia="zh-CN"/>
        </w:rPr>
      </w:pPr>
    </w:p>
    <w:p w14:paraId="4875AC45">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（二）投标</w:t>
      </w:r>
      <w:r>
        <w:rPr>
          <w:rFonts w:hint="eastAsia" w:ascii="仿宋" w:hAnsi="仿宋" w:eastAsia="仿宋" w:cs="仿宋"/>
          <w:b/>
          <w:color w:val="auto"/>
          <w:sz w:val="28"/>
          <w:szCs w:val="28"/>
        </w:rPr>
        <w:t>报价明细表</w:t>
      </w:r>
    </w:p>
    <w:p w14:paraId="2721E2EC">
      <w:pPr>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31B81EF7">
      <w:pPr>
        <w:snapToGrid w:val="0"/>
        <w:spacing w:line="4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p>
    <w:p w14:paraId="51E4D290">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单位：人民币（元）</w:t>
      </w:r>
    </w:p>
    <w:tbl>
      <w:tblPr>
        <w:tblStyle w:val="79"/>
        <w:tblW w:w="9334"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692"/>
        <w:gridCol w:w="907"/>
        <w:gridCol w:w="1541"/>
        <w:gridCol w:w="1374"/>
        <w:gridCol w:w="1546"/>
        <w:gridCol w:w="1384"/>
      </w:tblGrid>
      <w:tr w14:paraId="5524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24A1C923">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序号</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2B7D5BFA">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5351E9B3">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数量</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41B216E2">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lang w:eastAsia="zh-CN"/>
              </w:rPr>
            </w:pPr>
            <w:r>
              <w:rPr>
                <w:rStyle w:val="503"/>
                <w:rFonts w:hint="eastAsia" w:ascii="仿宋" w:hAnsi="仿宋" w:eastAsia="仿宋" w:cs="仿宋"/>
                <w:color w:val="auto"/>
                <w:sz w:val="24"/>
                <w:szCs w:val="24"/>
              </w:rPr>
              <w:t>品牌</w:t>
            </w: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lang w:val="en-US" w:eastAsia="zh-CN"/>
              </w:rPr>
              <w:t>如有</w:t>
            </w:r>
            <w:r>
              <w:rPr>
                <w:rStyle w:val="503"/>
                <w:rFonts w:hint="eastAsia" w:ascii="仿宋" w:hAnsi="仿宋" w:eastAsia="仿宋" w:cs="仿宋"/>
                <w:color w:val="auto"/>
                <w:sz w:val="24"/>
                <w:szCs w:val="24"/>
                <w:lang w:eastAsia="zh-CN"/>
              </w:rPr>
              <w:t>）</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7CD566D7">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lang w:eastAsia="zh-CN"/>
              </w:rPr>
            </w:pPr>
            <w:r>
              <w:rPr>
                <w:rStyle w:val="503"/>
                <w:rFonts w:hint="eastAsia" w:ascii="仿宋" w:hAnsi="仿宋" w:eastAsia="仿宋" w:cs="仿宋"/>
                <w:color w:val="auto"/>
                <w:sz w:val="24"/>
                <w:szCs w:val="24"/>
              </w:rPr>
              <w:t>规格型号</w:t>
            </w:r>
            <w:r>
              <w:rPr>
                <w:rStyle w:val="503"/>
                <w:rFonts w:hint="eastAsia" w:ascii="仿宋" w:hAnsi="仿宋" w:eastAsia="仿宋" w:cs="仿宋"/>
                <w:color w:val="auto"/>
                <w:sz w:val="24"/>
                <w:szCs w:val="24"/>
                <w:lang w:eastAsia="zh-CN"/>
              </w:rPr>
              <w:t>（</w:t>
            </w:r>
            <w:r>
              <w:rPr>
                <w:rStyle w:val="503"/>
                <w:rFonts w:hint="eastAsia" w:ascii="仿宋" w:hAnsi="仿宋" w:eastAsia="仿宋" w:cs="仿宋"/>
                <w:color w:val="auto"/>
                <w:sz w:val="24"/>
                <w:szCs w:val="24"/>
                <w:lang w:val="en-US" w:eastAsia="zh-CN"/>
              </w:rPr>
              <w:t>或具体服务</w:t>
            </w:r>
            <w:r>
              <w:rPr>
                <w:rStyle w:val="503"/>
                <w:rFonts w:hint="eastAsia" w:ascii="仿宋" w:hAnsi="仿宋" w:eastAsia="仿宋" w:cs="仿宋"/>
                <w:color w:val="auto"/>
                <w:sz w:val="24"/>
                <w:szCs w:val="24"/>
                <w:lang w:eastAsia="zh-CN"/>
              </w:rPr>
              <w:t>）</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317ACEE">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单价</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1CF3A4B">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小计</w:t>
            </w:r>
          </w:p>
        </w:tc>
      </w:tr>
      <w:tr w14:paraId="2B06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2022B542">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56F94017">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588A17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C2EC18B">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5FBA7C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5753B7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8B6955E">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2EFC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65F7ECC4">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53AD26DE">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DFF6C3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FFDDA09">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24B4237C">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5869D2">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78C3CC9">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506E9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5D01D374">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A439453">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B078994">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66A71B5">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1F8EB8DE">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489DB0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0EDA43D8">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1B92A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3EE69B43">
            <w:pPr>
              <w:keepNext w:val="0"/>
              <w:keepLines w:val="0"/>
              <w:suppressLineNumbers w:val="0"/>
              <w:tabs>
                <w:tab w:val="left" w:pos="0"/>
              </w:tabs>
              <w:snapToGrid w:val="0"/>
              <w:spacing w:before="0" w:beforeAutospacing="0" w:after="0" w:afterAutospacing="0" w:line="500" w:lineRule="exact"/>
              <w:ind w:left="0" w:right="0"/>
              <w:jc w:val="center"/>
              <w:rPr>
                <w:rStyle w:val="503"/>
                <w:rFonts w:hint="eastAsia" w:ascii="仿宋" w:hAnsi="仿宋" w:eastAsia="仿宋" w:cs="仿宋"/>
                <w:color w:val="auto"/>
                <w:sz w:val="24"/>
                <w:szCs w:val="24"/>
              </w:rPr>
            </w:pP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5E4D2E4">
            <w:pPr>
              <w:keepNext w:val="0"/>
              <w:keepLines w:val="0"/>
              <w:suppressLineNumbers w:val="0"/>
              <w:tabs>
                <w:tab w:val="left" w:pos="0"/>
              </w:tabs>
              <w:snapToGrid w:val="0"/>
              <w:spacing w:before="0" w:beforeAutospacing="0" w:after="0" w:afterAutospacing="0" w:line="500" w:lineRule="exact"/>
              <w:ind w:left="0" w:right="0"/>
              <w:rPr>
                <w:rStyle w:val="503"/>
                <w:rFonts w:hint="eastAsia" w:ascii="仿宋" w:hAnsi="仿宋" w:eastAsia="仿宋" w:cs="仿宋"/>
                <w:color w:val="auto"/>
                <w:sz w:val="24"/>
                <w:szCs w:val="24"/>
              </w:rPr>
            </w:pPr>
            <w:r>
              <w:rPr>
                <w:rStyle w:val="503"/>
                <w:rFonts w:hint="eastAsia" w:ascii="仿宋" w:hAnsi="仿宋" w:eastAsia="仿宋" w:cs="仿宋"/>
                <w:b/>
                <w:bCs/>
                <w:color w:val="auto"/>
                <w:sz w:val="24"/>
                <w:szCs w:val="24"/>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C352357">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1" w:type="dxa"/>
            <w:tcBorders>
              <w:top w:val="single" w:color="000000" w:sz="4" w:space="0"/>
              <w:left w:val="single" w:color="000000" w:sz="4" w:space="0"/>
              <w:bottom w:val="single" w:color="000000" w:sz="4" w:space="0"/>
              <w:right w:val="single" w:color="000000" w:sz="4" w:space="0"/>
            </w:tcBorders>
            <w:noWrap w:val="0"/>
            <w:vAlign w:val="center"/>
          </w:tcPr>
          <w:p w14:paraId="6CE009E8">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418A1BB0">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290DD26">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E487298">
            <w:pPr>
              <w:keepNext w:val="0"/>
              <w:keepLines w:val="0"/>
              <w:suppressLineNumbers w:val="0"/>
              <w:tabs>
                <w:tab w:val="left" w:pos="0"/>
              </w:tabs>
              <w:snapToGrid w:val="0"/>
              <w:spacing w:before="0" w:beforeAutospacing="0" w:after="0" w:afterAutospacing="0" w:line="500" w:lineRule="exact"/>
              <w:ind w:left="0" w:right="0" w:firstLine="480" w:firstLineChars="200"/>
              <w:jc w:val="center"/>
              <w:rPr>
                <w:rStyle w:val="503"/>
                <w:rFonts w:hint="eastAsia" w:ascii="仿宋" w:hAnsi="仿宋" w:eastAsia="仿宋" w:cs="仿宋"/>
                <w:color w:val="auto"/>
                <w:sz w:val="24"/>
                <w:szCs w:val="24"/>
              </w:rPr>
            </w:pPr>
          </w:p>
        </w:tc>
      </w:tr>
      <w:tr w14:paraId="473C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334" w:type="dxa"/>
            <w:gridSpan w:val="7"/>
            <w:tcBorders>
              <w:top w:val="single" w:color="000000" w:sz="4" w:space="0"/>
              <w:left w:val="single" w:color="000000" w:sz="4" w:space="0"/>
              <w:bottom w:val="single" w:color="000000" w:sz="4" w:space="0"/>
              <w:right w:val="single" w:color="000000" w:sz="4" w:space="0"/>
            </w:tcBorders>
            <w:noWrap w:val="0"/>
            <w:vAlign w:val="center"/>
          </w:tcPr>
          <w:p w14:paraId="228CDFD0">
            <w:pPr>
              <w:keepNext w:val="0"/>
              <w:keepLines w:val="0"/>
              <w:suppressLineNumbers w:val="0"/>
              <w:tabs>
                <w:tab w:val="left" w:pos="0"/>
              </w:tabs>
              <w:snapToGrid w:val="0"/>
              <w:spacing w:before="0" w:beforeAutospacing="0" w:after="0" w:afterAutospacing="0" w:line="500" w:lineRule="exact"/>
              <w:ind w:left="0" w:right="0"/>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rPr>
              <w:t>投标总报价（小写）：             元；大写：</w:t>
            </w:r>
          </w:p>
        </w:tc>
      </w:tr>
    </w:tbl>
    <w:p w14:paraId="54F392CF">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注：1.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val="0"/>
          <w:bCs w:val="0"/>
          <w:color w:val="auto"/>
          <w:sz w:val="24"/>
          <w:szCs w:val="24"/>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Style w:val="503"/>
          <w:rFonts w:hint="eastAsia" w:ascii="仿宋" w:hAnsi="仿宋" w:eastAsia="仿宋" w:cs="仿宋"/>
          <w:color w:val="auto"/>
          <w:sz w:val="24"/>
          <w:szCs w:val="24"/>
        </w:rPr>
        <w:t>。</w:t>
      </w:r>
    </w:p>
    <w:p w14:paraId="4A15CA6A">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报价一经涂改，应在涂改处加盖单位公章或者由法定代表人签字或盖章，否则其投标作无效标处理。</w:t>
      </w:r>
    </w:p>
    <w:p w14:paraId="3820E487">
      <w:pPr>
        <w:pStyle w:val="336"/>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Style w:val="503"/>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3.</w:t>
      </w:r>
      <w:r>
        <w:rPr>
          <w:rStyle w:val="503"/>
          <w:rFonts w:hint="eastAsia" w:ascii="仿宋" w:hAnsi="仿宋" w:eastAsia="仿宋" w:cs="仿宋"/>
          <w:color w:val="auto"/>
          <w:sz w:val="24"/>
          <w:szCs w:val="24"/>
        </w:rPr>
        <w:t>名称按不同采购内容分别填写，</w:t>
      </w:r>
      <w:r>
        <w:rPr>
          <w:rStyle w:val="503"/>
          <w:rFonts w:hint="eastAsia" w:ascii="仿宋" w:hAnsi="仿宋" w:eastAsia="仿宋" w:cs="仿宋"/>
          <w:color w:val="auto"/>
          <w:sz w:val="24"/>
          <w:szCs w:val="24"/>
          <w:lang w:eastAsia="zh-CN"/>
        </w:rPr>
        <w:t>投标总报价</w:t>
      </w:r>
      <w:r>
        <w:rPr>
          <w:rStyle w:val="503"/>
          <w:rFonts w:hint="eastAsia" w:ascii="仿宋" w:hAnsi="仿宋" w:eastAsia="仿宋" w:cs="仿宋"/>
          <w:color w:val="auto"/>
          <w:sz w:val="24"/>
          <w:szCs w:val="24"/>
        </w:rPr>
        <w:t>应与开标一览表</w:t>
      </w:r>
      <w:r>
        <w:rPr>
          <w:rStyle w:val="503"/>
          <w:rFonts w:hint="eastAsia" w:ascii="仿宋" w:hAnsi="仿宋" w:eastAsia="仿宋" w:cs="仿宋"/>
          <w:color w:val="auto"/>
          <w:sz w:val="24"/>
          <w:szCs w:val="24"/>
          <w:lang w:eastAsia="zh-CN"/>
        </w:rPr>
        <w:t>（报价表）</w:t>
      </w:r>
      <w:r>
        <w:rPr>
          <w:rStyle w:val="503"/>
          <w:rFonts w:hint="eastAsia" w:ascii="仿宋" w:hAnsi="仿宋" w:eastAsia="仿宋" w:cs="仿宋"/>
          <w:color w:val="auto"/>
          <w:sz w:val="24"/>
          <w:szCs w:val="24"/>
        </w:rPr>
        <w:t>中</w:t>
      </w:r>
      <w:r>
        <w:rPr>
          <w:rStyle w:val="503"/>
          <w:rFonts w:hint="eastAsia" w:ascii="仿宋" w:hAnsi="仿宋" w:eastAsia="仿宋" w:cs="仿宋"/>
          <w:color w:val="auto"/>
          <w:sz w:val="24"/>
          <w:szCs w:val="24"/>
          <w:lang w:eastAsia="zh-CN"/>
        </w:rPr>
        <w:t>金额</w:t>
      </w:r>
      <w:r>
        <w:rPr>
          <w:rStyle w:val="503"/>
          <w:rFonts w:hint="eastAsia" w:ascii="仿宋" w:hAnsi="仿宋" w:eastAsia="仿宋" w:cs="仿宋"/>
          <w:color w:val="auto"/>
          <w:sz w:val="24"/>
          <w:szCs w:val="24"/>
        </w:rPr>
        <w:t>的相一致。</w:t>
      </w:r>
    </w:p>
    <w:p w14:paraId="3F2972E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rPr>
      </w:pPr>
      <w:r>
        <w:rPr>
          <w:rStyle w:val="503"/>
          <w:rFonts w:hint="eastAsia" w:ascii="仿宋" w:hAnsi="仿宋" w:eastAsia="仿宋" w:cs="仿宋"/>
          <w:color w:val="auto"/>
          <w:sz w:val="24"/>
          <w:szCs w:val="24"/>
          <w:lang w:val="en-US" w:eastAsia="zh-CN"/>
        </w:rPr>
        <w:t>4.</w:t>
      </w:r>
      <w:r>
        <w:rPr>
          <w:rStyle w:val="503"/>
          <w:rFonts w:hint="eastAsia" w:ascii="仿宋" w:hAnsi="仿宋" w:eastAsia="仿宋" w:cs="仿宋"/>
          <w:color w:val="auto"/>
          <w:sz w:val="24"/>
          <w:szCs w:val="24"/>
        </w:rPr>
        <w:t>此表仅提供了表格形式，投标人可按此表格格式进行扩展。</w:t>
      </w:r>
    </w:p>
    <w:p w14:paraId="13CD2DB6">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p>
    <w:p w14:paraId="65EF7985">
      <w:pPr>
        <w:keepNext w:val="0"/>
        <w:keepLines w:val="0"/>
        <w:pageBreakBefore w:val="0"/>
        <w:widowControl w:val="0"/>
        <w:kinsoku/>
        <w:wordWrap/>
        <w:overflowPunct/>
        <w:topLinePunct w:val="0"/>
        <w:autoSpaceDE/>
        <w:autoSpaceDN/>
        <w:bidi w:val="0"/>
        <w:adjustRightInd/>
        <w:snapToGrid/>
        <w:spacing w:line="540" w:lineRule="exact"/>
        <w:ind w:firstLine="4800" w:firstLineChars="20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zh-CN"/>
        </w:rPr>
        <w:t>名称(电子签名)：</w:t>
      </w:r>
    </w:p>
    <w:p w14:paraId="2689185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月  日</w:t>
      </w:r>
    </w:p>
    <w:p w14:paraId="4281D6D9">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7DD79689">
      <w:pPr>
        <w:rPr>
          <w:rFonts w:hint="eastAsia" w:ascii="仿宋" w:hAnsi="仿宋" w:eastAsia="仿宋" w:cs="仿宋"/>
          <w:b/>
          <w:bCs/>
          <w:color w:val="auto"/>
          <w:sz w:val="24"/>
          <w:szCs w:val="24"/>
        </w:rPr>
      </w:pPr>
    </w:p>
    <w:p w14:paraId="6EA9E077">
      <w:pP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各投标供应商：</w:t>
      </w:r>
    </w:p>
    <w:p w14:paraId="6CA4521E">
      <w:pPr>
        <w:pStyle w:val="33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请</w:t>
      </w:r>
      <w:r>
        <w:rPr>
          <w:rFonts w:hint="eastAsia" w:ascii="仿宋" w:hAnsi="仿宋" w:eastAsia="仿宋" w:cs="仿宋"/>
          <w:b/>
          <w:bCs/>
          <w:color w:val="auto"/>
          <w:sz w:val="24"/>
          <w:szCs w:val="24"/>
        </w:rPr>
        <w:t>在投标文件解密后半小时内如实填写采购活动现场确认声明书，并以扫描件形式发送至</w:t>
      </w:r>
      <w:r>
        <w:rPr>
          <w:rFonts w:hint="eastAsia" w:ascii="仿宋" w:hAnsi="仿宋" w:eastAsia="仿宋" w:cs="仿宋"/>
          <w:b/>
          <w:bCs/>
          <w:color w:val="auto"/>
          <w:sz w:val="24"/>
          <w:szCs w:val="24"/>
          <w:lang w:val="en-US" w:eastAsia="zh-CN"/>
        </w:rPr>
        <w:t>821712838</w:t>
      </w:r>
      <w:r>
        <w:rPr>
          <w:rFonts w:hint="eastAsia" w:ascii="仿宋" w:hAnsi="仿宋" w:eastAsia="仿宋" w:cs="仿宋"/>
          <w:b/>
          <w:bCs/>
          <w:color w:val="auto"/>
          <w:sz w:val="24"/>
          <w:szCs w:val="24"/>
        </w:rPr>
        <w:t>@qq.com邮箱，如未如实填写，将有可能影响你的投标文件评审（</w:t>
      </w:r>
      <w:r>
        <w:rPr>
          <w:rFonts w:hint="eastAsia" w:ascii="仿宋" w:hAnsi="仿宋" w:eastAsia="仿宋" w:cs="仿宋"/>
          <w:b/>
          <w:bCs/>
          <w:color w:val="auto"/>
          <w:sz w:val="24"/>
          <w:szCs w:val="24"/>
          <w:lang w:eastAsia="zh-CN"/>
        </w:rPr>
        <w:t>政企</w:t>
      </w:r>
      <w:r>
        <w:rPr>
          <w:rFonts w:hint="eastAsia" w:ascii="仿宋" w:hAnsi="仿宋" w:eastAsia="仿宋" w:cs="仿宋"/>
          <w:b/>
          <w:bCs/>
          <w:color w:val="auto"/>
          <w:sz w:val="24"/>
          <w:szCs w:val="24"/>
        </w:rPr>
        <w:t>采购活动现场确认声明书格式见附表）。</w:t>
      </w:r>
    </w:p>
    <w:p w14:paraId="14C6504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7C83C269">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EFFE027">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70B45F36">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D6018A3">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6049113">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4AAF3E9">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16FCD5BF">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2318340">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0E6839D">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27CA030">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6CA3B570">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F120C84">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39102ECD">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66DE338">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B9F8A70">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586C825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717E4D1C">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44CC8FB8">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54B852A">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3088B97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2572905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7B50065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338C7105">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07AB3DC2">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p>
    <w:p w14:paraId="5E1DAAEE">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附表：               </w:t>
      </w:r>
    </w:p>
    <w:p w14:paraId="7A9A0FEC">
      <w:pPr>
        <w:pStyle w:val="338"/>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政企</w:t>
      </w:r>
      <w:r>
        <w:rPr>
          <w:rFonts w:hint="eastAsia" w:ascii="仿宋" w:hAnsi="仿宋" w:eastAsia="仿宋" w:cs="仿宋"/>
          <w:b/>
          <w:bCs/>
          <w:color w:val="auto"/>
          <w:sz w:val="24"/>
          <w:szCs w:val="24"/>
        </w:rPr>
        <w:t>采购活动现场确认声明书</w:t>
      </w:r>
    </w:p>
    <w:p w14:paraId="52FFF10F">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绍兴市文汇项目管理有限公司</w:t>
      </w:r>
      <w:r>
        <w:rPr>
          <w:rFonts w:hint="eastAsia" w:ascii="仿宋" w:hAnsi="仿宋" w:eastAsia="仿宋" w:cs="仿宋"/>
          <w:color w:val="auto"/>
          <w:kern w:val="0"/>
          <w:sz w:val="24"/>
          <w:szCs w:val="24"/>
        </w:rPr>
        <w:t>：</w:t>
      </w:r>
    </w:p>
    <w:p w14:paraId="630F3219">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504" w:firstLineChars="200"/>
        <w:jc w:val="both"/>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eastAsia="zh-CN"/>
        </w:rPr>
        <w:t>政企</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436E3325">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5C41B7D1">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1305796D">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36246D9">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49E89730">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04C934ED">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28535D40">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061C1B3D">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52CA71E">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A.法定代表人或负责人或实际控制人是同一人</w:t>
      </w:r>
    </w:p>
    <w:p w14:paraId="7F5ADC64">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B.法定代表人或负责人或实际控制人是夫妻关系</w:t>
      </w:r>
    </w:p>
    <w:p w14:paraId="5CEB84C1">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C.法定代表人或负责人或实际控制人是直系血亲关系</w:t>
      </w:r>
    </w:p>
    <w:p w14:paraId="610838A1">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D.法定代表人或负责人或实际控制人存在三代以内旁系血亲关系</w:t>
      </w:r>
    </w:p>
    <w:p w14:paraId="76B18DFE">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E.法定代表人或负责人或实际控制人存在近姻亲关系</w:t>
      </w:r>
    </w:p>
    <w:p w14:paraId="0EEC543C">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F.法定代表人或负责人或实际控制人存在股份控制或实际控制关系</w:t>
      </w:r>
      <w:bookmarkStart w:id="147" w:name="_Toc11926"/>
    </w:p>
    <w:p w14:paraId="5D01AC78">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G.存在共同直接或间接投资设立子公司、联营企业和合营企业情况</w:t>
      </w:r>
      <w:bookmarkEnd w:id="147"/>
    </w:p>
    <w:p w14:paraId="1C0951DF">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81628B4">
      <w:pPr>
        <w:pStyle w:val="338"/>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4C53631F">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w:t>
      </w:r>
      <w:r>
        <w:rPr>
          <w:rFonts w:hint="eastAsia" w:ascii="仿宋" w:hAnsi="仿宋" w:eastAsia="仿宋" w:cs="仿宋"/>
          <w:color w:val="auto"/>
          <w:kern w:val="0"/>
          <w:sz w:val="24"/>
          <w:szCs w:val="24"/>
          <w:lang w:eastAsia="zh-CN"/>
        </w:rPr>
        <w:t>相关</w:t>
      </w:r>
      <w:r>
        <w:rPr>
          <w:rFonts w:hint="eastAsia" w:ascii="仿宋" w:hAnsi="仿宋" w:eastAsia="仿宋" w:cs="仿宋"/>
          <w:color w:val="auto"/>
          <w:kern w:val="0"/>
          <w:sz w:val="24"/>
          <w:szCs w:val="24"/>
        </w:rPr>
        <w:t>法律法规和现场纪律。</w:t>
      </w:r>
    </w:p>
    <w:p w14:paraId="7DB02ABA">
      <w:pPr>
        <w:pStyle w:val="139"/>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0E0677FF">
      <w:pPr>
        <w:spacing w:line="240" w:lineRule="auto"/>
        <w:rPr>
          <w:rFonts w:hint="eastAsia" w:ascii="仿宋" w:hAnsi="仿宋" w:eastAsia="仿宋" w:cs="仿宋"/>
          <w:color w:val="auto"/>
          <w:sz w:val="24"/>
          <w:szCs w:val="24"/>
        </w:rPr>
      </w:pPr>
    </w:p>
    <w:p w14:paraId="1C0F8B4E">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（供应商代表签名）：                                  </w:t>
      </w:r>
      <w:r>
        <w:rPr>
          <w:rFonts w:hint="eastAsia" w:ascii="仿宋" w:hAnsi="仿宋" w:eastAsia="仿宋" w:cs="仿宋"/>
          <w:color w:val="auto"/>
          <w:sz w:val="24"/>
          <w:szCs w:val="24"/>
          <w:lang w:val="en-US" w:eastAsia="zh-CN"/>
        </w:rPr>
        <w:t xml:space="preserve">   </w:t>
      </w:r>
    </w:p>
    <w:p w14:paraId="061A7EBF">
      <w:pPr>
        <w:spacing w:line="240" w:lineRule="auto"/>
        <w:jc w:val="righ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年  月</w:t>
      </w:r>
      <w:r>
        <w:rPr>
          <w:rFonts w:hint="eastAsia" w:ascii="仿宋" w:hAnsi="仿宋" w:eastAsia="仿宋" w:cs="仿宋"/>
          <w:color w:val="auto"/>
          <w:sz w:val="24"/>
          <w:szCs w:val="24"/>
          <w:lang w:val="en-US" w:eastAsia="zh-CN"/>
        </w:rPr>
        <w:t xml:space="preserve">  日</w:t>
      </w:r>
    </w:p>
    <w:sectPr>
      <w:headerReference r:id="rId8" w:type="default"/>
      <w:footerReference r:id="rId9" w:type="default"/>
      <w:pgSz w:w="11906" w:h="16838"/>
      <w:pgMar w:top="1474" w:right="1287" w:bottom="1304" w:left="157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sө_x0002_">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9DFB">
    <w:pPr>
      <w:pStyle w:val="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3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493CF">
                          <w:pPr>
                            <w:pStyle w:val="5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DsfOIBAADDAwAADgAA&#10;AAAAAAABACAAAAAeAQAAZHJzL2Uyb0RvYy54bWxQSwUGAAAAAAYABgBZAQAAcgUAAAAA&#10;">
              <v:fill on="f" focussize="0,0"/>
              <v:stroke on="f"/>
              <v:imagedata o:title=""/>
              <o:lock v:ext="edit" aspectratio="f"/>
              <v:textbox inset="0mm,0mm,0mm,0mm" style="mso-fit-shape-to-text:t;">
                <w:txbxContent>
                  <w:p w14:paraId="188493CF">
                    <w:pPr>
                      <w:pStyle w:val="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27FC">
    <w:pPr>
      <w:pStyle w:val="50"/>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30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CB72F">
                          <w:pPr>
                            <w:pStyle w:val="5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PW/yO4QEAAMMDAAAOAAAA&#10;AAAAAAEAIAAAAB4BAABkcnMvZTJvRG9jLnhtbFBLBQYAAAAABgAGAFkBAABxBQAAAAA=&#10;">
              <v:fill on="f" focussize="0,0"/>
              <v:stroke on="f"/>
              <v:imagedata o:title=""/>
              <o:lock v:ext="edit" aspectratio="f"/>
              <v:textbox inset="0mm,0mm,0mm,0mm" style="mso-fit-shape-to-text:t;">
                <w:txbxContent>
                  <w:p w14:paraId="314CB72F">
                    <w:pPr>
                      <w:pStyle w:val="5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4A1B">
    <w:pPr>
      <w:pStyle w:val="50"/>
    </w:pPr>
    <w: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767C9">
                          <w:pPr>
                            <w:pStyle w:val="5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8767C9">
                    <w:pPr>
                      <w:pStyle w:val="5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A23C">
    <w:pPr>
      <w:pStyle w:val="5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0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328AA">
                          <w:pPr>
                            <w:pStyle w:val="50"/>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308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cxqnOIBAADDAwAADgAA&#10;AAAAAAABACAAAAAeAQAAZHJzL2Uyb0RvYy54bWxQSwUGAAAAAAYABgBZAQAAcgUAAAAA&#10;">
              <v:fill on="f" focussize="0,0"/>
              <v:stroke on="f"/>
              <v:imagedata o:title=""/>
              <o:lock v:ext="edit" aspectratio="f"/>
              <v:textbox inset="0mm,0mm,0mm,0mm" style="mso-fit-shape-to-text:t;">
                <w:txbxContent>
                  <w:p w14:paraId="4F1328AA">
                    <w:pPr>
                      <w:pStyle w:val="5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2704">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val="en-US" w:eastAsia="zh-CN"/>
      </w:rPr>
      <w:t>嵊州市浦口街道月亮湖畔共富驿站智能化建设项目                        项目编号：SXWH2024-12-16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C07E">
    <w:pPr>
      <w:pStyle w:val="52"/>
      <w:jc w:val="left"/>
      <w:rPr>
        <w:rFonts w:hint="default" w:ascii="仿宋" w:hAnsi="仿宋" w:eastAsia="仿宋" w:cs="仿宋"/>
        <w:lang w:val="en-US" w:eastAsia="zh-CN"/>
      </w:rPr>
    </w:pPr>
    <w:r>
      <w:rPr>
        <w:rFonts w:hint="eastAsia" w:ascii="仿宋" w:hAnsi="仿宋" w:eastAsia="仿宋" w:cs="仿宋"/>
        <w:lang w:val="en-US" w:eastAsia="zh-CN"/>
      </w:rPr>
      <w:t>嵊州市浦口街道月亮湖畔共富驿站智能化建设项目                     项目编号：SXWH2024-12-16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0342">
    <w:pPr>
      <w:widowControl/>
      <w:pBdr>
        <w:bottom w:val="single" w:color="auto" w:sz="4" w:space="1"/>
      </w:pBdr>
      <w:tabs>
        <w:tab w:val="center" w:pos="4535"/>
        <w:tab w:val="right" w:pos="9070"/>
      </w:tabs>
      <w:overflowPunct w:val="0"/>
      <w:autoSpaceDE w:val="0"/>
      <w:autoSpaceDN w:val="0"/>
      <w:jc w:val="both"/>
      <w:textAlignment w:val="baseline"/>
      <w:rPr>
        <w:rFonts w:hint="eastAsia" w:ascii="仿宋" w:hAnsi="仿宋" w:eastAsia="仿宋"/>
        <w:sz w:val="18"/>
        <w:szCs w:val="18"/>
      </w:rPr>
    </w:pPr>
    <w:r>
      <w:rPr>
        <w:rFonts w:hint="eastAsia" w:ascii="仿宋" w:hAnsi="仿宋" w:eastAsia="仿宋" w:cs="仿宋"/>
        <w:sz w:val="18"/>
        <w:szCs w:val="18"/>
        <w:lang w:eastAsia="zh-CN"/>
      </w:rPr>
      <w:t>嵊州市浦口街道月亮湖畔共富驿站智能化建设项目</w:t>
    </w:r>
    <w:r>
      <w:rPr>
        <w:rFonts w:hint="eastAsia" w:ascii="仿宋" w:hAnsi="仿宋" w:eastAsia="仿宋" w:cs="仿宋"/>
        <w:sz w:val="18"/>
        <w:szCs w:val="18"/>
        <w:lang w:val="en-US" w:eastAsia="zh-CN"/>
      </w:rPr>
      <w:t xml:space="preserve">               项目编号：SXWH2024-12-16</w:t>
    </w:r>
  </w:p>
  <w:p w14:paraId="5575FF0D">
    <w:pPr>
      <w:pStyle w:val="52"/>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B081C"/>
    <w:multiLevelType w:val="singleLevel"/>
    <w:tmpl w:val="8DAB081C"/>
    <w:lvl w:ilvl="0" w:tentative="0">
      <w:start w:val="1"/>
      <w:numFmt w:val="decimal"/>
      <w:suff w:val="nothing"/>
      <w:lvlText w:val="%1、"/>
      <w:lvlJc w:val="left"/>
    </w:lvl>
  </w:abstractNum>
  <w:abstractNum w:abstractNumId="1">
    <w:nsid w:val="A67658F1"/>
    <w:multiLevelType w:val="singleLevel"/>
    <w:tmpl w:val="A67658F1"/>
    <w:lvl w:ilvl="0" w:tentative="0">
      <w:start w:val="1"/>
      <w:numFmt w:val="decimal"/>
      <w:suff w:val="nothing"/>
      <w:lvlText w:val="%1、"/>
      <w:lvlJc w:val="left"/>
    </w:lvl>
  </w:abstractNum>
  <w:abstractNum w:abstractNumId="2">
    <w:nsid w:val="B55E3A62"/>
    <w:multiLevelType w:val="singleLevel"/>
    <w:tmpl w:val="B55E3A62"/>
    <w:lvl w:ilvl="0" w:tentative="0">
      <w:start w:val="1"/>
      <w:numFmt w:val="decimal"/>
      <w:lvlText w:val="%1."/>
      <w:lvlJc w:val="left"/>
      <w:pPr>
        <w:tabs>
          <w:tab w:val="left" w:pos="312"/>
        </w:tabs>
      </w:pPr>
    </w:lvl>
  </w:abstractNum>
  <w:abstractNum w:abstractNumId="3">
    <w:nsid w:val="CA50A06C"/>
    <w:multiLevelType w:val="singleLevel"/>
    <w:tmpl w:val="CA50A06C"/>
    <w:lvl w:ilvl="0" w:tentative="0">
      <w:start w:val="1"/>
      <w:numFmt w:val="decimal"/>
      <w:lvlText w:val="%1."/>
      <w:lvlJc w:val="left"/>
      <w:pPr>
        <w:tabs>
          <w:tab w:val="left" w:pos="312"/>
        </w:tabs>
      </w:pPr>
    </w:lvl>
  </w:abstractNum>
  <w:abstractNum w:abstractNumId="4">
    <w:nsid w:val="00000001"/>
    <w:multiLevelType w:val="multilevel"/>
    <w:tmpl w:val="00000001"/>
    <w:lvl w:ilvl="0" w:tentative="0">
      <w:start w:val="1"/>
      <w:numFmt w:val="none"/>
      <w:pStyle w:val="131"/>
      <w:suff w:val="nothing"/>
      <w:lvlText w:val="%1"/>
      <w:lvlJc w:val="left"/>
      <w:pPr>
        <w:ind w:left="0" w:firstLine="0"/>
      </w:pPr>
      <w:rPr>
        <w:rFonts w:hint="default" w:ascii="Times New Roman" w:hAnsi="Times New Roman"/>
        <w:b/>
        <w:i w:val="0"/>
        <w:sz w:val="21"/>
      </w:rPr>
    </w:lvl>
    <w:lvl w:ilvl="1" w:tentative="0">
      <w:start w:val="1"/>
      <w:numFmt w:val="decimal"/>
      <w:pStyle w:val="207"/>
      <w:suff w:val="nothing"/>
      <w:lvlText w:val="%1%2　"/>
      <w:lvlJc w:val="left"/>
      <w:pPr>
        <w:ind w:left="0" w:firstLine="0"/>
      </w:pPr>
      <w:rPr>
        <w:rFonts w:hint="eastAsia" w:ascii="黑体" w:hAnsi="Times New Roman" w:eastAsia="黑体"/>
        <w:b w:val="0"/>
        <w:i w:val="0"/>
        <w:sz w:val="21"/>
      </w:rPr>
    </w:lvl>
    <w:lvl w:ilvl="2" w:tentative="0">
      <w:start w:val="1"/>
      <w:numFmt w:val="decimal"/>
      <w:pStyle w:val="196"/>
      <w:suff w:val="nothing"/>
      <w:lvlText w:val="%1%2.%3　"/>
      <w:lvlJc w:val="left"/>
      <w:pPr>
        <w:ind w:left="3675" w:firstLine="0"/>
      </w:pPr>
      <w:rPr>
        <w:rFonts w:hint="eastAsia" w:ascii="黑体" w:hAnsi="Times New Roman" w:eastAsia="黑体"/>
        <w:b w:val="0"/>
        <w:i w:val="0"/>
        <w:sz w:val="21"/>
      </w:rPr>
    </w:lvl>
    <w:lvl w:ilvl="3" w:tentative="0">
      <w:start w:val="1"/>
      <w:numFmt w:val="decimal"/>
      <w:pStyle w:val="195"/>
      <w:suff w:val="nothing"/>
      <w:lvlText w:val="%1%2.%3.%4　"/>
      <w:lvlJc w:val="left"/>
      <w:pPr>
        <w:ind w:left="0" w:firstLine="0"/>
      </w:pPr>
      <w:rPr>
        <w:rFonts w:hint="eastAsia" w:ascii="黑体" w:hAnsi="Times New Roman" w:eastAsia="黑体"/>
        <w:b w:val="0"/>
        <w:i w:val="0"/>
        <w:sz w:val="21"/>
      </w:rPr>
    </w:lvl>
    <w:lvl w:ilvl="4" w:tentative="0">
      <w:start w:val="1"/>
      <w:numFmt w:val="decimal"/>
      <w:pStyle w:val="194"/>
      <w:suff w:val="nothing"/>
      <w:lvlText w:val="%1%2.%3.%4.%5　"/>
      <w:lvlJc w:val="left"/>
      <w:pPr>
        <w:ind w:left="0" w:firstLine="0"/>
      </w:pPr>
      <w:rPr>
        <w:rFonts w:hint="eastAsia" w:ascii="黑体" w:hAnsi="Times New Roman" w:eastAsia="黑体"/>
        <w:b w:val="0"/>
        <w:i w:val="0"/>
        <w:sz w:val="21"/>
      </w:rPr>
    </w:lvl>
    <w:lvl w:ilvl="5" w:tentative="0">
      <w:start w:val="1"/>
      <w:numFmt w:val="decimal"/>
      <w:pStyle w:val="193"/>
      <w:suff w:val="nothing"/>
      <w:lvlText w:val="%1%2.%3.%4.%5.%6　"/>
      <w:lvlJc w:val="left"/>
      <w:pPr>
        <w:ind w:left="0" w:firstLine="0"/>
      </w:pPr>
      <w:rPr>
        <w:rFonts w:hint="eastAsia" w:ascii="黑体" w:hAnsi="Times New Roman" w:eastAsia="黑体"/>
        <w:b w:val="0"/>
        <w:i w:val="0"/>
        <w:sz w:val="21"/>
      </w:rPr>
    </w:lvl>
    <w:lvl w:ilvl="6" w:tentative="0">
      <w:start w:val="1"/>
      <w:numFmt w:val="decimal"/>
      <w:pStyle w:val="1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2"/>
    <w:multiLevelType w:val="multilevel"/>
    <w:tmpl w:val="00000002"/>
    <w:lvl w:ilvl="0" w:tentative="0">
      <w:start w:val="1"/>
      <w:numFmt w:val="decimal"/>
      <w:pStyle w:val="19"/>
      <w:lvlText w:val="%1)"/>
      <w:lvlJc w:val="left"/>
      <w:pPr>
        <w:tabs>
          <w:tab w:val="left" w:pos="900"/>
        </w:tabs>
        <w:ind w:left="900" w:hanging="420"/>
      </w:pPr>
    </w:lvl>
    <w:lvl w:ilvl="1" w:tentative="0">
      <w:start w:val="1"/>
      <w:numFmt w:val="lowerLetter"/>
      <w:pStyle w:val="113"/>
      <w:lvlText w:val="%2)"/>
      <w:lvlJc w:val="left"/>
      <w:pPr>
        <w:tabs>
          <w:tab w:val="left" w:pos="1320"/>
        </w:tabs>
        <w:ind w:left="1320" w:hanging="420"/>
      </w:pPr>
    </w:lvl>
    <w:lvl w:ilvl="2" w:tentative="0">
      <w:start w:val="1"/>
      <w:numFmt w:val="lowerRoman"/>
      <w:pStyle w:val="114"/>
      <w:lvlText w:val="%3."/>
      <w:lvlJc w:val="right"/>
      <w:pPr>
        <w:tabs>
          <w:tab w:val="left" w:pos="1740"/>
        </w:tabs>
        <w:ind w:left="1740" w:hanging="420"/>
      </w:pPr>
    </w:lvl>
    <w:lvl w:ilvl="3" w:tentative="0">
      <w:start w:val="1"/>
      <w:numFmt w:val="decimal"/>
      <w:pStyle w:val="142"/>
      <w:lvlText w:val="%4."/>
      <w:lvlJc w:val="left"/>
      <w:pPr>
        <w:tabs>
          <w:tab w:val="left" w:pos="2160"/>
        </w:tabs>
        <w:ind w:left="2160" w:hanging="420"/>
      </w:pPr>
    </w:lvl>
    <w:lvl w:ilvl="4" w:tentative="0">
      <w:start w:val="1"/>
      <w:numFmt w:val="lowerLetter"/>
      <w:pStyle w:val="168"/>
      <w:lvlText w:val="%5)"/>
      <w:lvlJc w:val="left"/>
      <w:pPr>
        <w:tabs>
          <w:tab w:val="left" w:pos="2580"/>
        </w:tabs>
        <w:ind w:left="2580" w:hanging="420"/>
      </w:pPr>
    </w:lvl>
    <w:lvl w:ilvl="5" w:tentative="0">
      <w:start w:val="1"/>
      <w:numFmt w:val="lowerRoman"/>
      <w:pStyle w:val="236"/>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10"/>
    <w:multiLevelType w:val="singleLevel"/>
    <w:tmpl w:val="00000010"/>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7">
    <w:nsid w:val="00000011"/>
    <w:multiLevelType w:val="multilevel"/>
    <w:tmpl w:val="00000011"/>
    <w:lvl w:ilvl="0" w:tentative="0">
      <w:start w:val="1"/>
      <w:numFmt w:val="japaneseCounting"/>
      <w:pStyle w:val="388"/>
      <w:lvlText w:val="（%1）"/>
      <w:lvlJc w:val="left"/>
      <w:pPr>
        <w:tabs>
          <w:tab w:val="left" w:pos="675"/>
        </w:tabs>
        <w:ind w:left="675" w:hanging="855"/>
      </w:pPr>
      <w:rPr>
        <w:rFonts w:hint="default"/>
        <w:lang w:val="en-US"/>
      </w:rPr>
    </w:lvl>
    <w:lvl w:ilvl="1" w:tentative="0">
      <w:start w:val="3"/>
      <w:numFmt w:val="japaneseCounting"/>
      <w:lvlText w:val="%2）"/>
      <w:lvlJc w:val="left"/>
      <w:pPr>
        <w:tabs>
          <w:tab w:val="left" w:pos="960"/>
        </w:tabs>
        <w:ind w:left="960" w:hanging="720"/>
      </w:pPr>
      <w:rPr>
        <w:rFonts w:hint="default"/>
      </w:rPr>
    </w:lvl>
    <w:lvl w:ilvl="2" w:tentative="0">
      <w:start w:val="1"/>
      <w:numFmt w:val="lowerRoman"/>
      <w:lvlText w:val="%3."/>
      <w:lvlJc w:val="right"/>
      <w:pPr>
        <w:tabs>
          <w:tab w:val="left" w:pos="1080"/>
        </w:tabs>
        <w:ind w:left="1080" w:hanging="420"/>
      </w:p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8">
    <w:nsid w:val="00000012"/>
    <w:multiLevelType w:val="multilevel"/>
    <w:tmpl w:val="00000012"/>
    <w:lvl w:ilvl="0" w:tentative="0">
      <w:start w:val="1"/>
      <w:numFmt w:val="decimal"/>
      <w:pStyle w:val="15"/>
      <w:lvlText w:val="%1)"/>
      <w:lvlJc w:val="left"/>
      <w:pPr>
        <w:tabs>
          <w:tab w:val="left" w:pos="1130"/>
        </w:tabs>
        <w:ind w:left="1130" w:hanging="4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5"/>
    <w:multiLevelType w:val="singleLevel"/>
    <w:tmpl w:val="00000015"/>
    <w:lvl w:ilvl="0" w:tentative="0">
      <w:start w:val="1"/>
      <w:numFmt w:val="bullet"/>
      <w:pStyle w:val="31"/>
      <w:lvlText w:val=""/>
      <w:lvlJc w:val="left"/>
      <w:pPr>
        <w:tabs>
          <w:tab w:val="left" w:pos="360"/>
        </w:tabs>
        <w:ind w:left="360" w:hanging="360"/>
      </w:pPr>
      <w:rPr>
        <w:rFonts w:hint="default" w:ascii="Wingdings" w:hAnsi="Wingdings"/>
      </w:rPr>
    </w:lvl>
  </w:abstractNum>
  <w:abstractNum w:abstractNumId="10">
    <w:nsid w:val="00000017"/>
    <w:multiLevelType w:val="singleLevel"/>
    <w:tmpl w:val="00000017"/>
    <w:lvl w:ilvl="0" w:tentative="0">
      <w:start w:val="1"/>
      <w:numFmt w:val="decimal"/>
      <w:pStyle w:val="44"/>
      <w:lvlText w:val="%1."/>
      <w:lvlJc w:val="left"/>
      <w:pPr>
        <w:tabs>
          <w:tab w:val="left" w:pos="780"/>
        </w:tabs>
        <w:ind w:left="780" w:hanging="360"/>
      </w:pPr>
    </w:lvl>
  </w:abstractNum>
  <w:abstractNum w:abstractNumId="11">
    <w:nsid w:val="00000019"/>
    <w:multiLevelType w:val="multilevel"/>
    <w:tmpl w:val="00000019"/>
    <w:lvl w:ilvl="0" w:tentative="0">
      <w:start w:val="1"/>
      <w:numFmt w:val="decimal"/>
      <w:pStyle w:val="279"/>
      <w:lvlText w:val="%1."/>
      <w:lvlJc w:val="left"/>
      <w:pPr>
        <w:tabs>
          <w:tab w:val="left" w:pos="-57"/>
        </w:tabs>
        <w:ind w:left="-397" w:firstLine="39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singleLevel"/>
    <w:tmpl w:val="0000001B"/>
    <w:lvl w:ilvl="0" w:tentative="0">
      <w:start w:val="1"/>
      <w:numFmt w:val="decimal"/>
      <w:pStyle w:val="34"/>
      <w:lvlText w:val="%1."/>
      <w:lvlJc w:val="left"/>
      <w:pPr>
        <w:tabs>
          <w:tab w:val="left" w:pos="1200"/>
        </w:tabs>
        <w:ind w:left="1200" w:hanging="360"/>
      </w:pPr>
    </w:lvl>
  </w:abstractNum>
  <w:abstractNum w:abstractNumId="13">
    <w:nsid w:val="053EC61C"/>
    <w:multiLevelType w:val="singleLevel"/>
    <w:tmpl w:val="053EC61C"/>
    <w:lvl w:ilvl="0" w:tentative="0">
      <w:start w:val="1"/>
      <w:numFmt w:val="decimal"/>
      <w:suff w:val="nothing"/>
      <w:lvlText w:val="（%1）"/>
      <w:lvlJc w:val="left"/>
    </w:lvl>
  </w:abstractNum>
  <w:abstractNum w:abstractNumId="14">
    <w:nsid w:val="15472567"/>
    <w:multiLevelType w:val="singleLevel"/>
    <w:tmpl w:val="15472567"/>
    <w:lvl w:ilvl="0" w:tentative="0">
      <w:start w:val="1"/>
      <w:numFmt w:val="decimal"/>
      <w:suff w:val="space"/>
      <w:lvlText w:val="%1、"/>
      <w:lvlJc w:val="left"/>
    </w:lvl>
  </w:abstractNum>
  <w:abstractNum w:abstractNumId="15">
    <w:nsid w:val="419319EE"/>
    <w:multiLevelType w:val="singleLevel"/>
    <w:tmpl w:val="419319EE"/>
    <w:lvl w:ilvl="0" w:tentative="0">
      <w:start w:val="7"/>
      <w:numFmt w:val="decimal"/>
      <w:lvlText w:val="%1."/>
      <w:lvlJc w:val="left"/>
      <w:pPr>
        <w:tabs>
          <w:tab w:val="left" w:pos="312"/>
        </w:tabs>
      </w:pPr>
    </w:lvl>
  </w:abstractNum>
  <w:abstractNum w:abstractNumId="16">
    <w:nsid w:val="545A512C"/>
    <w:multiLevelType w:val="multilevel"/>
    <w:tmpl w:val="545A512C"/>
    <w:lvl w:ilvl="0" w:tentative="0">
      <w:start w:val="1"/>
      <w:numFmt w:val="chineseCountingThousand"/>
      <w:pStyle w:val="338"/>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8EE4F74"/>
    <w:multiLevelType w:val="singleLevel"/>
    <w:tmpl w:val="68EE4F74"/>
    <w:lvl w:ilvl="0" w:tentative="0">
      <w:start w:val="1"/>
      <w:numFmt w:val="decimal"/>
      <w:suff w:val="nothing"/>
      <w:lvlText w:val="%1、"/>
      <w:lvlJc w:val="left"/>
    </w:lvl>
  </w:abstractNum>
  <w:abstractNum w:abstractNumId="18">
    <w:nsid w:val="70F3B715"/>
    <w:multiLevelType w:val="singleLevel"/>
    <w:tmpl w:val="70F3B715"/>
    <w:lvl w:ilvl="0" w:tentative="0">
      <w:start w:val="1"/>
      <w:numFmt w:val="decimal"/>
      <w:suff w:val="nothing"/>
      <w:lvlText w:val="%1、"/>
      <w:lvlJc w:val="left"/>
    </w:lvl>
  </w:abstractNum>
  <w:num w:numId="1">
    <w:abstractNumId w:val="8"/>
  </w:num>
  <w:num w:numId="2">
    <w:abstractNumId w:val="6"/>
  </w:num>
  <w:num w:numId="3">
    <w:abstractNumId w:val="5"/>
  </w:num>
  <w:num w:numId="4">
    <w:abstractNumId w:val="9"/>
  </w:num>
  <w:num w:numId="5">
    <w:abstractNumId w:val="12"/>
  </w:num>
  <w:num w:numId="6">
    <w:abstractNumId w:val="10"/>
  </w:num>
  <w:num w:numId="7">
    <w:abstractNumId w:val="4"/>
  </w:num>
  <w:num w:numId="8">
    <w:abstractNumId w:val="11"/>
  </w:num>
  <w:num w:numId="9">
    <w:abstractNumId w:val="16"/>
  </w:num>
  <w:num w:numId="10">
    <w:abstractNumId w:val="7"/>
  </w:num>
  <w:num w:numId="11">
    <w:abstractNumId w:val="15"/>
  </w:num>
  <w:num w:numId="12">
    <w:abstractNumId w:val="2"/>
  </w:num>
  <w:num w:numId="13">
    <w:abstractNumId w:val="17"/>
  </w:num>
  <w:num w:numId="14">
    <w:abstractNumId w:val="3"/>
  </w:num>
  <w:num w:numId="15">
    <w:abstractNumId w:val="18"/>
  </w:num>
  <w:num w:numId="16">
    <w:abstractNumId w:val="14"/>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TAxNTJhNjQ1ZjY5ZTQ1NTIwZmY5NjYyZjVmYjEifQ=="/>
    <w:docVar w:name="IsProcessingDocument" w:val="-1"/>
  </w:docVars>
  <w:rsids>
    <w:rsidRoot w:val="00172A27"/>
    <w:rsid w:val="000005FA"/>
    <w:rsid w:val="00000796"/>
    <w:rsid w:val="00000BA2"/>
    <w:rsid w:val="00001887"/>
    <w:rsid w:val="00004766"/>
    <w:rsid w:val="000047E6"/>
    <w:rsid w:val="00004EA5"/>
    <w:rsid w:val="000101A4"/>
    <w:rsid w:val="00010882"/>
    <w:rsid w:val="00010C10"/>
    <w:rsid w:val="0001114E"/>
    <w:rsid w:val="00011997"/>
    <w:rsid w:val="000121D1"/>
    <w:rsid w:val="00012617"/>
    <w:rsid w:val="00012783"/>
    <w:rsid w:val="000129DE"/>
    <w:rsid w:val="00012FF8"/>
    <w:rsid w:val="000136B1"/>
    <w:rsid w:val="00013E3E"/>
    <w:rsid w:val="00013E59"/>
    <w:rsid w:val="000141AA"/>
    <w:rsid w:val="000142C5"/>
    <w:rsid w:val="00016547"/>
    <w:rsid w:val="00016A2E"/>
    <w:rsid w:val="0001725A"/>
    <w:rsid w:val="00017291"/>
    <w:rsid w:val="00017658"/>
    <w:rsid w:val="00017974"/>
    <w:rsid w:val="00020043"/>
    <w:rsid w:val="00020058"/>
    <w:rsid w:val="000201F7"/>
    <w:rsid w:val="00020218"/>
    <w:rsid w:val="0002165B"/>
    <w:rsid w:val="00024759"/>
    <w:rsid w:val="00024DC8"/>
    <w:rsid w:val="000253A7"/>
    <w:rsid w:val="00025D24"/>
    <w:rsid w:val="00025D42"/>
    <w:rsid w:val="0002768E"/>
    <w:rsid w:val="0003093D"/>
    <w:rsid w:val="00030C32"/>
    <w:rsid w:val="000310D6"/>
    <w:rsid w:val="00031109"/>
    <w:rsid w:val="000323C7"/>
    <w:rsid w:val="0003358D"/>
    <w:rsid w:val="00033C1C"/>
    <w:rsid w:val="00034487"/>
    <w:rsid w:val="000345C4"/>
    <w:rsid w:val="000354AE"/>
    <w:rsid w:val="00035DF7"/>
    <w:rsid w:val="00040D0C"/>
    <w:rsid w:val="00041E9E"/>
    <w:rsid w:val="000425AC"/>
    <w:rsid w:val="00043619"/>
    <w:rsid w:val="00046AF7"/>
    <w:rsid w:val="0004719A"/>
    <w:rsid w:val="000473FE"/>
    <w:rsid w:val="000477A8"/>
    <w:rsid w:val="000477E8"/>
    <w:rsid w:val="00050EBB"/>
    <w:rsid w:val="0005333E"/>
    <w:rsid w:val="00054C6B"/>
    <w:rsid w:val="00055B3E"/>
    <w:rsid w:val="00056EDE"/>
    <w:rsid w:val="00057CB7"/>
    <w:rsid w:val="000601E0"/>
    <w:rsid w:val="000623C3"/>
    <w:rsid w:val="000625F9"/>
    <w:rsid w:val="00062AA4"/>
    <w:rsid w:val="00062D91"/>
    <w:rsid w:val="000636CB"/>
    <w:rsid w:val="0006375F"/>
    <w:rsid w:val="00063CAF"/>
    <w:rsid w:val="000648A4"/>
    <w:rsid w:val="00066B9C"/>
    <w:rsid w:val="00066C8A"/>
    <w:rsid w:val="000671FA"/>
    <w:rsid w:val="000673B7"/>
    <w:rsid w:val="00070C28"/>
    <w:rsid w:val="00070FC7"/>
    <w:rsid w:val="00071323"/>
    <w:rsid w:val="0007139C"/>
    <w:rsid w:val="00072390"/>
    <w:rsid w:val="00072E44"/>
    <w:rsid w:val="0007303E"/>
    <w:rsid w:val="000731D7"/>
    <w:rsid w:val="00074A7F"/>
    <w:rsid w:val="00074E67"/>
    <w:rsid w:val="00075C04"/>
    <w:rsid w:val="00076330"/>
    <w:rsid w:val="000767B9"/>
    <w:rsid w:val="000769A6"/>
    <w:rsid w:val="00082E21"/>
    <w:rsid w:val="00083335"/>
    <w:rsid w:val="00084030"/>
    <w:rsid w:val="0008575B"/>
    <w:rsid w:val="00086E25"/>
    <w:rsid w:val="00087766"/>
    <w:rsid w:val="00087B4F"/>
    <w:rsid w:val="00087FD3"/>
    <w:rsid w:val="00090378"/>
    <w:rsid w:val="0009083A"/>
    <w:rsid w:val="00090E8C"/>
    <w:rsid w:val="00090F00"/>
    <w:rsid w:val="000912A3"/>
    <w:rsid w:val="00093579"/>
    <w:rsid w:val="00093FA6"/>
    <w:rsid w:val="000962F1"/>
    <w:rsid w:val="000965E0"/>
    <w:rsid w:val="00096938"/>
    <w:rsid w:val="00096D91"/>
    <w:rsid w:val="00096DA9"/>
    <w:rsid w:val="000A0255"/>
    <w:rsid w:val="000A35B7"/>
    <w:rsid w:val="000A3BD8"/>
    <w:rsid w:val="000A3FE1"/>
    <w:rsid w:val="000A4302"/>
    <w:rsid w:val="000A5B8D"/>
    <w:rsid w:val="000A5C5C"/>
    <w:rsid w:val="000A7E62"/>
    <w:rsid w:val="000B0237"/>
    <w:rsid w:val="000B06D2"/>
    <w:rsid w:val="000B0A0F"/>
    <w:rsid w:val="000B0C39"/>
    <w:rsid w:val="000B0D2A"/>
    <w:rsid w:val="000B0DE4"/>
    <w:rsid w:val="000B1964"/>
    <w:rsid w:val="000B1A31"/>
    <w:rsid w:val="000B23FE"/>
    <w:rsid w:val="000B2F77"/>
    <w:rsid w:val="000B3107"/>
    <w:rsid w:val="000B3E5C"/>
    <w:rsid w:val="000B40A5"/>
    <w:rsid w:val="000B4D08"/>
    <w:rsid w:val="000B5324"/>
    <w:rsid w:val="000B5C56"/>
    <w:rsid w:val="000B61B0"/>
    <w:rsid w:val="000B7902"/>
    <w:rsid w:val="000C0AA9"/>
    <w:rsid w:val="000C148A"/>
    <w:rsid w:val="000C15B1"/>
    <w:rsid w:val="000C1670"/>
    <w:rsid w:val="000C2AB8"/>
    <w:rsid w:val="000C30F8"/>
    <w:rsid w:val="000C3C7F"/>
    <w:rsid w:val="000C41A1"/>
    <w:rsid w:val="000C432B"/>
    <w:rsid w:val="000C5116"/>
    <w:rsid w:val="000C594B"/>
    <w:rsid w:val="000C728D"/>
    <w:rsid w:val="000C7B56"/>
    <w:rsid w:val="000C7D10"/>
    <w:rsid w:val="000D0336"/>
    <w:rsid w:val="000D0360"/>
    <w:rsid w:val="000D10C1"/>
    <w:rsid w:val="000D36F5"/>
    <w:rsid w:val="000D38E2"/>
    <w:rsid w:val="000D3964"/>
    <w:rsid w:val="000D4165"/>
    <w:rsid w:val="000D5611"/>
    <w:rsid w:val="000D5735"/>
    <w:rsid w:val="000D728B"/>
    <w:rsid w:val="000E016A"/>
    <w:rsid w:val="000E07B7"/>
    <w:rsid w:val="000E0AFA"/>
    <w:rsid w:val="000E1966"/>
    <w:rsid w:val="000E1E33"/>
    <w:rsid w:val="000E2084"/>
    <w:rsid w:val="000E2150"/>
    <w:rsid w:val="000E26F0"/>
    <w:rsid w:val="000E2D0C"/>
    <w:rsid w:val="000E3A54"/>
    <w:rsid w:val="000E3F60"/>
    <w:rsid w:val="000E4212"/>
    <w:rsid w:val="000E47B0"/>
    <w:rsid w:val="000E4C03"/>
    <w:rsid w:val="000E4F8A"/>
    <w:rsid w:val="000E5497"/>
    <w:rsid w:val="000E57E6"/>
    <w:rsid w:val="000E6CE9"/>
    <w:rsid w:val="000F0704"/>
    <w:rsid w:val="000F1033"/>
    <w:rsid w:val="000F180F"/>
    <w:rsid w:val="000F2971"/>
    <w:rsid w:val="000F2CA3"/>
    <w:rsid w:val="000F30FC"/>
    <w:rsid w:val="000F3A78"/>
    <w:rsid w:val="000F3B18"/>
    <w:rsid w:val="000F4A4D"/>
    <w:rsid w:val="000F5CD3"/>
    <w:rsid w:val="000F68F3"/>
    <w:rsid w:val="000F7C90"/>
    <w:rsid w:val="000F7F22"/>
    <w:rsid w:val="0010036C"/>
    <w:rsid w:val="00100F19"/>
    <w:rsid w:val="00100FB8"/>
    <w:rsid w:val="00100FBB"/>
    <w:rsid w:val="00101318"/>
    <w:rsid w:val="0010207F"/>
    <w:rsid w:val="00102317"/>
    <w:rsid w:val="0010289C"/>
    <w:rsid w:val="00102AB5"/>
    <w:rsid w:val="00102E8B"/>
    <w:rsid w:val="001034B3"/>
    <w:rsid w:val="00103626"/>
    <w:rsid w:val="00103785"/>
    <w:rsid w:val="0010452A"/>
    <w:rsid w:val="001045EA"/>
    <w:rsid w:val="00104710"/>
    <w:rsid w:val="0010538C"/>
    <w:rsid w:val="0010624E"/>
    <w:rsid w:val="00106B58"/>
    <w:rsid w:val="0010736D"/>
    <w:rsid w:val="00107581"/>
    <w:rsid w:val="00107777"/>
    <w:rsid w:val="0011001C"/>
    <w:rsid w:val="00111080"/>
    <w:rsid w:val="001110A8"/>
    <w:rsid w:val="00111427"/>
    <w:rsid w:val="00111B2C"/>
    <w:rsid w:val="0011224B"/>
    <w:rsid w:val="00112405"/>
    <w:rsid w:val="001124F4"/>
    <w:rsid w:val="0011421B"/>
    <w:rsid w:val="00114EA5"/>
    <w:rsid w:val="0011550E"/>
    <w:rsid w:val="00115690"/>
    <w:rsid w:val="00115A7A"/>
    <w:rsid w:val="00116095"/>
    <w:rsid w:val="0011698C"/>
    <w:rsid w:val="001177AF"/>
    <w:rsid w:val="0012008D"/>
    <w:rsid w:val="001200EE"/>
    <w:rsid w:val="00120994"/>
    <w:rsid w:val="00123C3E"/>
    <w:rsid w:val="00124E57"/>
    <w:rsid w:val="001258DD"/>
    <w:rsid w:val="00125C7C"/>
    <w:rsid w:val="00125D8D"/>
    <w:rsid w:val="00126317"/>
    <w:rsid w:val="00127727"/>
    <w:rsid w:val="00127A23"/>
    <w:rsid w:val="00127E1C"/>
    <w:rsid w:val="0013049D"/>
    <w:rsid w:val="00130C90"/>
    <w:rsid w:val="00130FC6"/>
    <w:rsid w:val="001317FB"/>
    <w:rsid w:val="00135272"/>
    <w:rsid w:val="001352CD"/>
    <w:rsid w:val="00136140"/>
    <w:rsid w:val="0013616D"/>
    <w:rsid w:val="00136353"/>
    <w:rsid w:val="00136DCD"/>
    <w:rsid w:val="0013730D"/>
    <w:rsid w:val="00137B3D"/>
    <w:rsid w:val="00137F15"/>
    <w:rsid w:val="0014062D"/>
    <w:rsid w:val="001418C4"/>
    <w:rsid w:val="00141F06"/>
    <w:rsid w:val="00142114"/>
    <w:rsid w:val="001425C7"/>
    <w:rsid w:val="0014298F"/>
    <w:rsid w:val="0014328D"/>
    <w:rsid w:val="001438B0"/>
    <w:rsid w:val="00143AA2"/>
    <w:rsid w:val="00144728"/>
    <w:rsid w:val="001461AA"/>
    <w:rsid w:val="00147730"/>
    <w:rsid w:val="0014783C"/>
    <w:rsid w:val="00147E39"/>
    <w:rsid w:val="001501ED"/>
    <w:rsid w:val="00150C92"/>
    <w:rsid w:val="00151FE1"/>
    <w:rsid w:val="00153184"/>
    <w:rsid w:val="00153C9F"/>
    <w:rsid w:val="00154902"/>
    <w:rsid w:val="00154A3C"/>
    <w:rsid w:val="00156D31"/>
    <w:rsid w:val="00157264"/>
    <w:rsid w:val="0015787A"/>
    <w:rsid w:val="00157CC6"/>
    <w:rsid w:val="00160C42"/>
    <w:rsid w:val="00161084"/>
    <w:rsid w:val="00163026"/>
    <w:rsid w:val="00163628"/>
    <w:rsid w:val="00164719"/>
    <w:rsid w:val="00165116"/>
    <w:rsid w:val="00165F5F"/>
    <w:rsid w:val="00166703"/>
    <w:rsid w:val="00167020"/>
    <w:rsid w:val="00167853"/>
    <w:rsid w:val="001712B6"/>
    <w:rsid w:val="00171BF6"/>
    <w:rsid w:val="00173D9D"/>
    <w:rsid w:val="00173E08"/>
    <w:rsid w:val="00175E7D"/>
    <w:rsid w:val="00176734"/>
    <w:rsid w:val="00176A3F"/>
    <w:rsid w:val="00177672"/>
    <w:rsid w:val="0018034B"/>
    <w:rsid w:val="00181363"/>
    <w:rsid w:val="001814D2"/>
    <w:rsid w:val="0018197F"/>
    <w:rsid w:val="00182425"/>
    <w:rsid w:val="00182462"/>
    <w:rsid w:val="00184CB6"/>
    <w:rsid w:val="00184DB7"/>
    <w:rsid w:val="00184DFE"/>
    <w:rsid w:val="00184EE4"/>
    <w:rsid w:val="001868F5"/>
    <w:rsid w:val="00186F2F"/>
    <w:rsid w:val="001876B8"/>
    <w:rsid w:val="00187C27"/>
    <w:rsid w:val="001903ED"/>
    <w:rsid w:val="0019064F"/>
    <w:rsid w:val="0019124A"/>
    <w:rsid w:val="00192424"/>
    <w:rsid w:val="0019260B"/>
    <w:rsid w:val="00192849"/>
    <w:rsid w:val="00193084"/>
    <w:rsid w:val="00193CC1"/>
    <w:rsid w:val="00194CBE"/>
    <w:rsid w:val="00195042"/>
    <w:rsid w:val="001951CF"/>
    <w:rsid w:val="0019553D"/>
    <w:rsid w:val="00195DAD"/>
    <w:rsid w:val="001A002E"/>
    <w:rsid w:val="001A0F13"/>
    <w:rsid w:val="001A221C"/>
    <w:rsid w:val="001A2288"/>
    <w:rsid w:val="001A2512"/>
    <w:rsid w:val="001A279F"/>
    <w:rsid w:val="001A28E7"/>
    <w:rsid w:val="001A28EF"/>
    <w:rsid w:val="001A3613"/>
    <w:rsid w:val="001A3F77"/>
    <w:rsid w:val="001A4222"/>
    <w:rsid w:val="001A4B04"/>
    <w:rsid w:val="001A4B20"/>
    <w:rsid w:val="001A560F"/>
    <w:rsid w:val="001B07B4"/>
    <w:rsid w:val="001B088E"/>
    <w:rsid w:val="001B0B9E"/>
    <w:rsid w:val="001B1BC9"/>
    <w:rsid w:val="001B370F"/>
    <w:rsid w:val="001B3A38"/>
    <w:rsid w:val="001B4D7F"/>
    <w:rsid w:val="001B5686"/>
    <w:rsid w:val="001B61A5"/>
    <w:rsid w:val="001B663E"/>
    <w:rsid w:val="001B6C76"/>
    <w:rsid w:val="001B7DA0"/>
    <w:rsid w:val="001C080B"/>
    <w:rsid w:val="001C0A6E"/>
    <w:rsid w:val="001C0F23"/>
    <w:rsid w:val="001C1515"/>
    <w:rsid w:val="001C1589"/>
    <w:rsid w:val="001C165D"/>
    <w:rsid w:val="001C3C4B"/>
    <w:rsid w:val="001C4E3F"/>
    <w:rsid w:val="001C577E"/>
    <w:rsid w:val="001C6C0B"/>
    <w:rsid w:val="001C7523"/>
    <w:rsid w:val="001D0424"/>
    <w:rsid w:val="001D0C3F"/>
    <w:rsid w:val="001D17F4"/>
    <w:rsid w:val="001D1FFE"/>
    <w:rsid w:val="001D3ACB"/>
    <w:rsid w:val="001D3D45"/>
    <w:rsid w:val="001D3F11"/>
    <w:rsid w:val="001D4973"/>
    <w:rsid w:val="001D4FFB"/>
    <w:rsid w:val="001D5723"/>
    <w:rsid w:val="001D5905"/>
    <w:rsid w:val="001D5EB4"/>
    <w:rsid w:val="001D7D7C"/>
    <w:rsid w:val="001E01A3"/>
    <w:rsid w:val="001E07E3"/>
    <w:rsid w:val="001E0ADE"/>
    <w:rsid w:val="001E1924"/>
    <w:rsid w:val="001E2A66"/>
    <w:rsid w:val="001E34B0"/>
    <w:rsid w:val="001E4A7D"/>
    <w:rsid w:val="001E4C23"/>
    <w:rsid w:val="001E5FD4"/>
    <w:rsid w:val="001E6010"/>
    <w:rsid w:val="001E65AE"/>
    <w:rsid w:val="001E6DB1"/>
    <w:rsid w:val="001E71FC"/>
    <w:rsid w:val="001E726E"/>
    <w:rsid w:val="001E763F"/>
    <w:rsid w:val="001E7E66"/>
    <w:rsid w:val="001F0E3B"/>
    <w:rsid w:val="001F15AE"/>
    <w:rsid w:val="001F18A0"/>
    <w:rsid w:val="001F29E8"/>
    <w:rsid w:val="001F2B45"/>
    <w:rsid w:val="001F2E0D"/>
    <w:rsid w:val="001F3D9D"/>
    <w:rsid w:val="001F4EBD"/>
    <w:rsid w:val="001F51CA"/>
    <w:rsid w:val="001F6FE0"/>
    <w:rsid w:val="001F7179"/>
    <w:rsid w:val="0020085F"/>
    <w:rsid w:val="00200F8C"/>
    <w:rsid w:val="00201C34"/>
    <w:rsid w:val="002021AC"/>
    <w:rsid w:val="00202E8D"/>
    <w:rsid w:val="00203785"/>
    <w:rsid w:val="002038FE"/>
    <w:rsid w:val="00204345"/>
    <w:rsid w:val="002044B1"/>
    <w:rsid w:val="0020508B"/>
    <w:rsid w:val="00206D78"/>
    <w:rsid w:val="00207B88"/>
    <w:rsid w:val="00207FA9"/>
    <w:rsid w:val="00211548"/>
    <w:rsid w:val="00211918"/>
    <w:rsid w:val="002129E4"/>
    <w:rsid w:val="002137ED"/>
    <w:rsid w:val="00213B3C"/>
    <w:rsid w:val="00215C2D"/>
    <w:rsid w:val="00215DC4"/>
    <w:rsid w:val="00215F20"/>
    <w:rsid w:val="00215FC0"/>
    <w:rsid w:val="00216921"/>
    <w:rsid w:val="00217475"/>
    <w:rsid w:val="00220854"/>
    <w:rsid w:val="00222F1F"/>
    <w:rsid w:val="00223641"/>
    <w:rsid w:val="00223E91"/>
    <w:rsid w:val="002246E7"/>
    <w:rsid w:val="00224FCE"/>
    <w:rsid w:val="00224FCF"/>
    <w:rsid w:val="002253E8"/>
    <w:rsid w:val="00225B09"/>
    <w:rsid w:val="00226D75"/>
    <w:rsid w:val="00227151"/>
    <w:rsid w:val="00232674"/>
    <w:rsid w:val="002336CD"/>
    <w:rsid w:val="0023389A"/>
    <w:rsid w:val="002354D9"/>
    <w:rsid w:val="002358E5"/>
    <w:rsid w:val="00235E2C"/>
    <w:rsid w:val="00236B32"/>
    <w:rsid w:val="00237557"/>
    <w:rsid w:val="00237FF3"/>
    <w:rsid w:val="00240092"/>
    <w:rsid w:val="00240A64"/>
    <w:rsid w:val="002413C9"/>
    <w:rsid w:val="0024160B"/>
    <w:rsid w:val="0024235F"/>
    <w:rsid w:val="00242427"/>
    <w:rsid w:val="002425A0"/>
    <w:rsid w:val="00242D3D"/>
    <w:rsid w:val="002440B9"/>
    <w:rsid w:val="002448BE"/>
    <w:rsid w:val="00244A3B"/>
    <w:rsid w:val="00244C10"/>
    <w:rsid w:val="00244CAA"/>
    <w:rsid w:val="00244E6F"/>
    <w:rsid w:val="002463EA"/>
    <w:rsid w:val="0024770F"/>
    <w:rsid w:val="00251582"/>
    <w:rsid w:val="00252A79"/>
    <w:rsid w:val="00253BE3"/>
    <w:rsid w:val="00254292"/>
    <w:rsid w:val="002542F9"/>
    <w:rsid w:val="00254918"/>
    <w:rsid w:val="002553C1"/>
    <w:rsid w:val="00260DCE"/>
    <w:rsid w:val="00261881"/>
    <w:rsid w:val="002646CC"/>
    <w:rsid w:val="00264A98"/>
    <w:rsid w:val="00264B46"/>
    <w:rsid w:val="00265622"/>
    <w:rsid w:val="0026572B"/>
    <w:rsid w:val="00266AEF"/>
    <w:rsid w:val="00270163"/>
    <w:rsid w:val="00270ACB"/>
    <w:rsid w:val="00270CB7"/>
    <w:rsid w:val="00271E72"/>
    <w:rsid w:val="0027239C"/>
    <w:rsid w:val="002724A1"/>
    <w:rsid w:val="00273816"/>
    <w:rsid w:val="00273D10"/>
    <w:rsid w:val="00275392"/>
    <w:rsid w:val="0027572E"/>
    <w:rsid w:val="002774C1"/>
    <w:rsid w:val="00277C64"/>
    <w:rsid w:val="00277D1C"/>
    <w:rsid w:val="00280404"/>
    <w:rsid w:val="002815A6"/>
    <w:rsid w:val="00281EB5"/>
    <w:rsid w:val="002821E1"/>
    <w:rsid w:val="0028284E"/>
    <w:rsid w:val="00282D3F"/>
    <w:rsid w:val="00283180"/>
    <w:rsid w:val="00284080"/>
    <w:rsid w:val="00284EE5"/>
    <w:rsid w:val="002862E4"/>
    <w:rsid w:val="002867DD"/>
    <w:rsid w:val="00287258"/>
    <w:rsid w:val="002877CA"/>
    <w:rsid w:val="00287A2C"/>
    <w:rsid w:val="00290BFE"/>
    <w:rsid w:val="00291F2C"/>
    <w:rsid w:val="0029359E"/>
    <w:rsid w:val="002939AF"/>
    <w:rsid w:val="00293B2B"/>
    <w:rsid w:val="00294782"/>
    <w:rsid w:val="00295227"/>
    <w:rsid w:val="00295CCC"/>
    <w:rsid w:val="00295DA5"/>
    <w:rsid w:val="002963CA"/>
    <w:rsid w:val="00297C45"/>
    <w:rsid w:val="00297D0E"/>
    <w:rsid w:val="00297E5F"/>
    <w:rsid w:val="002A1447"/>
    <w:rsid w:val="002A2399"/>
    <w:rsid w:val="002A2A1C"/>
    <w:rsid w:val="002A2F3D"/>
    <w:rsid w:val="002A4B3D"/>
    <w:rsid w:val="002A553C"/>
    <w:rsid w:val="002A5E3F"/>
    <w:rsid w:val="002B2CBB"/>
    <w:rsid w:val="002B398A"/>
    <w:rsid w:val="002B4421"/>
    <w:rsid w:val="002B53DD"/>
    <w:rsid w:val="002B5978"/>
    <w:rsid w:val="002B5A20"/>
    <w:rsid w:val="002B60FB"/>
    <w:rsid w:val="002B661D"/>
    <w:rsid w:val="002C03CC"/>
    <w:rsid w:val="002C0707"/>
    <w:rsid w:val="002C0B1F"/>
    <w:rsid w:val="002C17FE"/>
    <w:rsid w:val="002C1D39"/>
    <w:rsid w:val="002C1F56"/>
    <w:rsid w:val="002C2176"/>
    <w:rsid w:val="002C2C84"/>
    <w:rsid w:val="002C32B1"/>
    <w:rsid w:val="002C34D0"/>
    <w:rsid w:val="002C3D16"/>
    <w:rsid w:val="002C3FAA"/>
    <w:rsid w:val="002C62AE"/>
    <w:rsid w:val="002C69A8"/>
    <w:rsid w:val="002D1ED1"/>
    <w:rsid w:val="002D2564"/>
    <w:rsid w:val="002D25B0"/>
    <w:rsid w:val="002D2C55"/>
    <w:rsid w:val="002D32F7"/>
    <w:rsid w:val="002D3A9D"/>
    <w:rsid w:val="002D64E7"/>
    <w:rsid w:val="002D7515"/>
    <w:rsid w:val="002E04AD"/>
    <w:rsid w:val="002E148D"/>
    <w:rsid w:val="002E3BFD"/>
    <w:rsid w:val="002E43EA"/>
    <w:rsid w:val="002E47EF"/>
    <w:rsid w:val="002E4ED6"/>
    <w:rsid w:val="002E5438"/>
    <w:rsid w:val="002E6A4C"/>
    <w:rsid w:val="002E7C52"/>
    <w:rsid w:val="002E7D93"/>
    <w:rsid w:val="002E7F16"/>
    <w:rsid w:val="002F2CD0"/>
    <w:rsid w:val="002F399F"/>
    <w:rsid w:val="002F3A71"/>
    <w:rsid w:val="002F4909"/>
    <w:rsid w:val="002F497F"/>
    <w:rsid w:val="002F62F8"/>
    <w:rsid w:val="002F6D32"/>
    <w:rsid w:val="002F7E32"/>
    <w:rsid w:val="002F7F68"/>
    <w:rsid w:val="00300696"/>
    <w:rsid w:val="00300CB9"/>
    <w:rsid w:val="0030118C"/>
    <w:rsid w:val="0030152C"/>
    <w:rsid w:val="00302B71"/>
    <w:rsid w:val="00302D82"/>
    <w:rsid w:val="00303938"/>
    <w:rsid w:val="00303BBB"/>
    <w:rsid w:val="00304CAC"/>
    <w:rsid w:val="00306149"/>
    <w:rsid w:val="00306BAE"/>
    <w:rsid w:val="003071FD"/>
    <w:rsid w:val="0031195E"/>
    <w:rsid w:val="00311A96"/>
    <w:rsid w:val="00311F1B"/>
    <w:rsid w:val="003122B1"/>
    <w:rsid w:val="003123F5"/>
    <w:rsid w:val="003132F7"/>
    <w:rsid w:val="00314609"/>
    <w:rsid w:val="00315122"/>
    <w:rsid w:val="0031608B"/>
    <w:rsid w:val="003166A8"/>
    <w:rsid w:val="00316C3C"/>
    <w:rsid w:val="003205F6"/>
    <w:rsid w:val="003209C1"/>
    <w:rsid w:val="00321F3B"/>
    <w:rsid w:val="00322009"/>
    <w:rsid w:val="00322424"/>
    <w:rsid w:val="0032290F"/>
    <w:rsid w:val="003231F4"/>
    <w:rsid w:val="00323911"/>
    <w:rsid w:val="00323D1B"/>
    <w:rsid w:val="0032437F"/>
    <w:rsid w:val="00324AEA"/>
    <w:rsid w:val="00324DBF"/>
    <w:rsid w:val="00325769"/>
    <w:rsid w:val="00325EF9"/>
    <w:rsid w:val="0032693A"/>
    <w:rsid w:val="00326AEB"/>
    <w:rsid w:val="003313E6"/>
    <w:rsid w:val="00331A42"/>
    <w:rsid w:val="00332197"/>
    <w:rsid w:val="00334058"/>
    <w:rsid w:val="0033476A"/>
    <w:rsid w:val="00334BB6"/>
    <w:rsid w:val="0033597A"/>
    <w:rsid w:val="00336653"/>
    <w:rsid w:val="0034353C"/>
    <w:rsid w:val="00343FFB"/>
    <w:rsid w:val="00344299"/>
    <w:rsid w:val="0034507E"/>
    <w:rsid w:val="0034525E"/>
    <w:rsid w:val="00346071"/>
    <w:rsid w:val="0034774D"/>
    <w:rsid w:val="00347AB4"/>
    <w:rsid w:val="00347C43"/>
    <w:rsid w:val="00347D73"/>
    <w:rsid w:val="00350916"/>
    <w:rsid w:val="00350927"/>
    <w:rsid w:val="00350942"/>
    <w:rsid w:val="00350EF3"/>
    <w:rsid w:val="003517A3"/>
    <w:rsid w:val="0035327F"/>
    <w:rsid w:val="00353924"/>
    <w:rsid w:val="003552E6"/>
    <w:rsid w:val="003554A4"/>
    <w:rsid w:val="003559E9"/>
    <w:rsid w:val="003563CD"/>
    <w:rsid w:val="00356C54"/>
    <w:rsid w:val="00356EEE"/>
    <w:rsid w:val="003600B4"/>
    <w:rsid w:val="00361574"/>
    <w:rsid w:val="003621AC"/>
    <w:rsid w:val="003623E1"/>
    <w:rsid w:val="003625C7"/>
    <w:rsid w:val="00362A28"/>
    <w:rsid w:val="003642C4"/>
    <w:rsid w:val="003645E5"/>
    <w:rsid w:val="00364DD1"/>
    <w:rsid w:val="00365893"/>
    <w:rsid w:val="00365FC1"/>
    <w:rsid w:val="00366655"/>
    <w:rsid w:val="00366A2E"/>
    <w:rsid w:val="00367035"/>
    <w:rsid w:val="0036738A"/>
    <w:rsid w:val="00367C7A"/>
    <w:rsid w:val="003737E2"/>
    <w:rsid w:val="00373878"/>
    <w:rsid w:val="00373DEB"/>
    <w:rsid w:val="00373E2B"/>
    <w:rsid w:val="003744BE"/>
    <w:rsid w:val="003754DE"/>
    <w:rsid w:val="0037555B"/>
    <w:rsid w:val="00375883"/>
    <w:rsid w:val="00375998"/>
    <w:rsid w:val="00376DE6"/>
    <w:rsid w:val="00377A2D"/>
    <w:rsid w:val="00377B69"/>
    <w:rsid w:val="00380CEB"/>
    <w:rsid w:val="00381DE7"/>
    <w:rsid w:val="0038208E"/>
    <w:rsid w:val="003828BE"/>
    <w:rsid w:val="00382B34"/>
    <w:rsid w:val="00382C71"/>
    <w:rsid w:val="00384936"/>
    <w:rsid w:val="00385357"/>
    <w:rsid w:val="003853B7"/>
    <w:rsid w:val="00385C56"/>
    <w:rsid w:val="00385C7B"/>
    <w:rsid w:val="003860D0"/>
    <w:rsid w:val="00386C12"/>
    <w:rsid w:val="003871B6"/>
    <w:rsid w:val="00387BAC"/>
    <w:rsid w:val="00387EAE"/>
    <w:rsid w:val="00390055"/>
    <w:rsid w:val="00390166"/>
    <w:rsid w:val="003910C4"/>
    <w:rsid w:val="0039143F"/>
    <w:rsid w:val="00391BF3"/>
    <w:rsid w:val="00391CA0"/>
    <w:rsid w:val="0039346E"/>
    <w:rsid w:val="003935FA"/>
    <w:rsid w:val="00395AFE"/>
    <w:rsid w:val="00395CC4"/>
    <w:rsid w:val="003961DA"/>
    <w:rsid w:val="0039694A"/>
    <w:rsid w:val="00397391"/>
    <w:rsid w:val="00397421"/>
    <w:rsid w:val="00397B21"/>
    <w:rsid w:val="00397C3C"/>
    <w:rsid w:val="003A0681"/>
    <w:rsid w:val="003A0829"/>
    <w:rsid w:val="003A1890"/>
    <w:rsid w:val="003A1C51"/>
    <w:rsid w:val="003A419B"/>
    <w:rsid w:val="003A5AD4"/>
    <w:rsid w:val="003A62C5"/>
    <w:rsid w:val="003A6321"/>
    <w:rsid w:val="003A6634"/>
    <w:rsid w:val="003A6C49"/>
    <w:rsid w:val="003A78E6"/>
    <w:rsid w:val="003A7D5D"/>
    <w:rsid w:val="003A7F72"/>
    <w:rsid w:val="003B03D7"/>
    <w:rsid w:val="003B143E"/>
    <w:rsid w:val="003B3F19"/>
    <w:rsid w:val="003B4084"/>
    <w:rsid w:val="003B6361"/>
    <w:rsid w:val="003C0821"/>
    <w:rsid w:val="003C18FD"/>
    <w:rsid w:val="003C3022"/>
    <w:rsid w:val="003C710F"/>
    <w:rsid w:val="003D08BF"/>
    <w:rsid w:val="003D16E8"/>
    <w:rsid w:val="003D21D1"/>
    <w:rsid w:val="003D329E"/>
    <w:rsid w:val="003D3AE2"/>
    <w:rsid w:val="003D4E8D"/>
    <w:rsid w:val="003D5AA2"/>
    <w:rsid w:val="003D5E07"/>
    <w:rsid w:val="003D6144"/>
    <w:rsid w:val="003D6A08"/>
    <w:rsid w:val="003D709A"/>
    <w:rsid w:val="003D7D21"/>
    <w:rsid w:val="003D7E1F"/>
    <w:rsid w:val="003E0079"/>
    <w:rsid w:val="003E2D1A"/>
    <w:rsid w:val="003E337D"/>
    <w:rsid w:val="003E3402"/>
    <w:rsid w:val="003E36E3"/>
    <w:rsid w:val="003E3F4F"/>
    <w:rsid w:val="003E43A2"/>
    <w:rsid w:val="003E45DC"/>
    <w:rsid w:val="003E58F9"/>
    <w:rsid w:val="003E623C"/>
    <w:rsid w:val="003E66E9"/>
    <w:rsid w:val="003F0FAD"/>
    <w:rsid w:val="003F18EB"/>
    <w:rsid w:val="003F1F66"/>
    <w:rsid w:val="003F2060"/>
    <w:rsid w:val="003F290A"/>
    <w:rsid w:val="003F3909"/>
    <w:rsid w:val="003F4453"/>
    <w:rsid w:val="003F48E3"/>
    <w:rsid w:val="003F5A7A"/>
    <w:rsid w:val="004006DE"/>
    <w:rsid w:val="00401219"/>
    <w:rsid w:val="004022F7"/>
    <w:rsid w:val="004028F3"/>
    <w:rsid w:val="00403014"/>
    <w:rsid w:val="0040318B"/>
    <w:rsid w:val="00403AE0"/>
    <w:rsid w:val="0040415B"/>
    <w:rsid w:val="00404FF4"/>
    <w:rsid w:val="00405386"/>
    <w:rsid w:val="00406735"/>
    <w:rsid w:val="00406EA4"/>
    <w:rsid w:val="00407BC5"/>
    <w:rsid w:val="00407D82"/>
    <w:rsid w:val="0041051B"/>
    <w:rsid w:val="00411717"/>
    <w:rsid w:val="00412D78"/>
    <w:rsid w:val="004135C6"/>
    <w:rsid w:val="00413C60"/>
    <w:rsid w:val="0041417F"/>
    <w:rsid w:val="00414413"/>
    <w:rsid w:val="00414C03"/>
    <w:rsid w:val="00416888"/>
    <w:rsid w:val="004173D3"/>
    <w:rsid w:val="0041745F"/>
    <w:rsid w:val="004174CE"/>
    <w:rsid w:val="00417C9D"/>
    <w:rsid w:val="0042098D"/>
    <w:rsid w:val="004219FE"/>
    <w:rsid w:val="004222E4"/>
    <w:rsid w:val="00422488"/>
    <w:rsid w:val="00422E88"/>
    <w:rsid w:val="00422FD3"/>
    <w:rsid w:val="00423127"/>
    <w:rsid w:val="00424421"/>
    <w:rsid w:val="004246B3"/>
    <w:rsid w:val="00424C94"/>
    <w:rsid w:val="00427977"/>
    <w:rsid w:val="00427BDA"/>
    <w:rsid w:val="004305B1"/>
    <w:rsid w:val="004315EC"/>
    <w:rsid w:val="00432323"/>
    <w:rsid w:val="004353F2"/>
    <w:rsid w:val="004367D4"/>
    <w:rsid w:val="00436924"/>
    <w:rsid w:val="0043705A"/>
    <w:rsid w:val="00440DB7"/>
    <w:rsid w:val="00441FB8"/>
    <w:rsid w:val="00443EBA"/>
    <w:rsid w:val="00444E15"/>
    <w:rsid w:val="0044557A"/>
    <w:rsid w:val="00445CA2"/>
    <w:rsid w:val="00446084"/>
    <w:rsid w:val="00447AFF"/>
    <w:rsid w:val="00450650"/>
    <w:rsid w:val="00450F3D"/>
    <w:rsid w:val="0045189B"/>
    <w:rsid w:val="00451F77"/>
    <w:rsid w:val="00452204"/>
    <w:rsid w:val="00453E0F"/>
    <w:rsid w:val="00455D81"/>
    <w:rsid w:val="00456387"/>
    <w:rsid w:val="00460A77"/>
    <w:rsid w:val="00460AE8"/>
    <w:rsid w:val="00460BD5"/>
    <w:rsid w:val="00462EC9"/>
    <w:rsid w:val="0046326E"/>
    <w:rsid w:val="00463B61"/>
    <w:rsid w:val="004658BD"/>
    <w:rsid w:val="00466421"/>
    <w:rsid w:val="00467C31"/>
    <w:rsid w:val="0047085E"/>
    <w:rsid w:val="0047114C"/>
    <w:rsid w:val="004711F9"/>
    <w:rsid w:val="004715FF"/>
    <w:rsid w:val="0047175C"/>
    <w:rsid w:val="00472082"/>
    <w:rsid w:val="0047209B"/>
    <w:rsid w:val="004744E2"/>
    <w:rsid w:val="00474BA4"/>
    <w:rsid w:val="004765C3"/>
    <w:rsid w:val="004769FF"/>
    <w:rsid w:val="00476BD0"/>
    <w:rsid w:val="00476C03"/>
    <w:rsid w:val="00476DDC"/>
    <w:rsid w:val="004776CE"/>
    <w:rsid w:val="0047786A"/>
    <w:rsid w:val="004805EC"/>
    <w:rsid w:val="00480E4D"/>
    <w:rsid w:val="00481C89"/>
    <w:rsid w:val="004821E2"/>
    <w:rsid w:val="004833F1"/>
    <w:rsid w:val="004834ED"/>
    <w:rsid w:val="004836CC"/>
    <w:rsid w:val="004840F1"/>
    <w:rsid w:val="00484A3B"/>
    <w:rsid w:val="00485309"/>
    <w:rsid w:val="00485CA6"/>
    <w:rsid w:val="004868DD"/>
    <w:rsid w:val="00487406"/>
    <w:rsid w:val="0048749D"/>
    <w:rsid w:val="00487AE1"/>
    <w:rsid w:val="00490934"/>
    <w:rsid w:val="00490D7F"/>
    <w:rsid w:val="00492166"/>
    <w:rsid w:val="00492A36"/>
    <w:rsid w:val="00493383"/>
    <w:rsid w:val="004939A0"/>
    <w:rsid w:val="0049409B"/>
    <w:rsid w:val="004947F2"/>
    <w:rsid w:val="00495139"/>
    <w:rsid w:val="00495D5E"/>
    <w:rsid w:val="004966C1"/>
    <w:rsid w:val="004967C1"/>
    <w:rsid w:val="00497417"/>
    <w:rsid w:val="004975F8"/>
    <w:rsid w:val="004A0798"/>
    <w:rsid w:val="004A0EE1"/>
    <w:rsid w:val="004A1356"/>
    <w:rsid w:val="004A1412"/>
    <w:rsid w:val="004A1B94"/>
    <w:rsid w:val="004A1BA1"/>
    <w:rsid w:val="004A2914"/>
    <w:rsid w:val="004A2A40"/>
    <w:rsid w:val="004A3DC1"/>
    <w:rsid w:val="004A5B19"/>
    <w:rsid w:val="004A5B33"/>
    <w:rsid w:val="004A6177"/>
    <w:rsid w:val="004A759D"/>
    <w:rsid w:val="004A7AA5"/>
    <w:rsid w:val="004A7DD1"/>
    <w:rsid w:val="004B021A"/>
    <w:rsid w:val="004B04F8"/>
    <w:rsid w:val="004B1806"/>
    <w:rsid w:val="004B28A7"/>
    <w:rsid w:val="004B2970"/>
    <w:rsid w:val="004B2977"/>
    <w:rsid w:val="004B2AC8"/>
    <w:rsid w:val="004B2CAB"/>
    <w:rsid w:val="004B2F99"/>
    <w:rsid w:val="004B37CC"/>
    <w:rsid w:val="004B3A3F"/>
    <w:rsid w:val="004B3FE0"/>
    <w:rsid w:val="004B5415"/>
    <w:rsid w:val="004B555E"/>
    <w:rsid w:val="004B578B"/>
    <w:rsid w:val="004B6DD9"/>
    <w:rsid w:val="004B70B5"/>
    <w:rsid w:val="004C0CE0"/>
    <w:rsid w:val="004C14FA"/>
    <w:rsid w:val="004C1594"/>
    <w:rsid w:val="004C15A1"/>
    <w:rsid w:val="004C20A2"/>
    <w:rsid w:val="004C3C9B"/>
    <w:rsid w:val="004C4E13"/>
    <w:rsid w:val="004C5131"/>
    <w:rsid w:val="004C623C"/>
    <w:rsid w:val="004C65EF"/>
    <w:rsid w:val="004C672A"/>
    <w:rsid w:val="004C7F1C"/>
    <w:rsid w:val="004D0F6D"/>
    <w:rsid w:val="004D2A19"/>
    <w:rsid w:val="004D3EF4"/>
    <w:rsid w:val="004D40DA"/>
    <w:rsid w:val="004D51FF"/>
    <w:rsid w:val="004D5A38"/>
    <w:rsid w:val="004D6432"/>
    <w:rsid w:val="004D6DB0"/>
    <w:rsid w:val="004D7D0D"/>
    <w:rsid w:val="004E178E"/>
    <w:rsid w:val="004E1C8D"/>
    <w:rsid w:val="004E1E99"/>
    <w:rsid w:val="004E22A8"/>
    <w:rsid w:val="004E2B3E"/>
    <w:rsid w:val="004E35A6"/>
    <w:rsid w:val="004E4600"/>
    <w:rsid w:val="004E55A6"/>
    <w:rsid w:val="004E68AF"/>
    <w:rsid w:val="004E798F"/>
    <w:rsid w:val="004E7B75"/>
    <w:rsid w:val="004E7D85"/>
    <w:rsid w:val="004F016F"/>
    <w:rsid w:val="004F12EF"/>
    <w:rsid w:val="004F1A4C"/>
    <w:rsid w:val="004F2647"/>
    <w:rsid w:val="004F398A"/>
    <w:rsid w:val="004F49F9"/>
    <w:rsid w:val="004F5B2F"/>
    <w:rsid w:val="004F5C1F"/>
    <w:rsid w:val="004F6755"/>
    <w:rsid w:val="004F6A41"/>
    <w:rsid w:val="004F6FFD"/>
    <w:rsid w:val="004F78CB"/>
    <w:rsid w:val="004F7C89"/>
    <w:rsid w:val="005000F3"/>
    <w:rsid w:val="00501993"/>
    <w:rsid w:val="00504196"/>
    <w:rsid w:val="00504C58"/>
    <w:rsid w:val="005058AE"/>
    <w:rsid w:val="00505D30"/>
    <w:rsid w:val="00506608"/>
    <w:rsid w:val="00507E17"/>
    <w:rsid w:val="0051030E"/>
    <w:rsid w:val="00511215"/>
    <w:rsid w:val="0051177C"/>
    <w:rsid w:val="00511D9D"/>
    <w:rsid w:val="00512D7C"/>
    <w:rsid w:val="005132FD"/>
    <w:rsid w:val="00513A2D"/>
    <w:rsid w:val="00513BC1"/>
    <w:rsid w:val="005159D8"/>
    <w:rsid w:val="00515A48"/>
    <w:rsid w:val="00515DCC"/>
    <w:rsid w:val="005162D0"/>
    <w:rsid w:val="0051749F"/>
    <w:rsid w:val="0051767D"/>
    <w:rsid w:val="00517763"/>
    <w:rsid w:val="00520C6A"/>
    <w:rsid w:val="00521021"/>
    <w:rsid w:val="0052116C"/>
    <w:rsid w:val="005213C5"/>
    <w:rsid w:val="005227B8"/>
    <w:rsid w:val="00523676"/>
    <w:rsid w:val="00524705"/>
    <w:rsid w:val="0052544C"/>
    <w:rsid w:val="0052554A"/>
    <w:rsid w:val="0052633D"/>
    <w:rsid w:val="005274EB"/>
    <w:rsid w:val="00527F1F"/>
    <w:rsid w:val="00527F2F"/>
    <w:rsid w:val="0053013D"/>
    <w:rsid w:val="0053022F"/>
    <w:rsid w:val="00530268"/>
    <w:rsid w:val="00530EE5"/>
    <w:rsid w:val="00530FFA"/>
    <w:rsid w:val="005314EC"/>
    <w:rsid w:val="005316E2"/>
    <w:rsid w:val="00532D42"/>
    <w:rsid w:val="00532F55"/>
    <w:rsid w:val="00533850"/>
    <w:rsid w:val="0053431E"/>
    <w:rsid w:val="00535A57"/>
    <w:rsid w:val="00535BE7"/>
    <w:rsid w:val="00535FC6"/>
    <w:rsid w:val="00537C1A"/>
    <w:rsid w:val="0054041C"/>
    <w:rsid w:val="00540BE5"/>
    <w:rsid w:val="00542012"/>
    <w:rsid w:val="00542AE2"/>
    <w:rsid w:val="005433A7"/>
    <w:rsid w:val="00543CA1"/>
    <w:rsid w:val="00544AFF"/>
    <w:rsid w:val="00544FEC"/>
    <w:rsid w:val="00545109"/>
    <w:rsid w:val="00545216"/>
    <w:rsid w:val="00545D8C"/>
    <w:rsid w:val="00546E47"/>
    <w:rsid w:val="00546ED5"/>
    <w:rsid w:val="00547190"/>
    <w:rsid w:val="005474C5"/>
    <w:rsid w:val="00547BFD"/>
    <w:rsid w:val="005508F1"/>
    <w:rsid w:val="00550E33"/>
    <w:rsid w:val="00551745"/>
    <w:rsid w:val="00552169"/>
    <w:rsid w:val="0055519F"/>
    <w:rsid w:val="00556018"/>
    <w:rsid w:val="005565D0"/>
    <w:rsid w:val="0055672F"/>
    <w:rsid w:val="00557F8D"/>
    <w:rsid w:val="005609F5"/>
    <w:rsid w:val="005611B8"/>
    <w:rsid w:val="005611CD"/>
    <w:rsid w:val="0056124E"/>
    <w:rsid w:val="0056126F"/>
    <w:rsid w:val="00561D7D"/>
    <w:rsid w:val="00561E92"/>
    <w:rsid w:val="00562196"/>
    <w:rsid w:val="00562645"/>
    <w:rsid w:val="0056398D"/>
    <w:rsid w:val="005640E6"/>
    <w:rsid w:val="00564AA3"/>
    <w:rsid w:val="005654D0"/>
    <w:rsid w:val="00566FAB"/>
    <w:rsid w:val="00567413"/>
    <w:rsid w:val="00567EE0"/>
    <w:rsid w:val="00570273"/>
    <w:rsid w:val="00571D80"/>
    <w:rsid w:val="005724FA"/>
    <w:rsid w:val="00574801"/>
    <w:rsid w:val="005750B7"/>
    <w:rsid w:val="00576271"/>
    <w:rsid w:val="005772E2"/>
    <w:rsid w:val="00580CFA"/>
    <w:rsid w:val="00581EB6"/>
    <w:rsid w:val="00582337"/>
    <w:rsid w:val="005826D8"/>
    <w:rsid w:val="005829A2"/>
    <w:rsid w:val="0058301E"/>
    <w:rsid w:val="00583296"/>
    <w:rsid w:val="00583A3C"/>
    <w:rsid w:val="00583F12"/>
    <w:rsid w:val="0058432A"/>
    <w:rsid w:val="0058590B"/>
    <w:rsid w:val="00585A0E"/>
    <w:rsid w:val="0058657B"/>
    <w:rsid w:val="00591665"/>
    <w:rsid w:val="00592B02"/>
    <w:rsid w:val="00592BDF"/>
    <w:rsid w:val="00592D99"/>
    <w:rsid w:val="005944AE"/>
    <w:rsid w:val="00594882"/>
    <w:rsid w:val="005953A0"/>
    <w:rsid w:val="00595AE7"/>
    <w:rsid w:val="00596FBF"/>
    <w:rsid w:val="005A086B"/>
    <w:rsid w:val="005A257C"/>
    <w:rsid w:val="005A2F37"/>
    <w:rsid w:val="005A310D"/>
    <w:rsid w:val="005A3681"/>
    <w:rsid w:val="005A36B3"/>
    <w:rsid w:val="005A3BFF"/>
    <w:rsid w:val="005A530B"/>
    <w:rsid w:val="005A5697"/>
    <w:rsid w:val="005A56FB"/>
    <w:rsid w:val="005A5ED4"/>
    <w:rsid w:val="005A628D"/>
    <w:rsid w:val="005A65BA"/>
    <w:rsid w:val="005A65D8"/>
    <w:rsid w:val="005A6D86"/>
    <w:rsid w:val="005A71AB"/>
    <w:rsid w:val="005A7218"/>
    <w:rsid w:val="005A77C2"/>
    <w:rsid w:val="005A7E25"/>
    <w:rsid w:val="005B0B2F"/>
    <w:rsid w:val="005B10B7"/>
    <w:rsid w:val="005B14F7"/>
    <w:rsid w:val="005B21EA"/>
    <w:rsid w:val="005B279D"/>
    <w:rsid w:val="005B2FC0"/>
    <w:rsid w:val="005B310D"/>
    <w:rsid w:val="005B4122"/>
    <w:rsid w:val="005B4188"/>
    <w:rsid w:val="005B58BF"/>
    <w:rsid w:val="005B598F"/>
    <w:rsid w:val="005B6DFB"/>
    <w:rsid w:val="005B6EF9"/>
    <w:rsid w:val="005B71CB"/>
    <w:rsid w:val="005B7CC0"/>
    <w:rsid w:val="005C15C0"/>
    <w:rsid w:val="005C1A1E"/>
    <w:rsid w:val="005C205F"/>
    <w:rsid w:val="005C3EDA"/>
    <w:rsid w:val="005C4007"/>
    <w:rsid w:val="005C6899"/>
    <w:rsid w:val="005D00FD"/>
    <w:rsid w:val="005D1466"/>
    <w:rsid w:val="005D1BA6"/>
    <w:rsid w:val="005D3943"/>
    <w:rsid w:val="005D5658"/>
    <w:rsid w:val="005D57D1"/>
    <w:rsid w:val="005D5AAA"/>
    <w:rsid w:val="005D5EE1"/>
    <w:rsid w:val="005D7160"/>
    <w:rsid w:val="005D77F1"/>
    <w:rsid w:val="005D7D83"/>
    <w:rsid w:val="005D7E3D"/>
    <w:rsid w:val="005E063B"/>
    <w:rsid w:val="005E1246"/>
    <w:rsid w:val="005E1AC1"/>
    <w:rsid w:val="005E2641"/>
    <w:rsid w:val="005E2A9C"/>
    <w:rsid w:val="005E2D39"/>
    <w:rsid w:val="005E2DB7"/>
    <w:rsid w:val="005E4AA9"/>
    <w:rsid w:val="005E4BEE"/>
    <w:rsid w:val="005E5DC3"/>
    <w:rsid w:val="005E6173"/>
    <w:rsid w:val="005E6BAC"/>
    <w:rsid w:val="005E73F3"/>
    <w:rsid w:val="005E77F5"/>
    <w:rsid w:val="005F01F1"/>
    <w:rsid w:val="005F0CC3"/>
    <w:rsid w:val="005F0F40"/>
    <w:rsid w:val="005F16EA"/>
    <w:rsid w:val="005F1858"/>
    <w:rsid w:val="005F1CF8"/>
    <w:rsid w:val="005F34BB"/>
    <w:rsid w:val="005F4225"/>
    <w:rsid w:val="005F5D00"/>
    <w:rsid w:val="005F7557"/>
    <w:rsid w:val="00600005"/>
    <w:rsid w:val="00600AB7"/>
    <w:rsid w:val="00600D78"/>
    <w:rsid w:val="00601773"/>
    <w:rsid w:val="00601D6D"/>
    <w:rsid w:val="00601DD8"/>
    <w:rsid w:val="00602446"/>
    <w:rsid w:val="00602B47"/>
    <w:rsid w:val="00602E7E"/>
    <w:rsid w:val="006037B8"/>
    <w:rsid w:val="00603802"/>
    <w:rsid w:val="00603E53"/>
    <w:rsid w:val="006046B9"/>
    <w:rsid w:val="0060501A"/>
    <w:rsid w:val="006058E6"/>
    <w:rsid w:val="0060639C"/>
    <w:rsid w:val="006071D4"/>
    <w:rsid w:val="00607478"/>
    <w:rsid w:val="00607D73"/>
    <w:rsid w:val="00607EB6"/>
    <w:rsid w:val="006109E6"/>
    <w:rsid w:val="00610A6C"/>
    <w:rsid w:val="0061116E"/>
    <w:rsid w:val="00611C84"/>
    <w:rsid w:val="00611E93"/>
    <w:rsid w:val="00612289"/>
    <w:rsid w:val="006129F6"/>
    <w:rsid w:val="00613961"/>
    <w:rsid w:val="00613976"/>
    <w:rsid w:val="00615129"/>
    <w:rsid w:val="00615DD9"/>
    <w:rsid w:val="00616754"/>
    <w:rsid w:val="0061721B"/>
    <w:rsid w:val="00617DDB"/>
    <w:rsid w:val="00621F71"/>
    <w:rsid w:val="00624CA5"/>
    <w:rsid w:val="00624FDB"/>
    <w:rsid w:val="00627965"/>
    <w:rsid w:val="00627BA6"/>
    <w:rsid w:val="006308D4"/>
    <w:rsid w:val="00631296"/>
    <w:rsid w:val="00631382"/>
    <w:rsid w:val="0063153A"/>
    <w:rsid w:val="00632166"/>
    <w:rsid w:val="006325B9"/>
    <w:rsid w:val="00632AE7"/>
    <w:rsid w:val="006334AC"/>
    <w:rsid w:val="006337AA"/>
    <w:rsid w:val="006339C0"/>
    <w:rsid w:val="006341C8"/>
    <w:rsid w:val="00635010"/>
    <w:rsid w:val="006358E5"/>
    <w:rsid w:val="00636608"/>
    <w:rsid w:val="0063664E"/>
    <w:rsid w:val="006372B8"/>
    <w:rsid w:val="006412A8"/>
    <w:rsid w:val="00641C2A"/>
    <w:rsid w:val="00642003"/>
    <w:rsid w:val="00642A6F"/>
    <w:rsid w:val="0064310A"/>
    <w:rsid w:val="006435D6"/>
    <w:rsid w:val="00643A9D"/>
    <w:rsid w:val="00644F6D"/>
    <w:rsid w:val="00645B82"/>
    <w:rsid w:val="00647935"/>
    <w:rsid w:val="0065063C"/>
    <w:rsid w:val="00650E34"/>
    <w:rsid w:val="006532DE"/>
    <w:rsid w:val="00654518"/>
    <w:rsid w:val="006555B3"/>
    <w:rsid w:val="0065568C"/>
    <w:rsid w:val="006557E5"/>
    <w:rsid w:val="00655C19"/>
    <w:rsid w:val="00657975"/>
    <w:rsid w:val="00657F5A"/>
    <w:rsid w:val="006602A4"/>
    <w:rsid w:val="0066098C"/>
    <w:rsid w:val="00661C47"/>
    <w:rsid w:val="00661EF8"/>
    <w:rsid w:val="006623C6"/>
    <w:rsid w:val="00662A80"/>
    <w:rsid w:val="006642FD"/>
    <w:rsid w:val="00664DD2"/>
    <w:rsid w:val="00665158"/>
    <w:rsid w:val="00665BEB"/>
    <w:rsid w:val="00665DB5"/>
    <w:rsid w:val="00665F97"/>
    <w:rsid w:val="006669C2"/>
    <w:rsid w:val="006674FA"/>
    <w:rsid w:val="00670249"/>
    <w:rsid w:val="006706F7"/>
    <w:rsid w:val="00670AC8"/>
    <w:rsid w:val="00673345"/>
    <w:rsid w:val="00673CFA"/>
    <w:rsid w:val="00674584"/>
    <w:rsid w:val="00675699"/>
    <w:rsid w:val="00675840"/>
    <w:rsid w:val="0067651B"/>
    <w:rsid w:val="00676F43"/>
    <w:rsid w:val="00677B72"/>
    <w:rsid w:val="00680113"/>
    <w:rsid w:val="006802DC"/>
    <w:rsid w:val="00681F8A"/>
    <w:rsid w:val="006828A8"/>
    <w:rsid w:val="006845AA"/>
    <w:rsid w:val="006865E2"/>
    <w:rsid w:val="00686A03"/>
    <w:rsid w:val="00686C86"/>
    <w:rsid w:val="006903B2"/>
    <w:rsid w:val="00690ED2"/>
    <w:rsid w:val="006913D1"/>
    <w:rsid w:val="00691998"/>
    <w:rsid w:val="00692DFA"/>
    <w:rsid w:val="006941F9"/>
    <w:rsid w:val="00695006"/>
    <w:rsid w:val="006958F5"/>
    <w:rsid w:val="00695C53"/>
    <w:rsid w:val="00695D61"/>
    <w:rsid w:val="006965CD"/>
    <w:rsid w:val="00696DA7"/>
    <w:rsid w:val="006A064A"/>
    <w:rsid w:val="006A2F17"/>
    <w:rsid w:val="006A3B17"/>
    <w:rsid w:val="006A3FB0"/>
    <w:rsid w:val="006A435B"/>
    <w:rsid w:val="006A4D61"/>
    <w:rsid w:val="006A4DB9"/>
    <w:rsid w:val="006A5065"/>
    <w:rsid w:val="006A6DD1"/>
    <w:rsid w:val="006A7DC7"/>
    <w:rsid w:val="006A7E50"/>
    <w:rsid w:val="006B3205"/>
    <w:rsid w:val="006B47B7"/>
    <w:rsid w:val="006B5353"/>
    <w:rsid w:val="006B5BD4"/>
    <w:rsid w:val="006B6455"/>
    <w:rsid w:val="006B74C6"/>
    <w:rsid w:val="006B7C17"/>
    <w:rsid w:val="006C0169"/>
    <w:rsid w:val="006C0EE8"/>
    <w:rsid w:val="006C18B5"/>
    <w:rsid w:val="006C2611"/>
    <w:rsid w:val="006C2825"/>
    <w:rsid w:val="006C28E2"/>
    <w:rsid w:val="006C4935"/>
    <w:rsid w:val="006C7FCD"/>
    <w:rsid w:val="006D0A96"/>
    <w:rsid w:val="006D167A"/>
    <w:rsid w:val="006D22F7"/>
    <w:rsid w:val="006D3048"/>
    <w:rsid w:val="006D37F0"/>
    <w:rsid w:val="006D39C0"/>
    <w:rsid w:val="006D39F9"/>
    <w:rsid w:val="006D3A84"/>
    <w:rsid w:val="006D4735"/>
    <w:rsid w:val="006D480B"/>
    <w:rsid w:val="006D4874"/>
    <w:rsid w:val="006D4F3A"/>
    <w:rsid w:val="006D5CE2"/>
    <w:rsid w:val="006D602D"/>
    <w:rsid w:val="006D65CA"/>
    <w:rsid w:val="006D7909"/>
    <w:rsid w:val="006D7E4D"/>
    <w:rsid w:val="006E1018"/>
    <w:rsid w:val="006E14AB"/>
    <w:rsid w:val="006E17C3"/>
    <w:rsid w:val="006E2899"/>
    <w:rsid w:val="006E2ADC"/>
    <w:rsid w:val="006E333C"/>
    <w:rsid w:val="006E353A"/>
    <w:rsid w:val="006E356F"/>
    <w:rsid w:val="006E38A0"/>
    <w:rsid w:val="006E54C3"/>
    <w:rsid w:val="006E56D3"/>
    <w:rsid w:val="006E5D75"/>
    <w:rsid w:val="006E6498"/>
    <w:rsid w:val="006E785F"/>
    <w:rsid w:val="006E78C2"/>
    <w:rsid w:val="006F0402"/>
    <w:rsid w:val="006F068D"/>
    <w:rsid w:val="006F06BB"/>
    <w:rsid w:val="006F1166"/>
    <w:rsid w:val="006F17D1"/>
    <w:rsid w:val="006F219D"/>
    <w:rsid w:val="006F2CF4"/>
    <w:rsid w:val="006F2D79"/>
    <w:rsid w:val="006F366D"/>
    <w:rsid w:val="006F3B4B"/>
    <w:rsid w:val="006F5659"/>
    <w:rsid w:val="006F5AE2"/>
    <w:rsid w:val="006F7DB3"/>
    <w:rsid w:val="006F7EF0"/>
    <w:rsid w:val="00700031"/>
    <w:rsid w:val="007000C3"/>
    <w:rsid w:val="00700219"/>
    <w:rsid w:val="00700894"/>
    <w:rsid w:val="00700F8B"/>
    <w:rsid w:val="0070148F"/>
    <w:rsid w:val="007021E4"/>
    <w:rsid w:val="007026B6"/>
    <w:rsid w:val="007026D3"/>
    <w:rsid w:val="00702B77"/>
    <w:rsid w:val="00703303"/>
    <w:rsid w:val="007041B0"/>
    <w:rsid w:val="0070546D"/>
    <w:rsid w:val="0070602A"/>
    <w:rsid w:val="007073EC"/>
    <w:rsid w:val="00711ADF"/>
    <w:rsid w:val="00711D10"/>
    <w:rsid w:val="0071238E"/>
    <w:rsid w:val="00712DD1"/>
    <w:rsid w:val="007135CF"/>
    <w:rsid w:val="00713EBF"/>
    <w:rsid w:val="00714A4E"/>
    <w:rsid w:val="00714ECE"/>
    <w:rsid w:val="00715852"/>
    <w:rsid w:val="00715AE2"/>
    <w:rsid w:val="007164E5"/>
    <w:rsid w:val="007165C3"/>
    <w:rsid w:val="007169D1"/>
    <w:rsid w:val="00717675"/>
    <w:rsid w:val="00717951"/>
    <w:rsid w:val="00717D04"/>
    <w:rsid w:val="00720C5E"/>
    <w:rsid w:val="007217C1"/>
    <w:rsid w:val="0072198D"/>
    <w:rsid w:val="00721CBA"/>
    <w:rsid w:val="00721F3B"/>
    <w:rsid w:val="00722543"/>
    <w:rsid w:val="00722FFF"/>
    <w:rsid w:val="00723548"/>
    <w:rsid w:val="00723974"/>
    <w:rsid w:val="00723DEA"/>
    <w:rsid w:val="007240B8"/>
    <w:rsid w:val="00727286"/>
    <w:rsid w:val="00727536"/>
    <w:rsid w:val="00727657"/>
    <w:rsid w:val="007309AF"/>
    <w:rsid w:val="00730A1F"/>
    <w:rsid w:val="00730DCE"/>
    <w:rsid w:val="00731C26"/>
    <w:rsid w:val="0073350A"/>
    <w:rsid w:val="00733550"/>
    <w:rsid w:val="00735381"/>
    <w:rsid w:val="007366E7"/>
    <w:rsid w:val="00737BEB"/>
    <w:rsid w:val="00740575"/>
    <w:rsid w:val="007416AE"/>
    <w:rsid w:val="00742CA0"/>
    <w:rsid w:val="007436E0"/>
    <w:rsid w:val="007463A7"/>
    <w:rsid w:val="00747EFC"/>
    <w:rsid w:val="00747FF5"/>
    <w:rsid w:val="007503B2"/>
    <w:rsid w:val="007505C4"/>
    <w:rsid w:val="00750E45"/>
    <w:rsid w:val="007512DB"/>
    <w:rsid w:val="00751C02"/>
    <w:rsid w:val="00752A2B"/>
    <w:rsid w:val="007535DF"/>
    <w:rsid w:val="00754447"/>
    <w:rsid w:val="00754930"/>
    <w:rsid w:val="00754AA5"/>
    <w:rsid w:val="00754FC3"/>
    <w:rsid w:val="00755ACA"/>
    <w:rsid w:val="00755BD9"/>
    <w:rsid w:val="00755DF7"/>
    <w:rsid w:val="007569D5"/>
    <w:rsid w:val="00757573"/>
    <w:rsid w:val="00757B3C"/>
    <w:rsid w:val="007600B7"/>
    <w:rsid w:val="0076129F"/>
    <w:rsid w:val="0076232A"/>
    <w:rsid w:val="007628B2"/>
    <w:rsid w:val="00763219"/>
    <w:rsid w:val="00763CF3"/>
    <w:rsid w:val="0076457B"/>
    <w:rsid w:val="007654E6"/>
    <w:rsid w:val="007657CF"/>
    <w:rsid w:val="00765A22"/>
    <w:rsid w:val="00765E1C"/>
    <w:rsid w:val="00765F05"/>
    <w:rsid w:val="00770A4E"/>
    <w:rsid w:val="0077135A"/>
    <w:rsid w:val="0077170C"/>
    <w:rsid w:val="0077228B"/>
    <w:rsid w:val="0077334A"/>
    <w:rsid w:val="00773A41"/>
    <w:rsid w:val="00773B78"/>
    <w:rsid w:val="00773ED2"/>
    <w:rsid w:val="00774ADB"/>
    <w:rsid w:val="00774DB3"/>
    <w:rsid w:val="00774FA9"/>
    <w:rsid w:val="00775383"/>
    <w:rsid w:val="0077605E"/>
    <w:rsid w:val="00776AC6"/>
    <w:rsid w:val="007770A7"/>
    <w:rsid w:val="00777D24"/>
    <w:rsid w:val="00777F41"/>
    <w:rsid w:val="007818FD"/>
    <w:rsid w:val="00782796"/>
    <w:rsid w:val="007830A5"/>
    <w:rsid w:val="00783540"/>
    <w:rsid w:val="0078362B"/>
    <w:rsid w:val="007847DC"/>
    <w:rsid w:val="0078524E"/>
    <w:rsid w:val="00785C87"/>
    <w:rsid w:val="00785E75"/>
    <w:rsid w:val="00786147"/>
    <w:rsid w:val="00786956"/>
    <w:rsid w:val="00787316"/>
    <w:rsid w:val="0078769F"/>
    <w:rsid w:val="00790C4B"/>
    <w:rsid w:val="00790F30"/>
    <w:rsid w:val="007919C1"/>
    <w:rsid w:val="00791D97"/>
    <w:rsid w:val="0079222B"/>
    <w:rsid w:val="00792839"/>
    <w:rsid w:val="00792B9D"/>
    <w:rsid w:val="00792F46"/>
    <w:rsid w:val="00793087"/>
    <w:rsid w:val="007930BD"/>
    <w:rsid w:val="00793318"/>
    <w:rsid w:val="00793BA8"/>
    <w:rsid w:val="00794FBF"/>
    <w:rsid w:val="00795AB7"/>
    <w:rsid w:val="00795BE4"/>
    <w:rsid w:val="00795EDF"/>
    <w:rsid w:val="00796A9F"/>
    <w:rsid w:val="007A003F"/>
    <w:rsid w:val="007A005F"/>
    <w:rsid w:val="007A00CC"/>
    <w:rsid w:val="007A074D"/>
    <w:rsid w:val="007A24E8"/>
    <w:rsid w:val="007A36E8"/>
    <w:rsid w:val="007A4E9C"/>
    <w:rsid w:val="007A505E"/>
    <w:rsid w:val="007A5841"/>
    <w:rsid w:val="007A65C8"/>
    <w:rsid w:val="007A7642"/>
    <w:rsid w:val="007B08E3"/>
    <w:rsid w:val="007B0AC9"/>
    <w:rsid w:val="007B19FB"/>
    <w:rsid w:val="007B1B1C"/>
    <w:rsid w:val="007B1CD5"/>
    <w:rsid w:val="007B1E96"/>
    <w:rsid w:val="007B23DC"/>
    <w:rsid w:val="007B27FB"/>
    <w:rsid w:val="007B285D"/>
    <w:rsid w:val="007B2ABD"/>
    <w:rsid w:val="007B3AD1"/>
    <w:rsid w:val="007B3DB5"/>
    <w:rsid w:val="007B4202"/>
    <w:rsid w:val="007B72E2"/>
    <w:rsid w:val="007B7D1F"/>
    <w:rsid w:val="007C08B2"/>
    <w:rsid w:val="007C12FE"/>
    <w:rsid w:val="007C1EF0"/>
    <w:rsid w:val="007C2D90"/>
    <w:rsid w:val="007C38AE"/>
    <w:rsid w:val="007C3A73"/>
    <w:rsid w:val="007C3B69"/>
    <w:rsid w:val="007C4406"/>
    <w:rsid w:val="007C4AF3"/>
    <w:rsid w:val="007C4DED"/>
    <w:rsid w:val="007C5FFE"/>
    <w:rsid w:val="007C6968"/>
    <w:rsid w:val="007C6BAF"/>
    <w:rsid w:val="007C6C5B"/>
    <w:rsid w:val="007C7251"/>
    <w:rsid w:val="007C79A1"/>
    <w:rsid w:val="007D08DA"/>
    <w:rsid w:val="007D0EEE"/>
    <w:rsid w:val="007D2A33"/>
    <w:rsid w:val="007D3D96"/>
    <w:rsid w:val="007D4AB3"/>
    <w:rsid w:val="007D51E8"/>
    <w:rsid w:val="007D60BE"/>
    <w:rsid w:val="007D6D78"/>
    <w:rsid w:val="007D6DE4"/>
    <w:rsid w:val="007D700B"/>
    <w:rsid w:val="007D739E"/>
    <w:rsid w:val="007D766A"/>
    <w:rsid w:val="007E065D"/>
    <w:rsid w:val="007E0D90"/>
    <w:rsid w:val="007E119A"/>
    <w:rsid w:val="007E121F"/>
    <w:rsid w:val="007E15B7"/>
    <w:rsid w:val="007E1625"/>
    <w:rsid w:val="007E2A2C"/>
    <w:rsid w:val="007E2AEE"/>
    <w:rsid w:val="007E3503"/>
    <w:rsid w:val="007E4E7B"/>
    <w:rsid w:val="007E589F"/>
    <w:rsid w:val="007E5D0A"/>
    <w:rsid w:val="007E64D1"/>
    <w:rsid w:val="007E75B2"/>
    <w:rsid w:val="007E75B9"/>
    <w:rsid w:val="007E763F"/>
    <w:rsid w:val="007E794E"/>
    <w:rsid w:val="007F02F9"/>
    <w:rsid w:val="007F1916"/>
    <w:rsid w:val="007F2448"/>
    <w:rsid w:val="007F2948"/>
    <w:rsid w:val="007F321D"/>
    <w:rsid w:val="007F40DD"/>
    <w:rsid w:val="007F56BA"/>
    <w:rsid w:val="007F5F20"/>
    <w:rsid w:val="007F5FFE"/>
    <w:rsid w:val="007F626A"/>
    <w:rsid w:val="007F6AE3"/>
    <w:rsid w:val="007F6E64"/>
    <w:rsid w:val="007F7E77"/>
    <w:rsid w:val="00800043"/>
    <w:rsid w:val="008001BB"/>
    <w:rsid w:val="00801336"/>
    <w:rsid w:val="008013FF"/>
    <w:rsid w:val="008017FC"/>
    <w:rsid w:val="0080187C"/>
    <w:rsid w:val="00801AEF"/>
    <w:rsid w:val="00802793"/>
    <w:rsid w:val="008029B1"/>
    <w:rsid w:val="00802CFA"/>
    <w:rsid w:val="00803497"/>
    <w:rsid w:val="00803635"/>
    <w:rsid w:val="00803959"/>
    <w:rsid w:val="00804C65"/>
    <w:rsid w:val="00804D61"/>
    <w:rsid w:val="0080596F"/>
    <w:rsid w:val="008060F4"/>
    <w:rsid w:val="0080611C"/>
    <w:rsid w:val="0080686B"/>
    <w:rsid w:val="00806C09"/>
    <w:rsid w:val="00810084"/>
    <w:rsid w:val="00811626"/>
    <w:rsid w:val="008119B0"/>
    <w:rsid w:val="008121DE"/>
    <w:rsid w:val="00812819"/>
    <w:rsid w:val="00812BB2"/>
    <w:rsid w:val="00812C2F"/>
    <w:rsid w:val="00813410"/>
    <w:rsid w:val="00813885"/>
    <w:rsid w:val="00814256"/>
    <w:rsid w:val="008145EA"/>
    <w:rsid w:val="00814BDF"/>
    <w:rsid w:val="00815152"/>
    <w:rsid w:val="00815651"/>
    <w:rsid w:val="00815948"/>
    <w:rsid w:val="00815E19"/>
    <w:rsid w:val="0081600F"/>
    <w:rsid w:val="00816446"/>
    <w:rsid w:val="008169EA"/>
    <w:rsid w:val="00816D6C"/>
    <w:rsid w:val="0082067F"/>
    <w:rsid w:val="008207E8"/>
    <w:rsid w:val="0082121C"/>
    <w:rsid w:val="00821392"/>
    <w:rsid w:val="0082225A"/>
    <w:rsid w:val="008239AC"/>
    <w:rsid w:val="00823C7C"/>
    <w:rsid w:val="0082781B"/>
    <w:rsid w:val="00827AD7"/>
    <w:rsid w:val="008314A1"/>
    <w:rsid w:val="0083181C"/>
    <w:rsid w:val="00831AB1"/>
    <w:rsid w:val="00832A47"/>
    <w:rsid w:val="00832E8E"/>
    <w:rsid w:val="0083338C"/>
    <w:rsid w:val="0083398C"/>
    <w:rsid w:val="0083527A"/>
    <w:rsid w:val="00835BBC"/>
    <w:rsid w:val="00835F7F"/>
    <w:rsid w:val="0083670F"/>
    <w:rsid w:val="0083732C"/>
    <w:rsid w:val="00837372"/>
    <w:rsid w:val="0083756A"/>
    <w:rsid w:val="00837CD8"/>
    <w:rsid w:val="00840FC0"/>
    <w:rsid w:val="008426B3"/>
    <w:rsid w:val="00842A4B"/>
    <w:rsid w:val="00842AA1"/>
    <w:rsid w:val="00843549"/>
    <w:rsid w:val="00843BCC"/>
    <w:rsid w:val="00844449"/>
    <w:rsid w:val="00844655"/>
    <w:rsid w:val="00845547"/>
    <w:rsid w:val="008458A8"/>
    <w:rsid w:val="008466EB"/>
    <w:rsid w:val="008468F1"/>
    <w:rsid w:val="00847729"/>
    <w:rsid w:val="00847DB7"/>
    <w:rsid w:val="0085062F"/>
    <w:rsid w:val="008513CF"/>
    <w:rsid w:val="00852964"/>
    <w:rsid w:val="008532EF"/>
    <w:rsid w:val="0085354C"/>
    <w:rsid w:val="00854174"/>
    <w:rsid w:val="0085446A"/>
    <w:rsid w:val="008549D4"/>
    <w:rsid w:val="00854A84"/>
    <w:rsid w:val="00855748"/>
    <w:rsid w:val="00856571"/>
    <w:rsid w:val="008567E3"/>
    <w:rsid w:val="00857FCF"/>
    <w:rsid w:val="00860DFF"/>
    <w:rsid w:val="00861708"/>
    <w:rsid w:val="00861861"/>
    <w:rsid w:val="00861C5D"/>
    <w:rsid w:val="00861E69"/>
    <w:rsid w:val="00862B23"/>
    <w:rsid w:val="008633AE"/>
    <w:rsid w:val="008643DC"/>
    <w:rsid w:val="0086466D"/>
    <w:rsid w:val="008704B5"/>
    <w:rsid w:val="00870B1F"/>
    <w:rsid w:val="00870E18"/>
    <w:rsid w:val="008717E6"/>
    <w:rsid w:val="00871C48"/>
    <w:rsid w:val="00871E4C"/>
    <w:rsid w:val="00872A80"/>
    <w:rsid w:val="00872BCF"/>
    <w:rsid w:val="00873BBD"/>
    <w:rsid w:val="00874959"/>
    <w:rsid w:val="00874C33"/>
    <w:rsid w:val="00875421"/>
    <w:rsid w:val="00876374"/>
    <w:rsid w:val="008764CF"/>
    <w:rsid w:val="0087773A"/>
    <w:rsid w:val="00877C4E"/>
    <w:rsid w:val="00880B39"/>
    <w:rsid w:val="00880D8A"/>
    <w:rsid w:val="008810B3"/>
    <w:rsid w:val="008819CC"/>
    <w:rsid w:val="00882B8D"/>
    <w:rsid w:val="00883065"/>
    <w:rsid w:val="00883ADD"/>
    <w:rsid w:val="00883C01"/>
    <w:rsid w:val="008844E5"/>
    <w:rsid w:val="00885759"/>
    <w:rsid w:val="0088586D"/>
    <w:rsid w:val="00887387"/>
    <w:rsid w:val="00887F28"/>
    <w:rsid w:val="00890466"/>
    <w:rsid w:val="008929E7"/>
    <w:rsid w:val="00893597"/>
    <w:rsid w:val="008939AC"/>
    <w:rsid w:val="008939D5"/>
    <w:rsid w:val="00893A51"/>
    <w:rsid w:val="008967D9"/>
    <w:rsid w:val="00896BD2"/>
    <w:rsid w:val="00896C23"/>
    <w:rsid w:val="008A02B8"/>
    <w:rsid w:val="008A05AC"/>
    <w:rsid w:val="008A064A"/>
    <w:rsid w:val="008A0A40"/>
    <w:rsid w:val="008A0AC5"/>
    <w:rsid w:val="008A0DEE"/>
    <w:rsid w:val="008A11BA"/>
    <w:rsid w:val="008A1243"/>
    <w:rsid w:val="008A1672"/>
    <w:rsid w:val="008A1989"/>
    <w:rsid w:val="008A25EA"/>
    <w:rsid w:val="008A3644"/>
    <w:rsid w:val="008A3E1C"/>
    <w:rsid w:val="008A4621"/>
    <w:rsid w:val="008A4B2E"/>
    <w:rsid w:val="008A4DF4"/>
    <w:rsid w:val="008A4EC1"/>
    <w:rsid w:val="008A53B7"/>
    <w:rsid w:val="008A58B8"/>
    <w:rsid w:val="008A6145"/>
    <w:rsid w:val="008A625D"/>
    <w:rsid w:val="008A713C"/>
    <w:rsid w:val="008A775F"/>
    <w:rsid w:val="008A7D42"/>
    <w:rsid w:val="008A7EAD"/>
    <w:rsid w:val="008B05D6"/>
    <w:rsid w:val="008B0715"/>
    <w:rsid w:val="008B081C"/>
    <w:rsid w:val="008B1E51"/>
    <w:rsid w:val="008B1FAA"/>
    <w:rsid w:val="008B2D7F"/>
    <w:rsid w:val="008B3EA9"/>
    <w:rsid w:val="008B657D"/>
    <w:rsid w:val="008B65F5"/>
    <w:rsid w:val="008C2867"/>
    <w:rsid w:val="008C2DEF"/>
    <w:rsid w:val="008C30F7"/>
    <w:rsid w:val="008C390B"/>
    <w:rsid w:val="008C3B20"/>
    <w:rsid w:val="008C50F4"/>
    <w:rsid w:val="008C569B"/>
    <w:rsid w:val="008D052C"/>
    <w:rsid w:val="008D0DE4"/>
    <w:rsid w:val="008D0E1B"/>
    <w:rsid w:val="008D1D60"/>
    <w:rsid w:val="008D293D"/>
    <w:rsid w:val="008D3068"/>
    <w:rsid w:val="008D4934"/>
    <w:rsid w:val="008D4FA8"/>
    <w:rsid w:val="008D50CB"/>
    <w:rsid w:val="008D5A8E"/>
    <w:rsid w:val="008D617A"/>
    <w:rsid w:val="008D7159"/>
    <w:rsid w:val="008E0CE2"/>
    <w:rsid w:val="008E179D"/>
    <w:rsid w:val="008E257A"/>
    <w:rsid w:val="008E2A7A"/>
    <w:rsid w:val="008E3C2C"/>
    <w:rsid w:val="008E47F1"/>
    <w:rsid w:val="008E50AB"/>
    <w:rsid w:val="008E563E"/>
    <w:rsid w:val="008E5E4B"/>
    <w:rsid w:val="008E5E78"/>
    <w:rsid w:val="008E799B"/>
    <w:rsid w:val="008E7A5E"/>
    <w:rsid w:val="008E7DF5"/>
    <w:rsid w:val="008F01AD"/>
    <w:rsid w:val="008F09EE"/>
    <w:rsid w:val="008F0C2F"/>
    <w:rsid w:val="008F1082"/>
    <w:rsid w:val="008F18AA"/>
    <w:rsid w:val="008F2361"/>
    <w:rsid w:val="008F2583"/>
    <w:rsid w:val="008F3FE0"/>
    <w:rsid w:val="008F566C"/>
    <w:rsid w:val="008F57C0"/>
    <w:rsid w:val="008F67F5"/>
    <w:rsid w:val="008F6E8F"/>
    <w:rsid w:val="008F7357"/>
    <w:rsid w:val="008F7866"/>
    <w:rsid w:val="009000E0"/>
    <w:rsid w:val="00900C82"/>
    <w:rsid w:val="009012E9"/>
    <w:rsid w:val="00901651"/>
    <w:rsid w:val="009018AB"/>
    <w:rsid w:val="00901BE9"/>
    <w:rsid w:val="00902658"/>
    <w:rsid w:val="00902F5A"/>
    <w:rsid w:val="00903D6A"/>
    <w:rsid w:val="0090420E"/>
    <w:rsid w:val="009045D6"/>
    <w:rsid w:val="00905285"/>
    <w:rsid w:val="00906C2B"/>
    <w:rsid w:val="0091088E"/>
    <w:rsid w:val="009111BF"/>
    <w:rsid w:val="00911A4C"/>
    <w:rsid w:val="00912421"/>
    <w:rsid w:val="00912702"/>
    <w:rsid w:val="0091324C"/>
    <w:rsid w:val="0091392D"/>
    <w:rsid w:val="00913B23"/>
    <w:rsid w:val="0091469C"/>
    <w:rsid w:val="00914AA8"/>
    <w:rsid w:val="00914E8A"/>
    <w:rsid w:val="009150DC"/>
    <w:rsid w:val="00915352"/>
    <w:rsid w:val="0091643C"/>
    <w:rsid w:val="00916626"/>
    <w:rsid w:val="009166D6"/>
    <w:rsid w:val="00916A75"/>
    <w:rsid w:val="009171CF"/>
    <w:rsid w:val="0091773D"/>
    <w:rsid w:val="00920BF6"/>
    <w:rsid w:val="00920DD8"/>
    <w:rsid w:val="0092321A"/>
    <w:rsid w:val="00923EA0"/>
    <w:rsid w:val="009240F4"/>
    <w:rsid w:val="00924F81"/>
    <w:rsid w:val="00924F84"/>
    <w:rsid w:val="00925C10"/>
    <w:rsid w:val="009264C8"/>
    <w:rsid w:val="00926979"/>
    <w:rsid w:val="00926BCA"/>
    <w:rsid w:val="00927E53"/>
    <w:rsid w:val="009305BC"/>
    <w:rsid w:val="009305BD"/>
    <w:rsid w:val="00932461"/>
    <w:rsid w:val="0093293D"/>
    <w:rsid w:val="00932C2F"/>
    <w:rsid w:val="009338AF"/>
    <w:rsid w:val="0093451E"/>
    <w:rsid w:val="00934560"/>
    <w:rsid w:val="00934A17"/>
    <w:rsid w:val="009354A1"/>
    <w:rsid w:val="00937635"/>
    <w:rsid w:val="00937894"/>
    <w:rsid w:val="00940CF3"/>
    <w:rsid w:val="00940EE9"/>
    <w:rsid w:val="00941121"/>
    <w:rsid w:val="009414D5"/>
    <w:rsid w:val="0094192C"/>
    <w:rsid w:val="00942ED2"/>
    <w:rsid w:val="009437F0"/>
    <w:rsid w:val="009455C0"/>
    <w:rsid w:val="0094617E"/>
    <w:rsid w:val="00947512"/>
    <w:rsid w:val="0094795D"/>
    <w:rsid w:val="009503FB"/>
    <w:rsid w:val="00950ECE"/>
    <w:rsid w:val="009526CD"/>
    <w:rsid w:val="00953DAB"/>
    <w:rsid w:val="009543AA"/>
    <w:rsid w:val="009543F9"/>
    <w:rsid w:val="00954430"/>
    <w:rsid w:val="009602F9"/>
    <w:rsid w:val="00962E05"/>
    <w:rsid w:val="00963499"/>
    <w:rsid w:val="00963851"/>
    <w:rsid w:val="00964591"/>
    <w:rsid w:val="00965129"/>
    <w:rsid w:val="00966ADA"/>
    <w:rsid w:val="00966C80"/>
    <w:rsid w:val="00967F22"/>
    <w:rsid w:val="00970BD0"/>
    <w:rsid w:val="00971DB1"/>
    <w:rsid w:val="0097204A"/>
    <w:rsid w:val="00973B55"/>
    <w:rsid w:val="00973D1A"/>
    <w:rsid w:val="00975139"/>
    <w:rsid w:val="009753B3"/>
    <w:rsid w:val="00975611"/>
    <w:rsid w:val="00975BC0"/>
    <w:rsid w:val="00976335"/>
    <w:rsid w:val="00976CEE"/>
    <w:rsid w:val="0098097B"/>
    <w:rsid w:val="0098196A"/>
    <w:rsid w:val="009829E5"/>
    <w:rsid w:val="00983453"/>
    <w:rsid w:val="00983DA7"/>
    <w:rsid w:val="0098468F"/>
    <w:rsid w:val="00984842"/>
    <w:rsid w:val="00984DF6"/>
    <w:rsid w:val="00986ADF"/>
    <w:rsid w:val="0098715B"/>
    <w:rsid w:val="009873CD"/>
    <w:rsid w:val="00990195"/>
    <w:rsid w:val="00991416"/>
    <w:rsid w:val="00992651"/>
    <w:rsid w:val="009935F2"/>
    <w:rsid w:val="0099422A"/>
    <w:rsid w:val="009948B2"/>
    <w:rsid w:val="00995067"/>
    <w:rsid w:val="0099515A"/>
    <w:rsid w:val="00996272"/>
    <w:rsid w:val="0099694E"/>
    <w:rsid w:val="00997715"/>
    <w:rsid w:val="009977D4"/>
    <w:rsid w:val="009979D3"/>
    <w:rsid w:val="009A0174"/>
    <w:rsid w:val="009A1249"/>
    <w:rsid w:val="009A1928"/>
    <w:rsid w:val="009A2592"/>
    <w:rsid w:val="009A2862"/>
    <w:rsid w:val="009A29DA"/>
    <w:rsid w:val="009A2C39"/>
    <w:rsid w:val="009A3DB8"/>
    <w:rsid w:val="009A4012"/>
    <w:rsid w:val="009A43B6"/>
    <w:rsid w:val="009A49B3"/>
    <w:rsid w:val="009A4E58"/>
    <w:rsid w:val="009A51DD"/>
    <w:rsid w:val="009A6351"/>
    <w:rsid w:val="009B05BE"/>
    <w:rsid w:val="009B099F"/>
    <w:rsid w:val="009B1AB8"/>
    <w:rsid w:val="009B1CC8"/>
    <w:rsid w:val="009B24AA"/>
    <w:rsid w:val="009B2794"/>
    <w:rsid w:val="009B283D"/>
    <w:rsid w:val="009B3516"/>
    <w:rsid w:val="009B3BFD"/>
    <w:rsid w:val="009B4821"/>
    <w:rsid w:val="009B4F34"/>
    <w:rsid w:val="009B5A2C"/>
    <w:rsid w:val="009B6097"/>
    <w:rsid w:val="009B680E"/>
    <w:rsid w:val="009B6ED5"/>
    <w:rsid w:val="009C04DC"/>
    <w:rsid w:val="009C0E83"/>
    <w:rsid w:val="009C1514"/>
    <w:rsid w:val="009C1597"/>
    <w:rsid w:val="009C1EAB"/>
    <w:rsid w:val="009C308C"/>
    <w:rsid w:val="009C3467"/>
    <w:rsid w:val="009C3F40"/>
    <w:rsid w:val="009C4034"/>
    <w:rsid w:val="009C43D7"/>
    <w:rsid w:val="009C5D5D"/>
    <w:rsid w:val="009C64B8"/>
    <w:rsid w:val="009C680B"/>
    <w:rsid w:val="009C6BC8"/>
    <w:rsid w:val="009C7576"/>
    <w:rsid w:val="009D0966"/>
    <w:rsid w:val="009D0A36"/>
    <w:rsid w:val="009D119E"/>
    <w:rsid w:val="009D1C5F"/>
    <w:rsid w:val="009D1D4B"/>
    <w:rsid w:val="009D2181"/>
    <w:rsid w:val="009D324B"/>
    <w:rsid w:val="009D78C2"/>
    <w:rsid w:val="009E0873"/>
    <w:rsid w:val="009E1C54"/>
    <w:rsid w:val="009E2B47"/>
    <w:rsid w:val="009E307C"/>
    <w:rsid w:val="009E4AFB"/>
    <w:rsid w:val="009E50DA"/>
    <w:rsid w:val="009E5127"/>
    <w:rsid w:val="009E54EE"/>
    <w:rsid w:val="009F0128"/>
    <w:rsid w:val="009F07BE"/>
    <w:rsid w:val="009F1D2C"/>
    <w:rsid w:val="009F20F8"/>
    <w:rsid w:val="009F26BC"/>
    <w:rsid w:val="009F30D2"/>
    <w:rsid w:val="009F38AD"/>
    <w:rsid w:val="009F4788"/>
    <w:rsid w:val="009F4C0A"/>
    <w:rsid w:val="009F5056"/>
    <w:rsid w:val="00A01E91"/>
    <w:rsid w:val="00A02D5E"/>
    <w:rsid w:val="00A038C4"/>
    <w:rsid w:val="00A03B20"/>
    <w:rsid w:val="00A0430D"/>
    <w:rsid w:val="00A0673F"/>
    <w:rsid w:val="00A0712B"/>
    <w:rsid w:val="00A07150"/>
    <w:rsid w:val="00A1079C"/>
    <w:rsid w:val="00A10CFD"/>
    <w:rsid w:val="00A10E58"/>
    <w:rsid w:val="00A10F3A"/>
    <w:rsid w:val="00A11513"/>
    <w:rsid w:val="00A115D5"/>
    <w:rsid w:val="00A11B8D"/>
    <w:rsid w:val="00A12666"/>
    <w:rsid w:val="00A12D34"/>
    <w:rsid w:val="00A1331B"/>
    <w:rsid w:val="00A135B8"/>
    <w:rsid w:val="00A13DA1"/>
    <w:rsid w:val="00A1537F"/>
    <w:rsid w:val="00A15DB6"/>
    <w:rsid w:val="00A15E22"/>
    <w:rsid w:val="00A16224"/>
    <w:rsid w:val="00A163BB"/>
    <w:rsid w:val="00A17113"/>
    <w:rsid w:val="00A17EED"/>
    <w:rsid w:val="00A20052"/>
    <w:rsid w:val="00A20EFE"/>
    <w:rsid w:val="00A220F6"/>
    <w:rsid w:val="00A2216C"/>
    <w:rsid w:val="00A221E2"/>
    <w:rsid w:val="00A23567"/>
    <w:rsid w:val="00A236F0"/>
    <w:rsid w:val="00A23D98"/>
    <w:rsid w:val="00A24230"/>
    <w:rsid w:val="00A2452C"/>
    <w:rsid w:val="00A246F6"/>
    <w:rsid w:val="00A246FE"/>
    <w:rsid w:val="00A24E00"/>
    <w:rsid w:val="00A2549C"/>
    <w:rsid w:val="00A25B4B"/>
    <w:rsid w:val="00A25F4E"/>
    <w:rsid w:val="00A25F6E"/>
    <w:rsid w:val="00A2728C"/>
    <w:rsid w:val="00A27361"/>
    <w:rsid w:val="00A277D7"/>
    <w:rsid w:val="00A30182"/>
    <w:rsid w:val="00A31BE0"/>
    <w:rsid w:val="00A31DC4"/>
    <w:rsid w:val="00A3240E"/>
    <w:rsid w:val="00A33930"/>
    <w:rsid w:val="00A33BBE"/>
    <w:rsid w:val="00A33EB4"/>
    <w:rsid w:val="00A3450C"/>
    <w:rsid w:val="00A34901"/>
    <w:rsid w:val="00A34A5E"/>
    <w:rsid w:val="00A351CD"/>
    <w:rsid w:val="00A35399"/>
    <w:rsid w:val="00A3565C"/>
    <w:rsid w:val="00A36252"/>
    <w:rsid w:val="00A36885"/>
    <w:rsid w:val="00A36C63"/>
    <w:rsid w:val="00A41378"/>
    <w:rsid w:val="00A41F10"/>
    <w:rsid w:val="00A42466"/>
    <w:rsid w:val="00A42E82"/>
    <w:rsid w:val="00A43E7B"/>
    <w:rsid w:val="00A45D7B"/>
    <w:rsid w:val="00A45F5E"/>
    <w:rsid w:val="00A46D6C"/>
    <w:rsid w:val="00A5077D"/>
    <w:rsid w:val="00A50837"/>
    <w:rsid w:val="00A512BF"/>
    <w:rsid w:val="00A512DA"/>
    <w:rsid w:val="00A51845"/>
    <w:rsid w:val="00A52535"/>
    <w:rsid w:val="00A53408"/>
    <w:rsid w:val="00A540E4"/>
    <w:rsid w:val="00A542CF"/>
    <w:rsid w:val="00A564D9"/>
    <w:rsid w:val="00A56814"/>
    <w:rsid w:val="00A56894"/>
    <w:rsid w:val="00A56A11"/>
    <w:rsid w:val="00A573B0"/>
    <w:rsid w:val="00A57AE2"/>
    <w:rsid w:val="00A57CDD"/>
    <w:rsid w:val="00A606BA"/>
    <w:rsid w:val="00A6118B"/>
    <w:rsid w:val="00A617C4"/>
    <w:rsid w:val="00A61932"/>
    <w:rsid w:val="00A61D15"/>
    <w:rsid w:val="00A61FAA"/>
    <w:rsid w:val="00A62282"/>
    <w:rsid w:val="00A6312F"/>
    <w:rsid w:val="00A637F6"/>
    <w:rsid w:val="00A63B55"/>
    <w:rsid w:val="00A63E62"/>
    <w:rsid w:val="00A64490"/>
    <w:rsid w:val="00A64928"/>
    <w:rsid w:val="00A64AF2"/>
    <w:rsid w:val="00A65065"/>
    <w:rsid w:val="00A65681"/>
    <w:rsid w:val="00A65E2E"/>
    <w:rsid w:val="00A65ECF"/>
    <w:rsid w:val="00A6620A"/>
    <w:rsid w:val="00A665AB"/>
    <w:rsid w:val="00A67678"/>
    <w:rsid w:val="00A67C9E"/>
    <w:rsid w:val="00A7035B"/>
    <w:rsid w:val="00A72460"/>
    <w:rsid w:val="00A7490D"/>
    <w:rsid w:val="00A75549"/>
    <w:rsid w:val="00A756E7"/>
    <w:rsid w:val="00A75FA7"/>
    <w:rsid w:val="00A763C4"/>
    <w:rsid w:val="00A76411"/>
    <w:rsid w:val="00A77396"/>
    <w:rsid w:val="00A83A5E"/>
    <w:rsid w:val="00A83D61"/>
    <w:rsid w:val="00A84938"/>
    <w:rsid w:val="00A8505D"/>
    <w:rsid w:val="00A850B0"/>
    <w:rsid w:val="00A861C5"/>
    <w:rsid w:val="00A86260"/>
    <w:rsid w:val="00A86739"/>
    <w:rsid w:val="00A86E4F"/>
    <w:rsid w:val="00A873E1"/>
    <w:rsid w:val="00A87D19"/>
    <w:rsid w:val="00A87D77"/>
    <w:rsid w:val="00A87EC8"/>
    <w:rsid w:val="00A90A86"/>
    <w:rsid w:val="00A92004"/>
    <w:rsid w:val="00A929FC"/>
    <w:rsid w:val="00A93737"/>
    <w:rsid w:val="00A95356"/>
    <w:rsid w:val="00A95E61"/>
    <w:rsid w:val="00A9636E"/>
    <w:rsid w:val="00A97759"/>
    <w:rsid w:val="00AA02E1"/>
    <w:rsid w:val="00AA1431"/>
    <w:rsid w:val="00AA155C"/>
    <w:rsid w:val="00AA164E"/>
    <w:rsid w:val="00AA1AC7"/>
    <w:rsid w:val="00AA2ECF"/>
    <w:rsid w:val="00AA401D"/>
    <w:rsid w:val="00AA44BC"/>
    <w:rsid w:val="00AA4BF6"/>
    <w:rsid w:val="00AA4C86"/>
    <w:rsid w:val="00AA7480"/>
    <w:rsid w:val="00AA7EBA"/>
    <w:rsid w:val="00AA7F17"/>
    <w:rsid w:val="00AB0069"/>
    <w:rsid w:val="00AB0DA5"/>
    <w:rsid w:val="00AB0F6F"/>
    <w:rsid w:val="00AB30ED"/>
    <w:rsid w:val="00AB3422"/>
    <w:rsid w:val="00AB49BC"/>
    <w:rsid w:val="00AB551A"/>
    <w:rsid w:val="00AB6FF2"/>
    <w:rsid w:val="00AB7705"/>
    <w:rsid w:val="00AC0A1A"/>
    <w:rsid w:val="00AC114E"/>
    <w:rsid w:val="00AC13B4"/>
    <w:rsid w:val="00AC24DC"/>
    <w:rsid w:val="00AC285F"/>
    <w:rsid w:val="00AC2D03"/>
    <w:rsid w:val="00AC38F5"/>
    <w:rsid w:val="00AC52A5"/>
    <w:rsid w:val="00AC5B6F"/>
    <w:rsid w:val="00AC7DC1"/>
    <w:rsid w:val="00AD07A4"/>
    <w:rsid w:val="00AD0D57"/>
    <w:rsid w:val="00AD17C0"/>
    <w:rsid w:val="00AD1C83"/>
    <w:rsid w:val="00AD2E8B"/>
    <w:rsid w:val="00AD322F"/>
    <w:rsid w:val="00AD4A82"/>
    <w:rsid w:val="00AD5471"/>
    <w:rsid w:val="00AD591B"/>
    <w:rsid w:val="00AD5C8B"/>
    <w:rsid w:val="00AD5D41"/>
    <w:rsid w:val="00AD60A7"/>
    <w:rsid w:val="00AD6850"/>
    <w:rsid w:val="00AD76AE"/>
    <w:rsid w:val="00AD7FA5"/>
    <w:rsid w:val="00AE026A"/>
    <w:rsid w:val="00AE21D4"/>
    <w:rsid w:val="00AE39CB"/>
    <w:rsid w:val="00AE5327"/>
    <w:rsid w:val="00AE6E66"/>
    <w:rsid w:val="00AE79B2"/>
    <w:rsid w:val="00AE7F15"/>
    <w:rsid w:val="00AF11F7"/>
    <w:rsid w:val="00AF18CC"/>
    <w:rsid w:val="00AF1F27"/>
    <w:rsid w:val="00AF211F"/>
    <w:rsid w:val="00AF2B33"/>
    <w:rsid w:val="00AF2B4A"/>
    <w:rsid w:val="00AF36DD"/>
    <w:rsid w:val="00AF39ED"/>
    <w:rsid w:val="00AF3CE1"/>
    <w:rsid w:val="00AF4060"/>
    <w:rsid w:val="00AF49F0"/>
    <w:rsid w:val="00AF6ABF"/>
    <w:rsid w:val="00B0109F"/>
    <w:rsid w:val="00B01BE4"/>
    <w:rsid w:val="00B02205"/>
    <w:rsid w:val="00B0451F"/>
    <w:rsid w:val="00B04651"/>
    <w:rsid w:val="00B04B30"/>
    <w:rsid w:val="00B051DA"/>
    <w:rsid w:val="00B05509"/>
    <w:rsid w:val="00B05A79"/>
    <w:rsid w:val="00B05E19"/>
    <w:rsid w:val="00B06D60"/>
    <w:rsid w:val="00B06FAA"/>
    <w:rsid w:val="00B1121F"/>
    <w:rsid w:val="00B11549"/>
    <w:rsid w:val="00B11E28"/>
    <w:rsid w:val="00B12428"/>
    <w:rsid w:val="00B125C0"/>
    <w:rsid w:val="00B127F3"/>
    <w:rsid w:val="00B12A09"/>
    <w:rsid w:val="00B142E4"/>
    <w:rsid w:val="00B143E7"/>
    <w:rsid w:val="00B15022"/>
    <w:rsid w:val="00B15F04"/>
    <w:rsid w:val="00B17427"/>
    <w:rsid w:val="00B20154"/>
    <w:rsid w:val="00B20406"/>
    <w:rsid w:val="00B2266F"/>
    <w:rsid w:val="00B229A1"/>
    <w:rsid w:val="00B22A05"/>
    <w:rsid w:val="00B22B98"/>
    <w:rsid w:val="00B2376F"/>
    <w:rsid w:val="00B23F40"/>
    <w:rsid w:val="00B24AC0"/>
    <w:rsid w:val="00B256FD"/>
    <w:rsid w:val="00B2634D"/>
    <w:rsid w:val="00B26547"/>
    <w:rsid w:val="00B2717A"/>
    <w:rsid w:val="00B272B8"/>
    <w:rsid w:val="00B278DE"/>
    <w:rsid w:val="00B314EC"/>
    <w:rsid w:val="00B31908"/>
    <w:rsid w:val="00B31C7B"/>
    <w:rsid w:val="00B32053"/>
    <w:rsid w:val="00B32719"/>
    <w:rsid w:val="00B327EC"/>
    <w:rsid w:val="00B32B98"/>
    <w:rsid w:val="00B3359E"/>
    <w:rsid w:val="00B33D55"/>
    <w:rsid w:val="00B3457A"/>
    <w:rsid w:val="00B34DDD"/>
    <w:rsid w:val="00B34F8C"/>
    <w:rsid w:val="00B35030"/>
    <w:rsid w:val="00B353FE"/>
    <w:rsid w:val="00B3542C"/>
    <w:rsid w:val="00B35F34"/>
    <w:rsid w:val="00B374D7"/>
    <w:rsid w:val="00B37668"/>
    <w:rsid w:val="00B40B5F"/>
    <w:rsid w:val="00B41EB0"/>
    <w:rsid w:val="00B434BB"/>
    <w:rsid w:val="00B43D19"/>
    <w:rsid w:val="00B4447F"/>
    <w:rsid w:val="00B44750"/>
    <w:rsid w:val="00B45221"/>
    <w:rsid w:val="00B45942"/>
    <w:rsid w:val="00B459DD"/>
    <w:rsid w:val="00B46D1D"/>
    <w:rsid w:val="00B4751F"/>
    <w:rsid w:val="00B475AF"/>
    <w:rsid w:val="00B5095D"/>
    <w:rsid w:val="00B51706"/>
    <w:rsid w:val="00B519FC"/>
    <w:rsid w:val="00B51BD0"/>
    <w:rsid w:val="00B52DBB"/>
    <w:rsid w:val="00B52ED0"/>
    <w:rsid w:val="00B5349C"/>
    <w:rsid w:val="00B55051"/>
    <w:rsid w:val="00B556B1"/>
    <w:rsid w:val="00B57463"/>
    <w:rsid w:val="00B60C75"/>
    <w:rsid w:val="00B61E82"/>
    <w:rsid w:val="00B62477"/>
    <w:rsid w:val="00B6272B"/>
    <w:rsid w:val="00B62AFC"/>
    <w:rsid w:val="00B63C9F"/>
    <w:rsid w:val="00B63CE7"/>
    <w:rsid w:val="00B65925"/>
    <w:rsid w:val="00B65A96"/>
    <w:rsid w:val="00B660E7"/>
    <w:rsid w:val="00B667BF"/>
    <w:rsid w:val="00B66AD1"/>
    <w:rsid w:val="00B66D3D"/>
    <w:rsid w:val="00B66D8B"/>
    <w:rsid w:val="00B6776D"/>
    <w:rsid w:val="00B70395"/>
    <w:rsid w:val="00B706A8"/>
    <w:rsid w:val="00B70A9E"/>
    <w:rsid w:val="00B70ABE"/>
    <w:rsid w:val="00B70EC8"/>
    <w:rsid w:val="00B70F23"/>
    <w:rsid w:val="00B70FC4"/>
    <w:rsid w:val="00B7320F"/>
    <w:rsid w:val="00B74667"/>
    <w:rsid w:val="00B74D51"/>
    <w:rsid w:val="00B74F0E"/>
    <w:rsid w:val="00B7602D"/>
    <w:rsid w:val="00B7789C"/>
    <w:rsid w:val="00B77DD5"/>
    <w:rsid w:val="00B77E6D"/>
    <w:rsid w:val="00B80A4B"/>
    <w:rsid w:val="00B813E0"/>
    <w:rsid w:val="00B81AF2"/>
    <w:rsid w:val="00B8227C"/>
    <w:rsid w:val="00B82675"/>
    <w:rsid w:val="00B84E02"/>
    <w:rsid w:val="00B858C3"/>
    <w:rsid w:val="00B867DE"/>
    <w:rsid w:val="00B86A3D"/>
    <w:rsid w:val="00B87006"/>
    <w:rsid w:val="00B87333"/>
    <w:rsid w:val="00B907AB"/>
    <w:rsid w:val="00B90827"/>
    <w:rsid w:val="00B9160B"/>
    <w:rsid w:val="00B91CD2"/>
    <w:rsid w:val="00B92A4A"/>
    <w:rsid w:val="00B92CF6"/>
    <w:rsid w:val="00B936A7"/>
    <w:rsid w:val="00B93722"/>
    <w:rsid w:val="00B93867"/>
    <w:rsid w:val="00B93BCA"/>
    <w:rsid w:val="00B940EC"/>
    <w:rsid w:val="00B94C99"/>
    <w:rsid w:val="00B95F25"/>
    <w:rsid w:val="00B9629A"/>
    <w:rsid w:val="00B96398"/>
    <w:rsid w:val="00B96D49"/>
    <w:rsid w:val="00B97EFD"/>
    <w:rsid w:val="00BA05C0"/>
    <w:rsid w:val="00BA206A"/>
    <w:rsid w:val="00BA20E3"/>
    <w:rsid w:val="00BA300D"/>
    <w:rsid w:val="00BA30F8"/>
    <w:rsid w:val="00BA33FF"/>
    <w:rsid w:val="00BA3C4C"/>
    <w:rsid w:val="00BA571E"/>
    <w:rsid w:val="00BA5B7B"/>
    <w:rsid w:val="00BA5EA1"/>
    <w:rsid w:val="00BA67F4"/>
    <w:rsid w:val="00BA73B2"/>
    <w:rsid w:val="00BA7E31"/>
    <w:rsid w:val="00BB05DA"/>
    <w:rsid w:val="00BB1D6D"/>
    <w:rsid w:val="00BB22BD"/>
    <w:rsid w:val="00BB289F"/>
    <w:rsid w:val="00BB3A1B"/>
    <w:rsid w:val="00BB3B20"/>
    <w:rsid w:val="00BB3FCB"/>
    <w:rsid w:val="00BB4040"/>
    <w:rsid w:val="00BB4C80"/>
    <w:rsid w:val="00BB52D7"/>
    <w:rsid w:val="00BB7CB3"/>
    <w:rsid w:val="00BC030E"/>
    <w:rsid w:val="00BC0606"/>
    <w:rsid w:val="00BC0D35"/>
    <w:rsid w:val="00BC0E33"/>
    <w:rsid w:val="00BC16EF"/>
    <w:rsid w:val="00BC1B82"/>
    <w:rsid w:val="00BC1E61"/>
    <w:rsid w:val="00BC1FFF"/>
    <w:rsid w:val="00BC2018"/>
    <w:rsid w:val="00BC2D0C"/>
    <w:rsid w:val="00BC300F"/>
    <w:rsid w:val="00BC36E4"/>
    <w:rsid w:val="00BC3723"/>
    <w:rsid w:val="00BC4020"/>
    <w:rsid w:val="00BC4B90"/>
    <w:rsid w:val="00BC60DE"/>
    <w:rsid w:val="00BC7906"/>
    <w:rsid w:val="00BC79BA"/>
    <w:rsid w:val="00BD0551"/>
    <w:rsid w:val="00BD0EEF"/>
    <w:rsid w:val="00BD21A6"/>
    <w:rsid w:val="00BD255D"/>
    <w:rsid w:val="00BD2A3A"/>
    <w:rsid w:val="00BD2F1A"/>
    <w:rsid w:val="00BD525E"/>
    <w:rsid w:val="00BD5F3C"/>
    <w:rsid w:val="00BD632A"/>
    <w:rsid w:val="00BD6ACC"/>
    <w:rsid w:val="00BD6C4D"/>
    <w:rsid w:val="00BD7CA3"/>
    <w:rsid w:val="00BD7DC3"/>
    <w:rsid w:val="00BE0368"/>
    <w:rsid w:val="00BE06F7"/>
    <w:rsid w:val="00BE1B1E"/>
    <w:rsid w:val="00BE2FF9"/>
    <w:rsid w:val="00BE469C"/>
    <w:rsid w:val="00BE4B1E"/>
    <w:rsid w:val="00BE56D9"/>
    <w:rsid w:val="00BE6058"/>
    <w:rsid w:val="00BE62A7"/>
    <w:rsid w:val="00BE6435"/>
    <w:rsid w:val="00BE6B08"/>
    <w:rsid w:val="00BE7167"/>
    <w:rsid w:val="00BF0999"/>
    <w:rsid w:val="00BF1777"/>
    <w:rsid w:val="00BF2245"/>
    <w:rsid w:val="00BF2576"/>
    <w:rsid w:val="00BF2706"/>
    <w:rsid w:val="00BF3327"/>
    <w:rsid w:val="00BF3E79"/>
    <w:rsid w:val="00BF44D9"/>
    <w:rsid w:val="00BF4716"/>
    <w:rsid w:val="00BF47AD"/>
    <w:rsid w:val="00BF4FAA"/>
    <w:rsid w:val="00BF5874"/>
    <w:rsid w:val="00BF58ED"/>
    <w:rsid w:val="00BF59C5"/>
    <w:rsid w:val="00BF5C5D"/>
    <w:rsid w:val="00BF6ACD"/>
    <w:rsid w:val="00BF6E0D"/>
    <w:rsid w:val="00BF708B"/>
    <w:rsid w:val="00BF7776"/>
    <w:rsid w:val="00C007BB"/>
    <w:rsid w:val="00C01696"/>
    <w:rsid w:val="00C019FA"/>
    <w:rsid w:val="00C02BF6"/>
    <w:rsid w:val="00C02DF8"/>
    <w:rsid w:val="00C032D6"/>
    <w:rsid w:val="00C038A0"/>
    <w:rsid w:val="00C03F07"/>
    <w:rsid w:val="00C04FC9"/>
    <w:rsid w:val="00C1006D"/>
    <w:rsid w:val="00C11C38"/>
    <w:rsid w:val="00C1249C"/>
    <w:rsid w:val="00C134B3"/>
    <w:rsid w:val="00C15301"/>
    <w:rsid w:val="00C20C0C"/>
    <w:rsid w:val="00C22321"/>
    <w:rsid w:val="00C22B8D"/>
    <w:rsid w:val="00C232DD"/>
    <w:rsid w:val="00C2332D"/>
    <w:rsid w:val="00C23AF0"/>
    <w:rsid w:val="00C23C47"/>
    <w:rsid w:val="00C250EA"/>
    <w:rsid w:val="00C272BD"/>
    <w:rsid w:val="00C3242E"/>
    <w:rsid w:val="00C3244F"/>
    <w:rsid w:val="00C3341E"/>
    <w:rsid w:val="00C337BA"/>
    <w:rsid w:val="00C3387C"/>
    <w:rsid w:val="00C33DA9"/>
    <w:rsid w:val="00C33EE4"/>
    <w:rsid w:val="00C355CE"/>
    <w:rsid w:val="00C359E9"/>
    <w:rsid w:val="00C371BF"/>
    <w:rsid w:val="00C374CA"/>
    <w:rsid w:val="00C41107"/>
    <w:rsid w:val="00C415C9"/>
    <w:rsid w:val="00C41AEA"/>
    <w:rsid w:val="00C42053"/>
    <w:rsid w:val="00C42064"/>
    <w:rsid w:val="00C42815"/>
    <w:rsid w:val="00C43285"/>
    <w:rsid w:val="00C436C5"/>
    <w:rsid w:val="00C4381D"/>
    <w:rsid w:val="00C439B8"/>
    <w:rsid w:val="00C43CFF"/>
    <w:rsid w:val="00C4438E"/>
    <w:rsid w:val="00C45157"/>
    <w:rsid w:val="00C473F5"/>
    <w:rsid w:val="00C479CA"/>
    <w:rsid w:val="00C479E4"/>
    <w:rsid w:val="00C47ACC"/>
    <w:rsid w:val="00C50522"/>
    <w:rsid w:val="00C50EA5"/>
    <w:rsid w:val="00C5132B"/>
    <w:rsid w:val="00C51A8B"/>
    <w:rsid w:val="00C520A2"/>
    <w:rsid w:val="00C52321"/>
    <w:rsid w:val="00C52448"/>
    <w:rsid w:val="00C5281C"/>
    <w:rsid w:val="00C52EA1"/>
    <w:rsid w:val="00C53345"/>
    <w:rsid w:val="00C53E36"/>
    <w:rsid w:val="00C54692"/>
    <w:rsid w:val="00C5652E"/>
    <w:rsid w:val="00C5665C"/>
    <w:rsid w:val="00C57633"/>
    <w:rsid w:val="00C606DD"/>
    <w:rsid w:val="00C62A40"/>
    <w:rsid w:val="00C63231"/>
    <w:rsid w:val="00C633E8"/>
    <w:rsid w:val="00C63BE4"/>
    <w:rsid w:val="00C6477B"/>
    <w:rsid w:val="00C6536B"/>
    <w:rsid w:val="00C653D5"/>
    <w:rsid w:val="00C65810"/>
    <w:rsid w:val="00C6583D"/>
    <w:rsid w:val="00C66D1D"/>
    <w:rsid w:val="00C672D5"/>
    <w:rsid w:val="00C6769E"/>
    <w:rsid w:val="00C67BB7"/>
    <w:rsid w:val="00C700D4"/>
    <w:rsid w:val="00C707EC"/>
    <w:rsid w:val="00C71DBD"/>
    <w:rsid w:val="00C71E5E"/>
    <w:rsid w:val="00C72F5A"/>
    <w:rsid w:val="00C732BD"/>
    <w:rsid w:val="00C736F2"/>
    <w:rsid w:val="00C73910"/>
    <w:rsid w:val="00C74C42"/>
    <w:rsid w:val="00C75390"/>
    <w:rsid w:val="00C753D8"/>
    <w:rsid w:val="00C75DE5"/>
    <w:rsid w:val="00C76EF6"/>
    <w:rsid w:val="00C7707B"/>
    <w:rsid w:val="00C775D2"/>
    <w:rsid w:val="00C804CA"/>
    <w:rsid w:val="00C809A1"/>
    <w:rsid w:val="00C80A0E"/>
    <w:rsid w:val="00C8108B"/>
    <w:rsid w:val="00C8128D"/>
    <w:rsid w:val="00C81652"/>
    <w:rsid w:val="00C82094"/>
    <w:rsid w:val="00C827D3"/>
    <w:rsid w:val="00C82B89"/>
    <w:rsid w:val="00C82DB6"/>
    <w:rsid w:val="00C83C4D"/>
    <w:rsid w:val="00C84D43"/>
    <w:rsid w:val="00C84EC9"/>
    <w:rsid w:val="00C8745C"/>
    <w:rsid w:val="00C8772A"/>
    <w:rsid w:val="00C90D00"/>
    <w:rsid w:val="00C91961"/>
    <w:rsid w:val="00C92F09"/>
    <w:rsid w:val="00C934F8"/>
    <w:rsid w:val="00C9424E"/>
    <w:rsid w:val="00C94FAC"/>
    <w:rsid w:val="00C96F62"/>
    <w:rsid w:val="00C97422"/>
    <w:rsid w:val="00CA1540"/>
    <w:rsid w:val="00CA4B5A"/>
    <w:rsid w:val="00CA4C00"/>
    <w:rsid w:val="00CA5846"/>
    <w:rsid w:val="00CA5A30"/>
    <w:rsid w:val="00CA6843"/>
    <w:rsid w:val="00CA6D0F"/>
    <w:rsid w:val="00CA6FAD"/>
    <w:rsid w:val="00CA7268"/>
    <w:rsid w:val="00CB08FC"/>
    <w:rsid w:val="00CB116E"/>
    <w:rsid w:val="00CB1815"/>
    <w:rsid w:val="00CB3898"/>
    <w:rsid w:val="00CB447D"/>
    <w:rsid w:val="00CB4A77"/>
    <w:rsid w:val="00CB5B5B"/>
    <w:rsid w:val="00CB67A5"/>
    <w:rsid w:val="00CB720B"/>
    <w:rsid w:val="00CC0637"/>
    <w:rsid w:val="00CC09AC"/>
    <w:rsid w:val="00CC25E3"/>
    <w:rsid w:val="00CC2B31"/>
    <w:rsid w:val="00CC2EA7"/>
    <w:rsid w:val="00CC3B2B"/>
    <w:rsid w:val="00CC3E64"/>
    <w:rsid w:val="00CC3F8C"/>
    <w:rsid w:val="00CC4769"/>
    <w:rsid w:val="00CC6749"/>
    <w:rsid w:val="00CC72D5"/>
    <w:rsid w:val="00CC76C0"/>
    <w:rsid w:val="00CD0936"/>
    <w:rsid w:val="00CD10F5"/>
    <w:rsid w:val="00CD1C91"/>
    <w:rsid w:val="00CD442B"/>
    <w:rsid w:val="00CD444F"/>
    <w:rsid w:val="00CD4E36"/>
    <w:rsid w:val="00CD64EC"/>
    <w:rsid w:val="00CD6C5E"/>
    <w:rsid w:val="00CD6CCF"/>
    <w:rsid w:val="00CD7086"/>
    <w:rsid w:val="00CD7287"/>
    <w:rsid w:val="00CE0164"/>
    <w:rsid w:val="00CE1DCD"/>
    <w:rsid w:val="00CE4541"/>
    <w:rsid w:val="00CE4562"/>
    <w:rsid w:val="00CE4D5B"/>
    <w:rsid w:val="00CE5A67"/>
    <w:rsid w:val="00CE5C12"/>
    <w:rsid w:val="00CE6286"/>
    <w:rsid w:val="00CE644B"/>
    <w:rsid w:val="00CE69D5"/>
    <w:rsid w:val="00CE707F"/>
    <w:rsid w:val="00CE7C33"/>
    <w:rsid w:val="00CF0054"/>
    <w:rsid w:val="00CF14FE"/>
    <w:rsid w:val="00CF252E"/>
    <w:rsid w:val="00CF2F05"/>
    <w:rsid w:val="00CF3380"/>
    <w:rsid w:val="00CF3A45"/>
    <w:rsid w:val="00CF4286"/>
    <w:rsid w:val="00CF4A23"/>
    <w:rsid w:val="00CF4CC3"/>
    <w:rsid w:val="00CF4F05"/>
    <w:rsid w:val="00CF55A6"/>
    <w:rsid w:val="00CF5990"/>
    <w:rsid w:val="00CF5A9B"/>
    <w:rsid w:val="00CF5D8A"/>
    <w:rsid w:val="00CF5F31"/>
    <w:rsid w:val="00CF68DC"/>
    <w:rsid w:val="00CF6BD7"/>
    <w:rsid w:val="00CF7AB6"/>
    <w:rsid w:val="00D003EB"/>
    <w:rsid w:val="00D00851"/>
    <w:rsid w:val="00D00C91"/>
    <w:rsid w:val="00D02AB6"/>
    <w:rsid w:val="00D03466"/>
    <w:rsid w:val="00D03776"/>
    <w:rsid w:val="00D07228"/>
    <w:rsid w:val="00D1215C"/>
    <w:rsid w:val="00D124DB"/>
    <w:rsid w:val="00D134EC"/>
    <w:rsid w:val="00D1363C"/>
    <w:rsid w:val="00D2199E"/>
    <w:rsid w:val="00D219CF"/>
    <w:rsid w:val="00D21AC5"/>
    <w:rsid w:val="00D21C56"/>
    <w:rsid w:val="00D2270B"/>
    <w:rsid w:val="00D23689"/>
    <w:rsid w:val="00D238C8"/>
    <w:rsid w:val="00D239E7"/>
    <w:rsid w:val="00D23B2B"/>
    <w:rsid w:val="00D252AC"/>
    <w:rsid w:val="00D256F4"/>
    <w:rsid w:val="00D27492"/>
    <w:rsid w:val="00D27727"/>
    <w:rsid w:val="00D27911"/>
    <w:rsid w:val="00D27A14"/>
    <w:rsid w:val="00D27B40"/>
    <w:rsid w:val="00D27B58"/>
    <w:rsid w:val="00D27F88"/>
    <w:rsid w:val="00D300BF"/>
    <w:rsid w:val="00D30E50"/>
    <w:rsid w:val="00D3109D"/>
    <w:rsid w:val="00D3212A"/>
    <w:rsid w:val="00D3341C"/>
    <w:rsid w:val="00D33425"/>
    <w:rsid w:val="00D33B59"/>
    <w:rsid w:val="00D34C11"/>
    <w:rsid w:val="00D34DB4"/>
    <w:rsid w:val="00D3541B"/>
    <w:rsid w:val="00D35BBA"/>
    <w:rsid w:val="00D36AE0"/>
    <w:rsid w:val="00D37802"/>
    <w:rsid w:val="00D37FBD"/>
    <w:rsid w:val="00D40E3D"/>
    <w:rsid w:val="00D41DF3"/>
    <w:rsid w:val="00D42DA4"/>
    <w:rsid w:val="00D430C0"/>
    <w:rsid w:val="00D436A3"/>
    <w:rsid w:val="00D43F6B"/>
    <w:rsid w:val="00D4432B"/>
    <w:rsid w:val="00D44B21"/>
    <w:rsid w:val="00D44FA8"/>
    <w:rsid w:val="00D45CB6"/>
    <w:rsid w:val="00D475C4"/>
    <w:rsid w:val="00D47DA7"/>
    <w:rsid w:val="00D47E10"/>
    <w:rsid w:val="00D50A85"/>
    <w:rsid w:val="00D513D9"/>
    <w:rsid w:val="00D51598"/>
    <w:rsid w:val="00D517A7"/>
    <w:rsid w:val="00D52385"/>
    <w:rsid w:val="00D52544"/>
    <w:rsid w:val="00D52602"/>
    <w:rsid w:val="00D526F7"/>
    <w:rsid w:val="00D5271B"/>
    <w:rsid w:val="00D53081"/>
    <w:rsid w:val="00D535C6"/>
    <w:rsid w:val="00D541B6"/>
    <w:rsid w:val="00D544FF"/>
    <w:rsid w:val="00D560BB"/>
    <w:rsid w:val="00D57549"/>
    <w:rsid w:val="00D57A0F"/>
    <w:rsid w:val="00D610BB"/>
    <w:rsid w:val="00D61340"/>
    <w:rsid w:val="00D61CFA"/>
    <w:rsid w:val="00D61E41"/>
    <w:rsid w:val="00D63A95"/>
    <w:rsid w:val="00D63B35"/>
    <w:rsid w:val="00D63E20"/>
    <w:rsid w:val="00D65447"/>
    <w:rsid w:val="00D66594"/>
    <w:rsid w:val="00D666E7"/>
    <w:rsid w:val="00D671F6"/>
    <w:rsid w:val="00D67666"/>
    <w:rsid w:val="00D676A5"/>
    <w:rsid w:val="00D67AF7"/>
    <w:rsid w:val="00D67E60"/>
    <w:rsid w:val="00D7042B"/>
    <w:rsid w:val="00D7403C"/>
    <w:rsid w:val="00D74621"/>
    <w:rsid w:val="00D74904"/>
    <w:rsid w:val="00D74E56"/>
    <w:rsid w:val="00D753F4"/>
    <w:rsid w:val="00D7597C"/>
    <w:rsid w:val="00D75A95"/>
    <w:rsid w:val="00D75B16"/>
    <w:rsid w:val="00D763B6"/>
    <w:rsid w:val="00D765A8"/>
    <w:rsid w:val="00D76852"/>
    <w:rsid w:val="00D76BAF"/>
    <w:rsid w:val="00D76CEF"/>
    <w:rsid w:val="00D7790E"/>
    <w:rsid w:val="00D77B5C"/>
    <w:rsid w:val="00D80128"/>
    <w:rsid w:val="00D80167"/>
    <w:rsid w:val="00D806FB"/>
    <w:rsid w:val="00D807C6"/>
    <w:rsid w:val="00D819DF"/>
    <w:rsid w:val="00D82933"/>
    <w:rsid w:val="00D82EA9"/>
    <w:rsid w:val="00D8374D"/>
    <w:rsid w:val="00D840FE"/>
    <w:rsid w:val="00D8610A"/>
    <w:rsid w:val="00D86733"/>
    <w:rsid w:val="00D87805"/>
    <w:rsid w:val="00D901E6"/>
    <w:rsid w:val="00D90BC5"/>
    <w:rsid w:val="00D91A55"/>
    <w:rsid w:val="00D91BA1"/>
    <w:rsid w:val="00D9211D"/>
    <w:rsid w:val="00D92CAA"/>
    <w:rsid w:val="00D93A51"/>
    <w:rsid w:val="00D93D8C"/>
    <w:rsid w:val="00D94BD0"/>
    <w:rsid w:val="00D94C3B"/>
    <w:rsid w:val="00D95FB8"/>
    <w:rsid w:val="00D9680F"/>
    <w:rsid w:val="00D96BF6"/>
    <w:rsid w:val="00D96DA7"/>
    <w:rsid w:val="00D97DC7"/>
    <w:rsid w:val="00D97F51"/>
    <w:rsid w:val="00DA12B7"/>
    <w:rsid w:val="00DA3027"/>
    <w:rsid w:val="00DA3366"/>
    <w:rsid w:val="00DA3486"/>
    <w:rsid w:val="00DA34B5"/>
    <w:rsid w:val="00DA3622"/>
    <w:rsid w:val="00DA3906"/>
    <w:rsid w:val="00DA3C7B"/>
    <w:rsid w:val="00DA3F5D"/>
    <w:rsid w:val="00DA3F61"/>
    <w:rsid w:val="00DA4A68"/>
    <w:rsid w:val="00DA5492"/>
    <w:rsid w:val="00DA74E0"/>
    <w:rsid w:val="00DA789E"/>
    <w:rsid w:val="00DB07F7"/>
    <w:rsid w:val="00DB21BC"/>
    <w:rsid w:val="00DB4A73"/>
    <w:rsid w:val="00DB4AE3"/>
    <w:rsid w:val="00DB5A88"/>
    <w:rsid w:val="00DB5FC0"/>
    <w:rsid w:val="00DB6321"/>
    <w:rsid w:val="00DB642F"/>
    <w:rsid w:val="00DB7ABE"/>
    <w:rsid w:val="00DC07CD"/>
    <w:rsid w:val="00DC0C79"/>
    <w:rsid w:val="00DC17B9"/>
    <w:rsid w:val="00DC3132"/>
    <w:rsid w:val="00DC3676"/>
    <w:rsid w:val="00DC4C45"/>
    <w:rsid w:val="00DC4F18"/>
    <w:rsid w:val="00DC570C"/>
    <w:rsid w:val="00DC57FB"/>
    <w:rsid w:val="00DC60AD"/>
    <w:rsid w:val="00DC66B6"/>
    <w:rsid w:val="00DC6703"/>
    <w:rsid w:val="00DC6815"/>
    <w:rsid w:val="00DC690D"/>
    <w:rsid w:val="00DC77A3"/>
    <w:rsid w:val="00DC79B1"/>
    <w:rsid w:val="00DD034A"/>
    <w:rsid w:val="00DD04C6"/>
    <w:rsid w:val="00DD05AA"/>
    <w:rsid w:val="00DD0964"/>
    <w:rsid w:val="00DD0AFC"/>
    <w:rsid w:val="00DD0D65"/>
    <w:rsid w:val="00DD1E91"/>
    <w:rsid w:val="00DD225A"/>
    <w:rsid w:val="00DD26CC"/>
    <w:rsid w:val="00DD28CE"/>
    <w:rsid w:val="00DD2F1A"/>
    <w:rsid w:val="00DD36EF"/>
    <w:rsid w:val="00DD3E1E"/>
    <w:rsid w:val="00DD3F7E"/>
    <w:rsid w:val="00DD5291"/>
    <w:rsid w:val="00DD5332"/>
    <w:rsid w:val="00DD5B6E"/>
    <w:rsid w:val="00DD5B9C"/>
    <w:rsid w:val="00DD5F26"/>
    <w:rsid w:val="00DD5F71"/>
    <w:rsid w:val="00DD64BB"/>
    <w:rsid w:val="00DE13D0"/>
    <w:rsid w:val="00DE1705"/>
    <w:rsid w:val="00DE1899"/>
    <w:rsid w:val="00DE2001"/>
    <w:rsid w:val="00DE2028"/>
    <w:rsid w:val="00DE21D7"/>
    <w:rsid w:val="00DE2270"/>
    <w:rsid w:val="00DE3BB0"/>
    <w:rsid w:val="00DE3CBC"/>
    <w:rsid w:val="00DE3D53"/>
    <w:rsid w:val="00DE4C59"/>
    <w:rsid w:val="00DE6597"/>
    <w:rsid w:val="00DE7011"/>
    <w:rsid w:val="00DE7A2F"/>
    <w:rsid w:val="00DF0035"/>
    <w:rsid w:val="00DF0701"/>
    <w:rsid w:val="00DF0ED4"/>
    <w:rsid w:val="00DF1029"/>
    <w:rsid w:val="00DF1202"/>
    <w:rsid w:val="00DF144D"/>
    <w:rsid w:val="00DF171E"/>
    <w:rsid w:val="00DF1908"/>
    <w:rsid w:val="00DF29CB"/>
    <w:rsid w:val="00DF2A09"/>
    <w:rsid w:val="00DF2ECE"/>
    <w:rsid w:val="00DF30B1"/>
    <w:rsid w:val="00DF354F"/>
    <w:rsid w:val="00DF553B"/>
    <w:rsid w:val="00DF57F8"/>
    <w:rsid w:val="00DF761F"/>
    <w:rsid w:val="00E01181"/>
    <w:rsid w:val="00E01596"/>
    <w:rsid w:val="00E0162B"/>
    <w:rsid w:val="00E01993"/>
    <w:rsid w:val="00E02097"/>
    <w:rsid w:val="00E020B1"/>
    <w:rsid w:val="00E045FD"/>
    <w:rsid w:val="00E04A5F"/>
    <w:rsid w:val="00E04EFE"/>
    <w:rsid w:val="00E0573C"/>
    <w:rsid w:val="00E05A06"/>
    <w:rsid w:val="00E05AA1"/>
    <w:rsid w:val="00E05CB6"/>
    <w:rsid w:val="00E05D8D"/>
    <w:rsid w:val="00E05D95"/>
    <w:rsid w:val="00E062A8"/>
    <w:rsid w:val="00E0693F"/>
    <w:rsid w:val="00E06EE6"/>
    <w:rsid w:val="00E07E9B"/>
    <w:rsid w:val="00E10594"/>
    <w:rsid w:val="00E108CD"/>
    <w:rsid w:val="00E1156F"/>
    <w:rsid w:val="00E11712"/>
    <w:rsid w:val="00E11B49"/>
    <w:rsid w:val="00E12B39"/>
    <w:rsid w:val="00E12DFF"/>
    <w:rsid w:val="00E142C8"/>
    <w:rsid w:val="00E14411"/>
    <w:rsid w:val="00E14415"/>
    <w:rsid w:val="00E14D30"/>
    <w:rsid w:val="00E15939"/>
    <w:rsid w:val="00E159A9"/>
    <w:rsid w:val="00E17F2F"/>
    <w:rsid w:val="00E20A27"/>
    <w:rsid w:val="00E20B5E"/>
    <w:rsid w:val="00E21A97"/>
    <w:rsid w:val="00E22074"/>
    <w:rsid w:val="00E220E1"/>
    <w:rsid w:val="00E22FDE"/>
    <w:rsid w:val="00E23948"/>
    <w:rsid w:val="00E242B0"/>
    <w:rsid w:val="00E248EA"/>
    <w:rsid w:val="00E24B9A"/>
    <w:rsid w:val="00E26010"/>
    <w:rsid w:val="00E26B20"/>
    <w:rsid w:val="00E26C90"/>
    <w:rsid w:val="00E272BA"/>
    <w:rsid w:val="00E3142E"/>
    <w:rsid w:val="00E31882"/>
    <w:rsid w:val="00E326F6"/>
    <w:rsid w:val="00E32723"/>
    <w:rsid w:val="00E331F8"/>
    <w:rsid w:val="00E33B37"/>
    <w:rsid w:val="00E35E79"/>
    <w:rsid w:val="00E37D6C"/>
    <w:rsid w:val="00E37EF3"/>
    <w:rsid w:val="00E4277E"/>
    <w:rsid w:val="00E42C70"/>
    <w:rsid w:val="00E45649"/>
    <w:rsid w:val="00E4664F"/>
    <w:rsid w:val="00E47500"/>
    <w:rsid w:val="00E476E8"/>
    <w:rsid w:val="00E477E6"/>
    <w:rsid w:val="00E5058D"/>
    <w:rsid w:val="00E509B0"/>
    <w:rsid w:val="00E50BF7"/>
    <w:rsid w:val="00E51583"/>
    <w:rsid w:val="00E51965"/>
    <w:rsid w:val="00E52299"/>
    <w:rsid w:val="00E52ED6"/>
    <w:rsid w:val="00E55A36"/>
    <w:rsid w:val="00E55D6D"/>
    <w:rsid w:val="00E56588"/>
    <w:rsid w:val="00E565A8"/>
    <w:rsid w:val="00E56FA3"/>
    <w:rsid w:val="00E57BF6"/>
    <w:rsid w:val="00E61CE3"/>
    <w:rsid w:val="00E61F89"/>
    <w:rsid w:val="00E622B4"/>
    <w:rsid w:val="00E624A6"/>
    <w:rsid w:val="00E62AE8"/>
    <w:rsid w:val="00E63990"/>
    <w:rsid w:val="00E64370"/>
    <w:rsid w:val="00E64437"/>
    <w:rsid w:val="00E64A6F"/>
    <w:rsid w:val="00E65326"/>
    <w:rsid w:val="00E65622"/>
    <w:rsid w:val="00E65F4B"/>
    <w:rsid w:val="00E66B52"/>
    <w:rsid w:val="00E71349"/>
    <w:rsid w:val="00E7180E"/>
    <w:rsid w:val="00E71EB7"/>
    <w:rsid w:val="00E7235A"/>
    <w:rsid w:val="00E72A92"/>
    <w:rsid w:val="00E73F0E"/>
    <w:rsid w:val="00E73FD0"/>
    <w:rsid w:val="00E7448C"/>
    <w:rsid w:val="00E745D9"/>
    <w:rsid w:val="00E746BA"/>
    <w:rsid w:val="00E75378"/>
    <w:rsid w:val="00E75706"/>
    <w:rsid w:val="00E76DB5"/>
    <w:rsid w:val="00E773B3"/>
    <w:rsid w:val="00E80299"/>
    <w:rsid w:val="00E8042B"/>
    <w:rsid w:val="00E8049D"/>
    <w:rsid w:val="00E8076A"/>
    <w:rsid w:val="00E8118F"/>
    <w:rsid w:val="00E815CF"/>
    <w:rsid w:val="00E83D74"/>
    <w:rsid w:val="00E8425C"/>
    <w:rsid w:val="00E846AD"/>
    <w:rsid w:val="00E8529E"/>
    <w:rsid w:val="00E86A40"/>
    <w:rsid w:val="00E86EB6"/>
    <w:rsid w:val="00E877A6"/>
    <w:rsid w:val="00E87A7A"/>
    <w:rsid w:val="00E87B53"/>
    <w:rsid w:val="00E90945"/>
    <w:rsid w:val="00E91ECC"/>
    <w:rsid w:val="00E9285F"/>
    <w:rsid w:val="00E94AD4"/>
    <w:rsid w:val="00E954E6"/>
    <w:rsid w:val="00E956F8"/>
    <w:rsid w:val="00E96114"/>
    <w:rsid w:val="00E96614"/>
    <w:rsid w:val="00E973A8"/>
    <w:rsid w:val="00EA0709"/>
    <w:rsid w:val="00EA09C6"/>
    <w:rsid w:val="00EA0B1B"/>
    <w:rsid w:val="00EA0B1F"/>
    <w:rsid w:val="00EA0EE4"/>
    <w:rsid w:val="00EA110E"/>
    <w:rsid w:val="00EA21FC"/>
    <w:rsid w:val="00EA2E46"/>
    <w:rsid w:val="00EA2F92"/>
    <w:rsid w:val="00EA2FCD"/>
    <w:rsid w:val="00EA3A2E"/>
    <w:rsid w:val="00EA3E8A"/>
    <w:rsid w:val="00EA4088"/>
    <w:rsid w:val="00EA4B7D"/>
    <w:rsid w:val="00EA4C3D"/>
    <w:rsid w:val="00EA5776"/>
    <w:rsid w:val="00EA5DF5"/>
    <w:rsid w:val="00EA6DA0"/>
    <w:rsid w:val="00EA6DC9"/>
    <w:rsid w:val="00EA716A"/>
    <w:rsid w:val="00EA72FB"/>
    <w:rsid w:val="00EA7F94"/>
    <w:rsid w:val="00EB0466"/>
    <w:rsid w:val="00EB1512"/>
    <w:rsid w:val="00EB17A8"/>
    <w:rsid w:val="00EB2255"/>
    <w:rsid w:val="00EB32AC"/>
    <w:rsid w:val="00EB4BF8"/>
    <w:rsid w:val="00EB5C8B"/>
    <w:rsid w:val="00EB6C6D"/>
    <w:rsid w:val="00EB7942"/>
    <w:rsid w:val="00EB7D7D"/>
    <w:rsid w:val="00EC0342"/>
    <w:rsid w:val="00EC06F6"/>
    <w:rsid w:val="00EC13B3"/>
    <w:rsid w:val="00EC2E0E"/>
    <w:rsid w:val="00EC2EF2"/>
    <w:rsid w:val="00EC4F70"/>
    <w:rsid w:val="00EC57BD"/>
    <w:rsid w:val="00EC644F"/>
    <w:rsid w:val="00EC689C"/>
    <w:rsid w:val="00EC76A2"/>
    <w:rsid w:val="00EC776B"/>
    <w:rsid w:val="00EC7A4E"/>
    <w:rsid w:val="00EC7B53"/>
    <w:rsid w:val="00EC7C2C"/>
    <w:rsid w:val="00EC7D64"/>
    <w:rsid w:val="00EC7E8F"/>
    <w:rsid w:val="00ED004F"/>
    <w:rsid w:val="00ED03CE"/>
    <w:rsid w:val="00ED0E2F"/>
    <w:rsid w:val="00ED17E2"/>
    <w:rsid w:val="00ED3322"/>
    <w:rsid w:val="00ED382F"/>
    <w:rsid w:val="00ED3848"/>
    <w:rsid w:val="00ED3DF2"/>
    <w:rsid w:val="00ED3F32"/>
    <w:rsid w:val="00ED49DB"/>
    <w:rsid w:val="00ED51A8"/>
    <w:rsid w:val="00ED5584"/>
    <w:rsid w:val="00ED6152"/>
    <w:rsid w:val="00ED67F0"/>
    <w:rsid w:val="00ED6A72"/>
    <w:rsid w:val="00ED70FD"/>
    <w:rsid w:val="00ED74D0"/>
    <w:rsid w:val="00ED7A4D"/>
    <w:rsid w:val="00EE0B8A"/>
    <w:rsid w:val="00EE129C"/>
    <w:rsid w:val="00EE172A"/>
    <w:rsid w:val="00EE1C7E"/>
    <w:rsid w:val="00EE1F31"/>
    <w:rsid w:val="00EE3951"/>
    <w:rsid w:val="00EE3F84"/>
    <w:rsid w:val="00EE4AF3"/>
    <w:rsid w:val="00EE4D5A"/>
    <w:rsid w:val="00EE56AB"/>
    <w:rsid w:val="00EE6707"/>
    <w:rsid w:val="00EE67A5"/>
    <w:rsid w:val="00EF4D7C"/>
    <w:rsid w:val="00EF5770"/>
    <w:rsid w:val="00EF5A49"/>
    <w:rsid w:val="00EF6899"/>
    <w:rsid w:val="00EF6999"/>
    <w:rsid w:val="00EF719F"/>
    <w:rsid w:val="00EF73D9"/>
    <w:rsid w:val="00F00900"/>
    <w:rsid w:val="00F0122A"/>
    <w:rsid w:val="00F014F2"/>
    <w:rsid w:val="00F019E6"/>
    <w:rsid w:val="00F02573"/>
    <w:rsid w:val="00F02960"/>
    <w:rsid w:val="00F050D7"/>
    <w:rsid w:val="00F05530"/>
    <w:rsid w:val="00F05B81"/>
    <w:rsid w:val="00F05CAA"/>
    <w:rsid w:val="00F07C52"/>
    <w:rsid w:val="00F07EE7"/>
    <w:rsid w:val="00F11612"/>
    <w:rsid w:val="00F11CA8"/>
    <w:rsid w:val="00F12585"/>
    <w:rsid w:val="00F13C2B"/>
    <w:rsid w:val="00F13C3D"/>
    <w:rsid w:val="00F14E96"/>
    <w:rsid w:val="00F153DA"/>
    <w:rsid w:val="00F15484"/>
    <w:rsid w:val="00F15CC8"/>
    <w:rsid w:val="00F16827"/>
    <w:rsid w:val="00F16D8C"/>
    <w:rsid w:val="00F16F27"/>
    <w:rsid w:val="00F16F76"/>
    <w:rsid w:val="00F17096"/>
    <w:rsid w:val="00F2148C"/>
    <w:rsid w:val="00F2161F"/>
    <w:rsid w:val="00F22368"/>
    <w:rsid w:val="00F22591"/>
    <w:rsid w:val="00F2279A"/>
    <w:rsid w:val="00F22DD4"/>
    <w:rsid w:val="00F24FDC"/>
    <w:rsid w:val="00F2500A"/>
    <w:rsid w:val="00F25BB7"/>
    <w:rsid w:val="00F26BD1"/>
    <w:rsid w:val="00F30308"/>
    <w:rsid w:val="00F30DDE"/>
    <w:rsid w:val="00F30ED1"/>
    <w:rsid w:val="00F31175"/>
    <w:rsid w:val="00F31630"/>
    <w:rsid w:val="00F3186D"/>
    <w:rsid w:val="00F31EC7"/>
    <w:rsid w:val="00F31FEB"/>
    <w:rsid w:val="00F330CD"/>
    <w:rsid w:val="00F3320A"/>
    <w:rsid w:val="00F335ED"/>
    <w:rsid w:val="00F339AD"/>
    <w:rsid w:val="00F34293"/>
    <w:rsid w:val="00F346C8"/>
    <w:rsid w:val="00F34D07"/>
    <w:rsid w:val="00F35130"/>
    <w:rsid w:val="00F3553C"/>
    <w:rsid w:val="00F35724"/>
    <w:rsid w:val="00F36092"/>
    <w:rsid w:val="00F36839"/>
    <w:rsid w:val="00F36CFE"/>
    <w:rsid w:val="00F400B8"/>
    <w:rsid w:val="00F40D84"/>
    <w:rsid w:val="00F414EF"/>
    <w:rsid w:val="00F41A9B"/>
    <w:rsid w:val="00F42B5E"/>
    <w:rsid w:val="00F4321A"/>
    <w:rsid w:val="00F43788"/>
    <w:rsid w:val="00F4457B"/>
    <w:rsid w:val="00F459DF"/>
    <w:rsid w:val="00F45F1A"/>
    <w:rsid w:val="00F45FFA"/>
    <w:rsid w:val="00F4691B"/>
    <w:rsid w:val="00F46A8F"/>
    <w:rsid w:val="00F476D5"/>
    <w:rsid w:val="00F47BF1"/>
    <w:rsid w:val="00F47D3B"/>
    <w:rsid w:val="00F501F5"/>
    <w:rsid w:val="00F512A0"/>
    <w:rsid w:val="00F51AE9"/>
    <w:rsid w:val="00F51CBB"/>
    <w:rsid w:val="00F52109"/>
    <w:rsid w:val="00F53222"/>
    <w:rsid w:val="00F53223"/>
    <w:rsid w:val="00F540CE"/>
    <w:rsid w:val="00F5447E"/>
    <w:rsid w:val="00F5501F"/>
    <w:rsid w:val="00F55C30"/>
    <w:rsid w:val="00F56433"/>
    <w:rsid w:val="00F57692"/>
    <w:rsid w:val="00F57DBD"/>
    <w:rsid w:val="00F6053C"/>
    <w:rsid w:val="00F60980"/>
    <w:rsid w:val="00F613DC"/>
    <w:rsid w:val="00F61913"/>
    <w:rsid w:val="00F61E27"/>
    <w:rsid w:val="00F62FFA"/>
    <w:rsid w:val="00F6425C"/>
    <w:rsid w:val="00F6428B"/>
    <w:rsid w:val="00F64745"/>
    <w:rsid w:val="00F647C4"/>
    <w:rsid w:val="00F6685A"/>
    <w:rsid w:val="00F66BE3"/>
    <w:rsid w:val="00F66F07"/>
    <w:rsid w:val="00F672E3"/>
    <w:rsid w:val="00F679FE"/>
    <w:rsid w:val="00F70285"/>
    <w:rsid w:val="00F70510"/>
    <w:rsid w:val="00F7296D"/>
    <w:rsid w:val="00F7321D"/>
    <w:rsid w:val="00F74254"/>
    <w:rsid w:val="00F74F03"/>
    <w:rsid w:val="00F750C3"/>
    <w:rsid w:val="00F752B6"/>
    <w:rsid w:val="00F768F6"/>
    <w:rsid w:val="00F77367"/>
    <w:rsid w:val="00F77855"/>
    <w:rsid w:val="00F7790A"/>
    <w:rsid w:val="00F80415"/>
    <w:rsid w:val="00F80B60"/>
    <w:rsid w:val="00F81480"/>
    <w:rsid w:val="00F82F90"/>
    <w:rsid w:val="00F83057"/>
    <w:rsid w:val="00F848F5"/>
    <w:rsid w:val="00F8559A"/>
    <w:rsid w:val="00F85D47"/>
    <w:rsid w:val="00F868AD"/>
    <w:rsid w:val="00F86A0D"/>
    <w:rsid w:val="00F86D45"/>
    <w:rsid w:val="00F8727D"/>
    <w:rsid w:val="00F90682"/>
    <w:rsid w:val="00F906D8"/>
    <w:rsid w:val="00F906EF"/>
    <w:rsid w:val="00F90911"/>
    <w:rsid w:val="00F91534"/>
    <w:rsid w:val="00F93090"/>
    <w:rsid w:val="00F932C4"/>
    <w:rsid w:val="00F935A3"/>
    <w:rsid w:val="00F945F3"/>
    <w:rsid w:val="00F9482D"/>
    <w:rsid w:val="00F95CB0"/>
    <w:rsid w:val="00F95FF1"/>
    <w:rsid w:val="00F96478"/>
    <w:rsid w:val="00F96DED"/>
    <w:rsid w:val="00FA02B9"/>
    <w:rsid w:val="00FA2FFE"/>
    <w:rsid w:val="00FA31A6"/>
    <w:rsid w:val="00FA3602"/>
    <w:rsid w:val="00FA3C73"/>
    <w:rsid w:val="00FA44FE"/>
    <w:rsid w:val="00FA4A7B"/>
    <w:rsid w:val="00FA4C85"/>
    <w:rsid w:val="00FA5252"/>
    <w:rsid w:val="00FA56D2"/>
    <w:rsid w:val="00FA5BE3"/>
    <w:rsid w:val="00FA5C8D"/>
    <w:rsid w:val="00FA5CA4"/>
    <w:rsid w:val="00FA5E1E"/>
    <w:rsid w:val="00FA5F50"/>
    <w:rsid w:val="00FA7097"/>
    <w:rsid w:val="00FA7478"/>
    <w:rsid w:val="00FB0446"/>
    <w:rsid w:val="00FB171A"/>
    <w:rsid w:val="00FB180C"/>
    <w:rsid w:val="00FB1D92"/>
    <w:rsid w:val="00FB293E"/>
    <w:rsid w:val="00FB377C"/>
    <w:rsid w:val="00FB3990"/>
    <w:rsid w:val="00FB4DEE"/>
    <w:rsid w:val="00FB4FA9"/>
    <w:rsid w:val="00FB5A81"/>
    <w:rsid w:val="00FB6446"/>
    <w:rsid w:val="00FB6E5C"/>
    <w:rsid w:val="00FB6F9E"/>
    <w:rsid w:val="00FB7C44"/>
    <w:rsid w:val="00FC07F5"/>
    <w:rsid w:val="00FC0B80"/>
    <w:rsid w:val="00FC0F01"/>
    <w:rsid w:val="00FC27D5"/>
    <w:rsid w:val="00FC348A"/>
    <w:rsid w:val="00FC368B"/>
    <w:rsid w:val="00FC3A43"/>
    <w:rsid w:val="00FC4F83"/>
    <w:rsid w:val="00FC5C34"/>
    <w:rsid w:val="00FC6088"/>
    <w:rsid w:val="00FC6496"/>
    <w:rsid w:val="00FC6DB9"/>
    <w:rsid w:val="00FC6EB4"/>
    <w:rsid w:val="00FC7B11"/>
    <w:rsid w:val="00FC7CF8"/>
    <w:rsid w:val="00FD0AB8"/>
    <w:rsid w:val="00FD0EE1"/>
    <w:rsid w:val="00FD138D"/>
    <w:rsid w:val="00FD15A0"/>
    <w:rsid w:val="00FD2332"/>
    <w:rsid w:val="00FD25E4"/>
    <w:rsid w:val="00FD2828"/>
    <w:rsid w:val="00FD28DC"/>
    <w:rsid w:val="00FD3CBA"/>
    <w:rsid w:val="00FD3FFB"/>
    <w:rsid w:val="00FD400C"/>
    <w:rsid w:val="00FD4671"/>
    <w:rsid w:val="00FD5AA4"/>
    <w:rsid w:val="00FD7D31"/>
    <w:rsid w:val="00FE014A"/>
    <w:rsid w:val="00FE01F9"/>
    <w:rsid w:val="00FE02CF"/>
    <w:rsid w:val="00FE068A"/>
    <w:rsid w:val="00FE1D2B"/>
    <w:rsid w:val="00FE214A"/>
    <w:rsid w:val="00FE24D4"/>
    <w:rsid w:val="00FE2B4A"/>
    <w:rsid w:val="00FE3280"/>
    <w:rsid w:val="00FE3880"/>
    <w:rsid w:val="00FE3CF7"/>
    <w:rsid w:val="00FE3F49"/>
    <w:rsid w:val="00FE4E7E"/>
    <w:rsid w:val="00FE71F5"/>
    <w:rsid w:val="00FE7733"/>
    <w:rsid w:val="00FF0851"/>
    <w:rsid w:val="00FF0C6E"/>
    <w:rsid w:val="00FF0D6F"/>
    <w:rsid w:val="00FF0D9B"/>
    <w:rsid w:val="00FF0DAF"/>
    <w:rsid w:val="00FF12F0"/>
    <w:rsid w:val="00FF15CE"/>
    <w:rsid w:val="00FF171E"/>
    <w:rsid w:val="00FF20F6"/>
    <w:rsid w:val="00FF2CCF"/>
    <w:rsid w:val="00FF30A5"/>
    <w:rsid w:val="00FF3231"/>
    <w:rsid w:val="00FF357B"/>
    <w:rsid w:val="00FF3CC9"/>
    <w:rsid w:val="00FF42EA"/>
    <w:rsid w:val="00FF4D16"/>
    <w:rsid w:val="00FF5347"/>
    <w:rsid w:val="00FF538E"/>
    <w:rsid w:val="00FF65A3"/>
    <w:rsid w:val="00FF6F78"/>
    <w:rsid w:val="00FF77BC"/>
    <w:rsid w:val="00FF7E0D"/>
    <w:rsid w:val="0101293A"/>
    <w:rsid w:val="01016C10"/>
    <w:rsid w:val="01042CD0"/>
    <w:rsid w:val="010C6C69"/>
    <w:rsid w:val="01105806"/>
    <w:rsid w:val="0118255D"/>
    <w:rsid w:val="01190211"/>
    <w:rsid w:val="011D6AD3"/>
    <w:rsid w:val="012252B6"/>
    <w:rsid w:val="012500D2"/>
    <w:rsid w:val="012525B3"/>
    <w:rsid w:val="0128050D"/>
    <w:rsid w:val="01285D05"/>
    <w:rsid w:val="012E2904"/>
    <w:rsid w:val="01370B6B"/>
    <w:rsid w:val="0137481C"/>
    <w:rsid w:val="013A3FF4"/>
    <w:rsid w:val="013E3309"/>
    <w:rsid w:val="01457BF5"/>
    <w:rsid w:val="014C6D06"/>
    <w:rsid w:val="01561864"/>
    <w:rsid w:val="015B03D1"/>
    <w:rsid w:val="015F6937"/>
    <w:rsid w:val="0165138A"/>
    <w:rsid w:val="016961D6"/>
    <w:rsid w:val="01741941"/>
    <w:rsid w:val="0177496C"/>
    <w:rsid w:val="017E2E02"/>
    <w:rsid w:val="018124EE"/>
    <w:rsid w:val="01914DAF"/>
    <w:rsid w:val="0194620D"/>
    <w:rsid w:val="019F45E6"/>
    <w:rsid w:val="01A01F9E"/>
    <w:rsid w:val="01AD4A29"/>
    <w:rsid w:val="01AD510B"/>
    <w:rsid w:val="01AD616D"/>
    <w:rsid w:val="01B11F13"/>
    <w:rsid w:val="01B17842"/>
    <w:rsid w:val="01B322C9"/>
    <w:rsid w:val="01B77312"/>
    <w:rsid w:val="01B975AE"/>
    <w:rsid w:val="01C042DF"/>
    <w:rsid w:val="01C8198D"/>
    <w:rsid w:val="01CF7EB6"/>
    <w:rsid w:val="01D10A08"/>
    <w:rsid w:val="01D63F6D"/>
    <w:rsid w:val="01D7163E"/>
    <w:rsid w:val="01D73692"/>
    <w:rsid w:val="01D97F84"/>
    <w:rsid w:val="01E213E8"/>
    <w:rsid w:val="01E36CCB"/>
    <w:rsid w:val="01E461FC"/>
    <w:rsid w:val="01E51F0E"/>
    <w:rsid w:val="01F06FC1"/>
    <w:rsid w:val="01F423BB"/>
    <w:rsid w:val="01F76AB4"/>
    <w:rsid w:val="01F805D0"/>
    <w:rsid w:val="01F857E9"/>
    <w:rsid w:val="01F90448"/>
    <w:rsid w:val="01FB2BD9"/>
    <w:rsid w:val="01FB7CF1"/>
    <w:rsid w:val="02017D52"/>
    <w:rsid w:val="02085DF6"/>
    <w:rsid w:val="02086D07"/>
    <w:rsid w:val="020F5456"/>
    <w:rsid w:val="02110929"/>
    <w:rsid w:val="021655D4"/>
    <w:rsid w:val="021F64C7"/>
    <w:rsid w:val="022C1C30"/>
    <w:rsid w:val="02304D83"/>
    <w:rsid w:val="02372E07"/>
    <w:rsid w:val="02455351"/>
    <w:rsid w:val="024B505A"/>
    <w:rsid w:val="024F2EBE"/>
    <w:rsid w:val="02512B3D"/>
    <w:rsid w:val="0254378E"/>
    <w:rsid w:val="02551245"/>
    <w:rsid w:val="025542E2"/>
    <w:rsid w:val="025B138E"/>
    <w:rsid w:val="02667143"/>
    <w:rsid w:val="02680422"/>
    <w:rsid w:val="026D72E4"/>
    <w:rsid w:val="027176AF"/>
    <w:rsid w:val="027507D1"/>
    <w:rsid w:val="027E24CC"/>
    <w:rsid w:val="028351F5"/>
    <w:rsid w:val="028D7F83"/>
    <w:rsid w:val="02902745"/>
    <w:rsid w:val="02944F71"/>
    <w:rsid w:val="029472A1"/>
    <w:rsid w:val="029953E5"/>
    <w:rsid w:val="029A445E"/>
    <w:rsid w:val="02AB13DD"/>
    <w:rsid w:val="02AB22A7"/>
    <w:rsid w:val="02B077C8"/>
    <w:rsid w:val="02B80B07"/>
    <w:rsid w:val="02BC24B1"/>
    <w:rsid w:val="02C07245"/>
    <w:rsid w:val="02C43DB1"/>
    <w:rsid w:val="02C52B30"/>
    <w:rsid w:val="02C83A8B"/>
    <w:rsid w:val="02C84D5A"/>
    <w:rsid w:val="02C92423"/>
    <w:rsid w:val="02CA23C4"/>
    <w:rsid w:val="02CE0ED6"/>
    <w:rsid w:val="02DE69A0"/>
    <w:rsid w:val="02E279A9"/>
    <w:rsid w:val="02EF4763"/>
    <w:rsid w:val="02F01AFE"/>
    <w:rsid w:val="02FD2B61"/>
    <w:rsid w:val="02FE0ADD"/>
    <w:rsid w:val="02FF1FF3"/>
    <w:rsid w:val="03071B18"/>
    <w:rsid w:val="03083632"/>
    <w:rsid w:val="030B2FCE"/>
    <w:rsid w:val="030E517A"/>
    <w:rsid w:val="030F5D29"/>
    <w:rsid w:val="030F611F"/>
    <w:rsid w:val="031417A6"/>
    <w:rsid w:val="03166610"/>
    <w:rsid w:val="03176E78"/>
    <w:rsid w:val="032415BF"/>
    <w:rsid w:val="032547D2"/>
    <w:rsid w:val="03286E86"/>
    <w:rsid w:val="032A0209"/>
    <w:rsid w:val="032F26D5"/>
    <w:rsid w:val="03311CDF"/>
    <w:rsid w:val="03316B04"/>
    <w:rsid w:val="03380D2C"/>
    <w:rsid w:val="033D6B03"/>
    <w:rsid w:val="033E3D2A"/>
    <w:rsid w:val="03412791"/>
    <w:rsid w:val="03437501"/>
    <w:rsid w:val="034E3918"/>
    <w:rsid w:val="03531FA9"/>
    <w:rsid w:val="03600F2A"/>
    <w:rsid w:val="03601A3C"/>
    <w:rsid w:val="03631431"/>
    <w:rsid w:val="03650C43"/>
    <w:rsid w:val="03654458"/>
    <w:rsid w:val="0367320E"/>
    <w:rsid w:val="036D6444"/>
    <w:rsid w:val="036E79D4"/>
    <w:rsid w:val="036F71A6"/>
    <w:rsid w:val="03737054"/>
    <w:rsid w:val="037D62AE"/>
    <w:rsid w:val="03884104"/>
    <w:rsid w:val="038C1B54"/>
    <w:rsid w:val="038F5D33"/>
    <w:rsid w:val="03953302"/>
    <w:rsid w:val="039A3853"/>
    <w:rsid w:val="039D4EBE"/>
    <w:rsid w:val="039E4A38"/>
    <w:rsid w:val="03A060B6"/>
    <w:rsid w:val="03A24BCC"/>
    <w:rsid w:val="03A403E0"/>
    <w:rsid w:val="03A43CA1"/>
    <w:rsid w:val="03A87BDF"/>
    <w:rsid w:val="03AB6D71"/>
    <w:rsid w:val="03AF1065"/>
    <w:rsid w:val="03B247D8"/>
    <w:rsid w:val="03B2655D"/>
    <w:rsid w:val="03B30181"/>
    <w:rsid w:val="03B96334"/>
    <w:rsid w:val="03BE2EEC"/>
    <w:rsid w:val="03C06302"/>
    <w:rsid w:val="03C331DA"/>
    <w:rsid w:val="03C52362"/>
    <w:rsid w:val="03CE126E"/>
    <w:rsid w:val="03D14C3B"/>
    <w:rsid w:val="03D74EC5"/>
    <w:rsid w:val="03D765B7"/>
    <w:rsid w:val="03E55F65"/>
    <w:rsid w:val="03E75CD1"/>
    <w:rsid w:val="03EB162E"/>
    <w:rsid w:val="03EC516F"/>
    <w:rsid w:val="03F87CBB"/>
    <w:rsid w:val="03FE4DF0"/>
    <w:rsid w:val="04023B22"/>
    <w:rsid w:val="04062F54"/>
    <w:rsid w:val="04093187"/>
    <w:rsid w:val="040B5B81"/>
    <w:rsid w:val="040F324D"/>
    <w:rsid w:val="040F70E5"/>
    <w:rsid w:val="04194FFB"/>
    <w:rsid w:val="04211A74"/>
    <w:rsid w:val="04222F96"/>
    <w:rsid w:val="042708EF"/>
    <w:rsid w:val="042925FA"/>
    <w:rsid w:val="04322B0F"/>
    <w:rsid w:val="04346027"/>
    <w:rsid w:val="04347116"/>
    <w:rsid w:val="04347ECF"/>
    <w:rsid w:val="0439387C"/>
    <w:rsid w:val="043A146D"/>
    <w:rsid w:val="043F1716"/>
    <w:rsid w:val="043F7ED1"/>
    <w:rsid w:val="04410396"/>
    <w:rsid w:val="04427B97"/>
    <w:rsid w:val="044A1A90"/>
    <w:rsid w:val="04520673"/>
    <w:rsid w:val="04530DD2"/>
    <w:rsid w:val="045C1E01"/>
    <w:rsid w:val="045D2FC4"/>
    <w:rsid w:val="04636119"/>
    <w:rsid w:val="04662845"/>
    <w:rsid w:val="046E0986"/>
    <w:rsid w:val="04701466"/>
    <w:rsid w:val="04726F99"/>
    <w:rsid w:val="04742319"/>
    <w:rsid w:val="04762F3E"/>
    <w:rsid w:val="04767D24"/>
    <w:rsid w:val="04784D20"/>
    <w:rsid w:val="047C35A8"/>
    <w:rsid w:val="048374D1"/>
    <w:rsid w:val="04930183"/>
    <w:rsid w:val="04945DB3"/>
    <w:rsid w:val="049832CF"/>
    <w:rsid w:val="04A008CA"/>
    <w:rsid w:val="04A0094E"/>
    <w:rsid w:val="04A26007"/>
    <w:rsid w:val="04A27C97"/>
    <w:rsid w:val="04A43675"/>
    <w:rsid w:val="04A83AFA"/>
    <w:rsid w:val="04AA680E"/>
    <w:rsid w:val="04AB08B4"/>
    <w:rsid w:val="04B008C2"/>
    <w:rsid w:val="04B2297D"/>
    <w:rsid w:val="04B41DE0"/>
    <w:rsid w:val="04BA339A"/>
    <w:rsid w:val="04BA600F"/>
    <w:rsid w:val="04C21781"/>
    <w:rsid w:val="04D80F0D"/>
    <w:rsid w:val="04DA4D49"/>
    <w:rsid w:val="04DB4D8E"/>
    <w:rsid w:val="04DF74A2"/>
    <w:rsid w:val="04E871CE"/>
    <w:rsid w:val="04F27750"/>
    <w:rsid w:val="050053A6"/>
    <w:rsid w:val="0504782D"/>
    <w:rsid w:val="05047AC7"/>
    <w:rsid w:val="0507328B"/>
    <w:rsid w:val="050776C8"/>
    <w:rsid w:val="050900D2"/>
    <w:rsid w:val="050A06F8"/>
    <w:rsid w:val="050A0EA7"/>
    <w:rsid w:val="050B4BAA"/>
    <w:rsid w:val="050B4BCC"/>
    <w:rsid w:val="050B4DF5"/>
    <w:rsid w:val="050D56A6"/>
    <w:rsid w:val="050F3976"/>
    <w:rsid w:val="05125A04"/>
    <w:rsid w:val="051901D4"/>
    <w:rsid w:val="05244195"/>
    <w:rsid w:val="052524F4"/>
    <w:rsid w:val="05257B97"/>
    <w:rsid w:val="052936D7"/>
    <w:rsid w:val="052A39C8"/>
    <w:rsid w:val="052D4EEB"/>
    <w:rsid w:val="053105F8"/>
    <w:rsid w:val="053E6949"/>
    <w:rsid w:val="053F2808"/>
    <w:rsid w:val="05471829"/>
    <w:rsid w:val="05491B12"/>
    <w:rsid w:val="055173F0"/>
    <w:rsid w:val="05590539"/>
    <w:rsid w:val="055F04E1"/>
    <w:rsid w:val="055F3CB7"/>
    <w:rsid w:val="056038B6"/>
    <w:rsid w:val="05607F55"/>
    <w:rsid w:val="05611C9E"/>
    <w:rsid w:val="05653644"/>
    <w:rsid w:val="0565786B"/>
    <w:rsid w:val="05745274"/>
    <w:rsid w:val="05780B42"/>
    <w:rsid w:val="05815F49"/>
    <w:rsid w:val="05824329"/>
    <w:rsid w:val="05843E37"/>
    <w:rsid w:val="0589022E"/>
    <w:rsid w:val="05954431"/>
    <w:rsid w:val="059741AA"/>
    <w:rsid w:val="0599476D"/>
    <w:rsid w:val="05A37E2F"/>
    <w:rsid w:val="05AD5FBF"/>
    <w:rsid w:val="05B56C25"/>
    <w:rsid w:val="05B63F69"/>
    <w:rsid w:val="05C32ED3"/>
    <w:rsid w:val="05C73E6F"/>
    <w:rsid w:val="05CC4704"/>
    <w:rsid w:val="05D22159"/>
    <w:rsid w:val="05D435E1"/>
    <w:rsid w:val="05DF3D52"/>
    <w:rsid w:val="05E621C3"/>
    <w:rsid w:val="05EF42E4"/>
    <w:rsid w:val="05F54E35"/>
    <w:rsid w:val="05FA43CF"/>
    <w:rsid w:val="05FB2BC7"/>
    <w:rsid w:val="06047F54"/>
    <w:rsid w:val="060632A7"/>
    <w:rsid w:val="0609615B"/>
    <w:rsid w:val="06136D9F"/>
    <w:rsid w:val="06137119"/>
    <w:rsid w:val="061944F4"/>
    <w:rsid w:val="061A2ED9"/>
    <w:rsid w:val="062210A9"/>
    <w:rsid w:val="06243F9A"/>
    <w:rsid w:val="062475F7"/>
    <w:rsid w:val="062A31F6"/>
    <w:rsid w:val="06320AE6"/>
    <w:rsid w:val="06394EBA"/>
    <w:rsid w:val="063B2D93"/>
    <w:rsid w:val="063C0382"/>
    <w:rsid w:val="063E3598"/>
    <w:rsid w:val="063E540D"/>
    <w:rsid w:val="064743B9"/>
    <w:rsid w:val="064B3BC7"/>
    <w:rsid w:val="065038DE"/>
    <w:rsid w:val="0653527E"/>
    <w:rsid w:val="065B7DA4"/>
    <w:rsid w:val="065E40E8"/>
    <w:rsid w:val="066865C2"/>
    <w:rsid w:val="0669544E"/>
    <w:rsid w:val="066C6426"/>
    <w:rsid w:val="066D7521"/>
    <w:rsid w:val="0670204C"/>
    <w:rsid w:val="06773557"/>
    <w:rsid w:val="067B1C53"/>
    <w:rsid w:val="067C4D3D"/>
    <w:rsid w:val="067D016F"/>
    <w:rsid w:val="06845D7A"/>
    <w:rsid w:val="06855EC0"/>
    <w:rsid w:val="06870BF3"/>
    <w:rsid w:val="06877E31"/>
    <w:rsid w:val="068B6E72"/>
    <w:rsid w:val="068C2D31"/>
    <w:rsid w:val="068E6B25"/>
    <w:rsid w:val="06922FA4"/>
    <w:rsid w:val="06A25624"/>
    <w:rsid w:val="06A67D3A"/>
    <w:rsid w:val="06A836AA"/>
    <w:rsid w:val="06B267A6"/>
    <w:rsid w:val="06B32751"/>
    <w:rsid w:val="06B50A99"/>
    <w:rsid w:val="06BD7621"/>
    <w:rsid w:val="06BF030D"/>
    <w:rsid w:val="06C132F8"/>
    <w:rsid w:val="06C2183E"/>
    <w:rsid w:val="06C36C54"/>
    <w:rsid w:val="06D25374"/>
    <w:rsid w:val="06DF297C"/>
    <w:rsid w:val="06E44DE8"/>
    <w:rsid w:val="06EA0AE6"/>
    <w:rsid w:val="06F65779"/>
    <w:rsid w:val="06FD42EA"/>
    <w:rsid w:val="070359A0"/>
    <w:rsid w:val="0705063B"/>
    <w:rsid w:val="070A0F55"/>
    <w:rsid w:val="070A77F4"/>
    <w:rsid w:val="07122432"/>
    <w:rsid w:val="071B7B40"/>
    <w:rsid w:val="07221F9F"/>
    <w:rsid w:val="07231C0E"/>
    <w:rsid w:val="07237F66"/>
    <w:rsid w:val="07253016"/>
    <w:rsid w:val="07280E81"/>
    <w:rsid w:val="072A7465"/>
    <w:rsid w:val="072C2170"/>
    <w:rsid w:val="072D074B"/>
    <w:rsid w:val="07336E46"/>
    <w:rsid w:val="07350BBA"/>
    <w:rsid w:val="07356920"/>
    <w:rsid w:val="073B162A"/>
    <w:rsid w:val="073D6116"/>
    <w:rsid w:val="074067F4"/>
    <w:rsid w:val="07556A22"/>
    <w:rsid w:val="075A03EF"/>
    <w:rsid w:val="075A6E77"/>
    <w:rsid w:val="075B6A18"/>
    <w:rsid w:val="0766242C"/>
    <w:rsid w:val="07744E5C"/>
    <w:rsid w:val="077540B7"/>
    <w:rsid w:val="0783450C"/>
    <w:rsid w:val="07837D71"/>
    <w:rsid w:val="07854B87"/>
    <w:rsid w:val="078564AD"/>
    <w:rsid w:val="07886872"/>
    <w:rsid w:val="0788733F"/>
    <w:rsid w:val="078F1D07"/>
    <w:rsid w:val="07983F1F"/>
    <w:rsid w:val="07987CC9"/>
    <w:rsid w:val="079A1B2D"/>
    <w:rsid w:val="079A1C0F"/>
    <w:rsid w:val="079B05D9"/>
    <w:rsid w:val="079C1B35"/>
    <w:rsid w:val="079C4EB2"/>
    <w:rsid w:val="07A25163"/>
    <w:rsid w:val="07A5330F"/>
    <w:rsid w:val="07A86AAB"/>
    <w:rsid w:val="07AB36BB"/>
    <w:rsid w:val="07AF1602"/>
    <w:rsid w:val="07AF55A6"/>
    <w:rsid w:val="07B80AC0"/>
    <w:rsid w:val="07BA45BD"/>
    <w:rsid w:val="07C05E24"/>
    <w:rsid w:val="07C55AF8"/>
    <w:rsid w:val="07C6632A"/>
    <w:rsid w:val="07C824BF"/>
    <w:rsid w:val="07C91479"/>
    <w:rsid w:val="07C92B05"/>
    <w:rsid w:val="07CA7201"/>
    <w:rsid w:val="07D826A0"/>
    <w:rsid w:val="07DC3D2D"/>
    <w:rsid w:val="07E45910"/>
    <w:rsid w:val="07F32076"/>
    <w:rsid w:val="07F93F23"/>
    <w:rsid w:val="08057A19"/>
    <w:rsid w:val="08057FCF"/>
    <w:rsid w:val="080B5BA7"/>
    <w:rsid w:val="080C7184"/>
    <w:rsid w:val="081606E4"/>
    <w:rsid w:val="081D240C"/>
    <w:rsid w:val="08214D92"/>
    <w:rsid w:val="08236869"/>
    <w:rsid w:val="08255D27"/>
    <w:rsid w:val="08266FCF"/>
    <w:rsid w:val="082D3F4A"/>
    <w:rsid w:val="08316225"/>
    <w:rsid w:val="083E42DE"/>
    <w:rsid w:val="083F29B0"/>
    <w:rsid w:val="084164B4"/>
    <w:rsid w:val="08430111"/>
    <w:rsid w:val="0846476D"/>
    <w:rsid w:val="084840F7"/>
    <w:rsid w:val="08585E1F"/>
    <w:rsid w:val="085F5F90"/>
    <w:rsid w:val="08657ACE"/>
    <w:rsid w:val="086E62CF"/>
    <w:rsid w:val="087064FA"/>
    <w:rsid w:val="08752E8C"/>
    <w:rsid w:val="0875711E"/>
    <w:rsid w:val="08793101"/>
    <w:rsid w:val="08800AC9"/>
    <w:rsid w:val="088258B4"/>
    <w:rsid w:val="08891DC5"/>
    <w:rsid w:val="088A5D5A"/>
    <w:rsid w:val="088E2FE6"/>
    <w:rsid w:val="0890309D"/>
    <w:rsid w:val="089756E7"/>
    <w:rsid w:val="08991641"/>
    <w:rsid w:val="08A30510"/>
    <w:rsid w:val="08A92C8E"/>
    <w:rsid w:val="08A970B1"/>
    <w:rsid w:val="08AD3A18"/>
    <w:rsid w:val="08AE449E"/>
    <w:rsid w:val="08AE5D15"/>
    <w:rsid w:val="08AE74E3"/>
    <w:rsid w:val="08B05C49"/>
    <w:rsid w:val="08B60B0C"/>
    <w:rsid w:val="08B61B14"/>
    <w:rsid w:val="08B83A84"/>
    <w:rsid w:val="08BB49DB"/>
    <w:rsid w:val="08BF2E10"/>
    <w:rsid w:val="08BF343B"/>
    <w:rsid w:val="08C71B2A"/>
    <w:rsid w:val="08CA0085"/>
    <w:rsid w:val="08CA64F5"/>
    <w:rsid w:val="08CB65E7"/>
    <w:rsid w:val="08CE410F"/>
    <w:rsid w:val="08DD0FEC"/>
    <w:rsid w:val="08DE150D"/>
    <w:rsid w:val="08ED70A2"/>
    <w:rsid w:val="08EF501B"/>
    <w:rsid w:val="08F27CFF"/>
    <w:rsid w:val="08F6589F"/>
    <w:rsid w:val="08F66C43"/>
    <w:rsid w:val="08FB720C"/>
    <w:rsid w:val="090075D2"/>
    <w:rsid w:val="09076668"/>
    <w:rsid w:val="09095B18"/>
    <w:rsid w:val="090C638E"/>
    <w:rsid w:val="090E57E5"/>
    <w:rsid w:val="09127290"/>
    <w:rsid w:val="09175D78"/>
    <w:rsid w:val="09184BD9"/>
    <w:rsid w:val="09193CBE"/>
    <w:rsid w:val="09241BF0"/>
    <w:rsid w:val="09255438"/>
    <w:rsid w:val="09295669"/>
    <w:rsid w:val="092A74E6"/>
    <w:rsid w:val="092C783B"/>
    <w:rsid w:val="092F38E5"/>
    <w:rsid w:val="09314393"/>
    <w:rsid w:val="09326A22"/>
    <w:rsid w:val="09346CEB"/>
    <w:rsid w:val="093A2790"/>
    <w:rsid w:val="093E23CF"/>
    <w:rsid w:val="094300C9"/>
    <w:rsid w:val="094E1598"/>
    <w:rsid w:val="09525512"/>
    <w:rsid w:val="09562505"/>
    <w:rsid w:val="095C6D46"/>
    <w:rsid w:val="095D48D9"/>
    <w:rsid w:val="09616F12"/>
    <w:rsid w:val="09627899"/>
    <w:rsid w:val="096A0964"/>
    <w:rsid w:val="09876078"/>
    <w:rsid w:val="09895F17"/>
    <w:rsid w:val="098A3838"/>
    <w:rsid w:val="098C3D2F"/>
    <w:rsid w:val="098C7E25"/>
    <w:rsid w:val="09A0390E"/>
    <w:rsid w:val="09A6526C"/>
    <w:rsid w:val="09B3537E"/>
    <w:rsid w:val="09BB2098"/>
    <w:rsid w:val="09BC6CD5"/>
    <w:rsid w:val="09C1256C"/>
    <w:rsid w:val="09C30BF2"/>
    <w:rsid w:val="09C36A8E"/>
    <w:rsid w:val="09C74A0C"/>
    <w:rsid w:val="09C80929"/>
    <w:rsid w:val="09C9435D"/>
    <w:rsid w:val="09CB6C44"/>
    <w:rsid w:val="09CD4330"/>
    <w:rsid w:val="09CF0C00"/>
    <w:rsid w:val="09D4008F"/>
    <w:rsid w:val="09D55FFC"/>
    <w:rsid w:val="09DC0469"/>
    <w:rsid w:val="09DC4F52"/>
    <w:rsid w:val="09E15ECC"/>
    <w:rsid w:val="09E340E0"/>
    <w:rsid w:val="09EE4894"/>
    <w:rsid w:val="09F02BA8"/>
    <w:rsid w:val="09FE2C83"/>
    <w:rsid w:val="0A022A40"/>
    <w:rsid w:val="0A0265DB"/>
    <w:rsid w:val="0A0521F5"/>
    <w:rsid w:val="0A0F439A"/>
    <w:rsid w:val="0A12678D"/>
    <w:rsid w:val="0A127EDC"/>
    <w:rsid w:val="0A171E8E"/>
    <w:rsid w:val="0A1E0785"/>
    <w:rsid w:val="0A237807"/>
    <w:rsid w:val="0A2A7C4B"/>
    <w:rsid w:val="0A3000FF"/>
    <w:rsid w:val="0A397DFC"/>
    <w:rsid w:val="0A4F1E2F"/>
    <w:rsid w:val="0A514861"/>
    <w:rsid w:val="0A522703"/>
    <w:rsid w:val="0A5A2B97"/>
    <w:rsid w:val="0A5B68B4"/>
    <w:rsid w:val="0A5F5842"/>
    <w:rsid w:val="0A6320CF"/>
    <w:rsid w:val="0A6770EC"/>
    <w:rsid w:val="0A6C45A2"/>
    <w:rsid w:val="0A6E5396"/>
    <w:rsid w:val="0A755FCE"/>
    <w:rsid w:val="0A78417D"/>
    <w:rsid w:val="0A7C5969"/>
    <w:rsid w:val="0A7E2714"/>
    <w:rsid w:val="0A801BC2"/>
    <w:rsid w:val="0A8A3386"/>
    <w:rsid w:val="0A8B62DE"/>
    <w:rsid w:val="0A8C0E31"/>
    <w:rsid w:val="0A984455"/>
    <w:rsid w:val="0A9D6F76"/>
    <w:rsid w:val="0A9F7096"/>
    <w:rsid w:val="0AA5743C"/>
    <w:rsid w:val="0AA94751"/>
    <w:rsid w:val="0AA974C2"/>
    <w:rsid w:val="0AB11F14"/>
    <w:rsid w:val="0AB17EFF"/>
    <w:rsid w:val="0AB31B5D"/>
    <w:rsid w:val="0AB5012A"/>
    <w:rsid w:val="0AB66BB6"/>
    <w:rsid w:val="0AB83822"/>
    <w:rsid w:val="0ABC455A"/>
    <w:rsid w:val="0ABE638C"/>
    <w:rsid w:val="0AC53A44"/>
    <w:rsid w:val="0AD369EF"/>
    <w:rsid w:val="0AD56915"/>
    <w:rsid w:val="0AD970EE"/>
    <w:rsid w:val="0ADA7603"/>
    <w:rsid w:val="0ADB7C37"/>
    <w:rsid w:val="0AE52314"/>
    <w:rsid w:val="0AE92E13"/>
    <w:rsid w:val="0AF2551F"/>
    <w:rsid w:val="0AFA287C"/>
    <w:rsid w:val="0B0667C0"/>
    <w:rsid w:val="0B0A64FA"/>
    <w:rsid w:val="0B0C292D"/>
    <w:rsid w:val="0B0D7F04"/>
    <w:rsid w:val="0B124CC5"/>
    <w:rsid w:val="0B175B42"/>
    <w:rsid w:val="0B201170"/>
    <w:rsid w:val="0B2366D2"/>
    <w:rsid w:val="0B27543E"/>
    <w:rsid w:val="0B293B8C"/>
    <w:rsid w:val="0B2F2519"/>
    <w:rsid w:val="0B32198C"/>
    <w:rsid w:val="0B334392"/>
    <w:rsid w:val="0B361549"/>
    <w:rsid w:val="0B366B23"/>
    <w:rsid w:val="0B3F7384"/>
    <w:rsid w:val="0B473487"/>
    <w:rsid w:val="0B4F2B4D"/>
    <w:rsid w:val="0B51659A"/>
    <w:rsid w:val="0B556AB6"/>
    <w:rsid w:val="0B582C41"/>
    <w:rsid w:val="0B5D14A6"/>
    <w:rsid w:val="0B60716C"/>
    <w:rsid w:val="0B625334"/>
    <w:rsid w:val="0B6651D6"/>
    <w:rsid w:val="0B6A5DB9"/>
    <w:rsid w:val="0B6B40B0"/>
    <w:rsid w:val="0B6E7A64"/>
    <w:rsid w:val="0B713B68"/>
    <w:rsid w:val="0B736F62"/>
    <w:rsid w:val="0B7A5E96"/>
    <w:rsid w:val="0B7C7285"/>
    <w:rsid w:val="0B7F6951"/>
    <w:rsid w:val="0B835D45"/>
    <w:rsid w:val="0B860064"/>
    <w:rsid w:val="0B8B400A"/>
    <w:rsid w:val="0B8B414A"/>
    <w:rsid w:val="0B9E2561"/>
    <w:rsid w:val="0BA35DBC"/>
    <w:rsid w:val="0BA554A4"/>
    <w:rsid w:val="0BAB6404"/>
    <w:rsid w:val="0BB64C20"/>
    <w:rsid w:val="0BBA1825"/>
    <w:rsid w:val="0BC61119"/>
    <w:rsid w:val="0BC61966"/>
    <w:rsid w:val="0BC61F7D"/>
    <w:rsid w:val="0BC75D84"/>
    <w:rsid w:val="0BCE3BD7"/>
    <w:rsid w:val="0BD04E3C"/>
    <w:rsid w:val="0BD4084B"/>
    <w:rsid w:val="0BD53D35"/>
    <w:rsid w:val="0BDE75FA"/>
    <w:rsid w:val="0BE51541"/>
    <w:rsid w:val="0BE70449"/>
    <w:rsid w:val="0BE90A41"/>
    <w:rsid w:val="0BEF18D5"/>
    <w:rsid w:val="0BF914B8"/>
    <w:rsid w:val="0BFA517A"/>
    <w:rsid w:val="0C024CA7"/>
    <w:rsid w:val="0C042EE0"/>
    <w:rsid w:val="0C0507C9"/>
    <w:rsid w:val="0C05221F"/>
    <w:rsid w:val="0C053B24"/>
    <w:rsid w:val="0C060BFC"/>
    <w:rsid w:val="0C065CC3"/>
    <w:rsid w:val="0C0806E7"/>
    <w:rsid w:val="0C080F02"/>
    <w:rsid w:val="0C146769"/>
    <w:rsid w:val="0C1D0DB0"/>
    <w:rsid w:val="0C1E6605"/>
    <w:rsid w:val="0C227E00"/>
    <w:rsid w:val="0C232BF1"/>
    <w:rsid w:val="0C245728"/>
    <w:rsid w:val="0C302557"/>
    <w:rsid w:val="0C3A3A7B"/>
    <w:rsid w:val="0C402FC7"/>
    <w:rsid w:val="0C427C40"/>
    <w:rsid w:val="0C473778"/>
    <w:rsid w:val="0C480454"/>
    <w:rsid w:val="0C4A6D32"/>
    <w:rsid w:val="0C4C5381"/>
    <w:rsid w:val="0C4D7AEB"/>
    <w:rsid w:val="0C5C38FD"/>
    <w:rsid w:val="0C5D1E4B"/>
    <w:rsid w:val="0C5F1480"/>
    <w:rsid w:val="0C684328"/>
    <w:rsid w:val="0C6B3DF2"/>
    <w:rsid w:val="0C6E2480"/>
    <w:rsid w:val="0C784387"/>
    <w:rsid w:val="0C795A09"/>
    <w:rsid w:val="0C7B58AD"/>
    <w:rsid w:val="0C806EAB"/>
    <w:rsid w:val="0C807E76"/>
    <w:rsid w:val="0C895863"/>
    <w:rsid w:val="0C94460F"/>
    <w:rsid w:val="0C9C64B3"/>
    <w:rsid w:val="0C9D0879"/>
    <w:rsid w:val="0CA72E90"/>
    <w:rsid w:val="0CB82705"/>
    <w:rsid w:val="0CB918D0"/>
    <w:rsid w:val="0CBC7CD5"/>
    <w:rsid w:val="0CBF56CB"/>
    <w:rsid w:val="0CC27235"/>
    <w:rsid w:val="0CC73B24"/>
    <w:rsid w:val="0CC87BFE"/>
    <w:rsid w:val="0CCF1CCF"/>
    <w:rsid w:val="0CD013AF"/>
    <w:rsid w:val="0CDA51C7"/>
    <w:rsid w:val="0CDA71EC"/>
    <w:rsid w:val="0CE36E39"/>
    <w:rsid w:val="0CF67085"/>
    <w:rsid w:val="0CF8260A"/>
    <w:rsid w:val="0CFA5631"/>
    <w:rsid w:val="0CFC1264"/>
    <w:rsid w:val="0CFC519D"/>
    <w:rsid w:val="0D00219D"/>
    <w:rsid w:val="0D027371"/>
    <w:rsid w:val="0D062890"/>
    <w:rsid w:val="0D0856E8"/>
    <w:rsid w:val="0D0E1471"/>
    <w:rsid w:val="0D166E84"/>
    <w:rsid w:val="0D172A1D"/>
    <w:rsid w:val="0D19318C"/>
    <w:rsid w:val="0D1A4BA1"/>
    <w:rsid w:val="0D1A524F"/>
    <w:rsid w:val="0D1C7266"/>
    <w:rsid w:val="0D1D3A97"/>
    <w:rsid w:val="0D1E6EE6"/>
    <w:rsid w:val="0D237BBD"/>
    <w:rsid w:val="0D254BE8"/>
    <w:rsid w:val="0D2571D0"/>
    <w:rsid w:val="0D293161"/>
    <w:rsid w:val="0D29575A"/>
    <w:rsid w:val="0D2D34F1"/>
    <w:rsid w:val="0D313C31"/>
    <w:rsid w:val="0D3926FF"/>
    <w:rsid w:val="0D4030C9"/>
    <w:rsid w:val="0D40776D"/>
    <w:rsid w:val="0D4117E2"/>
    <w:rsid w:val="0D450FB6"/>
    <w:rsid w:val="0D461B3E"/>
    <w:rsid w:val="0D507873"/>
    <w:rsid w:val="0D5579A4"/>
    <w:rsid w:val="0D5B6219"/>
    <w:rsid w:val="0D624C38"/>
    <w:rsid w:val="0D63174A"/>
    <w:rsid w:val="0D785F02"/>
    <w:rsid w:val="0D7E2B70"/>
    <w:rsid w:val="0D824108"/>
    <w:rsid w:val="0D85034C"/>
    <w:rsid w:val="0D876A5A"/>
    <w:rsid w:val="0D882F99"/>
    <w:rsid w:val="0D891097"/>
    <w:rsid w:val="0D8977B0"/>
    <w:rsid w:val="0D8A4E4C"/>
    <w:rsid w:val="0D8C777D"/>
    <w:rsid w:val="0D902D83"/>
    <w:rsid w:val="0D917179"/>
    <w:rsid w:val="0D962483"/>
    <w:rsid w:val="0D9715F3"/>
    <w:rsid w:val="0D9C2C84"/>
    <w:rsid w:val="0DAE2C9A"/>
    <w:rsid w:val="0DB0595F"/>
    <w:rsid w:val="0DBF6263"/>
    <w:rsid w:val="0DCE6AFF"/>
    <w:rsid w:val="0DCF02E4"/>
    <w:rsid w:val="0DD62705"/>
    <w:rsid w:val="0DD70911"/>
    <w:rsid w:val="0DDB47E8"/>
    <w:rsid w:val="0DEA4319"/>
    <w:rsid w:val="0DF040EC"/>
    <w:rsid w:val="0DF96CF4"/>
    <w:rsid w:val="0DFB48CB"/>
    <w:rsid w:val="0E041652"/>
    <w:rsid w:val="0E04380F"/>
    <w:rsid w:val="0E0672AD"/>
    <w:rsid w:val="0E0A33D1"/>
    <w:rsid w:val="0E1632F8"/>
    <w:rsid w:val="0E185D43"/>
    <w:rsid w:val="0E1A0F19"/>
    <w:rsid w:val="0E1D58F3"/>
    <w:rsid w:val="0E283C6C"/>
    <w:rsid w:val="0E2A68D3"/>
    <w:rsid w:val="0E2B30FB"/>
    <w:rsid w:val="0E336584"/>
    <w:rsid w:val="0E346BDA"/>
    <w:rsid w:val="0E407D57"/>
    <w:rsid w:val="0E4107CB"/>
    <w:rsid w:val="0E434A84"/>
    <w:rsid w:val="0E487C96"/>
    <w:rsid w:val="0E49681C"/>
    <w:rsid w:val="0E4E7770"/>
    <w:rsid w:val="0E50535B"/>
    <w:rsid w:val="0E506063"/>
    <w:rsid w:val="0E51538E"/>
    <w:rsid w:val="0E55138B"/>
    <w:rsid w:val="0E616D2A"/>
    <w:rsid w:val="0E6170B3"/>
    <w:rsid w:val="0E6211F6"/>
    <w:rsid w:val="0E625048"/>
    <w:rsid w:val="0E631330"/>
    <w:rsid w:val="0E634069"/>
    <w:rsid w:val="0E677751"/>
    <w:rsid w:val="0E786AD5"/>
    <w:rsid w:val="0E7B180B"/>
    <w:rsid w:val="0E7D2A40"/>
    <w:rsid w:val="0E81394B"/>
    <w:rsid w:val="0E82150E"/>
    <w:rsid w:val="0E861EFB"/>
    <w:rsid w:val="0E864F87"/>
    <w:rsid w:val="0E8B7EEA"/>
    <w:rsid w:val="0E900680"/>
    <w:rsid w:val="0E983080"/>
    <w:rsid w:val="0E9D1BA9"/>
    <w:rsid w:val="0E9F6BF1"/>
    <w:rsid w:val="0E9F7964"/>
    <w:rsid w:val="0EA061B7"/>
    <w:rsid w:val="0EA30CCB"/>
    <w:rsid w:val="0EA453C7"/>
    <w:rsid w:val="0EA45EBC"/>
    <w:rsid w:val="0EAB0FE3"/>
    <w:rsid w:val="0EAC4A50"/>
    <w:rsid w:val="0EAD1ADB"/>
    <w:rsid w:val="0EAD4CEE"/>
    <w:rsid w:val="0EAD712E"/>
    <w:rsid w:val="0EB05A9E"/>
    <w:rsid w:val="0EB10AA7"/>
    <w:rsid w:val="0EB179C5"/>
    <w:rsid w:val="0EB6451E"/>
    <w:rsid w:val="0EB73F18"/>
    <w:rsid w:val="0EB75819"/>
    <w:rsid w:val="0EB778E9"/>
    <w:rsid w:val="0EC61F60"/>
    <w:rsid w:val="0ED248A1"/>
    <w:rsid w:val="0ED535BE"/>
    <w:rsid w:val="0EDE504E"/>
    <w:rsid w:val="0EDF260C"/>
    <w:rsid w:val="0EE16654"/>
    <w:rsid w:val="0EE80933"/>
    <w:rsid w:val="0EEE1799"/>
    <w:rsid w:val="0EF1266D"/>
    <w:rsid w:val="0EF302CC"/>
    <w:rsid w:val="0EFD5932"/>
    <w:rsid w:val="0F0871B0"/>
    <w:rsid w:val="0F0A0B6F"/>
    <w:rsid w:val="0F0B0AC0"/>
    <w:rsid w:val="0F0C4C91"/>
    <w:rsid w:val="0F0E4EA9"/>
    <w:rsid w:val="0F0F2497"/>
    <w:rsid w:val="0F0F4080"/>
    <w:rsid w:val="0F1C3E86"/>
    <w:rsid w:val="0F1F6C07"/>
    <w:rsid w:val="0F212A4F"/>
    <w:rsid w:val="0F2314EA"/>
    <w:rsid w:val="0F272D3A"/>
    <w:rsid w:val="0F2B31AB"/>
    <w:rsid w:val="0F2C3C75"/>
    <w:rsid w:val="0F44355D"/>
    <w:rsid w:val="0F4F3C62"/>
    <w:rsid w:val="0F4F57A4"/>
    <w:rsid w:val="0F51392B"/>
    <w:rsid w:val="0F552E5F"/>
    <w:rsid w:val="0F5F3E47"/>
    <w:rsid w:val="0F614600"/>
    <w:rsid w:val="0F6548BA"/>
    <w:rsid w:val="0F6A3BCD"/>
    <w:rsid w:val="0F700073"/>
    <w:rsid w:val="0F757ACD"/>
    <w:rsid w:val="0F85548E"/>
    <w:rsid w:val="0F8E3109"/>
    <w:rsid w:val="0F8F4834"/>
    <w:rsid w:val="0F946DB7"/>
    <w:rsid w:val="0F95299D"/>
    <w:rsid w:val="0FA31182"/>
    <w:rsid w:val="0FA85F16"/>
    <w:rsid w:val="0FB66CCE"/>
    <w:rsid w:val="0FBE2677"/>
    <w:rsid w:val="0FCD02FC"/>
    <w:rsid w:val="0FCE7C8D"/>
    <w:rsid w:val="0FCF1B1E"/>
    <w:rsid w:val="0FCF62F8"/>
    <w:rsid w:val="0FD05442"/>
    <w:rsid w:val="0FD74F1E"/>
    <w:rsid w:val="0FD85F90"/>
    <w:rsid w:val="0FDC371E"/>
    <w:rsid w:val="0FDE4FE7"/>
    <w:rsid w:val="0FE068EC"/>
    <w:rsid w:val="0FF04837"/>
    <w:rsid w:val="0FF12F44"/>
    <w:rsid w:val="0FFF7C9F"/>
    <w:rsid w:val="10010759"/>
    <w:rsid w:val="10022D54"/>
    <w:rsid w:val="10076E23"/>
    <w:rsid w:val="100C77CE"/>
    <w:rsid w:val="100F3816"/>
    <w:rsid w:val="10111110"/>
    <w:rsid w:val="1013643B"/>
    <w:rsid w:val="101D0DF9"/>
    <w:rsid w:val="10203719"/>
    <w:rsid w:val="10241C43"/>
    <w:rsid w:val="10260B7E"/>
    <w:rsid w:val="10263E37"/>
    <w:rsid w:val="10312C8C"/>
    <w:rsid w:val="103706EF"/>
    <w:rsid w:val="10381C5A"/>
    <w:rsid w:val="10391E6D"/>
    <w:rsid w:val="103A4854"/>
    <w:rsid w:val="10443A70"/>
    <w:rsid w:val="10481CCB"/>
    <w:rsid w:val="104977D9"/>
    <w:rsid w:val="104A6773"/>
    <w:rsid w:val="104D05B6"/>
    <w:rsid w:val="10534C64"/>
    <w:rsid w:val="105746D9"/>
    <w:rsid w:val="105C2E30"/>
    <w:rsid w:val="105C4E0B"/>
    <w:rsid w:val="10697FED"/>
    <w:rsid w:val="106D692F"/>
    <w:rsid w:val="10780B4D"/>
    <w:rsid w:val="10782AA9"/>
    <w:rsid w:val="107916F7"/>
    <w:rsid w:val="107B06E2"/>
    <w:rsid w:val="10857318"/>
    <w:rsid w:val="108A2F1D"/>
    <w:rsid w:val="108B34AD"/>
    <w:rsid w:val="108F6F52"/>
    <w:rsid w:val="10916B27"/>
    <w:rsid w:val="1093299E"/>
    <w:rsid w:val="109929F2"/>
    <w:rsid w:val="109971E7"/>
    <w:rsid w:val="109A1807"/>
    <w:rsid w:val="109C1BCB"/>
    <w:rsid w:val="109C5AF5"/>
    <w:rsid w:val="109E66F5"/>
    <w:rsid w:val="109E69E7"/>
    <w:rsid w:val="10A047CB"/>
    <w:rsid w:val="10A2377A"/>
    <w:rsid w:val="10AB3BE0"/>
    <w:rsid w:val="10B05A10"/>
    <w:rsid w:val="10BF4C81"/>
    <w:rsid w:val="10C17A94"/>
    <w:rsid w:val="10C636EF"/>
    <w:rsid w:val="10C72389"/>
    <w:rsid w:val="10CD7214"/>
    <w:rsid w:val="10D40D6D"/>
    <w:rsid w:val="10D65E04"/>
    <w:rsid w:val="10D95417"/>
    <w:rsid w:val="10DC5510"/>
    <w:rsid w:val="10DD6BE9"/>
    <w:rsid w:val="10E03311"/>
    <w:rsid w:val="10E04313"/>
    <w:rsid w:val="10E367C5"/>
    <w:rsid w:val="10E67D0F"/>
    <w:rsid w:val="10FB2AF7"/>
    <w:rsid w:val="10FC03BD"/>
    <w:rsid w:val="10FD210B"/>
    <w:rsid w:val="1109308D"/>
    <w:rsid w:val="110D4A70"/>
    <w:rsid w:val="11121550"/>
    <w:rsid w:val="11182F80"/>
    <w:rsid w:val="112A1F76"/>
    <w:rsid w:val="11327AE3"/>
    <w:rsid w:val="113A1401"/>
    <w:rsid w:val="114723E8"/>
    <w:rsid w:val="115A0DDF"/>
    <w:rsid w:val="1164099A"/>
    <w:rsid w:val="1164141F"/>
    <w:rsid w:val="116E313B"/>
    <w:rsid w:val="117079B7"/>
    <w:rsid w:val="11733D65"/>
    <w:rsid w:val="117A0A1C"/>
    <w:rsid w:val="11864A33"/>
    <w:rsid w:val="11872DAE"/>
    <w:rsid w:val="118A5052"/>
    <w:rsid w:val="118B63F9"/>
    <w:rsid w:val="118D7B43"/>
    <w:rsid w:val="11914E2C"/>
    <w:rsid w:val="119231A0"/>
    <w:rsid w:val="11977A78"/>
    <w:rsid w:val="119A3A64"/>
    <w:rsid w:val="119B3F92"/>
    <w:rsid w:val="119B5DDA"/>
    <w:rsid w:val="11A0387D"/>
    <w:rsid w:val="11A07623"/>
    <w:rsid w:val="11A143AB"/>
    <w:rsid w:val="11A93351"/>
    <w:rsid w:val="11AE5AE4"/>
    <w:rsid w:val="11B146B5"/>
    <w:rsid w:val="11B248F1"/>
    <w:rsid w:val="11B474FF"/>
    <w:rsid w:val="11BA4E90"/>
    <w:rsid w:val="11BF541C"/>
    <w:rsid w:val="11C133E6"/>
    <w:rsid w:val="11DC3064"/>
    <w:rsid w:val="11E555E4"/>
    <w:rsid w:val="11E74C0F"/>
    <w:rsid w:val="11ED1B1E"/>
    <w:rsid w:val="11F367F6"/>
    <w:rsid w:val="11F77D54"/>
    <w:rsid w:val="11FB709A"/>
    <w:rsid w:val="11FD6F6D"/>
    <w:rsid w:val="11FF2C94"/>
    <w:rsid w:val="12002EE0"/>
    <w:rsid w:val="12043E75"/>
    <w:rsid w:val="1205712C"/>
    <w:rsid w:val="121A092D"/>
    <w:rsid w:val="121A2D9E"/>
    <w:rsid w:val="121A74A0"/>
    <w:rsid w:val="12200542"/>
    <w:rsid w:val="122345BF"/>
    <w:rsid w:val="12342962"/>
    <w:rsid w:val="123511DC"/>
    <w:rsid w:val="123962D9"/>
    <w:rsid w:val="123D7CB4"/>
    <w:rsid w:val="12447690"/>
    <w:rsid w:val="12465F37"/>
    <w:rsid w:val="12474EEC"/>
    <w:rsid w:val="124A08B3"/>
    <w:rsid w:val="124F3D6A"/>
    <w:rsid w:val="125A1202"/>
    <w:rsid w:val="126153A9"/>
    <w:rsid w:val="12621B35"/>
    <w:rsid w:val="1264373A"/>
    <w:rsid w:val="127559BD"/>
    <w:rsid w:val="12767ED2"/>
    <w:rsid w:val="127717E9"/>
    <w:rsid w:val="127844D1"/>
    <w:rsid w:val="127B2F1C"/>
    <w:rsid w:val="127F5B3A"/>
    <w:rsid w:val="128119A8"/>
    <w:rsid w:val="12837389"/>
    <w:rsid w:val="12843C5A"/>
    <w:rsid w:val="12844A19"/>
    <w:rsid w:val="12846B63"/>
    <w:rsid w:val="12857CC4"/>
    <w:rsid w:val="128C07ED"/>
    <w:rsid w:val="128E7EA4"/>
    <w:rsid w:val="128F4AEF"/>
    <w:rsid w:val="129B2CA7"/>
    <w:rsid w:val="129F3C55"/>
    <w:rsid w:val="12A1017B"/>
    <w:rsid w:val="12A173AA"/>
    <w:rsid w:val="12BD69EA"/>
    <w:rsid w:val="12C10A5C"/>
    <w:rsid w:val="12C258B9"/>
    <w:rsid w:val="12C65934"/>
    <w:rsid w:val="12D1263F"/>
    <w:rsid w:val="12D34931"/>
    <w:rsid w:val="12DA1F2D"/>
    <w:rsid w:val="12E02936"/>
    <w:rsid w:val="12E43009"/>
    <w:rsid w:val="12E7195C"/>
    <w:rsid w:val="12F13165"/>
    <w:rsid w:val="12FB044F"/>
    <w:rsid w:val="12FD6EEE"/>
    <w:rsid w:val="130522D0"/>
    <w:rsid w:val="130A3070"/>
    <w:rsid w:val="130D4A5A"/>
    <w:rsid w:val="13183252"/>
    <w:rsid w:val="131A7044"/>
    <w:rsid w:val="131F4D63"/>
    <w:rsid w:val="13230804"/>
    <w:rsid w:val="13254AFA"/>
    <w:rsid w:val="13260B8C"/>
    <w:rsid w:val="132A133C"/>
    <w:rsid w:val="132F373D"/>
    <w:rsid w:val="13344B23"/>
    <w:rsid w:val="13412CDF"/>
    <w:rsid w:val="134213EA"/>
    <w:rsid w:val="13450486"/>
    <w:rsid w:val="13452E1C"/>
    <w:rsid w:val="13454AA3"/>
    <w:rsid w:val="13472D91"/>
    <w:rsid w:val="134C5A95"/>
    <w:rsid w:val="134C5DD0"/>
    <w:rsid w:val="135C4761"/>
    <w:rsid w:val="13600267"/>
    <w:rsid w:val="136700DF"/>
    <w:rsid w:val="13743603"/>
    <w:rsid w:val="13774B97"/>
    <w:rsid w:val="137C0DE8"/>
    <w:rsid w:val="137C3849"/>
    <w:rsid w:val="13800070"/>
    <w:rsid w:val="13822977"/>
    <w:rsid w:val="13863C70"/>
    <w:rsid w:val="13867147"/>
    <w:rsid w:val="13880FE5"/>
    <w:rsid w:val="138A6F97"/>
    <w:rsid w:val="138E1AC0"/>
    <w:rsid w:val="139B31F8"/>
    <w:rsid w:val="13AA62A7"/>
    <w:rsid w:val="13AE2E8D"/>
    <w:rsid w:val="13AF1F18"/>
    <w:rsid w:val="13AF5266"/>
    <w:rsid w:val="13B638B0"/>
    <w:rsid w:val="13B64644"/>
    <w:rsid w:val="13B67D2A"/>
    <w:rsid w:val="13B72CBA"/>
    <w:rsid w:val="13C36545"/>
    <w:rsid w:val="13C473B6"/>
    <w:rsid w:val="13CE0A43"/>
    <w:rsid w:val="13D252F3"/>
    <w:rsid w:val="13D63CCA"/>
    <w:rsid w:val="13E54DF9"/>
    <w:rsid w:val="13E916E0"/>
    <w:rsid w:val="14022DB5"/>
    <w:rsid w:val="14065209"/>
    <w:rsid w:val="1408588E"/>
    <w:rsid w:val="140940DE"/>
    <w:rsid w:val="140A5287"/>
    <w:rsid w:val="141279BB"/>
    <w:rsid w:val="14136D68"/>
    <w:rsid w:val="14177091"/>
    <w:rsid w:val="141B46D9"/>
    <w:rsid w:val="14297F6E"/>
    <w:rsid w:val="14305B3A"/>
    <w:rsid w:val="14316D2A"/>
    <w:rsid w:val="14364274"/>
    <w:rsid w:val="1439131C"/>
    <w:rsid w:val="143D5C7E"/>
    <w:rsid w:val="14404441"/>
    <w:rsid w:val="1441463A"/>
    <w:rsid w:val="144A4E61"/>
    <w:rsid w:val="144B0D09"/>
    <w:rsid w:val="144E3B70"/>
    <w:rsid w:val="144F3BD8"/>
    <w:rsid w:val="145536A4"/>
    <w:rsid w:val="14574302"/>
    <w:rsid w:val="14633568"/>
    <w:rsid w:val="146335E2"/>
    <w:rsid w:val="14644436"/>
    <w:rsid w:val="146471AA"/>
    <w:rsid w:val="146B333A"/>
    <w:rsid w:val="14725739"/>
    <w:rsid w:val="147820CC"/>
    <w:rsid w:val="14795A6B"/>
    <w:rsid w:val="148C414D"/>
    <w:rsid w:val="1490027D"/>
    <w:rsid w:val="149364EB"/>
    <w:rsid w:val="14936C14"/>
    <w:rsid w:val="14983517"/>
    <w:rsid w:val="1499369D"/>
    <w:rsid w:val="149D274C"/>
    <w:rsid w:val="14A14832"/>
    <w:rsid w:val="14A26682"/>
    <w:rsid w:val="14AD7C20"/>
    <w:rsid w:val="14AE1677"/>
    <w:rsid w:val="14B07240"/>
    <w:rsid w:val="14B3050F"/>
    <w:rsid w:val="14B40174"/>
    <w:rsid w:val="14B4078A"/>
    <w:rsid w:val="14B6087B"/>
    <w:rsid w:val="14BE3AA2"/>
    <w:rsid w:val="14C249B0"/>
    <w:rsid w:val="14C451FD"/>
    <w:rsid w:val="14CB3A17"/>
    <w:rsid w:val="14CB6D59"/>
    <w:rsid w:val="14D04C68"/>
    <w:rsid w:val="14D052C2"/>
    <w:rsid w:val="14D23500"/>
    <w:rsid w:val="14DF4121"/>
    <w:rsid w:val="14E22AC7"/>
    <w:rsid w:val="14E54999"/>
    <w:rsid w:val="14EB5E93"/>
    <w:rsid w:val="14ED18B1"/>
    <w:rsid w:val="14F73646"/>
    <w:rsid w:val="14F76EC1"/>
    <w:rsid w:val="14FA555C"/>
    <w:rsid w:val="1500249A"/>
    <w:rsid w:val="150316D2"/>
    <w:rsid w:val="15106444"/>
    <w:rsid w:val="15122280"/>
    <w:rsid w:val="151829E6"/>
    <w:rsid w:val="15196CBB"/>
    <w:rsid w:val="151B3E8D"/>
    <w:rsid w:val="1520325E"/>
    <w:rsid w:val="15266667"/>
    <w:rsid w:val="15267227"/>
    <w:rsid w:val="152D6AB6"/>
    <w:rsid w:val="152E1008"/>
    <w:rsid w:val="152F62DE"/>
    <w:rsid w:val="15354A6C"/>
    <w:rsid w:val="1536748E"/>
    <w:rsid w:val="15380673"/>
    <w:rsid w:val="15391EB7"/>
    <w:rsid w:val="153A1E02"/>
    <w:rsid w:val="153B6B47"/>
    <w:rsid w:val="154171DC"/>
    <w:rsid w:val="15422252"/>
    <w:rsid w:val="15460244"/>
    <w:rsid w:val="154A472D"/>
    <w:rsid w:val="154B1D09"/>
    <w:rsid w:val="154D37A3"/>
    <w:rsid w:val="155139E2"/>
    <w:rsid w:val="15524865"/>
    <w:rsid w:val="15587604"/>
    <w:rsid w:val="155C2C83"/>
    <w:rsid w:val="15676159"/>
    <w:rsid w:val="156D072A"/>
    <w:rsid w:val="1572500A"/>
    <w:rsid w:val="15764F39"/>
    <w:rsid w:val="157934AF"/>
    <w:rsid w:val="157B43F0"/>
    <w:rsid w:val="15893110"/>
    <w:rsid w:val="15960D8B"/>
    <w:rsid w:val="15961A62"/>
    <w:rsid w:val="15973CD3"/>
    <w:rsid w:val="159913E2"/>
    <w:rsid w:val="159F0758"/>
    <w:rsid w:val="15A11605"/>
    <w:rsid w:val="15A51684"/>
    <w:rsid w:val="15AE23A7"/>
    <w:rsid w:val="15AE5A2A"/>
    <w:rsid w:val="15B2391F"/>
    <w:rsid w:val="15B57024"/>
    <w:rsid w:val="15B8186D"/>
    <w:rsid w:val="15BD4BC7"/>
    <w:rsid w:val="15C606C3"/>
    <w:rsid w:val="15D01D2E"/>
    <w:rsid w:val="15D12EEA"/>
    <w:rsid w:val="15D53223"/>
    <w:rsid w:val="15D93973"/>
    <w:rsid w:val="15DB6BA7"/>
    <w:rsid w:val="15E64B1E"/>
    <w:rsid w:val="15E77A08"/>
    <w:rsid w:val="15E80D2A"/>
    <w:rsid w:val="15EC072E"/>
    <w:rsid w:val="15ED5A4B"/>
    <w:rsid w:val="15FC2C1D"/>
    <w:rsid w:val="160173A4"/>
    <w:rsid w:val="16023110"/>
    <w:rsid w:val="160231E4"/>
    <w:rsid w:val="16034249"/>
    <w:rsid w:val="16036B03"/>
    <w:rsid w:val="16043418"/>
    <w:rsid w:val="1607182E"/>
    <w:rsid w:val="160918FD"/>
    <w:rsid w:val="160A4E20"/>
    <w:rsid w:val="160A5A43"/>
    <w:rsid w:val="16112098"/>
    <w:rsid w:val="16190606"/>
    <w:rsid w:val="16194E7D"/>
    <w:rsid w:val="161A778D"/>
    <w:rsid w:val="16203EC4"/>
    <w:rsid w:val="162053F8"/>
    <w:rsid w:val="16213A7F"/>
    <w:rsid w:val="16221031"/>
    <w:rsid w:val="162259A3"/>
    <w:rsid w:val="16232CFD"/>
    <w:rsid w:val="162B362B"/>
    <w:rsid w:val="162D080B"/>
    <w:rsid w:val="16351982"/>
    <w:rsid w:val="163538DD"/>
    <w:rsid w:val="163B674D"/>
    <w:rsid w:val="1641619A"/>
    <w:rsid w:val="164237EF"/>
    <w:rsid w:val="164B5794"/>
    <w:rsid w:val="164E2858"/>
    <w:rsid w:val="16530063"/>
    <w:rsid w:val="16534BCF"/>
    <w:rsid w:val="16563EB0"/>
    <w:rsid w:val="165847E0"/>
    <w:rsid w:val="165C36C0"/>
    <w:rsid w:val="165F1030"/>
    <w:rsid w:val="166C5388"/>
    <w:rsid w:val="1673311A"/>
    <w:rsid w:val="16743249"/>
    <w:rsid w:val="167741E6"/>
    <w:rsid w:val="16776C7C"/>
    <w:rsid w:val="168040E8"/>
    <w:rsid w:val="168B4715"/>
    <w:rsid w:val="168E23A9"/>
    <w:rsid w:val="16A663EC"/>
    <w:rsid w:val="16A95CC6"/>
    <w:rsid w:val="16B76558"/>
    <w:rsid w:val="16BB623C"/>
    <w:rsid w:val="16BD0BEB"/>
    <w:rsid w:val="16C040BD"/>
    <w:rsid w:val="16C25222"/>
    <w:rsid w:val="16C3383F"/>
    <w:rsid w:val="16C84A44"/>
    <w:rsid w:val="16CC4555"/>
    <w:rsid w:val="16CD237E"/>
    <w:rsid w:val="16D46F94"/>
    <w:rsid w:val="16DA0E88"/>
    <w:rsid w:val="16DB7B11"/>
    <w:rsid w:val="16DE7E26"/>
    <w:rsid w:val="16E10CF1"/>
    <w:rsid w:val="16EA2ED9"/>
    <w:rsid w:val="16EB721F"/>
    <w:rsid w:val="16ED00D9"/>
    <w:rsid w:val="16F505A2"/>
    <w:rsid w:val="16F67708"/>
    <w:rsid w:val="16F72427"/>
    <w:rsid w:val="16F75E6A"/>
    <w:rsid w:val="17023A69"/>
    <w:rsid w:val="170603F7"/>
    <w:rsid w:val="17077BDC"/>
    <w:rsid w:val="17092D07"/>
    <w:rsid w:val="170B3FFE"/>
    <w:rsid w:val="170D7EBF"/>
    <w:rsid w:val="170F05E2"/>
    <w:rsid w:val="170F4DE9"/>
    <w:rsid w:val="171F369C"/>
    <w:rsid w:val="172726B1"/>
    <w:rsid w:val="172A4525"/>
    <w:rsid w:val="172D7FBA"/>
    <w:rsid w:val="173100A2"/>
    <w:rsid w:val="173201E7"/>
    <w:rsid w:val="17371721"/>
    <w:rsid w:val="173C3268"/>
    <w:rsid w:val="17413469"/>
    <w:rsid w:val="174719FA"/>
    <w:rsid w:val="1747470D"/>
    <w:rsid w:val="17496CE7"/>
    <w:rsid w:val="17513663"/>
    <w:rsid w:val="1754296F"/>
    <w:rsid w:val="175B3221"/>
    <w:rsid w:val="175C6FCF"/>
    <w:rsid w:val="17621497"/>
    <w:rsid w:val="176A0009"/>
    <w:rsid w:val="176D7F28"/>
    <w:rsid w:val="17747661"/>
    <w:rsid w:val="177E656B"/>
    <w:rsid w:val="17810618"/>
    <w:rsid w:val="17852D5E"/>
    <w:rsid w:val="178A0D72"/>
    <w:rsid w:val="178D7B30"/>
    <w:rsid w:val="178F00B5"/>
    <w:rsid w:val="179558CF"/>
    <w:rsid w:val="179B27E2"/>
    <w:rsid w:val="17A33720"/>
    <w:rsid w:val="17A44F3D"/>
    <w:rsid w:val="17A7396B"/>
    <w:rsid w:val="17AA44B3"/>
    <w:rsid w:val="17B10281"/>
    <w:rsid w:val="17B224BB"/>
    <w:rsid w:val="17BB6763"/>
    <w:rsid w:val="17C92CD3"/>
    <w:rsid w:val="17D463A1"/>
    <w:rsid w:val="17D92D6F"/>
    <w:rsid w:val="17DA2322"/>
    <w:rsid w:val="17E2320F"/>
    <w:rsid w:val="17E56FCB"/>
    <w:rsid w:val="17F035C1"/>
    <w:rsid w:val="17F3078A"/>
    <w:rsid w:val="17F30D69"/>
    <w:rsid w:val="17F31453"/>
    <w:rsid w:val="17F91B6A"/>
    <w:rsid w:val="1800360E"/>
    <w:rsid w:val="1801741B"/>
    <w:rsid w:val="180756D2"/>
    <w:rsid w:val="180B5EBB"/>
    <w:rsid w:val="180D56EB"/>
    <w:rsid w:val="1812061F"/>
    <w:rsid w:val="181B0BD3"/>
    <w:rsid w:val="181B3E53"/>
    <w:rsid w:val="181B4217"/>
    <w:rsid w:val="181D3CED"/>
    <w:rsid w:val="18224BCD"/>
    <w:rsid w:val="18251B7B"/>
    <w:rsid w:val="18270857"/>
    <w:rsid w:val="182C7ACB"/>
    <w:rsid w:val="182D7189"/>
    <w:rsid w:val="183143F2"/>
    <w:rsid w:val="18372271"/>
    <w:rsid w:val="183D34E2"/>
    <w:rsid w:val="183F50CF"/>
    <w:rsid w:val="18552079"/>
    <w:rsid w:val="185D08B6"/>
    <w:rsid w:val="18636913"/>
    <w:rsid w:val="1865226A"/>
    <w:rsid w:val="18686458"/>
    <w:rsid w:val="1869295F"/>
    <w:rsid w:val="186C5590"/>
    <w:rsid w:val="18772B90"/>
    <w:rsid w:val="187757C3"/>
    <w:rsid w:val="187E6D43"/>
    <w:rsid w:val="188A61A6"/>
    <w:rsid w:val="188D2D4C"/>
    <w:rsid w:val="188F2A34"/>
    <w:rsid w:val="1891695B"/>
    <w:rsid w:val="189A11A7"/>
    <w:rsid w:val="18A55602"/>
    <w:rsid w:val="18A63B1B"/>
    <w:rsid w:val="18A73CB7"/>
    <w:rsid w:val="18AB6ED4"/>
    <w:rsid w:val="18B269E3"/>
    <w:rsid w:val="18B46C94"/>
    <w:rsid w:val="18BD3A46"/>
    <w:rsid w:val="18BE1B48"/>
    <w:rsid w:val="18BF664C"/>
    <w:rsid w:val="18C200BC"/>
    <w:rsid w:val="18C22012"/>
    <w:rsid w:val="18C555F1"/>
    <w:rsid w:val="18CE3B64"/>
    <w:rsid w:val="18D7310E"/>
    <w:rsid w:val="18DC1A22"/>
    <w:rsid w:val="18DF2B3E"/>
    <w:rsid w:val="18DF6362"/>
    <w:rsid w:val="18E15F99"/>
    <w:rsid w:val="18E234C2"/>
    <w:rsid w:val="18E43F88"/>
    <w:rsid w:val="18E45E01"/>
    <w:rsid w:val="18E81E79"/>
    <w:rsid w:val="18EE25E7"/>
    <w:rsid w:val="18F05786"/>
    <w:rsid w:val="18F10D76"/>
    <w:rsid w:val="18F31039"/>
    <w:rsid w:val="18F67451"/>
    <w:rsid w:val="18F72732"/>
    <w:rsid w:val="19030A48"/>
    <w:rsid w:val="19093F9D"/>
    <w:rsid w:val="190B1699"/>
    <w:rsid w:val="190D6869"/>
    <w:rsid w:val="191A20F8"/>
    <w:rsid w:val="191B54A3"/>
    <w:rsid w:val="192F05BC"/>
    <w:rsid w:val="19310BFF"/>
    <w:rsid w:val="1934341E"/>
    <w:rsid w:val="19380FFA"/>
    <w:rsid w:val="193A0FEF"/>
    <w:rsid w:val="193D3923"/>
    <w:rsid w:val="193E3016"/>
    <w:rsid w:val="193F113F"/>
    <w:rsid w:val="19453326"/>
    <w:rsid w:val="194A6474"/>
    <w:rsid w:val="194E5531"/>
    <w:rsid w:val="1952287E"/>
    <w:rsid w:val="19545179"/>
    <w:rsid w:val="195F7593"/>
    <w:rsid w:val="19622704"/>
    <w:rsid w:val="19627512"/>
    <w:rsid w:val="19687A86"/>
    <w:rsid w:val="196D15A2"/>
    <w:rsid w:val="19754F1F"/>
    <w:rsid w:val="197767BE"/>
    <w:rsid w:val="198E2F12"/>
    <w:rsid w:val="1991796E"/>
    <w:rsid w:val="19957C30"/>
    <w:rsid w:val="19962DC6"/>
    <w:rsid w:val="199A3C19"/>
    <w:rsid w:val="19A115C3"/>
    <w:rsid w:val="19A823AD"/>
    <w:rsid w:val="19B00101"/>
    <w:rsid w:val="19B70356"/>
    <w:rsid w:val="19BA400D"/>
    <w:rsid w:val="19BB4A16"/>
    <w:rsid w:val="19C305FD"/>
    <w:rsid w:val="19C45ED3"/>
    <w:rsid w:val="19C5080C"/>
    <w:rsid w:val="19C67F5E"/>
    <w:rsid w:val="19CF3BF0"/>
    <w:rsid w:val="19D66D6A"/>
    <w:rsid w:val="19D90B53"/>
    <w:rsid w:val="19DF4B45"/>
    <w:rsid w:val="19E569C0"/>
    <w:rsid w:val="19EA6C77"/>
    <w:rsid w:val="19F66BED"/>
    <w:rsid w:val="19FD114C"/>
    <w:rsid w:val="19FD4AD2"/>
    <w:rsid w:val="19FE6544"/>
    <w:rsid w:val="1A007445"/>
    <w:rsid w:val="1A10460D"/>
    <w:rsid w:val="1A2417BC"/>
    <w:rsid w:val="1A2E1080"/>
    <w:rsid w:val="1A2E496A"/>
    <w:rsid w:val="1A39483E"/>
    <w:rsid w:val="1A3E5828"/>
    <w:rsid w:val="1A412C66"/>
    <w:rsid w:val="1A4607AD"/>
    <w:rsid w:val="1A483803"/>
    <w:rsid w:val="1A49083D"/>
    <w:rsid w:val="1A4A31EE"/>
    <w:rsid w:val="1A4A4F5E"/>
    <w:rsid w:val="1A4E251D"/>
    <w:rsid w:val="1A4E75DC"/>
    <w:rsid w:val="1A4F6E9B"/>
    <w:rsid w:val="1A5846FD"/>
    <w:rsid w:val="1A5B4572"/>
    <w:rsid w:val="1A5D69BE"/>
    <w:rsid w:val="1A5F66DA"/>
    <w:rsid w:val="1A644F00"/>
    <w:rsid w:val="1A6718E2"/>
    <w:rsid w:val="1A6C7461"/>
    <w:rsid w:val="1A6F56C6"/>
    <w:rsid w:val="1A715A68"/>
    <w:rsid w:val="1A795610"/>
    <w:rsid w:val="1A7E0B1D"/>
    <w:rsid w:val="1A83640C"/>
    <w:rsid w:val="1A852F95"/>
    <w:rsid w:val="1A8D2305"/>
    <w:rsid w:val="1A8F121D"/>
    <w:rsid w:val="1A944281"/>
    <w:rsid w:val="1A9772D1"/>
    <w:rsid w:val="1A9D40A3"/>
    <w:rsid w:val="1AA53750"/>
    <w:rsid w:val="1AAB0107"/>
    <w:rsid w:val="1AB34EE9"/>
    <w:rsid w:val="1AB55270"/>
    <w:rsid w:val="1ABD4834"/>
    <w:rsid w:val="1ACA6D52"/>
    <w:rsid w:val="1AD06A20"/>
    <w:rsid w:val="1ADA1A31"/>
    <w:rsid w:val="1AE152DF"/>
    <w:rsid w:val="1AE23F35"/>
    <w:rsid w:val="1AE36B8A"/>
    <w:rsid w:val="1AEE322F"/>
    <w:rsid w:val="1AF17105"/>
    <w:rsid w:val="1AF24FA9"/>
    <w:rsid w:val="1AF26C51"/>
    <w:rsid w:val="1B026A6B"/>
    <w:rsid w:val="1B03074C"/>
    <w:rsid w:val="1B0420E3"/>
    <w:rsid w:val="1B092C3C"/>
    <w:rsid w:val="1B110610"/>
    <w:rsid w:val="1B116344"/>
    <w:rsid w:val="1B121564"/>
    <w:rsid w:val="1B126D5F"/>
    <w:rsid w:val="1B216EA3"/>
    <w:rsid w:val="1B263F79"/>
    <w:rsid w:val="1B290064"/>
    <w:rsid w:val="1B2D762D"/>
    <w:rsid w:val="1B2E6E70"/>
    <w:rsid w:val="1B303A2F"/>
    <w:rsid w:val="1B3703AA"/>
    <w:rsid w:val="1B392E25"/>
    <w:rsid w:val="1B3E47EC"/>
    <w:rsid w:val="1B411FF1"/>
    <w:rsid w:val="1B4346C9"/>
    <w:rsid w:val="1B511030"/>
    <w:rsid w:val="1B521D20"/>
    <w:rsid w:val="1B595142"/>
    <w:rsid w:val="1B5A2D6C"/>
    <w:rsid w:val="1B5E2232"/>
    <w:rsid w:val="1B5F5C3F"/>
    <w:rsid w:val="1B654C77"/>
    <w:rsid w:val="1B707054"/>
    <w:rsid w:val="1B746CC9"/>
    <w:rsid w:val="1B7844F1"/>
    <w:rsid w:val="1B7C3B9A"/>
    <w:rsid w:val="1B7D4190"/>
    <w:rsid w:val="1B837461"/>
    <w:rsid w:val="1B9263BB"/>
    <w:rsid w:val="1B942014"/>
    <w:rsid w:val="1BA263B5"/>
    <w:rsid w:val="1BA611B3"/>
    <w:rsid w:val="1BA63671"/>
    <w:rsid w:val="1BA63A99"/>
    <w:rsid w:val="1BAC2EB7"/>
    <w:rsid w:val="1BAE7405"/>
    <w:rsid w:val="1BB31012"/>
    <w:rsid w:val="1BB866E5"/>
    <w:rsid w:val="1BBE01B7"/>
    <w:rsid w:val="1BC20968"/>
    <w:rsid w:val="1BC81809"/>
    <w:rsid w:val="1BCC438B"/>
    <w:rsid w:val="1BCD3A0C"/>
    <w:rsid w:val="1BCF48AD"/>
    <w:rsid w:val="1BCF7509"/>
    <w:rsid w:val="1BD0068D"/>
    <w:rsid w:val="1BD04F6A"/>
    <w:rsid w:val="1BD43D6F"/>
    <w:rsid w:val="1BD640AB"/>
    <w:rsid w:val="1BD80767"/>
    <w:rsid w:val="1BDA6798"/>
    <w:rsid w:val="1BE76BBF"/>
    <w:rsid w:val="1BEA241A"/>
    <w:rsid w:val="1BEC71F7"/>
    <w:rsid w:val="1BEF2880"/>
    <w:rsid w:val="1BFB613D"/>
    <w:rsid w:val="1BFE0C1D"/>
    <w:rsid w:val="1C033E58"/>
    <w:rsid w:val="1C04453C"/>
    <w:rsid w:val="1C0843E9"/>
    <w:rsid w:val="1C0C0997"/>
    <w:rsid w:val="1C116F4A"/>
    <w:rsid w:val="1C1861E5"/>
    <w:rsid w:val="1C193E35"/>
    <w:rsid w:val="1C20692A"/>
    <w:rsid w:val="1C247A92"/>
    <w:rsid w:val="1C272C33"/>
    <w:rsid w:val="1C2A0020"/>
    <w:rsid w:val="1C2A61BD"/>
    <w:rsid w:val="1C2C6D87"/>
    <w:rsid w:val="1C2D320E"/>
    <w:rsid w:val="1C302075"/>
    <w:rsid w:val="1C36152F"/>
    <w:rsid w:val="1C452F11"/>
    <w:rsid w:val="1C454FEB"/>
    <w:rsid w:val="1C4B1161"/>
    <w:rsid w:val="1C4B7F03"/>
    <w:rsid w:val="1C4D661D"/>
    <w:rsid w:val="1C4E0439"/>
    <w:rsid w:val="1C4E1767"/>
    <w:rsid w:val="1C566963"/>
    <w:rsid w:val="1C5A1415"/>
    <w:rsid w:val="1C5D1E98"/>
    <w:rsid w:val="1C613365"/>
    <w:rsid w:val="1C615B56"/>
    <w:rsid w:val="1C627F90"/>
    <w:rsid w:val="1C68289B"/>
    <w:rsid w:val="1C7D14E9"/>
    <w:rsid w:val="1C7F4074"/>
    <w:rsid w:val="1C8E6BB2"/>
    <w:rsid w:val="1C901FF7"/>
    <w:rsid w:val="1C93489E"/>
    <w:rsid w:val="1CA4007E"/>
    <w:rsid w:val="1CA74DBD"/>
    <w:rsid w:val="1CA83A22"/>
    <w:rsid w:val="1CA963D0"/>
    <w:rsid w:val="1CB47592"/>
    <w:rsid w:val="1CBA1AB0"/>
    <w:rsid w:val="1CC13810"/>
    <w:rsid w:val="1CC41FB4"/>
    <w:rsid w:val="1CE30F3F"/>
    <w:rsid w:val="1CE42C15"/>
    <w:rsid w:val="1CE434AC"/>
    <w:rsid w:val="1CE532F1"/>
    <w:rsid w:val="1CEB4179"/>
    <w:rsid w:val="1CEF112C"/>
    <w:rsid w:val="1CF3481A"/>
    <w:rsid w:val="1CF7495E"/>
    <w:rsid w:val="1D03270B"/>
    <w:rsid w:val="1D0702DD"/>
    <w:rsid w:val="1D0A1B9E"/>
    <w:rsid w:val="1D0B1F78"/>
    <w:rsid w:val="1D0D48FC"/>
    <w:rsid w:val="1D112AF3"/>
    <w:rsid w:val="1D1A06C8"/>
    <w:rsid w:val="1D1A579C"/>
    <w:rsid w:val="1D31174A"/>
    <w:rsid w:val="1D372040"/>
    <w:rsid w:val="1D3745A1"/>
    <w:rsid w:val="1D384BE7"/>
    <w:rsid w:val="1D3C792F"/>
    <w:rsid w:val="1D501ED4"/>
    <w:rsid w:val="1D6209BA"/>
    <w:rsid w:val="1D670B11"/>
    <w:rsid w:val="1D674387"/>
    <w:rsid w:val="1D691F1B"/>
    <w:rsid w:val="1D6928C0"/>
    <w:rsid w:val="1D6B25A8"/>
    <w:rsid w:val="1D6C6DDD"/>
    <w:rsid w:val="1D7136CB"/>
    <w:rsid w:val="1D741834"/>
    <w:rsid w:val="1D764ACE"/>
    <w:rsid w:val="1D77409C"/>
    <w:rsid w:val="1D7E12B4"/>
    <w:rsid w:val="1D837FA1"/>
    <w:rsid w:val="1D8430A8"/>
    <w:rsid w:val="1D853633"/>
    <w:rsid w:val="1D8B0823"/>
    <w:rsid w:val="1D8B47EF"/>
    <w:rsid w:val="1D8D5E5F"/>
    <w:rsid w:val="1D904ED7"/>
    <w:rsid w:val="1D907F18"/>
    <w:rsid w:val="1D947CB0"/>
    <w:rsid w:val="1D9749D4"/>
    <w:rsid w:val="1D987C4F"/>
    <w:rsid w:val="1D9D69E2"/>
    <w:rsid w:val="1DA80D08"/>
    <w:rsid w:val="1DA80D48"/>
    <w:rsid w:val="1DA86E84"/>
    <w:rsid w:val="1DAC61B3"/>
    <w:rsid w:val="1DAD0B65"/>
    <w:rsid w:val="1DB67C31"/>
    <w:rsid w:val="1DB86EF4"/>
    <w:rsid w:val="1DB938E7"/>
    <w:rsid w:val="1DC07D0E"/>
    <w:rsid w:val="1DD221BC"/>
    <w:rsid w:val="1DD31FB4"/>
    <w:rsid w:val="1DD4315F"/>
    <w:rsid w:val="1DDD022F"/>
    <w:rsid w:val="1DE72BC8"/>
    <w:rsid w:val="1DE7676B"/>
    <w:rsid w:val="1DEC24A8"/>
    <w:rsid w:val="1DED6EE8"/>
    <w:rsid w:val="1DF5255F"/>
    <w:rsid w:val="1DF87FAF"/>
    <w:rsid w:val="1DFC7AF4"/>
    <w:rsid w:val="1DFD4A3C"/>
    <w:rsid w:val="1DFE7F2A"/>
    <w:rsid w:val="1E0A2DBB"/>
    <w:rsid w:val="1E0B4EFF"/>
    <w:rsid w:val="1E11411D"/>
    <w:rsid w:val="1E122264"/>
    <w:rsid w:val="1E17741C"/>
    <w:rsid w:val="1E195BBA"/>
    <w:rsid w:val="1E1E62AB"/>
    <w:rsid w:val="1E256393"/>
    <w:rsid w:val="1E29138B"/>
    <w:rsid w:val="1E2C6393"/>
    <w:rsid w:val="1E2F266A"/>
    <w:rsid w:val="1E2F376C"/>
    <w:rsid w:val="1E31444D"/>
    <w:rsid w:val="1E346479"/>
    <w:rsid w:val="1E3C7335"/>
    <w:rsid w:val="1E3E2A0F"/>
    <w:rsid w:val="1E3F0CDB"/>
    <w:rsid w:val="1E494AE4"/>
    <w:rsid w:val="1E4B7669"/>
    <w:rsid w:val="1E4E1FF4"/>
    <w:rsid w:val="1E5064A0"/>
    <w:rsid w:val="1E511ADF"/>
    <w:rsid w:val="1E575635"/>
    <w:rsid w:val="1E60793C"/>
    <w:rsid w:val="1E64011C"/>
    <w:rsid w:val="1E696FBB"/>
    <w:rsid w:val="1E6D49E7"/>
    <w:rsid w:val="1E7B73A9"/>
    <w:rsid w:val="1E7D7138"/>
    <w:rsid w:val="1E8079E2"/>
    <w:rsid w:val="1E8248F5"/>
    <w:rsid w:val="1E883C10"/>
    <w:rsid w:val="1E9033DB"/>
    <w:rsid w:val="1E9035AB"/>
    <w:rsid w:val="1E947935"/>
    <w:rsid w:val="1E9C6AF6"/>
    <w:rsid w:val="1EA05330"/>
    <w:rsid w:val="1EA21727"/>
    <w:rsid w:val="1EA71D10"/>
    <w:rsid w:val="1EB01A6C"/>
    <w:rsid w:val="1EB67F37"/>
    <w:rsid w:val="1EBE6D30"/>
    <w:rsid w:val="1EBF675C"/>
    <w:rsid w:val="1ED008C9"/>
    <w:rsid w:val="1ED14F66"/>
    <w:rsid w:val="1ED25487"/>
    <w:rsid w:val="1ED76B7F"/>
    <w:rsid w:val="1EDF0126"/>
    <w:rsid w:val="1EEB4E7D"/>
    <w:rsid w:val="1EEC15D2"/>
    <w:rsid w:val="1EEF63AC"/>
    <w:rsid w:val="1EF05338"/>
    <w:rsid w:val="1EF20898"/>
    <w:rsid w:val="1EF56BBD"/>
    <w:rsid w:val="1F0472DF"/>
    <w:rsid w:val="1F082B91"/>
    <w:rsid w:val="1F0975C3"/>
    <w:rsid w:val="1F0A0660"/>
    <w:rsid w:val="1F1E5ADC"/>
    <w:rsid w:val="1F255F5A"/>
    <w:rsid w:val="1F3219DB"/>
    <w:rsid w:val="1F331A4B"/>
    <w:rsid w:val="1F3726CC"/>
    <w:rsid w:val="1F395447"/>
    <w:rsid w:val="1F455A42"/>
    <w:rsid w:val="1F4B65F7"/>
    <w:rsid w:val="1F500DAD"/>
    <w:rsid w:val="1F5A3B8D"/>
    <w:rsid w:val="1F5B0AC1"/>
    <w:rsid w:val="1F5C6861"/>
    <w:rsid w:val="1F6061DE"/>
    <w:rsid w:val="1F64749D"/>
    <w:rsid w:val="1F693A8C"/>
    <w:rsid w:val="1F6C21A7"/>
    <w:rsid w:val="1F7233C0"/>
    <w:rsid w:val="1F746DE7"/>
    <w:rsid w:val="1F793D70"/>
    <w:rsid w:val="1F7C23DB"/>
    <w:rsid w:val="1F7D12DD"/>
    <w:rsid w:val="1F887371"/>
    <w:rsid w:val="1F8F20BB"/>
    <w:rsid w:val="1F906E3A"/>
    <w:rsid w:val="1F9377BA"/>
    <w:rsid w:val="1F961791"/>
    <w:rsid w:val="1F962197"/>
    <w:rsid w:val="1F9912C2"/>
    <w:rsid w:val="1F9A1E3A"/>
    <w:rsid w:val="1F9A5A35"/>
    <w:rsid w:val="1FA04176"/>
    <w:rsid w:val="1FA70A40"/>
    <w:rsid w:val="1FAF076D"/>
    <w:rsid w:val="1FAF5F04"/>
    <w:rsid w:val="1FB30408"/>
    <w:rsid w:val="1FB8689C"/>
    <w:rsid w:val="1FC05D07"/>
    <w:rsid w:val="1FC57EA9"/>
    <w:rsid w:val="1FCA08D1"/>
    <w:rsid w:val="1FCA51FB"/>
    <w:rsid w:val="1FCC2398"/>
    <w:rsid w:val="1FD10C31"/>
    <w:rsid w:val="1FD200C0"/>
    <w:rsid w:val="1FD21D12"/>
    <w:rsid w:val="1FD40B49"/>
    <w:rsid w:val="1FD517D5"/>
    <w:rsid w:val="1FE81C1F"/>
    <w:rsid w:val="1FE85837"/>
    <w:rsid w:val="1FEA4520"/>
    <w:rsid w:val="1FEC0B76"/>
    <w:rsid w:val="1FED41D1"/>
    <w:rsid w:val="1FF26281"/>
    <w:rsid w:val="1FF52977"/>
    <w:rsid w:val="200264B2"/>
    <w:rsid w:val="20040087"/>
    <w:rsid w:val="200B4911"/>
    <w:rsid w:val="200F5BE3"/>
    <w:rsid w:val="20103F6E"/>
    <w:rsid w:val="20133624"/>
    <w:rsid w:val="20146B23"/>
    <w:rsid w:val="2018347A"/>
    <w:rsid w:val="201D2869"/>
    <w:rsid w:val="20214135"/>
    <w:rsid w:val="20235887"/>
    <w:rsid w:val="20244283"/>
    <w:rsid w:val="202D6893"/>
    <w:rsid w:val="203B65D7"/>
    <w:rsid w:val="203E1470"/>
    <w:rsid w:val="2045527D"/>
    <w:rsid w:val="204661BF"/>
    <w:rsid w:val="204C2376"/>
    <w:rsid w:val="204D5593"/>
    <w:rsid w:val="20505BBA"/>
    <w:rsid w:val="2056098F"/>
    <w:rsid w:val="20605D0D"/>
    <w:rsid w:val="2063689C"/>
    <w:rsid w:val="206400C3"/>
    <w:rsid w:val="20644559"/>
    <w:rsid w:val="20670855"/>
    <w:rsid w:val="206A174D"/>
    <w:rsid w:val="207343E6"/>
    <w:rsid w:val="20744B75"/>
    <w:rsid w:val="20763016"/>
    <w:rsid w:val="207F61D4"/>
    <w:rsid w:val="20803812"/>
    <w:rsid w:val="208231B5"/>
    <w:rsid w:val="208415E7"/>
    <w:rsid w:val="208428E3"/>
    <w:rsid w:val="208B4BBB"/>
    <w:rsid w:val="208C4FBD"/>
    <w:rsid w:val="209606AC"/>
    <w:rsid w:val="20975290"/>
    <w:rsid w:val="20A00507"/>
    <w:rsid w:val="20B12644"/>
    <w:rsid w:val="20B71B6B"/>
    <w:rsid w:val="20BB0D03"/>
    <w:rsid w:val="20C6039C"/>
    <w:rsid w:val="20D32BB7"/>
    <w:rsid w:val="20D63451"/>
    <w:rsid w:val="20D768D1"/>
    <w:rsid w:val="20D80906"/>
    <w:rsid w:val="20D96B41"/>
    <w:rsid w:val="20DA2458"/>
    <w:rsid w:val="20DD1E96"/>
    <w:rsid w:val="20E36186"/>
    <w:rsid w:val="20E92EF7"/>
    <w:rsid w:val="20EC7327"/>
    <w:rsid w:val="20F37BF6"/>
    <w:rsid w:val="20F46D36"/>
    <w:rsid w:val="20F54568"/>
    <w:rsid w:val="20F92C90"/>
    <w:rsid w:val="20F96BC9"/>
    <w:rsid w:val="20FF1FF0"/>
    <w:rsid w:val="21000686"/>
    <w:rsid w:val="211665CA"/>
    <w:rsid w:val="211929D2"/>
    <w:rsid w:val="211974E9"/>
    <w:rsid w:val="211C15B2"/>
    <w:rsid w:val="211E1FFD"/>
    <w:rsid w:val="21224076"/>
    <w:rsid w:val="212757D9"/>
    <w:rsid w:val="212A03E1"/>
    <w:rsid w:val="212A29BC"/>
    <w:rsid w:val="212D5300"/>
    <w:rsid w:val="212F0781"/>
    <w:rsid w:val="213610F7"/>
    <w:rsid w:val="213A22DB"/>
    <w:rsid w:val="214F6905"/>
    <w:rsid w:val="2151330A"/>
    <w:rsid w:val="21580208"/>
    <w:rsid w:val="21616198"/>
    <w:rsid w:val="21617909"/>
    <w:rsid w:val="216424F2"/>
    <w:rsid w:val="21685FEF"/>
    <w:rsid w:val="21690976"/>
    <w:rsid w:val="216D5902"/>
    <w:rsid w:val="21700F9F"/>
    <w:rsid w:val="217A6ACB"/>
    <w:rsid w:val="217E1819"/>
    <w:rsid w:val="217E3138"/>
    <w:rsid w:val="217E4496"/>
    <w:rsid w:val="21807C49"/>
    <w:rsid w:val="2182135D"/>
    <w:rsid w:val="218477E9"/>
    <w:rsid w:val="219367DB"/>
    <w:rsid w:val="21976786"/>
    <w:rsid w:val="219945A5"/>
    <w:rsid w:val="219F60BB"/>
    <w:rsid w:val="21A200B5"/>
    <w:rsid w:val="21A53649"/>
    <w:rsid w:val="21A64EFE"/>
    <w:rsid w:val="21C82EFF"/>
    <w:rsid w:val="21C91D98"/>
    <w:rsid w:val="21D241C3"/>
    <w:rsid w:val="21D941D2"/>
    <w:rsid w:val="21DA5B3D"/>
    <w:rsid w:val="21E00C53"/>
    <w:rsid w:val="21E83F50"/>
    <w:rsid w:val="21EA4C68"/>
    <w:rsid w:val="21EC7A6A"/>
    <w:rsid w:val="21F23862"/>
    <w:rsid w:val="21F569C9"/>
    <w:rsid w:val="21FB4F40"/>
    <w:rsid w:val="21FE059F"/>
    <w:rsid w:val="21FE20DB"/>
    <w:rsid w:val="22034C35"/>
    <w:rsid w:val="220410CA"/>
    <w:rsid w:val="2204304E"/>
    <w:rsid w:val="22090841"/>
    <w:rsid w:val="220A5F40"/>
    <w:rsid w:val="220D0D94"/>
    <w:rsid w:val="220E0B12"/>
    <w:rsid w:val="221768AF"/>
    <w:rsid w:val="22210861"/>
    <w:rsid w:val="222155FF"/>
    <w:rsid w:val="22234E00"/>
    <w:rsid w:val="22284E63"/>
    <w:rsid w:val="22293A5E"/>
    <w:rsid w:val="22330863"/>
    <w:rsid w:val="22371A51"/>
    <w:rsid w:val="22384994"/>
    <w:rsid w:val="224C1FC3"/>
    <w:rsid w:val="224D701B"/>
    <w:rsid w:val="225C00DC"/>
    <w:rsid w:val="2262204C"/>
    <w:rsid w:val="22627DAF"/>
    <w:rsid w:val="22670177"/>
    <w:rsid w:val="226A285B"/>
    <w:rsid w:val="227061CA"/>
    <w:rsid w:val="2270753A"/>
    <w:rsid w:val="22742085"/>
    <w:rsid w:val="227D71B5"/>
    <w:rsid w:val="22823DD4"/>
    <w:rsid w:val="2285525B"/>
    <w:rsid w:val="228D4154"/>
    <w:rsid w:val="228E78D6"/>
    <w:rsid w:val="229047D0"/>
    <w:rsid w:val="229A284A"/>
    <w:rsid w:val="22A0592E"/>
    <w:rsid w:val="22A06449"/>
    <w:rsid w:val="22A06A92"/>
    <w:rsid w:val="22A25B85"/>
    <w:rsid w:val="22A35CB5"/>
    <w:rsid w:val="22A855AA"/>
    <w:rsid w:val="22AA2C67"/>
    <w:rsid w:val="22B12116"/>
    <w:rsid w:val="22B345A3"/>
    <w:rsid w:val="22C06220"/>
    <w:rsid w:val="22C742FA"/>
    <w:rsid w:val="22CD203B"/>
    <w:rsid w:val="22D226CB"/>
    <w:rsid w:val="22D36A05"/>
    <w:rsid w:val="22D36C8C"/>
    <w:rsid w:val="22DB5FB9"/>
    <w:rsid w:val="22E87A62"/>
    <w:rsid w:val="22EA5C2F"/>
    <w:rsid w:val="22EC3EF5"/>
    <w:rsid w:val="22ED566F"/>
    <w:rsid w:val="22FA5834"/>
    <w:rsid w:val="230839FC"/>
    <w:rsid w:val="2314691E"/>
    <w:rsid w:val="2316141D"/>
    <w:rsid w:val="2318065D"/>
    <w:rsid w:val="231E2831"/>
    <w:rsid w:val="23232128"/>
    <w:rsid w:val="23247529"/>
    <w:rsid w:val="2326270D"/>
    <w:rsid w:val="23290648"/>
    <w:rsid w:val="23340A3D"/>
    <w:rsid w:val="23362DF7"/>
    <w:rsid w:val="233E3ECE"/>
    <w:rsid w:val="233E6594"/>
    <w:rsid w:val="23470D04"/>
    <w:rsid w:val="234A449F"/>
    <w:rsid w:val="234A756B"/>
    <w:rsid w:val="234C1AB4"/>
    <w:rsid w:val="234D075F"/>
    <w:rsid w:val="23554005"/>
    <w:rsid w:val="235B7C1B"/>
    <w:rsid w:val="235D6576"/>
    <w:rsid w:val="235E4DA3"/>
    <w:rsid w:val="236115DD"/>
    <w:rsid w:val="23621DAC"/>
    <w:rsid w:val="236F3EA9"/>
    <w:rsid w:val="2377256D"/>
    <w:rsid w:val="237E5CCB"/>
    <w:rsid w:val="238146A2"/>
    <w:rsid w:val="238767A9"/>
    <w:rsid w:val="23881703"/>
    <w:rsid w:val="23897406"/>
    <w:rsid w:val="238976EE"/>
    <w:rsid w:val="238E39AC"/>
    <w:rsid w:val="238E4E19"/>
    <w:rsid w:val="23900F76"/>
    <w:rsid w:val="2397141A"/>
    <w:rsid w:val="2398045C"/>
    <w:rsid w:val="23A3212E"/>
    <w:rsid w:val="23A32E0B"/>
    <w:rsid w:val="23AB5ACB"/>
    <w:rsid w:val="23AE2D05"/>
    <w:rsid w:val="23AE654C"/>
    <w:rsid w:val="23B70CCA"/>
    <w:rsid w:val="23B77102"/>
    <w:rsid w:val="23B826C9"/>
    <w:rsid w:val="23B95DEA"/>
    <w:rsid w:val="23BE2FAF"/>
    <w:rsid w:val="23C34FD7"/>
    <w:rsid w:val="23C35F67"/>
    <w:rsid w:val="23C36E9D"/>
    <w:rsid w:val="23C93FD3"/>
    <w:rsid w:val="23D80D48"/>
    <w:rsid w:val="23DC20D1"/>
    <w:rsid w:val="23DC308E"/>
    <w:rsid w:val="23DE05D1"/>
    <w:rsid w:val="23E53618"/>
    <w:rsid w:val="23E65999"/>
    <w:rsid w:val="23E86A33"/>
    <w:rsid w:val="23EA67BA"/>
    <w:rsid w:val="23F97C80"/>
    <w:rsid w:val="23FC0124"/>
    <w:rsid w:val="23FE5310"/>
    <w:rsid w:val="24045E4F"/>
    <w:rsid w:val="240B708F"/>
    <w:rsid w:val="24125894"/>
    <w:rsid w:val="241814FB"/>
    <w:rsid w:val="241B585C"/>
    <w:rsid w:val="24274416"/>
    <w:rsid w:val="24282688"/>
    <w:rsid w:val="24284200"/>
    <w:rsid w:val="242B7B71"/>
    <w:rsid w:val="2431393B"/>
    <w:rsid w:val="2434107D"/>
    <w:rsid w:val="2435609A"/>
    <w:rsid w:val="243645A8"/>
    <w:rsid w:val="243B28D6"/>
    <w:rsid w:val="24444663"/>
    <w:rsid w:val="24485338"/>
    <w:rsid w:val="24496B24"/>
    <w:rsid w:val="244E4AA7"/>
    <w:rsid w:val="244F0C85"/>
    <w:rsid w:val="244F3D3A"/>
    <w:rsid w:val="245160C7"/>
    <w:rsid w:val="24516F53"/>
    <w:rsid w:val="24517096"/>
    <w:rsid w:val="245246D4"/>
    <w:rsid w:val="24536F1E"/>
    <w:rsid w:val="24573672"/>
    <w:rsid w:val="245D2A2B"/>
    <w:rsid w:val="245F13B9"/>
    <w:rsid w:val="24617B36"/>
    <w:rsid w:val="24661F94"/>
    <w:rsid w:val="247831E8"/>
    <w:rsid w:val="24797565"/>
    <w:rsid w:val="247A6E81"/>
    <w:rsid w:val="247F2ED6"/>
    <w:rsid w:val="24825A79"/>
    <w:rsid w:val="2483554A"/>
    <w:rsid w:val="248A417F"/>
    <w:rsid w:val="2494482A"/>
    <w:rsid w:val="24A50F73"/>
    <w:rsid w:val="24A56DE4"/>
    <w:rsid w:val="24A91057"/>
    <w:rsid w:val="24AD0921"/>
    <w:rsid w:val="24B003B5"/>
    <w:rsid w:val="24B273B6"/>
    <w:rsid w:val="24B36813"/>
    <w:rsid w:val="24B40A7E"/>
    <w:rsid w:val="24BE5C6B"/>
    <w:rsid w:val="24C7639C"/>
    <w:rsid w:val="24CB0B41"/>
    <w:rsid w:val="24CE01BE"/>
    <w:rsid w:val="24D22B05"/>
    <w:rsid w:val="24D44C08"/>
    <w:rsid w:val="24D9543C"/>
    <w:rsid w:val="24DC5887"/>
    <w:rsid w:val="24DD5DAB"/>
    <w:rsid w:val="24DF0DEC"/>
    <w:rsid w:val="24E1259D"/>
    <w:rsid w:val="24E32E28"/>
    <w:rsid w:val="24E339D1"/>
    <w:rsid w:val="24EA1A78"/>
    <w:rsid w:val="24F42861"/>
    <w:rsid w:val="24F664A2"/>
    <w:rsid w:val="24FA3925"/>
    <w:rsid w:val="24FA4867"/>
    <w:rsid w:val="25031D09"/>
    <w:rsid w:val="25036BC7"/>
    <w:rsid w:val="25052602"/>
    <w:rsid w:val="25094B2F"/>
    <w:rsid w:val="250D6DED"/>
    <w:rsid w:val="25126E1A"/>
    <w:rsid w:val="25180847"/>
    <w:rsid w:val="2518574C"/>
    <w:rsid w:val="252A35E4"/>
    <w:rsid w:val="252B5AED"/>
    <w:rsid w:val="25343084"/>
    <w:rsid w:val="253577A1"/>
    <w:rsid w:val="253822D8"/>
    <w:rsid w:val="25393338"/>
    <w:rsid w:val="2541159F"/>
    <w:rsid w:val="254A5AA6"/>
    <w:rsid w:val="254F42E5"/>
    <w:rsid w:val="25596937"/>
    <w:rsid w:val="255D0A7D"/>
    <w:rsid w:val="255D4DF4"/>
    <w:rsid w:val="25700A77"/>
    <w:rsid w:val="257218A9"/>
    <w:rsid w:val="257415B5"/>
    <w:rsid w:val="25750975"/>
    <w:rsid w:val="25764371"/>
    <w:rsid w:val="25780273"/>
    <w:rsid w:val="25846815"/>
    <w:rsid w:val="2597752D"/>
    <w:rsid w:val="25A120B7"/>
    <w:rsid w:val="25A14FF9"/>
    <w:rsid w:val="25A20D3F"/>
    <w:rsid w:val="25A4123B"/>
    <w:rsid w:val="25A5186F"/>
    <w:rsid w:val="25AD153A"/>
    <w:rsid w:val="25B20B86"/>
    <w:rsid w:val="25B42838"/>
    <w:rsid w:val="25B7731C"/>
    <w:rsid w:val="25B87CE4"/>
    <w:rsid w:val="25BD64A1"/>
    <w:rsid w:val="25C01D9B"/>
    <w:rsid w:val="25C16ED0"/>
    <w:rsid w:val="25D12A33"/>
    <w:rsid w:val="25D36E01"/>
    <w:rsid w:val="25D67461"/>
    <w:rsid w:val="25DB6AC3"/>
    <w:rsid w:val="25E0062C"/>
    <w:rsid w:val="25E351DA"/>
    <w:rsid w:val="25E44B41"/>
    <w:rsid w:val="25E87AC2"/>
    <w:rsid w:val="25EF6CB1"/>
    <w:rsid w:val="25F030B8"/>
    <w:rsid w:val="25F13E7E"/>
    <w:rsid w:val="25F3267D"/>
    <w:rsid w:val="25F51A27"/>
    <w:rsid w:val="25F71DC9"/>
    <w:rsid w:val="25FE35BD"/>
    <w:rsid w:val="26002BB7"/>
    <w:rsid w:val="260728DB"/>
    <w:rsid w:val="260B2245"/>
    <w:rsid w:val="261058BD"/>
    <w:rsid w:val="26115B90"/>
    <w:rsid w:val="261552B1"/>
    <w:rsid w:val="2617577B"/>
    <w:rsid w:val="261A04C4"/>
    <w:rsid w:val="261E3EA4"/>
    <w:rsid w:val="261F12F4"/>
    <w:rsid w:val="2623399C"/>
    <w:rsid w:val="262523DC"/>
    <w:rsid w:val="2625752E"/>
    <w:rsid w:val="262C7A39"/>
    <w:rsid w:val="262D1E49"/>
    <w:rsid w:val="263B6F76"/>
    <w:rsid w:val="263B7E16"/>
    <w:rsid w:val="263C5A03"/>
    <w:rsid w:val="2650413E"/>
    <w:rsid w:val="265808FA"/>
    <w:rsid w:val="265D45F1"/>
    <w:rsid w:val="265E32D9"/>
    <w:rsid w:val="265E44AA"/>
    <w:rsid w:val="26606471"/>
    <w:rsid w:val="266E6418"/>
    <w:rsid w:val="267271A4"/>
    <w:rsid w:val="26732B28"/>
    <w:rsid w:val="267D6BE6"/>
    <w:rsid w:val="267E5560"/>
    <w:rsid w:val="26813461"/>
    <w:rsid w:val="268253AA"/>
    <w:rsid w:val="26860B24"/>
    <w:rsid w:val="268A581F"/>
    <w:rsid w:val="268B3DB7"/>
    <w:rsid w:val="268B7B4B"/>
    <w:rsid w:val="268F635F"/>
    <w:rsid w:val="26925566"/>
    <w:rsid w:val="26981CD4"/>
    <w:rsid w:val="269A0703"/>
    <w:rsid w:val="269E478A"/>
    <w:rsid w:val="26AA4B1F"/>
    <w:rsid w:val="26AC45F9"/>
    <w:rsid w:val="26AD7276"/>
    <w:rsid w:val="26B05128"/>
    <w:rsid w:val="26B67971"/>
    <w:rsid w:val="26C1259F"/>
    <w:rsid w:val="26C22BA0"/>
    <w:rsid w:val="26C321FB"/>
    <w:rsid w:val="26CA5CFF"/>
    <w:rsid w:val="26CE51F6"/>
    <w:rsid w:val="26CF159D"/>
    <w:rsid w:val="26CF4594"/>
    <w:rsid w:val="26D059D1"/>
    <w:rsid w:val="26D47EE9"/>
    <w:rsid w:val="26D747B4"/>
    <w:rsid w:val="26D75A2C"/>
    <w:rsid w:val="26DC5B62"/>
    <w:rsid w:val="26E64BEB"/>
    <w:rsid w:val="26E878BE"/>
    <w:rsid w:val="26EA6341"/>
    <w:rsid w:val="26ED3D12"/>
    <w:rsid w:val="26F64A1E"/>
    <w:rsid w:val="26FC3CE5"/>
    <w:rsid w:val="270268A5"/>
    <w:rsid w:val="27052EC8"/>
    <w:rsid w:val="270F4476"/>
    <w:rsid w:val="270F4687"/>
    <w:rsid w:val="271557B1"/>
    <w:rsid w:val="271E2D89"/>
    <w:rsid w:val="27203D19"/>
    <w:rsid w:val="27244948"/>
    <w:rsid w:val="272529C6"/>
    <w:rsid w:val="273046D8"/>
    <w:rsid w:val="27356DDE"/>
    <w:rsid w:val="27397C46"/>
    <w:rsid w:val="273A4C87"/>
    <w:rsid w:val="273B1603"/>
    <w:rsid w:val="273C1C98"/>
    <w:rsid w:val="273C3A81"/>
    <w:rsid w:val="273C6BDB"/>
    <w:rsid w:val="2740066F"/>
    <w:rsid w:val="27452A11"/>
    <w:rsid w:val="27475CC3"/>
    <w:rsid w:val="27485BDC"/>
    <w:rsid w:val="27531970"/>
    <w:rsid w:val="2755085D"/>
    <w:rsid w:val="27585E02"/>
    <w:rsid w:val="275F590E"/>
    <w:rsid w:val="276A2872"/>
    <w:rsid w:val="276B1805"/>
    <w:rsid w:val="276D7FD5"/>
    <w:rsid w:val="276E6EBA"/>
    <w:rsid w:val="27712FCB"/>
    <w:rsid w:val="27717CE1"/>
    <w:rsid w:val="27737EFE"/>
    <w:rsid w:val="277451A4"/>
    <w:rsid w:val="2775397C"/>
    <w:rsid w:val="277B6A29"/>
    <w:rsid w:val="27806AB1"/>
    <w:rsid w:val="27807C44"/>
    <w:rsid w:val="278B75CC"/>
    <w:rsid w:val="278F54A4"/>
    <w:rsid w:val="2790006B"/>
    <w:rsid w:val="27914C92"/>
    <w:rsid w:val="279F77AC"/>
    <w:rsid w:val="27A10C63"/>
    <w:rsid w:val="27A16FB4"/>
    <w:rsid w:val="27A320AD"/>
    <w:rsid w:val="27A44010"/>
    <w:rsid w:val="27A826F2"/>
    <w:rsid w:val="27AA4FD1"/>
    <w:rsid w:val="27AD2F22"/>
    <w:rsid w:val="27AF1191"/>
    <w:rsid w:val="27B47B6E"/>
    <w:rsid w:val="27B73B01"/>
    <w:rsid w:val="27BA7E94"/>
    <w:rsid w:val="27BC1289"/>
    <w:rsid w:val="27C3718B"/>
    <w:rsid w:val="27C81A55"/>
    <w:rsid w:val="27C93B7A"/>
    <w:rsid w:val="27CB099F"/>
    <w:rsid w:val="27D00B87"/>
    <w:rsid w:val="27D3336B"/>
    <w:rsid w:val="27ED7A75"/>
    <w:rsid w:val="27F531FE"/>
    <w:rsid w:val="27F6374C"/>
    <w:rsid w:val="27F82B1A"/>
    <w:rsid w:val="27F93334"/>
    <w:rsid w:val="280933AC"/>
    <w:rsid w:val="280C03B4"/>
    <w:rsid w:val="280D1128"/>
    <w:rsid w:val="280E42B1"/>
    <w:rsid w:val="28105F3E"/>
    <w:rsid w:val="28106304"/>
    <w:rsid w:val="28196593"/>
    <w:rsid w:val="281F25C1"/>
    <w:rsid w:val="28215B06"/>
    <w:rsid w:val="28235F68"/>
    <w:rsid w:val="282D2178"/>
    <w:rsid w:val="28363BCE"/>
    <w:rsid w:val="28374361"/>
    <w:rsid w:val="28383773"/>
    <w:rsid w:val="283A11F6"/>
    <w:rsid w:val="28472041"/>
    <w:rsid w:val="28525199"/>
    <w:rsid w:val="2852777E"/>
    <w:rsid w:val="28541FFF"/>
    <w:rsid w:val="28581280"/>
    <w:rsid w:val="285A6251"/>
    <w:rsid w:val="28682E1D"/>
    <w:rsid w:val="2868600E"/>
    <w:rsid w:val="28693CE5"/>
    <w:rsid w:val="286A0725"/>
    <w:rsid w:val="286A209A"/>
    <w:rsid w:val="286B685C"/>
    <w:rsid w:val="286C5731"/>
    <w:rsid w:val="286D4BBF"/>
    <w:rsid w:val="28742C42"/>
    <w:rsid w:val="28825B1F"/>
    <w:rsid w:val="28870C79"/>
    <w:rsid w:val="288A239D"/>
    <w:rsid w:val="288E2AF9"/>
    <w:rsid w:val="28915DBA"/>
    <w:rsid w:val="28973803"/>
    <w:rsid w:val="289B35CE"/>
    <w:rsid w:val="289C357E"/>
    <w:rsid w:val="289D7FC3"/>
    <w:rsid w:val="289E3569"/>
    <w:rsid w:val="28AD0B47"/>
    <w:rsid w:val="28B21A43"/>
    <w:rsid w:val="28B25011"/>
    <w:rsid w:val="28B40E24"/>
    <w:rsid w:val="28B95C3A"/>
    <w:rsid w:val="28BF1DE4"/>
    <w:rsid w:val="28C17F6A"/>
    <w:rsid w:val="28C55DCF"/>
    <w:rsid w:val="28C710F6"/>
    <w:rsid w:val="28C94FA0"/>
    <w:rsid w:val="28CE6E5A"/>
    <w:rsid w:val="28D31580"/>
    <w:rsid w:val="28D3165D"/>
    <w:rsid w:val="28E271EC"/>
    <w:rsid w:val="28EA37A6"/>
    <w:rsid w:val="28F24FB3"/>
    <w:rsid w:val="28F4540B"/>
    <w:rsid w:val="28FA7D83"/>
    <w:rsid w:val="28FE3539"/>
    <w:rsid w:val="2905180D"/>
    <w:rsid w:val="290E1687"/>
    <w:rsid w:val="291C136C"/>
    <w:rsid w:val="292826EF"/>
    <w:rsid w:val="292934FA"/>
    <w:rsid w:val="292C1CD4"/>
    <w:rsid w:val="292F4820"/>
    <w:rsid w:val="29333843"/>
    <w:rsid w:val="29335A4F"/>
    <w:rsid w:val="293621BA"/>
    <w:rsid w:val="29393618"/>
    <w:rsid w:val="293C5494"/>
    <w:rsid w:val="293D2A5A"/>
    <w:rsid w:val="294A4ABE"/>
    <w:rsid w:val="294B12BB"/>
    <w:rsid w:val="2951089C"/>
    <w:rsid w:val="295768AB"/>
    <w:rsid w:val="295952E0"/>
    <w:rsid w:val="295D0E07"/>
    <w:rsid w:val="29652C20"/>
    <w:rsid w:val="29654989"/>
    <w:rsid w:val="29673E89"/>
    <w:rsid w:val="29685419"/>
    <w:rsid w:val="2969449A"/>
    <w:rsid w:val="296D3FA1"/>
    <w:rsid w:val="296E0B92"/>
    <w:rsid w:val="296F7730"/>
    <w:rsid w:val="29737978"/>
    <w:rsid w:val="297939AC"/>
    <w:rsid w:val="297D2CA7"/>
    <w:rsid w:val="297E3614"/>
    <w:rsid w:val="297F0291"/>
    <w:rsid w:val="297F0C58"/>
    <w:rsid w:val="298D7934"/>
    <w:rsid w:val="299115B8"/>
    <w:rsid w:val="29A109C4"/>
    <w:rsid w:val="29A1367C"/>
    <w:rsid w:val="29A32E1D"/>
    <w:rsid w:val="29A547C1"/>
    <w:rsid w:val="29AB3C78"/>
    <w:rsid w:val="29AE4D06"/>
    <w:rsid w:val="29B03C5D"/>
    <w:rsid w:val="29B71B5A"/>
    <w:rsid w:val="29B87040"/>
    <w:rsid w:val="29CA2668"/>
    <w:rsid w:val="29CA5FDB"/>
    <w:rsid w:val="29CB18C2"/>
    <w:rsid w:val="29CF4056"/>
    <w:rsid w:val="29D05208"/>
    <w:rsid w:val="29D311D3"/>
    <w:rsid w:val="29D43773"/>
    <w:rsid w:val="29DF4377"/>
    <w:rsid w:val="29E45FD6"/>
    <w:rsid w:val="29EE05BB"/>
    <w:rsid w:val="29EE70F8"/>
    <w:rsid w:val="29F23FE8"/>
    <w:rsid w:val="29F74B46"/>
    <w:rsid w:val="2A005A48"/>
    <w:rsid w:val="2A021FC7"/>
    <w:rsid w:val="2A0E014A"/>
    <w:rsid w:val="2A0F2DFE"/>
    <w:rsid w:val="2A1541B6"/>
    <w:rsid w:val="2A156FE8"/>
    <w:rsid w:val="2A195E4F"/>
    <w:rsid w:val="2A246249"/>
    <w:rsid w:val="2A304C00"/>
    <w:rsid w:val="2A3232B1"/>
    <w:rsid w:val="2A425B29"/>
    <w:rsid w:val="2A4943DD"/>
    <w:rsid w:val="2A4E65A0"/>
    <w:rsid w:val="2A504798"/>
    <w:rsid w:val="2A506237"/>
    <w:rsid w:val="2A5617AE"/>
    <w:rsid w:val="2A5A1DC7"/>
    <w:rsid w:val="2A5C062F"/>
    <w:rsid w:val="2A63684D"/>
    <w:rsid w:val="2A636CEF"/>
    <w:rsid w:val="2A6574B9"/>
    <w:rsid w:val="2A6C6C26"/>
    <w:rsid w:val="2A6E3DB5"/>
    <w:rsid w:val="2A704D69"/>
    <w:rsid w:val="2A707189"/>
    <w:rsid w:val="2A77749E"/>
    <w:rsid w:val="2A7C7D51"/>
    <w:rsid w:val="2A803B27"/>
    <w:rsid w:val="2A9F08B9"/>
    <w:rsid w:val="2AA64313"/>
    <w:rsid w:val="2AA65E6E"/>
    <w:rsid w:val="2AAC68F3"/>
    <w:rsid w:val="2AB52D34"/>
    <w:rsid w:val="2AB66CE3"/>
    <w:rsid w:val="2ABF3731"/>
    <w:rsid w:val="2AC5133E"/>
    <w:rsid w:val="2AC735EC"/>
    <w:rsid w:val="2AD055B2"/>
    <w:rsid w:val="2AD6069C"/>
    <w:rsid w:val="2AD907FC"/>
    <w:rsid w:val="2AE662BD"/>
    <w:rsid w:val="2AE8517A"/>
    <w:rsid w:val="2AEE5410"/>
    <w:rsid w:val="2AF6270E"/>
    <w:rsid w:val="2AFC5D88"/>
    <w:rsid w:val="2AFE7E70"/>
    <w:rsid w:val="2B090C2F"/>
    <w:rsid w:val="2B0C45F7"/>
    <w:rsid w:val="2B0C6EDA"/>
    <w:rsid w:val="2B0E40AC"/>
    <w:rsid w:val="2B0F1C2C"/>
    <w:rsid w:val="2B107E88"/>
    <w:rsid w:val="2B1F461C"/>
    <w:rsid w:val="2B250207"/>
    <w:rsid w:val="2B253071"/>
    <w:rsid w:val="2B2A0E1E"/>
    <w:rsid w:val="2B2B4F13"/>
    <w:rsid w:val="2B306BF3"/>
    <w:rsid w:val="2B31133C"/>
    <w:rsid w:val="2B3264AA"/>
    <w:rsid w:val="2B3348F1"/>
    <w:rsid w:val="2B417FFD"/>
    <w:rsid w:val="2B422ED0"/>
    <w:rsid w:val="2B425999"/>
    <w:rsid w:val="2B497E01"/>
    <w:rsid w:val="2B592098"/>
    <w:rsid w:val="2B5B05AB"/>
    <w:rsid w:val="2B5E711F"/>
    <w:rsid w:val="2B606AE8"/>
    <w:rsid w:val="2B632B65"/>
    <w:rsid w:val="2B715AB4"/>
    <w:rsid w:val="2B73174E"/>
    <w:rsid w:val="2B7C5D7C"/>
    <w:rsid w:val="2B7E34FB"/>
    <w:rsid w:val="2B8248BC"/>
    <w:rsid w:val="2B833A7B"/>
    <w:rsid w:val="2B8774BE"/>
    <w:rsid w:val="2B8B199E"/>
    <w:rsid w:val="2B8D27F7"/>
    <w:rsid w:val="2B8E1DF7"/>
    <w:rsid w:val="2B955871"/>
    <w:rsid w:val="2B9B6D70"/>
    <w:rsid w:val="2BA74D31"/>
    <w:rsid w:val="2BA81571"/>
    <w:rsid w:val="2BAB641A"/>
    <w:rsid w:val="2BAE316D"/>
    <w:rsid w:val="2BB470CA"/>
    <w:rsid w:val="2BC74F7D"/>
    <w:rsid w:val="2BCD3A86"/>
    <w:rsid w:val="2BCD3DF5"/>
    <w:rsid w:val="2BCE71E2"/>
    <w:rsid w:val="2BD018F9"/>
    <w:rsid w:val="2BD41994"/>
    <w:rsid w:val="2BD50685"/>
    <w:rsid w:val="2BD75936"/>
    <w:rsid w:val="2BD82CCA"/>
    <w:rsid w:val="2BDB20B6"/>
    <w:rsid w:val="2BDC7630"/>
    <w:rsid w:val="2BDF067C"/>
    <w:rsid w:val="2BDF516A"/>
    <w:rsid w:val="2BE43803"/>
    <w:rsid w:val="2BE54830"/>
    <w:rsid w:val="2BE969DF"/>
    <w:rsid w:val="2BED52D5"/>
    <w:rsid w:val="2BEF6AF4"/>
    <w:rsid w:val="2BF30B9C"/>
    <w:rsid w:val="2BF479F3"/>
    <w:rsid w:val="2BF71CAB"/>
    <w:rsid w:val="2BFE115E"/>
    <w:rsid w:val="2C0836E0"/>
    <w:rsid w:val="2C0D54D3"/>
    <w:rsid w:val="2C101CA7"/>
    <w:rsid w:val="2C113D09"/>
    <w:rsid w:val="2C1A287B"/>
    <w:rsid w:val="2C216426"/>
    <w:rsid w:val="2C234FD5"/>
    <w:rsid w:val="2C267377"/>
    <w:rsid w:val="2C2729DC"/>
    <w:rsid w:val="2C2A129B"/>
    <w:rsid w:val="2C2F1F88"/>
    <w:rsid w:val="2C310895"/>
    <w:rsid w:val="2C360CC0"/>
    <w:rsid w:val="2C397505"/>
    <w:rsid w:val="2C4F1F85"/>
    <w:rsid w:val="2C4F75D7"/>
    <w:rsid w:val="2C58750C"/>
    <w:rsid w:val="2C5B1FF5"/>
    <w:rsid w:val="2C5E1510"/>
    <w:rsid w:val="2C694645"/>
    <w:rsid w:val="2C6A1210"/>
    <w:rsid w:val="2C6A4B15"/>
    <w:rsid w:val="2C796E0D"/>
    <w:rsid w:val="2C7B3468"/>
    <w:rsid w:val="2C891D41"/>
    <w:rsid w:val="2C8A204A"/>
    <w:rsid w:val="2C8D0F2C"/>
    <w:rsid w:val="2C8D4823"/>
    <w:rsid w:val="2C8D5D2A"/>
    <w:rsid w:val="2C910C96"/>
    <w:rsid w:val="2C9379CB"/>
    <w:rsid w:val="2C9C70CF"/>
    <w:rsid w:val="2CA03FF0"/>
    <w:rsid w:val="2CA56D57"/>
    <w:rsid w:val="2CB02CB3"/>
    <w:rsid w:val="2CB642A8"/>
    <w:rsid w:val="2CBF6B88"/>
    <w:rsid w:val="2CC46A08"/>
    <w:rsid w:val="2CC94B65"/>
    <w:rsid w:val="2CCC74CF"/>
    <w:rsid w:val="2CD04D1D"/>
    <w:rsid w:val="2CD33C4C"/>
    <w:rsid w:val="2CDD6CFC"/>
    <w:rsid w:val="2CE13F91"/>
    <w:rsid w:val="2CE17699"/>
    <w:rsid w:val="2CE97112"/>
    <w:rsid w:val="2CEE5603"/>
    <w:rsid w:val="2CEF2C72"/>
    <w:rsid w:val="2CF8140B"/>
    <w:rsid w:val="2CFA656E"/>
    <w:rsid w:val="2CFC5CA7"/>
    <w:rsid w:val="2CFF698D"/>
    <w:rsid w:val="2D0E4C93"/>
    <w:rsid w:val="2D0F66AB"/>
    <w:rsid w:val="2D136C9F"/>
    <w:rsid w:val="2D1D4467"/>
    <w:rsid w:val="2D245E0E"/>
    <w:rsid w:val="2D2C0C4E"/>
    <w:rsid w:val="2D3A04A2"/>
    <w:rsid w:val="2D3A59B2"/>
    <w:rsid w:val="2D3B3830"/>
    <w:rsid w:val="2D440899"/>
    <w:rsid w:val="2D4442DB"/>
    <w:rsid w:val="2D4446EB"/>
    <w:rsid w:val="2D4E2DDE"/>
    <w:rsid w:val="2D4F43CE"/>
    <w:rsid w:val="2D502D1F"/>
    <w:rsid w:val="2D515DC6"/>
    <w:rsid w:val="2D5230C2"/>
    <w:rsid w:val="2D5640A4"/>
    <w:rsid w:val="2D5C7FE7"/>
    <w:rsid w:val="2D614FAA"/>
    <w:rsid w:val="2D657CC1"/>
    <w:rsid w:val="2D66193E"/>
    <w:rsid w:val="2D6D2C39"/>
    <w:rsid w:val="2D7C2D5B"/>
    <w:rsid w:val="2D8141B5"/>
    <w:rsid w:val="2D893C01"/>
    <w:rsid w:val="2D897F30"/>
    <w:rsid w:val="2D8A262B"/>
    <w:rsid w:val="2D9D7454"/>
    <w:rsid w:val="2D9F229D"/>
    <w:rsid w:val="2DA3031E"/>
    <w:rsid w:val="2DA828C6"/>
    <w:rsid w:val="2DA8640F"/>
    <w:rsid w:val="2DB43D16"/>
    <w:rsid w:val="2DBF07D5"/>
    <w:rsid w:val="2DC13268"/>
    <w:rsid w:val="2DCD2C67"/>
    <w:rsid w:val="2DCE36AE"/>
    <w:rsid w:val="2DCE6885"/>
    <w:rsid w:val="2DD004DA"/>
    <w:rsid w:val="2DD03D29"/>
    <w:rsid w:val="2DD11FEE"/>
    <w:rsid w:val="2DD46412"/>
    <w:rsid w:val="2DD82AA2"/>
    <w:rsid w:val="2DD927D8"/>
    <w:rsid w:val="2DDC25C4"/>
    <w:rsid w:val="2DDC3E86"/>
    <w:rsid w:val="2DDC7275"/>
    <w:rsid w:val="2DE00B0E"/>
    <w:rsid w:val="2DF12348"/>
    <w:rsid w:val="2DF168E1"/>
    <w:rsid w:val="2DF30149"/>
    <w:rsid w:val="2DFE54AF"/>
    <w:rsid w:val="2E0156DF"/>
    <w:rsid w:val="2E05071F"/>
    <w:rsid w:val="2E0B47B9"/>
    <w:rsid w:val="2E0C40A2"/>
    <w:rsid w:val="2E0D315D"/>
    <w:rsid w:val="2E18219C"/>
    <w:rsid w:val="2E25285A"/>
    <w:rsid w:val="2E255D34"/>
    <w:rsid w:val="2E275D77"/>
    <w:rsid w:val="2E277D71"/>
    <w:rsid w:val="2E335007"/>
    <w:rsid w:val="2E4011EF"/>
    <w:rsid w:val="2E46330A"/>
    <w:rsid w:val="2E491F89"/>
    <w:rsid w:val="2E504BA5"/>
    <w:rsid w:val="2E50538B"/>
    <w:rsid w:val="2E584EA3"/>
    <w:rsid w:val="2E5952DE"/>
    <w:rsid w:val="2E5B1259"/>
    <w:rsid w:val="2E5D20DA"/>
    <w:rsid w:val="2E605F9B"/>
    <w:rsid w:val="2E630FA5"/>
    <w:rsid w:val="2E6324C9"/>
    <w:rsid w:val="2E681C88"/>
    <w:rsid w:val="2E6B52B9"/>
    <w:rsid w:val="2E706147"/>
    <w:rsid w:val="2E7E648C"/>
    <w:rsid w:val="2E8017D4"/>
    <w:rsid w:val="2E9640F1"/>
    <w:rsid w:val="2E99246D"/>
    <w:rsid w:val="2EA027A6"/>
    <w:rsid w:val="2EAE2D9B"/>
    <w:rsid w:val="2EAF67A6"/>
    <w:rsid w:val="2EB160F6"/>
    <w:rsid w:val="2EB4365B"/>
    <w:rsid w:val="2EBE73DB"/>
    <w:rsid w:val="2EC473E8"/>
    <w:rsid w:val="2EC4756D"/>
    <w:rsid w:val="2EC61893"/>
    <w:rsid w:val="2EC65DD7"/>
    <w:rsid w:val="2ECA5640"/>
    <w:rsid w:val="2ECD0396"/>
    <w:rsid w:val="2ECE5D33"/>
    <w:rsid w:val="2ED11ACB"/>
    <w:rsid w:val="2EDD2136"/>
    <w:rsid w:val="2EDE41BD"/>
    <w:rsid w:val="2EE059B8"/>
    <w:rsid w:val="2EE7432C"/>
    <w:rsid w:val="2EEE2746"/>
    <w:rsid w:val="2EEF16F3"/>
    <w:rsid w:val="2EF11E02"/>
    <w:rsid w:val="2EF82A65"/>
    <w:rsid w:val="2EF83ED7"/>
    <w:rsid w:val="2EFA05C6"/>
    <w:rsid w:val="2EFA50C9"/>
    <w:rsid w:val="2EFB228D"/>
    <w:rsid w:val="2F023B01"/>
    <w:rsid w:val="2F0524BD"/>
    <w:rsid w:val="2F075FE7"/>
    <w:rsid w:val="2F07678E"/>
    <w:rsid w:val="2F180520"/>
    <w:rsid w:val="2F1937A2"/>
    <w:rsid w:val="2F2510D8"/>
    <w:rsid w:val="2F264333"/>
    <w:rsid w:val="2F273289"/>
    <w:rsid w:val="2F2E7E21"/>
    <w:rsid w:val="2F342034"/>
    <w:rsid w:val="2F342879"/>
    <w:rsid w:val="2F347481"/>
    <w:rsid w:val="2F3D1A51"/>
    <w:rsid w:val="2F40407D"/>
    <w:rsid w:val="2F486C11"/>
    <w:rsid w:val="2F491C1A"/>
    <w:rsid w:val="2F494EE0"/>
    <w:rsid w:val="2F49502D"/>
    <w:rsid w:val="2F51710A"/>
    <w:rsid w:val="2F570083"/>
    <w:rsid w:val="2F5C11ED"/>
    <w:rsid w:val="2F663231"/>
    <w:rsid w:val="2F673C98"/>
    <w:rsid w:val="2F6C0A12"/>
    <w:rsid w:val="2F6D7EB6"/>
    <w:rsid w:val="2F71089A"/>
    <w:rsid w:val="2F713B4C"/>
    <w:rsid w:val="2F715C08"/>
    <w:rsid w:val="2F797D20"/>
    <w:rsid w:val="2F7F1E44"/>
    <w:rsid w:val="2F810A3C"/>
    <w:rsid w:val="2F83431F"/>
    <w:rsid w:val="2F874738"/>
    <w:rsid w:val="2F8C5AA7"/>
    <w:rsid w:val="2F8F6B96"/>
    <w:rsid w:val="2F926724"/>
    <w:rsid w:val="2F937A6B"/>
    <w:rsid w:val="2F982CE6"/>
    <w:rsid w:val="2F9D6D1B"/>
    <w:rsid w:val="2F9E0F27"/>
    <w:rsid w:val="2FA256FD"/>
    <w:rsid w:val="2FA671C0"/>
    <w:rsid w:val="2FAA53D5"/>
    <w:rsid w:val="2FAB13B4"/>
    <w:rsid w:val="2FAD7034"/>
    <w:rsid w:val="2FB27C17"/>
    <w:rsid w:val="2FB8225B"/>
    <w:rsid w:val="2FC267D0"/>
    <w:rsid w:val="2FC5779A"/>
    <w:rsid w:val="2FC64D3D"/>
    <w:rsid w:val="2FCB21E6"/>
    <w:rsid w:val="2FCD78D1"/>
    <w:rsid w:val="2FCF603B"/>
    <w:rsid w:val="2FD06F3F"/>
    <w:rsid w:val="2FD072A0"/>
    <w:rsid w:val="2FD435B6"/>
    <w:rsid w:val="2FD43B0B"/>
    <w:rsid w:val="2FD71AA1"/>
    <w:rsid w:val="2FDD11B0"/>
    <w:rsid w:val="2FDD50E4"/>
    <w:rsid w:val="2FE11E00"/>
    <w:rsid w:val="2FE361F8"/>
    <w:rsid w:val="2FE57C2B"/>
    <w:rsid w:val="2FE926AD"/>
    <w:rsid w:val="2FF11E19"/>
    <w:rsid w:val="2FF14C6B"/>
    <w:rsid w:val="2FF61CEA"/>
    <w:rsid w:val="2FF92DE8"/>
    <w:rsid w:val="2FFB75E1"/>
    <w:rsid w:val="2FFF72C7"/>
    <w:rsid w:val="300268C0"/>
    <w:rsid w:val="30062B2A"/>
    <w:rsid w:val="300920DD"/>
    <w:rsid w:val="30092446"/>
    <w:rsid w:val="30114956"/>
    <w:rsid w:val="301B7253"/>
    <w:rsid w:val="301F45BB"/>
    <w:rsid w:val="30205395"/>
    <w:rsid w:val="30246C5D"/>
    <w:rsid w:val="302A3FA0"/>
    <w:rsid w:val="302B18A7"/>
    <w:rsid w:val="302D076C"/>
    <w:rsid w:val="303109FF"/>
    <w:rsid w:val="30321923"/>
    <w:rsid w:val="303336F1"/>
    <w:rsid w:val="3034511B"/>
    <w:rsid w:val="303F436C"/>
    <w:rsid w:val="30464DF8"/>
    <w:rsid w:val="304852D9"/>
    <w:rsid w:val="30485980"/>
    <w:rsid w:val="30493D1E"/>
    <w:rsid w:val="30502A72"/>
    <w:rsid w:val="30533BF0"/>
    <w:rsid w:val="30570868"/>
    <w:rsid w:val="3059246E"/>
    <w:rsid w:val="30613BB6"/>
    <w:rsid w:val="30623BEB"/>
    <w:rsid w:val="306C2125"/>
    <w:rsid w:val="306F7D1F"/>
    <w:rsid w:val="30776A10"/>
    <w:rsid w:val="307A65E7"/>
    <w:rsid w:val="30876805"/>
    <w:rsid w:val="308D63B1"/>
    <w:rsid w:val="308E33BD"/>
    <w:rsid w:val="309366EE"/>
    <w:rsid w:val="30967F2A"/>
    <w:rsid w:val="3097192C"/>
    <w:rsid w:val="30AC6360"/>
    <w:rsid w:val="30AF2024"/>
    <w:rsid w:val="30B31E2F"/>
    <w:rsid w:val="30BC166E"/>
    <w:rsid w:val="30C16271"/>
    <w:rsid w:val="30C2753C"/>
    <w:rsid w:val="30C776F3"/>
    <w:rsid w:val="30D82034"/>
    <w:rsid w:val="30E1692A"/>
    <w:rsid w:val="30E21302"/>
    <w:rsid w:val="30E52021"/>
    <w:rsid w:val="30E67B79"/>
    <w:rsid w:val="30E77F2D"/>
    <w:rsid w:val="30EE2C4E"/>
    <w:rsid w:val="30EE3768"/>
    <w:rsid w:val="30F00D60"/>
    <w:rsid w:val="30F2628E"/>
    <w:rsid w:val="30FA1E32"/>
    <w:rsid w:val="30FB18CD"/>
    <w:rsid w:val="3105294D"/>
    <w:rsid w:val="310D10D7"/>
    <w:rsid w:val="310E0C5A"/>
    <w:rsid w:val="31133FF6"/>
    <w:rsid w:val="311A478F"/>
    <w:rsid w:val="31224B74"/>
    <w:rsid w:val="31231863"/>
    <w:rsid w:val="3123679F"/>
    <w:rsid w:val="31242DF2"/>
    <w:rsid w:val="312851AF"/>
    <w:rsid w:val="3134250C"/>
    <w:rsid w:val="3134391B"/>
    <w:rsid w:val="313B0483"/>
    <w:rsid w:val="313C7325"/>
    <w:rsid w:val="31433979"/>
    <w:rsid w:val="314B01C9"/>
    <w:rsid w:val="315532A4"/>
    <w:rsid w:val="31623A20"/>
    <w:rsid w:val="31660F7A"/>
    <w:rsid w:val="31691900"/>
    <w:rsid w:val="316E1E81"/>
    <w:rsid w:val="31720587"/>
    <w:rsid w:val="31725087"/>
    <w:rsid w:val="317300E0"/>
    <w:rsid w:val="31740E76"/>
    <w:rsid w:val="31756BE4"/>
    <w:rsid w:val="31760E2E"/>
    <w:rsid w:val="317733BC"/>
    <w:rsid w:val="3178463E"/>
    <w:rsid w:val="31786E10"/>
    <w:rsid w:val="317A488F"/>
    <w:rsid w:val="317A70DE"/>
    <w:rsid w:val="317B29F4"/>
    <w:rsid w:val="31817D61"/>
    <w:rsid w:val="318871C0"/>
    <w:rsid w:val="318E2DD5"/>
    <w:rsid w:val="31A264A1"/>
    <w:rsid w:val="31A50A12"/>
    <w:rsid w:val="31A70647"/>
    <w:rsid w:val="31B06C62"/>
    <w:rsid w:val="31BB3CBD"/>
    <w:rsid w:val="31BD3D2A"/>
    <w:rsid w:val="31CC2278"/>
    <w:rsid w:val="31CD3F78"/>
    <w:rsid w:val="31D11A05"/>
    <w:rsid w:val="31D20449"/>
    <w:rsid w:val="31D660AB"/>
    <w:rsid w:val="31D94E07"/>
    <w:rsid w:val="31DC1241"/>
    <w:rsid w:val="31DC5B0D"/>
    <w:rsid w:val="31DD122B"/>
    <w:rsid w:val="31DE1229"/>
    <w:rsid w:val="31E26059"/>
    <w:rsid w:val="31E51C35"/>
    <w:rsid w:val="31E72C68"/>
    <w:rsid w:val="31E819E9"/>
    <w:rsid w:val="31ED5402"/>
    <w:rsid w:val="31EE14D6"/>
    <w:rsid w:val="31FE29E6"/>
    <w:rsid w:val="31FF5384"/>
    <w:rsid w:val="320233E7"/>
    <w:rsid w:val="320C736B"/>
    <w:rsid w:val="320D5F5E"/>
    <w:rsid w:val="3212799D"/>
    <w:rsid w:val="32173DD4"/>
    <w:rsid w:val="32193F7E"/>
    <w:rsid w:val="321A40FF"/>
    <w:rsid w:val="321C0BCB"/>
    <w:rsid w:val="322D0304"/>
    <w:rsid w:val="323079C0"/>
    <w:rsid w:val="3231368A"/>
    <w:rsid w:val="32364BD8"/>
    <w:rsid w:val="32385BB7"/>
    <w:rsid w:val="323C5EB7"/>
    <w:rsid w:val="32411D29"/>
    <w:rsid w:val="3244009D"/>
    <w:rsid w:val="324444DB"/>
    <w:rsid w:val="324B7056"/>
    <w:rsid w:val="324F5600"/>
    <w:rsid w:val="325348A3"/>
    <w:rsid w:val="32550500"/>
    <w:rsid w:val="325761F6"/>
    <w:rsid w:val="32637F18"/>
    <w:rsid w:val="326D6D38"/>
    <w:rsid w:val="326E75A9"/>
    <w:rsid w:val="326E7F20"/>
    <w:rsid w:val="327E5810"/>
    <w:rsid w:val="32880476"/>
    <w:rsid w:val="328829E7"/>
    <w:rsid w:val="328F6C0D"/>
    <w:rsid w:val="32921DCF"/>
    <w:rsid w:val="32924A7A"/>
    <w:rsid w:val="32953C2B"/>
    <w:rsid w:val="329A24E6"/>
    <w:rsid w:val="329E66F4"/>
    <w:rsid w:val="329F3F4A"/>
    <w:rsid w:val="32A12B73"/>
    <w:rsid w:val="32A2197D"/>
    <w:rsid w:val="32B73344"/>
    <w:rsid w:val="32B85E47"/>
    <w:rsid w:val="32BB6FB8"/>
    <w:rsid w:val="32C20171"/>
    <w:rsid w:val="32C62B6A"/>
    <w:rsid w:val="32CD60F6"/>
    <w:rsid w:val="32D74F8B"/>
    <w:rsid w:val="32D86F59"/>
    <w:rsid w:val="32DB7441"/>
    <w:rsid w:val="32DC31C9"/>
    <w:rsid w:val="32DC7E6C"/>
    <w:rsid w:val="32DE0BE3"/>
    <w:rsid w:val="32DE61F5"/>
    <w:rsid w:val="32DF7E64"/>
    <w:rsid w:val="32E517B4"/>
    <w:rsid w:val="32F6225A"/>
    <w:rsid w:val="32F858CF"/>
    <w:rsid w:val="32FE2CA4"/>
    <w:rsid w:val="33011F4B"/>
    <w:rsid w:val="330173AC"/>
    <w:rsid w:val="33052A92"/>
    <w:rsid w:val="330B1F84"/>
    <w:rsid w:val="330E164B"/>
    <w:rsid w:val="33183556"/>
    <w:rsid w:val="33206D08"/>
    <w:rsid w:val="33210319"/>
    <w:rsid w:val="33253A2F"/>
    <w:rsid w:val="3328113D"/>
    <w:rsid w:val="3328581F"/>
    <w:rsid w:val="33297B6F"/>
    <w:rsid w:val="33335F42"/>
    <w:rsid w:val="33337581"/>
    <w:rsid w:val="33351018"/>
    <w:rsid w:val="333663A8"/>
    <w:rsid w:val="333A67BD"/>
    <w:rsid w:val="333C73FB"/>
    <w:rsid w:val="333F1B48"/>
    <w:rsid w:val="33425EBF"/>
    <w:rsid w:val="33471CE9"/>
    <w:rsid w:val="33517C71"/>
    <w:rsid w:val="335529B8"/>
    <w:rsid w:val="335644C5"/>
    <w:rsid w:val="335A30C7"/>
    <w:rsid w:val="335C2DD7"/>
    <w:rsid w:val="336B3F0B"/>
    <w:rsid w:val="336D2B54"/>
    <w:rsid w:val="337D3365"/>
    <w:rsid w:val="33834D82"/>
    <w:rsid w:val="33860A50"/>
    <w:rsid w:val="3386411E"/>
    <w:rsid w:val="338B3D5B"/>
    <w:rsid w:val="338D0C59"/>
    <w:rsid w:val="338F6F80"/>
    <w:rsid w:val="33945A04"/>
    <w:rsid w:val="33991584"/>
    <w:rsid w:val="339930F4"/>
    <w:rsid w:val="339A583C"/>
    <w:rsid w:val="33A31E33"/>
    <w:rsid w:val="33AC0462"/>
    <w:rsid w:val="33AE6CC1"/>
    <w:rsid w:val="33B03FAC"/>
    <w:rsid w:val="33BF2510"/>
    <w:rsid w:val="33BF5467"/>
    <w:rsid w:val="33C16E22"/>
    <w:rsid w:val="33C75B55"/>
    <w:rsid w:val="33C93D7D"/>
    <w:rsid w:val="33D16C44"/>
    <w:rsid w:val="33DB0ED5"/>
    <w:rsid w:val="33DE220B"/>
    <w:rsid w:val="33EB7F14"/>
    <w:rsid w:val="33F21F29"/>
    <w:rsid w:val="33F34E1E"/>
    <w:rsid w:val="33F73390"/>
    <w:rsid w:val="33F9419C"/>
    <w:rsid w:val="33FD0C97"/>
    <w:rsid w:val="34046E69"/>
    <w:rsid w:val="340526B5"/>
    <w:rsid w:val="341375A0"/>
    <w:rsid w:val="3423143C"/>
    <w:rsid w:val="342C369D"/>
    <w:rsid w:val="342E427F"/>
    <w:rsid w:val="343838D2"/>
    <w:rsid w:val="343B6733"/>
    <w:rsid w:val="34430960"/>
    <w:rsid w:val="344A37A2"/>
    <w:rsid w:val="344B0981"/>
    <w:rsid w:val="344E1DF2"/>
    <w:rsid w:val="34565133"/>
    <w:rsid w:val="345B33AF"/>
    <w:rsid w:val="34660611"/>
    <w:rsid w:val="347327B9"/>
    <w:rsid w:val="34734A0C"/>
    <w:rsid w:val="3475460B"/>
    <w:rsid w:val="34774148"/>
    <w:rsid w:val="34782459"/>
    <w:rsid w:val="347B2621"/>
    <w:rsid w:val="347E0F64"/>
    <w:rsid w:val="348070E2"/>
    <w:rsid w:val="34826C70"/>
    <w:rsid w:val="3485116E"/>
    <w:rsid w:val="34862BBB"/>
    <w:rsid w:val="34992951"/>
    <w:rsid w:val="349D2529"/>
    <w:rsid w:val="34A453B5"/>
    <w:rsid w:val="34AE0A15"/>
    <w:rsid w:val="34B02DAC"/>
    <w:rsid w:val="34B122CB"/>
    <w:rsid w:val="34BB1E7B"/>
    <w:rsid w:val="34C56961"/>
    <w:rsid w:val="34C82195"/>
    <w:rsid w:val="34CB75C7"/>
    <w:rsid w:val="34D03392"/>
    <w:rsid w:val="34D25125"/>
    <w:rsid w:val="34D4413B"/>
    <w:rsid w:val="34D72719"/>
    <w:rsid w:val="34D763B1"/>
    <w:rsid w:val="34DB0D1F"/>
    <w:rsid w:val="34DF1E9B"/>
    <w:rsid w:val="34E15A43"/>
    <w:rsid w:val="34E33E5A"/>
    <w:rsid w:val="34E43E05"/>
    <w:rsid w:val="34EF615B"/>
    <w:rsid w:val="34F66837"/>
    <w:rsid w:val="34F77D82"/>
    <w:rsid w:val="35061A99"/>
    <w:rsid w:val="35067BB9"/>
    <w:rsid w:val="350D0108"/>
    <w:rsid w:val="350F6A9B"/>
    <w:rsid w:val="35121317"/>
    <w:rsid w:val="351247C5"/>
    <w:rsid w:val="35166E3A"/>
    <w:rsid w:val="351C15B4"/>
    <w:rsid w:val="351E5285"/>
    <w:rsid w:val="352154A3"/>
    <w:rsid w:val="352640B9"/>
    <w:rsid w:val="352772BF"/>
    <w:rsid w:val="35295E27"/>
    <w:rsid w:val="352A0883"/>
    <w:rsid w:val="352B601F"/>
    <w:rsid w:val="353225C6"/>
    <w:rsid w:val="35386636"/>
    <w:rsid w:val="3549334A"/>
    <w:rsid w:val="354953D9"/>
    <w:rsid w:val="354A0F55"/>
    <w:rsid w:val="354C7172"/>
    <w:rsid w:val="354E3F3E"/>
    <w:rsid w:val="35540FBC"/>
    <w:rsid w:val="35541C5A"/>
    <w:rsid w:val="35546F49"/>
    <w:rsid w:val="3559505A"/>
    <w:rsid w:val="35681DBF"/>
    <w:rsid w:val="356A06CD"/>
    <w:rsid w:val="356C71F7"/>
    <w:rsid w:val="356D6F9D"/>
    <w:rsid w:val="356F00C3"/>
    <w:rsid w:val="3570703F"/>
    <w:rsid w:val="35733A3C"/>
    <w:rsid w:val="357D5D1F"/>
    <w:rsid w:val="358200C9"/>
    <w:rsid w:val="35873AB8"/>
    <w:rsid w:val="35881BC1"/>
    <w:rsid w:val="358D55D8"/>
    <w:rsid w:val="358D74A7"/>
    <w:rsid w:val="35915770"/>
    <w:rsid w:val="35921BAF"/>
    <w:rsid w:val="35925CC0"/>
    <w:rsid w:val="359F15F2"/>
    <w:rsid w:val="35A24C16"/>
    <w:rsid w:val="35AE13BD"/>
    <w:rsid w:val="35AE773D"/>
    <w:rsid w:val="35B21F27"/>
    <w:rsid w:val="35BA721E"/>
    <w:rsid w:val="35BF753A"/>
    <w:rsid w:val="35CC56B2"/>
    <w:rsid w:val="35CE4F37"/>
    <w:rsid w:val="35D8780F"/>
    <w:rsid w:val="35DC1D21"/>
    <w:rsid w:val="35DE7B0B"/>
    <w:rsid w:val="35DF52A2"/>
    <w:rsid w:val="35DF6792"/>
    <w:rsid w:val="35E11256"/>
    <w:rsid w:val="35E311FD"/>
    <w:rsid w:val="35E31D01"/>
    <w:rsid w:val="35E41DE4"/>
    <w:rsid w:val="35E434B6"/>
    <w:rsid w:val="35E900C9"/>
    <w:rsid w:val="35F2781E"/>
    <w:rsid w:val="35F807C3"/>
    <w:rsid w:val="35F83599"/>
    <w:rsid w:val="35F9034E"/>
    <w:rsid w:val="35FB0B4E"/>
    <w:rsid w:val="35FE4580"/>
    <w:rsid w:val="36006743"/>
    <w:rsid w:val="36074246"/>
    <w:rsid w:val="36085232"/>
    <w:rsid w:val="360B25AA"/>
    <w:rsid w:val="36173F07"/>
    <w:rsid w:val="361B40AD"/>
    <w:rsid w:val="361F29DA"/>
    <w:rsid w:val="362A21E9"/>
    <w:rsid w:val="362E4AFE"/>
    <w:rsid w:val="36304B9F"/>
    <w:rsid w:val="36334998"/>
    <w:rsid w:val="36366ADC"/>
    <w:rsid w:val="36381D85"/>
    <w:rsid w:val="363B2CDE"/>
    <w:rsid w:val="3640049A"/>
    <w:rsid w:val="364968F7"/>
    <w:rsid w:val="364F07A2"/>
    <w:rsid w:val="36532F26"/>
    <w:rsid w:val="365427BD"/>
    <w:rsid w:val="36581FF2"/>
    <w:rsid w:val="36617B89"/>
    <w:rsid w:val="36643AD4"/>
    <w:rsid w:val="36644B96"/>
    <w:rsid w:val="36657FCF"/>
    <w:rsid w:val="36763CBD"/>
    <w:rsid w:val="367D39C1"/>
    <w:rsid w:val="36830A60"/>
    <w:rsid w:val="36854599"/>
    <w:rsid w:val="36865CDA"/>
    <w:rsid w:val="3686617C"/>
    <w:rsid w:val="36873BAC"/>
    <w:rsid w:val="368C08B7"/>
    <w:rsid w:val="36924958"/>
    <w:rsid w:val="36991B41"/>
    <w:rsid w:val="369B16D6"/>
    <w:rsid w:val="369D6F18"/>
    <w:rsid w:val="369F59E2"/>
    <w:rsid w:val="36A21741"/>
    <w:rsid w:val="36A31B5B"/>
    <w:rsid w:val="36AC3EBC"/>
    <w:rsid w:val="36AD1DE0"/>
    <w:rsid w:val="36B101C4"/>
    <w:rsid w:val="36B32A36"/>
    <w:rsid w:val="36B826F1"/>
    <w:rsid w:val="36BC68BF"/>
    <w:rsid w:val="36C25212"/>
    <w:rsid w:val="36CD56F9"/>
    <w:rsid w:val="36CF4703"/>
    <w:rsid w:val="36D14E3D"/>
    <w:rsid w:val="36D175D4"/>
    <w:rsid w:val="36DE0D50"/>
    <w:rsid w:val="36E26C99"/>
    <w:rsid w:val="36E533A4"/>
    <w:rsid w:val="36E575E1"/>
    <w:rsid w:val="36E63933"/>
    <w:rsid w:val="36EA3035"/>
    <w:rsid w:val="36EC173A"/>
    <w:rsid w:val="36FA466C"/>
    <w:rsid w:val="37026D81"/>
    <w:rsid w:val="371443D4"/>
    <w:rsid w:val="37166C3A"/>
    <w:rsid w:val="371B3526"/>
    <w:rsid w:val="371E522F"/>
    <w:rsid w:val="37206767"/>
    <w:rsid w:val="372513F3"/>
    <w:rsid w:val="37285FEC"/>
    <w:rsid w:val="37305D1F"/>
    <w:rsid w:val="373F126C"/>
    <w:rsid w:val="37400093"/>
    <w:rsid w:val="37402A6D"/>
    <w:rsid w:val="374A1FC0"/>
    <w:rsid w:val="3757450C"/>
    <w:rsid w:val="375B1557"/>
    <w:rsid w:val="375F6CBD"/>
    <w:rsid w:val="37610B5A"/>
    <w:rsid w:val="37651E38"/>
    <w:rsid w:val="37695016"/>
    <w:rsid w:val="376B5A96"/>
    <w:rsid w:val="376C6DA2"/>
    <w:rsid w:val="37756591"/>
    <w:rsid w:val="37793E31"/>
    <w:rsid w:val="37795241"/>
    <w:rsid w:val="37845600"/>
    <w:rsid w:val="37882034"/>
    <w:rsid w:val="378C255B"/>
    <w:rsid w:val="37944D80"/>
    <w:rsid w:val="37970B94"/>
    <w:rsid w:val="37A02EC8"/>
    <w:rsid w:val="37A40AEF"/>
    <w:rsid w:val="37B1584B"/>
    <w:rsid w:val="37B63E61"/>
    <w:rsid w:val="37B7316D"/>
    <w:rsid w:val="37B81102"/>
    <w:rsid w:val="37BD4CBF"/>
    <w:rsid w:val="37C81BFA"/>
    <w:rsid w:val="37D90435"/>
    <w:rsid w:val="37DC018B"/>
    <w:rsid w:val="37E17560"/>
    <w:rsid w:val="37E22B1A"/>
    <w:rsid w:val="37E76B7F"/>
    <w:rsid w:val="37EF401E"/>
    <w:rsid w:val="37F225D4"/>
    <w:rsid w:val="37F31167"/>
    <w:rsid w:val="37FE007A"/>
    <w:rsid w:val="380008A3"/>
    <w:rsid w:val="380F5EC1"/>
    <w:rsid w:val="38105CDB"/>
    <w:rsid w:val="38121939"/>
    <w:rsid w:val="381651A4"/>
    <w:rsid w:val="38290536"/>
    <w:rsid w:val="3829101F"/>
    <w:rsid w:val="382C078B"/>
    <w:rsid w:val="382C3443"/>
    <w:rsid w:val="383B0C89"/>
    <w:rsid w:val="38433BDD"/>
    <w:rsid w:val="384416EC"/>
    <w:rsid w:val="38447388"/>
    <w:rsid w:val="38461B9C"/>
    <w:rsid w:val="38510EFC"/>
    <w:rsid w:val="38526A63"/>
    <w:rsid w:val="38537E39"/>
    <w:rsid w:val="38571176"/>
    <w:rsid w:val="38626CC8"/>
    <w:rsid w:val="386B30DE"/>
    <w:rsid w:val="386B5DC1"/>
    <w:rsid w:val="386C0A07"/>
    <w:rsid w:val="386D44AC"/>
    <w:rsid w:val="386F6210"/>
    <w:rsid w:val="387B5C92"/>
    <w:rsid w:val="38861A05"/>
    <w:rsid w:val="38876F62"/>
    <w:rsid w:val="3896584D"/>
    <w:rsid w:val="389B574B"/>
    <w:rsid w:val="38A11EC5"/>
    <w:rsid w:val="38AC48C5"/>
    <w:rsid w:val="38AD679B"/>
    <w:rsid w:val="38AE35DE"/>
    <w:rsid w:val="38BB416B"/>
    <w:rsid w:val="38BF21D1"/>
    <w:rsid w:val="38C10471"/>
    <w:rsid w:val="38C355AA"/>
    <w:rsid w:val="38C52E3D"/>
    <w:rsid w:val="38C83FF0"/>
    <w:rsid w:val="38C86D04"/>
    <w:rsid w:val="38C96CF2"/>
    <w:rsid w:val="38CA7D80"/>
    <w:rsid w:val="38CE7EB7"/>
    <w:rsid w:val="38D458F8"/>
    <w:rsid w:val="38D86DE0"/>
    <w:rsid w:val="38DD6256"/>
    <w:rsid w:val="38E02743"/>
    <w:rsid w:val="38E37BAE"/>
    <w:rsid w:val="38EB0A32"/>
    <w:rsid w:val="38EC2D49"/>
    <w:rsid w:val="38ED0B23"/>
    <w:rsid w:val="39044A5A"/>
    <w:rsid w:val="390507B1"/>
    <w:rsid w:val="390C02B1"/>
    <w:rsid w:val="390D08D5"/>
    <w:rsid w:val="3910792C"/>
    <w:rsid w:val="39151602"/>
    <w:rsid w:val="391F701A"/>
    <w:rsid w:val="392745D5"/>
    <w:rsid w:val="39294CFB"/>
    <w:rsid w:val="392B02BB"/>
    <w:rsid w:val="392C13EC"/>
    <w:rsid w:val="392C282A"/>
    <w:rsid w:val="3931698D"/>
    <w:rsid w:val="39341331"/>
    <w:rsid w:val="39364D27"/>
    <w:rsid w:val="39386492"/>
    <w:rsid w:val="393C2422"/>
    <w:rsid w:val="39431B8C"/>
    <w:rsid w:val="39456F8E"/>
    <w:rsid w:val="39576949"/>
    <w:rsid w:val="39577187"/>
    <w:rsid w:val="395A5F0C"/>
    <w:rsid w:val="395B7590"/>
    <w:rsid w:val="395D4130"/>
    <w:rsid w:val="39616936"/>
    <w:rsid w:val="396A1777"/>
    <w:rsid w:val="396B02C6"/>
    <w:rsid w:val="396C236B"/>
    <w:rsid w:val="39767495"/>
    <w:rsid w:val="39834494"/>
    <w:rsid w:val="398438FF"/>
    <w:rsid w:val="398B526D"/>
    <w:rsid w:val="399177A1"/>
    <w:rsid w:val="399D1C66"/>
    <w:rsid w:val="399F1DFF"/>
    <w:rsid w:val="39A63306"/>
    <w:rsid w:val="39A95B5A"/>
    <w:rsid w:val="39AF73BC"/>
    <w:rsid w:val="39B36809"/>
    <w:rsid w:val="39B53102"/>
    <w:rsid w:val="39B54BDB"/>
    <w:rsid w:val="39B81FED"/>
    <w:rsid w:val="39B96D07"/>
    <w:rsid w:val="39BA12CE"/>
    <w:rsid w:val="39BB4CB5"/>
    <w:rsid w:val="39C41C14"/>
    <w:rsid w:val="39C80A8D"/>
    <w:rsid w:val="39C938CA"/>
    <w:rsid w:val="39CF096F"/>
    <w:rsid w:val="39CF0EB9"/>
    <w:rsid w:val="39D05A14"/>
    <w:rsid w:val="39DB4CE6"/>
    <w:rsid w:val="39DE53C7"/>
    <w:rsid w:val="39DF4897"/>
    <w:rsid w:val="39E06224"/>
    <w:rsid w:val="39E61D6F"/>
    <w:rsid w:val="39E91392"/>
    <w:rsid w:val="39F219A7"/>
    <w:rsid w:val="39F93242"/>
    <w:rsid w:val="39FC5137"/>
    <w:rsid w:val="39FE09F6"/>
    <w:rsid w:val="3A016D69"/>
    <w:rsid w:val="3A040B3D"/>
    <w:rsid w:val="3A0D1AF2"/>
    <w:rsid w:val="3A0D7A02"/>
    <w:rsid w:val="3A11456C"/>
    <w:rsid w:val="3A143E05"/>
    <w:rsid w:val="3A152706"/>
    <w:rsid w:val="3A203C52"/>
    <w:rsid w:val="3A206220"/>
    <w:rsid w:val="3A2E2E7A"/>
    <w:rsid w:val="3A3B4787"/>
    <w:rsid w:val="3A3C1552"/>
    <w:rsid w:val="3A3C2311"/>
    <w:rsid w:val="3A412B35"/>
    <w:rsid w:val="3A474EE5"/>
    <w:rsid w:val="3A486B9E"/>
    <w:rsid w:val="3A5055E8"/>
    <w:rsid w:val="3A53517D"/>
    <w:rsid w:val="3A536E79"/>
    <w:rsid w:val="3A6125AC"/>
    <w:rsid w:val="3A65416C"/>
    <w:rsid w:val="3A6B0562"/>
    <w:rsid w:val="3A6D5F4A"/>
    <w:rsid w:val="3A6F2444"/>
    <w:rsid w:val="3A7201A6"/>
    <w:rsid w:val="3A7C65B9"/>
    <w:rsid w:val="3A7E4F3F"/>
    <w:rsid w:val="3A8A6E53"/>
    <w:rsid w:val="3A8F045E"/>
    <w:rsid w:val="3A8F4182"/>
    <w:rsid w:val="3A9E3028"/>
    <w:rsid w:val="3A9E3EE3"/>
    <w:rsid w:val="3A9F49DB"/>
    <w:rsid w:val="3AA564CE"/>
    <w:rsid w:val="3AAA2401"/>
    <w:rsid w:val="3AAA2A55"/>
    <w:rsid w:val="3AAA2E69"/>
    <w:rsid w:val="3AAA6116"/>
    <w:rsid w:val="3AAE2550"/>
    <w:rsid w:val="3AB20CDA"/>
    <w:rsid w:val="3AB75361"/>
    <w:rsid w:val="3ABA2FDA"/>
    <w:rsid w:val="3ABD3D8E"/>
    <w:rsid w:val="3ABF15A9"/>
    <w:rsid w:val="3AC5493D"/>
    <w:rsid w:val="3ACA3605"/>
    <w:rsid w:val="3ACB7EAD"/>
    <w:rsid w:val="3ACE223C"/>
    <w:rsid w:val="3AE1383E"/>
    <w:rsid w:val="3AE7587A"/>
    <w:rsid w:val="3AEF4E4A"/>
    <w:rsid w:val="3AF003CC"/>
    <w:rsid w:val="3AF64C7C"/>
    <w:rsid w:val="3AF831C5"/>
    <w:rsid w:val="3AFA0907"/>
    <w:rsid w:val="3AFB37EC"/>
    <w:rsid w:val="3B065D26"/>
    <w:rsid w:val="3B066961"/>
    <w:rsid w:val="3B0A287C"/>
    <w:rsid w:val="3B0C5F4D"/>
    <w:rsid w:val="3B111F91"/>
    <w:rsid w:val="3B1B2C63"/>
    <w:rsid w:val="3B2553D6"/>
    <w:rsid w:val="3B2D05F1"/>
    <w:rsid w:val="3B2D3BC0"/>
    <w:rsid w:val="3B2E592B"/>
    <w:rsid w:val="3B2E64C8"/>
    <w:rsid w:val="3B345814"/>
    <w:rsid w:val="3B370071"/>
    <w:rsid w:val="3B3A7141"/>
    <w:rsid w:val="3B3B461C"/>
    <w:rsid w:val="3B4D19D8"/>
    <w:rsid w:val="3B4E1BFE"/>
    <w:rsid w:val="3B4E4C98"/>
    <w:rsid w:val="3B5673AB"/>
    <w:rsid w:val="3B570CE4"/>
    <w:rsid w:val="3B6829F3"/>
    <w:rsid w:val="3B75292C"/>
    <w:rsid w:val="3B752F12"/>
    <w:rsid w:val="3B7A6DF8"/>
    <w:rsid w:val="3B7C0F27"/>
    <w:rsid w:val="3B7D0D01"/>
    <w:rsid w:val="3B831405"/>
    <w:rsid w:val="3B834513"/>
    <w:rsid w:val="3B85331D"/>
    <w:rsid w:val="3B867795"/>
    <w:rsid w:val="3B945F10"/>
    <w:rsid w:val="3B954359"/>
    <w:rsid w:val="3B9D7836"/>
    <w:rsid w:val="3BA00D9D"/>
    <w:rsid w:val="3BA126CE"/>
    <w:rsid w:val="3BA55C6D"/>
    <w:rsid w:val="3BAA3708"/>
    <w:rsid w:val="3BAE6DA7"/>
    <w:rsid w:val="3BB425EE"/>
    <w:rsid w:val="3BB91F30"/>
    <w:rsid w:val="3BBB26F7"/>
    <w:rsid w:val="3BBC1AA9"/>
    <w:rsid w:val="3BBE184E"/>
    <w:rsid w:val="3BC075C0"/>
    <w:rsid w:val="3BE56F8F"/>
    <w:rsid w:val="3BF078EE"/>
    <w:rsid w:val="3BF46798"/>
    <w:rsid w:val="3BF92556"/>
    <w:rsid w:val="3BFA4CB3"/>
    <w:rsid w:val="3C047C0D"/>
    <w:rsid w:val="3C0D13E4"/>
    <w:rsid w:val="3C0E353E"/>
    <w:rsid w:val="3C0E5A8B"/>
    <w:rsid w:val="3C0F399B"/>
    <w:rsid w:val="3C11184D"/>
    <w:rsid w:val="3C222173"/>
    <w:rsid w:val="3C2441B6"/>
    <w:rsid w:val="3C274289"/>
    <w:rsid w:val="3C294317"/>
    <w:rsid w:val="3C2C2A11"/>
    <w:rsid w:val="3C2E2341"/>
    <w:rsid w:val="3C2F1664"/>
    <w:rsid w:val="3C3A5AE6"/>
    <w:rsid w:val="3C3B6EBC"/>
    <w:rsid w:val="3C4064C6"/>
    <w:rsid w:val="3C4601D0"/>
    <w:rsid w:val="3C517DF7"/>
    <w:rsid w:val="3C645DC6"/>
    <w:rsid w:val="3C657FF0"/>
    <w:rsid w:val="3C661F89"/>
    <w:rsid w:val="3C671A65"/>
    <w:rsid w:val="3C6B43BE"/>
    <w:rsid w:val="3C6C4F92"/>
    <w:rsid w:val="3C6F268E"/>
    <w:rsid w:val="3C736168"/>
    <w:rsid w:val="3C743EA8"/>
    <w:rsid w:val="3C767DA6"/>
    <w:rsid w:val="3C785350"/>
    <w:rsid w:val="3C7C1533"/>
    <w:rsid w:val="3C800970"/>
    <w:rsid w:val="3C827330"/>
    <w:rsid w:val="3C834B9E"/>
    <w:rsid w:val="3C860DF9"/>
    <w:rsid w:val="3C887370"/>
    <w:rsid w:val="3C895F96"/>
    <w:rsid w:val="3C8C008A"/>
    <w:rsid w:val="3C8C293A"/>
    <w:rsid w:val="3C8D0D8A"/>
    <w:rsid w:val="3C8E1CB2"/>
    <w:rsid w:val="3C927DC2"/>
    <w:rsid w:val="3C9655FA"/>
    <w:rsid w:val="3C9F3C5A"/>
    <w:rsid w:val="3CA05E3F"/>
    <w:rsid w:val="3CA104CB"/>
    <w:rsid w:val="3CB14071"/>
    <w:rsid w:val="3CB96322"/>
    <w:rsid w:val="3CBD03CA"/>
    <w:rsid w:val="3CC15C9B"/>
    <w:rsid w:val="3CC53809"/>
    <w:rsid w:val="3CC61E8C"/>
    <w:rsid w:val="3CC904A8"/>
    <w:rsid w:val="3CCF16E6"/>
    <w:rsid w:val="3CD655AD"/>
    <w:rsid w:val="3CDD0059"/>
    <w:rsid w:val="3CE01F7E"/>
    <w:rsid w:val="3CE62B39"/>
    <w:rsid w:val="3CF015B5"/>
    <w:rsid w:val="3CF1111D"/>
    <w:rsid w:val="3CF138CB"/>
    <w:rsid w:val="3CF371EE"/>
    <w:rsid w:val="3CFE449C"/>
    <w:rsid w:val="3CFF4796"/>
    <w:rsid w:val="3CFF66B2"/>
    <w:rsid w:val="3D0774FE"/>
    <w:rsid w:val="3D096893"/>
    <w:rsid w:val="3D0F0E62"/>
    <w:rsid w:val="3D137575"/>
    <w:rsid w:val="3D154570"/>
    <w:rsid w:val="3D164912"/>
    <w:rsid w:val="3D1B14CB"/>
    <w:rsid w:val="3D1D4DA6"/>
    <w:rsid w:val="3D1F6473"/>
    <w:rsid w:val="3D2743BF"/>
    <w:rsid w:val="3D2B2317"/>
    <w:rsid w:val="3D3B1276"/>
    <w:rsid w:val="3D3B262F"/>
    <w:rsid w:val="3D41616A"/>
    <w:rsid w:val="3D464ADF"/>
    <w:rsid w:val="3D490E8C"/>
    <w:rsid w:val="3D4B66C7"/>
    <w:rsid w:val="3D562006"/>
    <w:rsid w:val="3D6A1B31"/>
    <w:rsid w:val="3D760DBA"/>
    <w:rsid w:val="3D81493E"/>
    <w:rsid w:val="3D822ECA"/>
    <w:rsid w:val="3D831E37"/>
    <w:rsid w:val="3D8E5B39"/>
    <w:rsid w:val="3D90446B"/>
    <w:rsid w:val="3D924268"/>
    <w:rsid w:val="3D960C48"/>
    <w:rsid w:val="3D9864A7"/>
    <w:rsid w:val="3D9A20BD"/>
    <w:rsid w:val="3DA33106"/>
    <w:rsid w:val="3DA63AA0"/>
    <w:rsid w:val="3DA74D36"/>
    <w:rsid w:val="3DA81F07"/>
    <w:rsid w:val="3DA948D7"/>
    <w:rsid w:val="3DB11E3E"/>
    <w:rsid w:val="3DB44B31"/>
    <w:rsid w:val="3DBA398D"/>
    <w:rsid w:val="3DC70113"/>
    <w:rsid w:val="3DCA59B2"/>
    <w:rsid w:val="3DCB2960"/>
    <w:rsid w:val="3DCD0EEF"/>
    <w:rsid w:val="3DCE46CE"/>
    <w:rsid w:val="3DD23BEF"/>
    <w:rsid w:val="3DD84322"/>
    <w:rsid w:val="3DE03DE1"/>
    <w:rsid w:val="3DE42D75"/>
    <w:rsid w:val="3DEA024F"/>
    <w:rsid w:val="3DF15B9E"/>
    <w:rsid w:val="3DF2697E"/>
    <w:rsid w:val="3DF45B36"/>
    <w:rsid w:val="3DF5116A"/>
    <w:rsid w:val="3DFA79FE"/>
    <w:rsid w:val="3E0125BF"/>
    <w:rsid w:val="3E034139"/>
    <w:rsid w:val="3E0A0243"/>
    <w:rsid w:val="3E0E4DDC"/>
    <w:rsid w:val="3E1147F0"/>
    <w:rsid w:val="3E121759"/>
    <w:rsid w:val="3E140B23"/>
    <w:rsid w:val="3E21103E"/>
    <w:rsid w:val="3E273595"/>
    <w:rsid w:val="3E343E42"/>
    <w:rsid w:val="3E386B6E"/>
    <w:rsid w:val="3E38727E"/>
    <w:rsid w:val="3E3A3BCF"/>
    <w:rsid w:val="3E441B16"/>
    <w:rsid w:val="3E4473C6"/>
    <w:rsid w:val="3E4F444D"/>
    <w:rsid w:val="3E58343E"/>
    <w:rsid w:val="3E5D0455"/>
    <w:rsid w:val="3E634BA8"/>
    <w:rsid w:val="3E6C3854"/>
    <w:rsid w:val="3E6E3E2D"/>
    <w:rsid w:val="3E770DC2"/>
    <w:rsid w:val="3E7A1D2B"/>
    <w:rsid w:val="3E7B2C6B"/>
    <w:rsid w:val="3E7D3F55"/>
    <w:rsid w:val="3E7E178B"/>
    <w:rsid w:val="3E820EEC"/>
    <w:rsid w:val="3E84445A"/>
    <w:rsid w:val="3E87553C"/>
    <w:rsid w:val="3E8D79F8"/>
    <w:rsid w:val="3E907666"/>
    <w:rsid w:val="3E9358D5"/>
    <w:rsid w:val="3E962A3C"/>
    <w:rsid w:val="3E9E31CD"/>
    <w:rsid w:val="3E9E4D17"/>
    <w:rsid w:val="3EBA1196"/>
    <w:rsid w:val="3EBB2EB1"/>
    <w:rsid w:val="3EC03908"/>
    <w:rsid w:val="3EC249F9"/>
    <w:rsid w:val="3EC865DC"/>
    <w:rsid w:val="3EC92999"/>
    <w:rsid w:val="3ECA1FF9"/>
    <w:rsid w:val="3EDC6382"/>
    <w:rsid w:val="3EEB052C"/>
    <w:rsid w:val="3EEF6989"/>
    <w:rsid w:val="3EF57293"/>
    <w:rsid w:val="3EF60F41"/>
    <w:rsid w:val="3F017F8A"/>
    <w:rsid w:val="3F072978"/>
    <w:rsid w:val="3F187707"/>
    <w:rsid w:val="3F1D5E18"/>
    <w:rsid w:val="3F1E26A7"/>
    <w:rsid w:val="3F231E9F"/>
    <w:rsid w:val="3F2D4041"/>
    <w:rsid w:val="3F33337A"/>
    <w:rsid w:val="3F396F56"/>
    <w:rsid w:val="3F3A49D1"/>
    <w:rsid w:val="3F3B1F4F"/>
    <w:rsid w:val="3F3C4649"/>
    <w:rsid w:val="3F3C7DE0"/>
    <w:rsid w:val="3F46349C"/>
    <w:rsid w:val="3F4E60CF"/>
    <w:rsid w:val="3F4F6836"/>
    <w:rsid w:val="3F5B1D1E"/>
    <w:rsid w:val="3F5E38E4"/>
    <w:rsid w:val="3F5E636D"/>
    <w:rsid w:val="3F635E9E"/>
    <w:rsid w:val="3F6544F0"/>
    <w:rsid w:val="3F664888"/>
    <w:rsid w:val="3F706DDD"/>
    <w:rsid w:val="3F7E4CEE"/>
    <w:rsid w:val="3F7F5BAB"/>
    <w:rsid w:val="3F806F52"/>
    <w:rsid w:val="3F8643DE"/>
    <w:rsid w:val="3F8C422C"/>
    <w:rsid w:val="3F8F07D0"/>
    <w:rsid w:val="3F906F2B"/>
    <w:rsid w:val="3F914B4C"/>
    <w:rsid w:val="3F996EF8"/>
    <w:rsid w:val="3FAC2959"/>
    <w:rsid w:val="3FAF485D"/>
    <w:rsid w:val="3FB1517B"/>
    <w:rsid w:val="3FBA7699"/>
    <w:rsid w:val="3FBD419A"/>
    <w:rsid w:val="3FBD4DD9"/>
    <w:rsid w:val="3FCA0999"/>
    <w:rsid w:val="3FCA37A3"/>
    <w:rsid w:val="3FD15E98"/>
    <w:rsid w:val="3FD258D7"/>
    <w:rsid w:val="3FD53A0B"/>
    <w:rsid w:val="3FD63CE2"/>
    <w:rsid w:val="3FDC15B5"/>
    <w:rsid w:val="3FE22BCE"/>
    <w:rsid w:val="3FEA1E74"/>
    <w:rsid w:val="3FEA4055"/>
    <w:rsid w:val="3FF13812"/>
    <w:rsid w:val="3FF77D02"/>
    <w:rsid w:val="3FF77D2C"/>
    <w:rsid w:val="3FF96230"/>
    <w:rsid w:val="3FFB7D65"/>
    <w:rsid w:val="4002719C"/>
    <w:rsid w:val="400E605C"/>
    <w:rsid w:val="40124602"/>
    <w:rsid w:val="401340C3"/>
    <w:rsid w:val="40140D7C"/>
    <w:rsid w:val="401531D7"/>
    <w:rsid w:val="401665E6"/>
    <w:rsid w:val="40172BA0"/>
    <w:rsid w:val="402661E4"/>
    <w:rsid w:val="40295C25"/>
    <w:rsid w:val="402B014D"/>
    <w:rsid w:val="40414A80"/>
    <w:rsid w:val="4045442C"/>
    <w:rsid w:val="40477D91"/>
    <w:rsid w:val="4049772B"/>
    <w:rsid w:val="404A30EA"/>
    <w:rsid w:val="40535C13"/>
    <w:rsid w:val="40547796"/>
    <w:rsid w:val="406011E1"/>
    <w:rsid w:val="40655EA2"/>
    <w:rsid w:val="406C194A"/>
    <w:rsid w:val="4073079B"/>
    <w:rsid w:val="40772C5C"/>
    <w:rsid w:val="40797AC9"/>
    <w:rsid w:val="40853139"/>
    <w:rsid w:val="40867291"/>
    <w:rsid w:val="40893D86"/>
    <w:rsid w:val="408C7AAF"/>
    <w:rsid w:val="40922089"/>
    <w:rsid w:val="409809E7"/>
    <w:rsid w:val="409C0254"/>
    <w:rsid w:val="40B01879"/>
    <w:rsid w:val="40B46FB0"/>
    <w:rsid w:val="40B60038"/>
    <w:rsid w:val="40BA44E5"/>
    <w:rsid w:val="40D40F2D"/>
    <w:rsid w:val="40D4444D"/>
    <w:rsid w:val="40D83289"/>
    <w:rsid w:val="40E16687"/>
    <w:rsid w:val="40E53625"/>
    <w:rsid w:val="40EB2795"/>
    <w:rsid w:val="40EC3054"/>
    <w:rsid w:val="40ED1EE8"/>
    <w:rsid w:val="40EF2472"/>
    <w:rsid w:val="40F43CAD"/>
    <w:rsid w:val="40F677BC"/>
    <w:rsid w:val="41076015"/>
    <w:rsid w:val="410B0729"/>
    <w:rsid w:val="410D2AEC"/>
    <w:rsid w:val="410D4291"/>
    <w:rsid w:val="411A5509"/>
    <w:rsid w:val="411B0212"/>
    <w:rsid w:val="411C377C"/>
    <w:rsid w:val="411C62FC"/>
    <w:rsid w:val="41213F6D"/>
    <w:rsid w:val="4125112D"/>
    <w:rsid w:val="412C6A12"/>
    <w:rsid w:val="412E4849"/>
    <w:rsid w:val="41320FF8"/>
    <w:rsid w:val="41395578"/>
    <w:rsid w:val="413B32C1"/>
    <w:rsid w:val="41411DB9"/>
    <w:rsid w:val="41427591"/>
    <w:rsid w:val="41490DDA"/>
    <w:rsid w:val="41493B90"/>
    <w:rsid w:val="414B088B"/>
    <w:rsid w:val="414C5505"/>
    <w:rsid w:val="415E02D0"/>
    <w:rsid w:val="415F5DDD"/>
    <w:rsid w:val="416275BE"/>
    <w:rsid w:val="41685710"/>
    <w:rsid w:val="41755E76"/>
    <w:rsid w:val="417879C3"/>
    <w:rsid w:val="417F4792"/>
    <w:rsid w:val="418C4B15"/>
    <w:rsid w:val="418D49FE"/>
    <w:rsid w:val="419148E6"/>
    <w:rsid w:val="41AC3202"/>
    <w:rsid w:val="41AE1CB5"/>
    <w:rsid w:val="41B07729"/>
    <w:rsid w:val="41B36C44"/>
    <w:rsid w:val="41B81EDF"/>
    <w:rsid w:val="41B83F03"/>
    <w:rsid w:val="41C05F42"/>
    <w:rsid w:val="41C30648"/>
    <w:rsid w:val="41C43E6C"/>
    <w:rsid w:val="41C71076"/>
    <w:rsid w:val="41C9241A"/>
    <w:rsid w:val="41CC4D9B"/>
    <w:rsid w:val="41CF2491"/>
    <w:rsid w:val="41D40CE2"/>
    <w:rsid w:val="41D91A59"/>
    <w:rsid w:val="41D935C1"/>
    <w:rsid w:val="41E77BF5"/>
    <w:rsid w:val="41F61516"/>
    <w:rsid w:val="41F72FDC"/>
    <w:rsid w:val="41FC0454"/>
    <w:rsid w:val="41FE1C88"/>
    <w:rsid w:val="4201219D"/>
    <w:rsid w:val="420211AD"/>
    <w:rsid w:val="4203444F"/>
    <w:rsid w:val="42092259"/>
    <w:rsid w:val="42093287"/>
    <w:rsid w:val="420C77A9"/>
    <w:rsid w:val="420E3125"/>
    <w:rsid w:val="420F6DFD"/>
    <w:rsid w:val="42147D6E"/>
    <w:rsid w:val="421A2497"/>
    <w:rsid w:val="421F7186"/>
    <w:rsid w:val="42233E63"/>
    <w:rsid w:val="42251300"/>
    <w:rsid w:val="4227444D"/>
    <w:rsid w:val="42277EB2"/>
    <w:rsid w:val="4232345B"/>
    <w:rsid w:val="42357DC7"/>
    <w:rsid w:val="423B4F4B"/>
    <w:rsid w:val="423B6E95"/>
    <w:rsid w:val="423C2495"/>
    <w:rsid w:val="423E69D7"/>
    <w:rsid w:val="42451AAC"/>
    <w:rsid w:val="42456560"/>
    <w:rsid w:val="42467EAF"/>
    <w:rsid w:val="424A7EFD"/>
    <w:rsid w:val="424B24A9"/>
    <w:rsid w:val="424C38D8"/>
    <w:rsid w:val="425210D4"/>
    <w:rsid w:val="42530267"/>
    <w:rsid w:val="425E70F3"/>
    <w:rsid w:val="426F4AAD"/>
    <w:rsid w:val="427730C7"/>
    <w:rsid w:val="427752E1"/>
    <w:rsid w:val="4278783A"/>
    <w:rsid w:val="427B1071"/>
    <w:rsid w:val="42A317AB"/>
    <w:rsid w:val="42A86B39"/>
    <w:rsid w:val="42AA0A51"/>
    <w:rsid w:val="42B51FA7"/>
    <w:rsid w:val="42B95AB6"/>
    <w:rsid w:val="42BA228C"/>
    <w:rsid w:val="42BA48A5"/>
    <w:rsid w:val="42BB47D3"/>
    <w:rsid w:val="42BB6928"/>
    <w:rsid w:val="42BF4034"/>
    <w:rsid w:val="42BF5F20"/>
    <w:rsid w:val="42BF7F14"/>
    <w:rsid w:val="42C67F37"/>
    <w:rsid w:val="42CD34F7"/>
    <w:rsid w:val="42CD70C2"/>
    <w:rsid w:val="42D05B7F"/>
    <w:rsid w:val="42D640CA"/>
    <w:rsid w:val="42D97C30"/>
    <w:rsid w:val="42DA5077"/>
    <w:rsid w:val="42E11BF5"/>
    <w:rsid w:val="42E269EB"/>
    <w:rsid w:val="42E321A9"/>
    <w:rsid w:val="42E554E0"/>
    <w:rsid w:val="42E97466"/>
    <w:rsid w:val="42EB5AC1"/>
    <w:rsid w:val="42F51AFD"/>
    <w:rsid w:val="42F60492"/>
    <w:rsid w:val="42FD30CD"/>
    <w:rsid w:val="42FD5C09"/>
    <w:rsid w:val="42FE0E99"/>
    <w:rsid w:val="42FF223C"/>
    <w:rsid w:val="430232CA"/>
    <w:rsid w:val="4305314E"/>
    <w:rsid w:val="43107A85"/>
    <w:rsid w:val="431113F0"/>
    <w:rsid w:val="43161807"/>
    <w:rsid w:val="431D42A6"/>
    <w:rsid w:val="431E3B67"/>
    <w:rsid w:val="4322021F"/>
    <w:rsid w:val="432A67CF"/>
    <w:rsid w:val="432F268D"/>
    <w:rsid w:val="4330185F"/>
    <w:rsid w:val="433B3037"/>
    <w:rsid w:val="43414A3E"/>
    <w:rsid w:val="43465273"/>
    <w:rsid w:val="434B037E"/>
    <w:rsid w:val="434D1551"/>
    <w:rsid w:val="43541381"/>
    <w:rsid w:val="435D4C3C"/>
    <w:rsid w:val="436F74B5"/>
    <w:rsid w:val="43733939"/>
    <w:rsid w:val="4378523D"/>
    <w:rsid w:val="437B51FC"/>
    <w:rsid w:val="437E00E5"/>
    <w:rsid w:val="43821076"/>
    <w:rsid w:val="4387766A"/>
    <w:rsid w:val="438A7C4E"/>
    <w:rsid w:val="438C12E1"/>
    <w:rsid w:val="43916D8B"/>
    <w:rsid w:val="43973010"/>
    <w:rsid w:val="439A62FE"/>
    <w:rsid w:val="439B2F31"/>
    <w:rsid w:val="439C344C"/>
    <w:rsid w:val="43A22570"/>
    <w:rsid w:val="43A41B85"/>
    <w:rsid w:val="43B223EC"/>
    <w:rsid w:val="43B439EA"/>
    <w:rsid w:val="43BA0D53"/>
    <w:rsid w:val="43C6661D"/>
    <w:rsid w:val="43C7394C"/>
    <w:rsid w:val="43D0355E"/>
    <w:rsid w:val="43D35D51"/>
    <w:rsid w:val="43D817BA"/>
    <w:rsid w:val="43D83358"/>
    <w:rsid w:val="43D83C3A"/>
    <w:rsid w:val="43D85252"/>
    <w:rsid w:val="43D91A30"/>
    <w:rsid w:val="43D94062"/>
    <w:rsid w:val="43DB5251"/>
    <w:rsid w:val="43DB7CBB"/>
    <w:rsid w:val="43DE59AF"/>
    <w:rsid w:val="43E0178D"/>
    <w:rsid w:val="43ED2915"/>
    <w:rsid w:val="43F12F5E"/>
    <w:rsid w:val="43FC34AC"/>
    <w:rsid w:val="43FE4B31"/>
    <w:rsid w:val="440568F6"/>
    <w:rsid w:val="440D558D"/>
    <w:rsid w:val="440F5413"/>
    <w:rsid w:val="44144A0B"/>
    <w:rsid w:val="44165C5B"/>
    <w:rsid w:val="4418112F"/>
    <w:rsid w:val="44195384"/>
    <w:rsid w:val="441A188A"/>
    <w:rsid w:val="441B3F16"/>
    <w:rsid w:val="44202793"/>
    <w:rsid w:val="442120E8"/>
    <w:rsid w:val="44220D74"/>
    <w:rsid w:val="442615AD"/>
    <w:rsid w:val="44332EE6"/>
    <w:rsid w:val="44352C51"/>
    <w:rsid w:val="443732BE"/>
    <w:rsid w:val="4439521C"/>
    <w:rsid w:val="443E5762"/>
    <w:rsid w:val="444038ED"/>
    <w:rsid w:val="44434539"/>
    <w:rsid w:val="444A55C6"/>
    <w:rsid w:val="444B07AA"/>
    <w:rsid w:val="444B17F6"/>
    <w:rsid w:val="444E7618"/>
    <w:rsid w:val="4451621B"/>
    <w:rsid w:val="44521DB8"/>
    <w:rsid w:val="446138AA"/>
    <w:rsid w:val="44631AC5"/>
    <w:rsid w:val="446D40B0"/>
    <w:rsid w:val="447103B5"/>
    <w:rsid w:val="44763132"/>
    <w:rsid w:val="4477066C"/>
    <w:rsid w:val="447809C5"/>
    <w:rsid w:val="447B4624"/>
    <w:rsid w:val="447F2C95"/>
    <w:rsid w:val="44824D59"/>
    <w:rsid w:val="44852E04"/>
    <w:rsid w:val="44856B62"/>
    <w:rsid w:val="44867920"/>
    <w:rsid w:val="448B5149"/>
    <w:rsid w:val="4491056D"/>
    <w:rsid w:val="44965602"/>
    <w:rsid w:val="4499763B"/>
    <w:rsid w:val="449A15B7"/>
    <w:rsid w:val="449D4475"/>
    <w:rsid w:val="449F19A5"/>
    <w:rsid w:val="44A27DF1"/>
    <w:rsid w:val="44B13B3B"/>
    <w:rsid w:val="44B23CE9"/>
    <w:rsid w:val="44B7452D"/>
    <w:rsid w:val="44B87D9E"/>
    <w:rsid w:val="44BF150B"/>
    <w:rsid w:val="44C02DF5"/>
    <w:rsid w:val="44C1269C"/>
    <w:rsid w:val="44CD4B42"/>
    <w:rsid w:val="44CD5E7C"/>
    <w:rsid w:val="44D37918"/>
    <w:rsid w:val="44D86619"/>
    <w:rsid w:val="44D95FAA"/>
    <w:rsid w:val="44E74577"/>
    <w:rsid w:val="44EB6027"/>
    <w:rsid w:val="44F00E1D"/>
    <w:rsid w:val="44F144B3"/>
    <w:rsid w:val="44F16238"/>
    <w:rsid w:val="44FB51B5"/>
    <w:rsid w:val="44FB567A"/>
    <w:rsid w:val="45034D95"/>
    <w:rsid w:val="45036403"/>
    <w:rsid w:val="45072A8B"/>
    <w:rsid w:val="450878ED"/>
    <w:rsid w:val="450D2BA2"/>
    <w:rsid w:val="45126553"/>
    <w:rsid w:val="451C1F6F"/>
    <w:rsid w:val="45250B8B"/>
    <w:rsid w:val="45255F3F"/>
    <w:rsid w:val="45260D20"/>
    <w:rsid w:val="452D0433"/>
    <w:rsid w:val="452D5624"/>
    <w:rsid w:val="453051A4"/>
    <w:rsid w:val="45317D7C"/>
    <w:rsid w:val="453919CA"/>
    <w:rsid w:val="453A4373"/>
    <w:rsid w:val="453C0895"/>
    <w:rsid w:val="453E18D7"/>
    <w:rsid w:val="4544362E"/>
    <w:rsid w:val="454A6CBD"/>
    <w:rsid w:val="454D0C2C"/>
    <w:rsid w:val="454E7431"/>
    <w:rsid w:val="454F17BA"/>
    <w:rsid w:val="454F55AD"/>
    <w:rsid w:val="45563C08"/>
    <w:rsid w:val="45572080"/>
    <w:rsid w:val="4559275B"/>
    <w:rsid w:val="455C03E1"/>
    <w:rsid w:val="45614E39"/>
    <w:rsid w:val="45685E1B"/>
    <w:rsid w:val="456B4E25"/>
    <w:rsid w:val="45731BFF"/>
    <w:rsid w:val="457F73BB"/>
    <w:rsid w:val="45855290"/>
    <w:rsid w:val="45856A09"/>
    <w:rsid w:val="4587101B"/>
    <w:rsid w:val="458B2213"/>
    <w:rsid w:val="4595455C"/>
    <w:rsid w:val="45A46732"/>
    <w:rsid w:val="45A57BAB"/>
    <w:rsid w:val="45A731F4"/>
    <w:rsid w:val="45AD644C"/>
    <w:rsid w:val="45B0201C"/>
    <w:rsid w:val="45B2433A"/>
    <w:rsid w:val="45B7129A"/>
    <w:rsid w:val="45BF1EEC"/>
    <w:rsid w:val="45C30775"/>
    <w:rsid w:val="45CF283C"/>
    <w:rsid w:val="45D621FA"/>
    <w:rsid w:val="45EA57B3"/>
    <w:rsid w:val="45F7265C"/>
    <w:rsid w:val="45F926A5"/>
    <w:rsid w:val="45FA7EB6"/>
    <w:rsid w:val="46035131"/>
    <w:rsid w:val="460D54A1"/>
    <w:rsid w:val="461358D5"/>
    <w:rsid w:val="46175EB0"/>
    <w:rsid w:val="461A7943"/>
    <w:rsid w:val="4620393A"/>
    <w:rsid w:val="46242CAB"/>
    <w:rsid w:val="46255316"/>
    <w:rsid w:val="46372FF7"/>
    <w:rsid w:val="46373E32"/>
    <w:rsid w:val="463A3CA4"/>
    <w:rsid w:val="463C7DA0"/>
    <w:rsid w:val="463D71DB"/>
    <w:rsid w:val="464167AA"/>
    <w:rsid w:val="46487415"/>
    <w:rsid w:val="464A0446"/>
    <w:rsid w:val="464A5989"/>
    <w:rsid w:val="464B5EB2"/>
    <w:rsid w:val="465055AB"/>
    <w:rsid w:val="465358D7"/>
    <w:rsid w:val="465463EA"/>
    <w:rsid w:val="46570DD6"/>
    <w:rsid w:val="465F3DCA"/>
    <w:rsid w:val="46615113"/>
    <w:rsid w:val="46620999"/>
    <w:rsid w:val="466227A1"/>
    <w:rsid w:val="46636318"/>
    <w:rsid w:val="466420F5"/>
    <w:rsid w:val="466C412C"/>
    <w:rsid w:val="46716009"/>
    <w:rsid w:val="46720739"/>
    <w:rsid w:val="46725C02"/>
    <w:rsid w:val="467611E9"/>
    <w:rsid w:val="46790C70"/>
    <w:rsid w:val="467D7370"/>
    <w:rsid w:val="468416AF"/>
    <w:rsid w:val="4684271E"/>
    <w:rsid w:val="46854FE7"/>
    <w:rsid w:val="46863636"/>
    <w:rsid w:val="469152D6"/>
    <w:rsid w:val="46921989"/>
    <w:rsid w:val="46952A17"/>
    <w:rsid w:val="46976071"/>
    <w:rsid w:val="469800AA"/>
    <w:rsid w:val="469A701B"/>
    <w:rsid w:val="469D2ABE"/>
    <w:rsid w:val="46A03B64"/>
    <w:rsid w:val="46A20047"/>
    <w:rsid w:val="46A539B2"/>
    <w:rsid w:val="46A60FBB"/>
    <w:rsid w:val="46A73210"/>
    <w:rsid w:val="46AF1656"/>
    <w:rsid w:val="46B568F0"/>
    <w:rsid w:val="46B608C6"/>
    <w:rsid w:val="46B60A9E"/>
    <w:rsid w:val="46BA30C4"/>
    <w:rsid w:val="46BC19DC"/>
    <w:rsid w:val="46BF053D"/>
    <w:rsid w:val="46CA0935"/>
    <w:rsid w:val="46CF0839"/>
    <w:rsid w:val="46D221C5"/>
    <w:rsid w:val="46D40345"/>
    <w:rsid w:val="46D60867"/>
    <w:rsid w:val="46DA4D06"/>
    <w:rsid w:val="46DE1984"/>
    <w:rsid w:val="46F005C0"/>
    <w:rsid w:val="46F76B40"/>
    <w:rsid w:val="46FA1F66"/>
    <w:rsid w:val="46FB6EB2"/>
    <w:rsid w:val="47040499"/>
    <w:rsid w:val="47092513"/>
    <w:rsid w:val="47093130"/>
    <w:rsid w:val="47096DCE"/>
    <w:rsid w:val="470A255F"/>
    <w:rsid w:val="47120709"/>
    <w:rsid w:val="47166083"/>
    <w:rsid w:val="471E20BB"/>
    <w:rsid w:val="4724155A"/>
    <w:rsid w:val="472456F8"/>
    <w:rsid w:val="472B06F6"/>
    <w:rsid w:val="47375159"/>
    <w:rsid w:val="47406056"/>
    <w:rsid w:val="474840D9"/>
    <w:rsid w:val="474A3043"/>
    <w:rsid w:val="474B2B10"/>
    <w:rsid w:val="47516D3C"/>
    <w:rsid w:val="47615CC0"/>
    <w:rsid w:val="47643C7B"/>
    <w:rsid w:val="476E021D"/>
    <w:rsid w:val="477171FC"/>
    <w:rsid w:val="47797541"/>
    <w:rsid w:val="477B5067"/>
    <w:rsid w:val="477D598D"/>
    <w:rsid w:val="477E3F91"/>
    <w:rsid w:val="477F593E"/>
    <w:rsid w:val="478009BC"/>
    <w:rsid w:val="47837860"/>
    <w:rsid w:val="478F4BC9"/>
    <w:rsid w:val="479D7EF2"/>
    <w:rsid w:val="47A4503D"/>
    <w:rsid w:val="47A73234"/>
    <w:rsid w:val="47A8106C"/>
    <w:rsid w:val="47B37855"/>
    <w:rsid w:val="47BC2E73"/>
    <w:rsid w:val="47C0706B"/>
    <w:rsid w:val="47C100FD"/>
    <w:rsid w:val="47C260C9"/>
    <w:rsid w:val="47C94AE5"/>
    <w:rsid w:val="47CA3131"/>
    <w:rsid w:val="47CA3659"/>
    <w:rsid w:val="47CB2D84"/>
    <w:rsid w:val="47D74B84"/>
    <w:rsid w:val="47D87D72"/>
    <w:rsid w:val="47D9255F"/>
    <w:rsid w:val="47E95DB7"/>
    <w:rsid w:val="47F16AD9"/>
    <w:rsid w:val="47FA67F9"/>
    <w:rsid w:val="48012706"/>
    <w:rsid w:val="48024E07"/>
    <w:rsid w:val="480F0310"/>
    <w:rsid w:val="48121DFF"/>
    <w:rsid w:val="48161EDC"/>
    <w:rsid w:val="481B25AB"/>
    <w:rsid w:val="481B3475"/>
    <w:rsid w:val="4823270D"/>
    <w:rsid w:val="48254EA1"/>
    <w:rsid w:val="483511A1"/>
    <w:rsid w:val="48363C3F"/>
    <w:rsid w:val="483C6367"/>
    <w:rsid w:val="48413448"/>
    <w:rsid w:val="4841782D"/>
    <w:rsid w:val="484A67E7"/>
    <w:rsid w:val="4850171B"/>
    <w:rsid w:val="48584C5F"/>
    <w:rsid w:val="4858530D"/>
    <w:rsid w:val="485B6180"/>
    <w:rsid w:val="485E7EFD"/>
    <w:rsid w:val="4864539F"/>
    <w:rsid w:val="486811BE"/>
    <w:rsid w:val="48735D3E"/>
    <w:rsid w:val="487638F9"/>
    <w:rsid w:val="48783A9F"/>
    <w:rsid w:val="48792DA2"/>
    <w:rsid w:val="48797A3E"/>
    <w:rsid w:val="487F5590"/>
    <w:rsid w:val="48850C1B"/>
    <w:rsid w:val="488566D3"/>
    <w:rsid w:val="48865A1F"/>
    <w:rsid w:val="48883DE9"/>
    <w:rsid w:val="48887C60"/>
    <w:rsid w:val="48895534"/>
    <w:rsid w:val="48A0432C"/>
    <w:rsid w:val="48A2691D"/>
    <w:rsid w:val="48A51C70"/>
    <w:rsid w:val="48A77590"/>
    <w:rsid w:val="48AC705D"/>
    <w:rsid w:val="48AF400D"/>
    <w:rsid w:val="48B1466D"/>
    <w:rsid w:val="48BC0D87"/>
    <w:rsid w:val="48C1111A"/>
    <w:rsid w:val="48C90EE0"/>
    <w:rsid w:val="48C96A27"/>
    <w:rsid w:val="48CA697E"/>
    <w:rsid w:val="48CF229B"/>
    <w:rsid w:val="48CF27D8"/>
    <w:rsid w:val="48D66860"/>
    <w:rsid w:val="48E5132C"/>
    <w:rsid w:val="48E86D8E"/>
    <w:rsid w:val="48ED4B44"/>
    <w:rsid w:val="48EF4217"/>
    <w:rsid w:val="48F85155"/>
    <w:rsid w:val="48FD65CC"/>
    <w:rsid w:val="48FE1300"/>
    <w:rsid w:val="49000159"/>
    <w:rsid w:val="490E6B6D"/>
    <w:rsid w:val="49101CE8"/>
    <w:rsid w:val="491069A0"/>
    <w:rsid w:val="4911573F"/>
    <w:rsid w:val="491541CE"/>
    <w:rsid w:val="49194517"/>
    <w:rsid w:val="491A729C"/>
    <w:rsid w:val="491F1204"/>
    <w:rsid w:val="491F2848"/>
    <w:rsid w:val="492126E4"/>
    <w:rsid w:val="49236E55"/>
    <w:rsid w:val="49263A68"/>
    <w:rsid w:val="49273631"/>
    <w:rsid w:val="49334FE8"/>
    <w:rsid w:val="493922C5"/>
    <w:rsid w:val="49402FD6"/>
    <w:rsid w:val="49416FD5"/>
    <w:rsid w:val="49461CB1"/>
    <w:rsid w:val="4948136D"/>
    <w:rsid w:val="494A20A8"/>
    <w:rsid w:val="494F4CB6"/>
    <w:rsid w:val="494F6EF5"/>
    <w:rsid w:val="49574696"/>
    <w:rsid w:val="495B2E9B"/>
    <w:rsid w:val="495C5F77"/>
    <w:rsid w:val="495D0262"/>
    <w:rsid w:val="4962212A"/>
    <w:rsid w:val="496D3284"/>
    <w:rsid w:val="496E65A5"/>
    <w:rsid w:val="497440CE"/>
    <w:rsid w:val="4977185E"/>
    <w:rsid w:val="49780056"/>
    <w:rsid w:val="497A10CB"/>
    <w:rsid w:val="49802B7F"/>
    <w:rsid w:val="49897B9C"/>
    <w:rsid w:val="498A0193"/>
    <w:rsid w:val="498F6F1D"/>
    <w:rsid w:val="49904251"/>
    <w:rsid w:val="49911F2F"/>
    <w:rsid w:val="49921B79"/>
    <w:rsid w:val="499568F7"/>
    <w:rsid w:val="499868E5"/>
    <w:rsid w:val="499D58F8"/>
    <w:rsid w:val="499D72DA"/>
    <w:rsid w:val="49A01472"/>
    <w:rsid w:val="49A104F8"/>
    <w:rsid w:val="49A22DA9"/>
    <w:rsid w:val="49A2590B"/>
    <w:rsid w:val="49A354E3"/>
    <w:rsid w:val="49A972CC"/>
    <w:rsid w:val="49B122D8"/>
    <w:rsid w:val="49B167B9"/>
    <w:rsid w:val="49B30948"/>
    <w:rsid w:val="49B74498"/>
    <w:rsid w:val="49B77222"/>
    <w:rsid w:val="49B84044"/>
    <w:rsid w:val="49BB4B49"/>
    <w:rsid w:val="49BD73EB"/>
    <w:rsid w:val="49BE436A"/>
    <w:rsid w:val="49BE5D15"/>
    <w:rsid w:val="49C56195"/>
    <w:rsid w:val="49C77B6B"/>
    <w:rsid w:val="49C82186"/>
    <w:rsid w:val="49C8531C"/>
    <w:rsid w:val="49CC1165"/>
    <w:rsid w:val="49D956A5"/>
    <w:rsid w:val="49F211CD"/>
    <w:rsid w:val="49F42993"/>
    <w:rsid w:val="4A0D1F02"/>
    <w:rsid w:val="4A120643"/>
    <w:rsid w:val="4A1208D3"/>
    <w:rsid w:val="4A176168"/>
    <w:rsid w:val="4A186D29"/>
    <w:rsid w:val="4A2723A4"/>
    <w:rsid w:val="4A312A93"/>
    <w:rsid w:val="4A33515C"/>
    <w:rsid w:val="4A350AD9"/>
    <w:rsid w:val="4A3C18F2"/>
    <w:rsid w:val="4A3C2A1F"/>
    <w:rsid w:val="4A3E78BE"/>
    <w:rsid w:val="4A4534FA"/>
    <w:rsid w:val="4A453ED2"/>
    <w:rsid w:val="4A4910E0"/>
    <w:rsid w:val="4A4A41B1"/>
    <w:rsid w:val="4A4C7FEE"/>
    <w:rsid w:val="4A502BBF"/>
    <w:rsid w:val="4A510B46"/>
    <w:rsid w:val="4A645BA7"/>
    <w:rsid w:val="4A694B0A"/>
    <w:rsid w:val="4A6F700F"/>
    <w:rsid w:val="4A752206"/>
    <w:rsid w:val="4A7B7A6F"/>
    <w:rsid w:val="4A820D49"/>
    <w:rsid w:val="4A850E79"/>
    <w:rsid w:val="4A8F53DC"/>
    <w:rsid w:val="4A91532F"/>
    <w:rsid w:val="4A996C49"/>
    <w:rsid w:val="4AA55460"/>
    <w:rsid w:val="4AA97A71"/>
    <w:rsid w:val="4AAA2137"/>
    <w:rsid w:val="4AAF7F03"/>
    <w:rsid w:val="4AB06AAE"/>
    <w:rsid w:val="4AB17471"/>
    <w:rsid w:val="4AB23706"/>
    <w:rsid w:val="4AB5568D"/>
    <w:rsid w:val="4AB663B6"/>
    <w:rsid w:val="4ABF5CA8"/>
    <w:rsid w:val="4AC10350"/>
    <w:rsid w:val="4AC24F24"/>
    <w:rsid w:val="4AC302E6"/>
    <w:rsid w:val="4AC373B7"/>
    <w:rsid w:val="4AD70179"/>
    <w:rsid w:val="4ADC6030"/>
    <w:rsid w:val="4AE503CA"/>
    <w:rsid w:val="4AE8204F"/>
    <w:rsid w:val="4AE85B24"/>
    <w:rsid w:val="4AEC5530"/>
    <w:rsid w:val="4AF9326D"/>
    <w:rsid w:val="4AFA788A"/>
    <w:rsid w:val="4B0B565B"/>
    <w:rsid w:val="4B0D0AAD"/>
    <w:rsid w:val="4B0F33EF"/>
    <w:rsid w:val="4B0F4579"/>
    <w:rsid w:val="4B127A66"/>
    <w:rsid w:val="4B1B3604"/>
    <w:rsid w:val="4B1D1F9E"/>
    <w:rsid w:val="4B1E39C0"/>
    <w:rsid w:val="4B303F1C"/>
    <w:rsid w:val="4B321510"/>
    <w:rsid w:val="4B336757"/>
    <w:rsid w:val="4B345DCE"/>
    <w:rsid w:val="4B373DFD"/>
    <w:rsid w:val="4B3B43DA"/>
    <w:rsid w:val="4B3C1E06"/>
    <w:rsid w:val="4B3D7327"/>
    <w:rsid w:val="4B505CF0"/>
    <w:rsid w:val="4B506800"/>
    <w:rsid w:val="4B5A0963"/>
    <w:rsid w:val="4B633B9B"/>
    <w:rsid w:val="4B655FDE"/>
    <w:rsid w:val="4B6706A9"/>
    <w:rsid w:val="4B730CC1"/>
    <w:rsid w:val="4B7F37D7"/>
    <w:rsid w:val="4B81297E"/>
    <w:rsid w:val="4B843D86"/>
    <w:rsid w:val="4B85187A"/>
    <w:rsid w:val="4B896423"/>
    <w:rsid w:val="4B8B2955"/>
    <w:rsid w:val="4B8D1160"/>
    <w:rsid w:val="4B8D5508"/>
    <w:rsid w:val="4B8F51A8"/>
    <w:rsid w:val="4B91084F"/>
    <w:rsid w:val="4BB40B2B"/>
    <w:rsid w:val="4BB44E60"/>
    <w:rsid w:val="4BB73535"/>
    <w:rsid w:val="4BBC3EE3"/>
    <w:rsid w:val="4BC11A80"/>
    <w:rsid w:val="4BD25C3F"/>
    <w:rsid w:val="4BE05178"/>
    <w:rsid w:val="4BE15528"/>
    <w:rsid w:val="4BE9732E"/>
    <w:rsid w:val="4BED13D4"/>
    <w:rsid w:val="4BF74312"/>
    <w:rsid w:val="4BF91E90"/>
    <w:rsid w:val="4BF9369F"/>
    <w:rsid w:val="4BFD6A98"/>
    <w:rsid w:val="4BFE7811"/>
    <w:rsid w:val="4C0034EE"/>
    <w:rsid w:val="4C00783C"/>
    <w:rsid w:val="4C0238F8"/>
    <w:rsid w:val="4C0772C6"/>
    <w:rsid w:val="4C0E3B8B"/>
    <w:rsid w:val="4C1676E6"/>
    <w:rsid w:val="4C1B2729"/>
    <w:rsid w:val="4C216365"/>
    <w:rsid w:val="4C2A6ADB"/>
    <w:rsid w:val="4C2C1F3D"/>
    <w:rsid w:val="4C3773B6"/>
    <w:rsid w:val="4C3862AD"/>
    <w:rsid w:val="4C395935"/>
    <w:rsid w:val="4C3A3C54"/>
    <w:rsid w:val="4C423D6E"/>
    <w:rsid w:val="4C457B98"/>
    <w:rsid w:val="4C4E0520"/>
    <w:rsid w:val="4C4E14FD"/>
    <w:rsid w:val="4C4F6918"/>
    <w:rsid w:val="4C5913AB"/>
    <w:rsid w:val="4C5B0D08"/>
    <w:rsid w:val="4C5B4D3F"/>
    <w:rsid w:val="4C65188A"/>
    <w:rsid w:val="4C7F5F80"/>
    <w:rsid w:val="4C800ACB"/>
    <w:rsid w:val="4C872A0F"/>
    <w:rsid w:val="4C891ECB"/>
    <w:rsid w:val="4C8E59E1"/>
    <w:rsid w:val="4C8F1A7A"/>
    <w:rsid w:val="4C935431"/>
    <w:rsid w:val="4C947432"/>
    <w:rsid w:val="4C9956D3"/>
    <w:rsid w:val="4CA41E7C"/>
    <w:rsid w:val="4CA52414"/>
    <w:rsid w:val="4CA80F94"/>
    <w:rsid w:val="4CB20939"/>
    <w:rsid w:val="4CC17850"/>
    <w:rsid w:val="4CCC0C5B"/>
    <w:rsid w:val="4CCD0FB4"/>
    <w:rsid w:val="4CD02CE7"/>
    <w:rsid w:val="4CDB2104"/>
    <w:rsid w:val="4CE11EE9"/>
    <w:rsid w:val="4CE61080"/>
    <w:rsid w:val="4CEC7ECD"/>
    <w:rsid w:val="4CEF0171"/>
    <w:rsid w:val="4CF2180D"/>
    <w:rsid w:val="4CF3546E"/>
    <w:rsid w:val="4CFC1A3C"/>
    <w:rsid w:val="4CFD0C8B"/>
    <w:rsid w:val="4CFF754E"/>
    <w:rsid w:val="4D15313C"/>
    <w:rsid w:val="4D165787"/>
    <w:rsid w:val="4D1B1509"/>
    <w:rsid w:val="4D1B5695"/>
    <w:rsid w:val="4D212EE6"/>
    <w:rsid w:val="4D275349"/>
    <w:rsid w:val="4D280356"/>
    <w:rsid w:val="4D2B4AC9"/>
    <w:rsid w:val="4D3670F8"/>
    <w:rsid w:val="4D37462E"/>
    <w:rsid w:val="4D3A6833"/>
    <w:rsid w:val="4D3D6951"/>
    <w:rsid w:val="4D404F17"/>
    <w:rsid w:val="4D412D95"/>
    <w:rsid w:val="4D422FA5"/>
    <w:rsid w:val="4D437C10"/>
    <w:rsid w:val="4D4C033F"/>
    <w:rsid w:val="4D4E7BB0"/>
    <w:rsid w:val="4D506ABC"/>
    <w:rsid w:val="4D587A12"/>
    <w:rsid w:val="4D625881"/>
    <w:rsid w:val="4D635DCD"/>
    <w:rsid w:val="4D6665AB"/>
    <w:rsid w:val="4D680D9C"/>
    <w:rsid w:val="4D6C1262"/>
    <w:rsid w:val="4D772A80"/>
    <w:rsid w:val="4D7D0063"/>
    <w:rsid w:val="4D802E31"/>
    <w:rsid w:val="4D8208C5"/>
    <w:rsid w:val="4D854884"/>
    <w:rsid w:val="4D8B070C"/>
    <w:rsid w:val="4D8B29BA"/>
    <w:rsid w:val="4D8E3934"/>
    <w:rsid w:val="4D903EE5"/>
    <w:rsid w:val="4D915F08"/>
    <w:rsid w:val="4D930ED1"/>
    <w:rsid w:val="4D95480A"/>
    <w:rsid w:val="4D980C9A"/>
    <w:rsid w:val="4D9B4D96"/>
    <w:rsid w:val="4DA24990"/>
    <w:rsid w:val="4DA94885"/>
    <w:rsid w:val="4DB239C7"/>
    <w:rsid w:val="4DB55560"/>
    <w:rsid w:val="4DB57DB1"/>
    <w:rsid w:val="4DBE38DA"/>
    <w:rsid w:val="4DC80515"/>
    <w:rsid w:val="4DD51C42"/>
    <w:rsid w:val="4DD67A08"/>
    <w:rsid w:val="4DD728CB"/>
    <w:rsid w:val="4DD926F3"/>
    <w:rsid w:val="4DE324E8"/>
    <w:rsid w:val="4DE96438"/>
    <w:rsid w:val="4DFC6D77"/>
    <w:rsid w:val="4E05512F"/>
    <w:rsid w:val="4E080D37"/>
    <w:rsid w:val="4E116331"/>
    <w:rsid w:val="4E146DE5"/>
    <w:rsid w:val="4E1974AF"/>
    <w:rsid w:val="4E217F74"/>
    <w:rsid w:val="4E2273F7"/>
    <w:rsid w:val="4E232710"/>
    <w:rsid w:val="4E244590"/>
    <w:rsid w:val="4E2803B1"/>
    <w:rsid w:val="4E315BCB"/>
    <w:rsid w:val="4E323E00"/>
    <w:rsid w:val="4E353A96"/>
    <w:rsid w:val="4E366F15"/>
    <w:rsid w:val="4E453822"/>
    <w:rsid w:val="4E46611C"/>
    <w:rsid w:val="4E4927F4"/>
    <w:rsid w:val="4E51033C"/>
    <w:rsid w:val="4E5718DD"/>
    <w:rsid w:val="4E5D76DE"/>
    <w:rsid w:val="4E645B44"/>
    <w:rsid w:val="4E653EFD"/>
    <w:rsid w:val="4E6557BF"/>
    <w:rsid w:val="4E7052BB"/>
    <w:rsid w:val="4E712D20"/>
    <w:rsid w:val="4E7328AB"/>
    <w:rsid w:val="4E744688"/>
    <w:rsid w:val="4E747FFD"/>
    <w:rsid w:val="4E7726C6"/>
    <w:rsid w:val="4E7F00FF"/>
    <w:rsid w:val="4E81195C"/>
    <w:rsid w:val="4E8567CB"/>
    <w:rsid w:val="4E88043D"/>
    <w:rsid w:val="4E89397A"/>
    <w:rsid w:val="4E8967B0"/>
    <w:rsid w:val="4E8E4F50"/>
    <w:rsid w:val="4EA645D2"/>
    <w:rsid w:val="4EA763E0"/>
    <w:rsid w:val="4EAC5A56"/>
    <w:rsid w:val="4EAF1D8D"/>
    <w:rsid w:val="4EB16962"/>
    <w:rsid w:val="4EB37252"/>
    <w:rsid w:val="4EB851DA"/>
    <w:rsid w:val="4EBB3F9B"/>
    <w:rsid w:val="4EBF1598"/>
    <w:rsid w:val="4EC23758"/>
    <w:rsid w:val="4EC40038"/>
    <w:rsid w:val="4ED25D72"/>
    <w:rsid w:val="4EDE4B71"/>
    <w:rsid w:val="4EE0449A"/>
    <w:rsid w:val="4EE30163"/>
    <w:rsid w:val="4EE43E31"/>
    <w:rsid w:val="4EE53111"/>
    <w:rsid w:val="4EE83395"/>
    <w:rsid w:val="4EFC0CB9"/>
    <w:rsid w:val="4EFC3EC7"/>
    <w:rsid w:val="4F0B3E29"/>
    <w:rsid w:val="4F0D658C"/>
    <w:rsid w:val="4F0E534E"/>
    <w:rsid w:val="4F0F3F48"/>
    <w:rsid w:val="4F1231F6"/>
    <w:rsid w:val="4F1B0E0D"/>
    <w:rsid w:val="4F1F413E"/>
    <w:rsid w:val="4F2309CE"/>
    <w:rsid w:val="4F236021"/>
    <w:rsid w:val="4F2417F9"/>
    <w:rsid w:val="4F390391"/>
    <w:rsid w:val="4F4128B4"/>
    <w:rsid w:val="4F472DFA"/>
    <w:rsid w:val="4F476973"/>
    <w:rsid w:val="4F496B4A"/>
    <w:rsid w:val="4F4B45C9"/>
    <w:rsid w:val="4F516C90"/>
    <w:rsid w:val="4F5304FA"/>
    <w:rsid w:val="4F5847FB"/>
    <w:rsid w:val="4F5A24F5"/>
    <w:rsid w:val="4F675005"/>
    <w:rsid w:val="4F687C61"/>
    <w:rsid w:val="4F6B70F2"/>
    <w:rsid w:val="4F6D2D8A"/>
    <w:rsid w:val="4F7065D1"/>
    <w:rsid w:val="4F742121"/>
    <w:rsid w:val="4F7476FD"/>
    <w:rsid w:val="4F7A5351"/>
    <w:rsid w:val="4F7E4952"/>
    <w:rsid w:val="4F837A29"/>
    <w:rsid w:val="4F86338A"/>
    <w:rsid w:val="4F894B38"/>
    <w:rsid w:val="4F8B5808"/>
    <w:rsid w:val="4F8E2544"/>
    <w:rsid w:val="4F8E4617"/>
    <w:rsid w:val="4F925571"/>
    <w:rsid w:val="4F936F2A"/>
    <w:rsid w:val="4F96364E"/>
    <w:rsid w:val="4F9A7781"/>
    <w:rsid w:val="4FA07208"/>
    <w:rsid w:val="4FA32FA9"/>
    <w:rsid w:val="4FA4526D"/>
    <w:rsid w:val="4FA77CB7"/>
    <w:rsid w:val="4FA87E37"/>
    <w:rsid w:val="4FB67AB1"/>
    <w:rsid w:val="4FCB2433"/>
    <w:rsid w:val="4FCC40FE"/>
    <w:rsid w:val="4FD24E42"/>
    <w:rsid w:val="4FD67CAF"/>
    <w:rsid w:val="4FDB6E33"/>
    <w:rsid w:val="4FEB6442"/>
    <w:rsid w:val="4FED16FD"/>
    <w:rsid w:val="4FF226EC"/>
    <w:rsid w:val="4FF7694A"/>
    <w:rsid w:val="4FFE6EE3"/>
    <w:rsid w:val="4FFF2653"/>
    <w:rsid w:val="5003470A"/>
    <w:rsid w:val="50063CE4"/>
    <w:rsid w:val="500719A8"/>
    <w:rsid w:val="500C1018"/>
    <w:rsid w:val="50102806"/>
    <w:rsid w:val="50111DDB"/>
    <w:rsid w:val="501C32AE"/>
    <w:rsid w:val="501C5B18"/>
    <w:rsid w:val="501D7359"/>
    <w:rsid w:val="50251035"/>
    <w:rsid w:val="50263A4B"/>
    <w:rsid w:val="502774F1"/>
    <w:rsid w:val="50342B46"/>
    <w:rsid w:val="50367BD8"/>
    <w:rsid w:val="503E61C5"/>
    <w:rsid w:val="504471EB"/>
    <w:rsid w:val="50495A01"/>
    <w:rsid w:val="504E1059"/>
    <w:rsid w:val="505F6936"/>
    <w:rsid w:val="50605E04"/>
    <w:rsid w:val="506561EC"/>
    <w:rsid w:val="50675283"/>
    <w:rsid w:val="5068716D"/>
    <w:rsid w:val="506D6EB7"/>
    <w:rsid w:val="5073676B"/>
    <w:rsid w:val="507B63DF"/>
    <w:rsid w:val="50836016"/>
    <w:rsid w:val="50861EC1"/>
    <w:rsid w:val="5086679A"/>
    <w:rsid w:val="50886760"/>
    <w:rsid w:val="508B76B5"/>
    <w:rsid w:val="508F1D73"/>
    <w:rsid w:val="5091422F"/>
    <w:rsid w:val="509505A3"/>
    <w:rsid w:val="509529BA"/>
    <w:rsid w:val="50A16416"/>
    <w:rsid w:val="50A34159"/>
    <w:rsid w:val="50A52434"/>
    <w:rsid w:val="50AE60D6"/>
    <w:rsid w:val="50B11554"/>
    <w:rsid w:val="50B53116"/>
    <w:rsid w:val="50B8253C"/>
    <w:rsid w:val="50B852D4"/>
    <w:rsid w:val="50B90894"/>
    <w:rsid w:val="50BA7486"/>
    <w:rsid w:val="50BD6A55"/>
    <w:rsid w:val="50BD73C3"/>
    <w:rsid w:val="50C0101E"/>
    <w:rsid w:val="50C34300"/>
    <w:rsid w:val="50C861CA"/>
    <w:rsid w:val="50C93EAB"/>
    <w:rsid w:val="50CB2653"/>
    <w:rsid w:val="50CE6DFA"/>
    <w:rsid w:val="50D91050"/>
    <w:rsid w:val="50DF514F"/>
    <w:rsid w:val="50DF7677"/>
    <w:rsid w:val="50E77CEB"/>
    <w:rsid w:val="50EB4629"/>
    <w:rsid w:val="50ED76FC"/>
    <w:rsid w:val="50EE4B69"/>
    <w:rsid w:val="50F23348"/>
    <w:rsid w:val="50FA25E0"/>
    <w:rsid w:val="51012A6E"/>
    <w:rsid w:val="51035B5C"/>
    <w:rsid w:val="5109365E"/>
    <w:rsid w:val="510E3386"/>
    <w:rsid w:val="511237B0"/>
    <w:rsid w:val="511F41C7"/>
    <w:rsid w:val="51332438"/>
    <w:rsid w:val="513464B0"/>
    <w:rsid w:val="51351444"/>
    <w:rsid w:val="513E2906"/>
    <w:rsid w:val="513E5A78"/>
    <w:rsid w:val="51413567"/>
    <w:rsid w:val="5142594D"/>
    <w:rsid w:val="514443A0"/>
    <w:rsid w:val="51495A98"/>
    <w:rsid w:val="514A25AB"/>
    <w:rsid w:val="514E0FD0"/>
    <w:rsid w:val="51501CB8"/>
    <w:rsid w:val="515370B5"/>
    <w:rsid w:val="51574EAB"/>
    <w:rsid w:val="515A279B"/>
    <w:rsid w:val="515B2415"/>
    <w:rsid w:val="515D328D"/>
    <w:rsid w:val="51620D5A"/>
    <w:rsid w:val="516841F5"/>
    <w:rsid w:val="51791BDC"/>
    <w:rsid w:val="51793107"/>
    <w:rsid w:val="517945D3"/>
    <w:rsid w:val="518759F5"/>
    <w:rsid w:val="51876394"/>
    <w:rsid w:val="518838B5"/>
    <w:rsid w:val="518941D1"/>
    <w:rsid w:val="51923184"/>
    <w:rsid w:val="51A257E1"/>
    <w:rsid w:val="51A90576"/>
    <w:rsid w:val="51AA179A"/>
    <w:rsid w:val="51AB5B89"/>
    <w:rsid w:val="51AF2E52"/>
    <w:rsid w:val="51BD087D"/>
    <w:rsid w:val="51C3153F"/>
    <w:rsid w:val="51C62974"/>
    <w:rsid w:val="51C85DED"/>
    <w:rsid w:val="51CF2646"/>
    <w:rsid w:val="51D13C23"/>
    <w:rsid w:val="51DE5C87"/>
    <w:rsid w:val="51DF2695"/>
    <w:rsid w:val="51E401E6"/>
    <w:rsid w:val="51EB233D"/>
    <w:rsid w:val="51EB6210"/>
    <w:rsid w:val="51ED2C68"/>
    <w:rsid w:val="51FA70F1"/>
    <w:rsid w:val="51FC5177"/>
    <w:rsid w:val="52001040"/>
    <w:rsid w:val="520061BC"/>
    <w:rsid w:val="52012F22"/>
    <w:rsid w:val="52070680"/>
    <w:rsid w:val="520733F2"/>
    <w:rsid w:val="520F69AD"/>
    <w:rsid w:val="5210008F"/>
    <w:rsid w:val="52105CC9"/>
    <w:rsid w:val="52110CAF"/>
    <w:rsid w:val="52150B25"/>
    <w:rsid w:val="52151A7A"/>
    <w:rsid w:val="52193FA0"/>
    <w:rsid w:val="521A0C66"/>
    <w:rsid w:val="521F4817"/>
    <w:rsid w:val="52205124"/>
    <w:rsid w:val="52206369"/>
    <w:rsid w:val="52270757"/>
    <w:rsid w:val="523E3E2F"/>
    <w:rsid w:val="524326E1"/>
    <w:rsid w:val="524D1442"/>
    <w:rsid w:val="524F0B3F"/>
    <w:rsid w:val="524F25EC"/>
    <w:rsid w:val="5250487A"/>
    <w:rsid w:val="5252602A"/>
    <w:rsid w:val="525B1586"/>
    <w:rsid w:val="526064B1"/>
    <w:rsid w:val="52690C86"/>
    <w:rsid w:val="526A5229"/>
    <w:rsid w:val="527339B9"/>
    <w:rsid w:val="527449D1"/>
    <w:rsid w:val="52750312"/>
    <w:rsid w:val="527E7FA7"/>
    <w:rsid w:val="52852628"/>
    <w:rsid w:val="528549ED"/>
    <w:rsid w:val="52931C51"/>
    <w:rsid w:val="5297682A"/>
    <w:rsid w:val="5299782E"/>
    <w:rsid w:val="529F7607"/>
    <w:rsid w:val="52A116FA"/>
    <w:rsid w:val="52A66E27"/>
    <w:rsid w:val="52A77DD3"/>
    <w:rsid w:val="52A866CD"/>
    <w:rsid w:val="52AC289B"/>
    <w:rsid w:val="52AD7835"/>
    <w:rsid w:val="52B34900"/>
    <w:rsid w:val="52BA2CF3"/>
    <w:rsid w:val="52BB27C1"/>
    <w:rsid w:val="52BB5896"/>
    <w:rsid w:val="52C80711"/>
    <w:rsid w:val="52CA1454"/>
    <w:rsid w:val="52CB426E"/>
    <w:rsid w:val="52D42966"/>
    <w:rsid w:val="52D83CBE"/>
    <w:rsid w:val="52DA0E76"/>
    <w:rsid w:val="52DE24A4"/>
    <w:rsid w:val="52E02E11"/>
    <w:rsid w:val="52E96027"/>
    <w:rsid w:val="52E96603"/>
    <w:rsid w:val="52EA53F9"/>
    <w:rsid w:val="52EC040A"/>
    <w:rsid w:val="52EC343D"/>
    <w:rsid w:val="52F24141"/>
    <w:rsid w:val="53016EAE"/>
    <w:rsid w:val="53022230"/>
    <w:rsid w:val="53037543"/>
    <w:rsid w:val="53040DD4"/>
    <w:rsid w:val="53092BE3"/>
    <w:rsid w:val="530D3EE7"/>
    <w:rsid w:val="530E50CD"/>
    <w:rsid w:val="53107CE9"/>
    <w:rsid w:val="53116663"/>
    <w:rsid w:val="53123854"/>
    <w:rsid w:val="531E2733"/>
    <w:rsid w:val="53200D63"/>
    <w:rsid w:val="53203EAE"/>
    <w:rsid w:val="5327111C"/>
    <w:rsid w:val="532C315D"/>
    <w:rsid w:val="532D5B2E"/>
    <w:rsid w:val="532F46A7"/>
    <w:rsid w:val="53305429"/>
    <w:rsid w:val="53317E3D"/>
    <w:rsid w:val="533456D4"/>
    <w:rsid w:val="5337618A"/>
    <w:rsid w:val="533F6CB7"/>
    <w:rsid w:val="5343392A"/>
    <w:rsid w:val="534658C8"/>
    <w:rsid w:val="5347211A"/>
    <w:rsid w:val="53476426"/>
    <w:rsid w:val="534870E9"/>
    <w:rsid w:val="534B241D"/>
    <w:rsid w:val="535548EC"/>
    <w:rsid w:val="535804D7"/>
    <w:rsid w:val="53590013"/>
    <w:rsid w:val="535B3604"/>
    <w:rsid w:val="535D6464"/>
    <w:rsid w:val="535F4AA8"/>
    <w:rsid w:val="536135F8"/>
    <w:rsid w:val="53636ECC"/>
    <w:rsid w:val="536621EA"/>
    <w:rsid w:val="536A65D2"/>
    <w:rsid w:val="537144E9"/>
    <w:rsid w:val="53854A37"/>
    <w:rsid w:val="53855149"/>
    <w:rsid w:val="538A0BE9"/>
    <w:rsid w:val="538A70F2"/>
    <w:rsid w:val="538C639C"/>
    <w:rsid w:val="538E4CE5"/>
    <w:rsid w:val="53935F6B"/>
    <w:rsid w:val="53A27394"/>
    <w:rsid w:val="53BE4CA5"/>
    <w:rsid w:val="53C50BB1"/>
    <w:rsid w:val="53C82E5F"/>
    <w:rsid w:val="53C961D5"/>
    <w:rsid w:val="53CA00F2"/>
    <w:rsid w:val="53DB1FEF"/>
    <w:rsid w:val="53DC6321"/>
    <w:rsid w:val="53DE489B"/>
    <w:rsid w:val="53DF0E48"/>
    <w:rsid w:val="53E021B5"/>
    <w:rsid w:val="53E15EE4"/>
    <w:rsid w:val="53E504ED"/>
    <w:rsid w:val="53E623AE"/>
    <w:rsid w:val="53E62704"/>
    <w:rsid w:val="53ED1D5A"/>
    <w:rsid w:val="53EF222C"/>
    <w:rsid w:val="53FB6A99"/>
    <w:rsid w:val="54013248"/>
    <w:rsid w:val="54036357"/>
    <w:rsid w:val="540C7B26"/>
    <w:rsid w:val="540E2C5F"/>
    <w:rsid w:val="541E62D0"/>
    <w:rsid w:val="54226C53"/>
    <w:rsid w:val="54260313"/>
    <w:rsid w:val="542653F0"/>
    <w:rsid w:val="543207E9"/>
    <w:rsid w:val="54323B36"/>
    <w:rsid w:val="543B1979"/>
    <w:rsid w:val="544071FE"/>
    <w:rsid w:val="54474D8C"/>
    <w:rsid w:val="54481953"/>
    <w:rsid w:val="544C0723"/>
    <w:rsid w:val="544C3972"/>
    <w:rsid w:val="544E23A2"/>
    <w:rsid w:val="54646830"/>
    <w:rsid w:val="54652573"/>
    <w:rsid w:val="54694C0F"/>
    <w:rsid w:val="546D2691"/>
    <w:rsid w:val="546E3DF1"/>
    <w:rsid w:val="547A3FE7"/>
    <w:rsid w:val="547B296E"/>
    <w:rsid w:val="547C24E5"/>
    <w:rsid w:val="547D0D60"/>
    <w:rsid w:val="547F25F5"/>
    <w:rsid w:val="547F3870"/>
    <w:rsid w:val="548075C3"/>
    <w:rsid w:val="54833F1A"/>
    <w:rsid w:val="548F4C0D"/>
    <w:rsid w:val="549A005E"/>
    <w:rsid w:val="54A045BE"/>
    <w:rsid w:val="54A32323"/>
    <w:rsid w:val="54AB06B2"/>
    <w:rsid w:val="54AC5879"/>
    <w:rsid w:val="54BB10DA"/>
    <w:rsid w:val="54BC61EF"/>
    <w:rsid w:val="54BD7666"/>
    <w:rsid w:val="54BE4673"/>
    <w:rsid w:val="54BE7C40"/>
    <w:rsid w:val="54BF029A"/>
    <w:rsid w:val="54C31BDE"/>
    <w:rsid w:val="54C331DF"/>
    <w:rsid w:val="54C62E16"/>
    <w:rsid w:val="54C62FAC"/>
    <w:rsid w:val="54CA6334"/>
    <w:rsid w:val="54CB0818"/>
    <w:rsid w:val="54CB2961"/>
    <w:rsid w:val="54CD55DE"/>
    <w:rsid w:val="54D12B00"/>
    <w:rsid w:val="54D4562F"/>
    <w:rsid w:val="54D85F2F"/>
    <w:rsid w:val="54D94F04"/>
    <w:rsid w:val="54D96C5B"/>
    <w:rsid w:val="54D97F95"/>
    <w:rsid w:val="54E52FEA"/>
    <w:rsid w:val="54E71FBE"/>
    <w:rsid w:val="54E87E5F"/>
    <w:rsid w:val="54EC7B95"/>
    <w:rsid w:val="55014944"/>
    <w:rsid w:val="55037AD6"/>
    <w:rsid w:val="550415F3"/>
    <w:rsid w:val="55095F10"/>
    <w:rsid w:val="550B34E2"/>
    <w:rsid w:val="55125158"/>
    <w:rsid w:val="551F5F7D"/>
    <w:rsid w:val="552133AA"/>
    <w:rsid w:val="552F5F65"/>
    <w:rsid w:val="553B4499"/>
    <w:rsid w:val="553E3E60"/>
    <w:rsid w:val="5547595B"/>
    <w:rsid w:val="55583BF0"/>
    <w:rsid w:val="555A417E"/>
    <w:rsid w:val="55625588"/>
    <w:rsid w:val="55645A1D"/>
    <w:rsid w:val="55661EFE"/>
    <w:rsid w:val="556B2AF1"/>
    <w:rsid w:val="556C0EF2"/>
    <w:rsid w:val="55736DD4"/>
    <w:rsid w:val="557374B7"/>
    <w:rsid w:val="55785A57"/>
    <w:rsid w:val="557B37BA"/>
    <w:rsid w:val="558C3F14"/>
    <w:rsid w:val="55903D39"/>
    <w:rsid w:val="55917864"/>
    <w:rsid w:val="55947A86"/>
    <w:rsid w:val="559A6E6A"/>
    <w:rsid w:val="55A75F06"/>
    <w:rsid w:val="55AA4A37"/>
    <w:rsid w:val="55B11B6C"/>
    <w:rsid w:val="55B35686"/>
    <w:rsid w:val="55BA6686"/>
    <w:rsid w:val="55BB56F2"/>
    <w:rsid w:val="55BC22BF"/>
    <w:rsid w:val="55BE4691"/>
    <w:rsid w:val="55CE5AA3"/>
    <w:rsid w:val="55D174F5"/>
    <w:rsid w:val="55EA0BA9"/>
    <w:rsid w:val="55EE4615"/>
    <w:rsid w:val="55F74CB5"/>
    <w:rsid w:val="55FA4D0E"/>
    <w:rsid w:val="55FE7561"/>
    <w:rsid w:val="5605469F"/>
    <w:rsid w:val="56073EC0"/>
    <w:rsid w:val="560A7E6C"/>
    <w:rsid w:val="560B1147"/>
    <w:rsid w:val="560B2F6D"/>
    <w:rsid w:val="560B706D"/>
    <w:rsid w:val="561251FE"/>
    <w:rsid w:val="561B4828"/>
    <w:rsid w:val="561D24FA"/>
    <w:rsid w:val="56227A76"/>
    <w:rsid w:val="562D65ED"/>
    <w:rsid w:val="56314CF2"/>
    <w:rsid w:val="56315C9D"/>
    <w:rsid w:val="56321D83"/>
    <w:rsid w:val="56326993"/>
    <w:rsid w:val="563A61B5"/>
    <w:rsid w:val="563E0929"/>
    <w:rsid w:val="564145E3"/>
    <w:rsid w:val="5646023F"/>
    <w:rsid w:val="56493AFC"/>
    <w:rsid w:val="56494E12"/>
    <w:rsid w:val="564E1C10"/>
    <w:rsid w:val="56522483"/>
    <w:rsid w:val="56583AFD"/>
    <w:rsid w:val="565A516F"/>
    <w:rsid w:val="565E3201"/>
    <w:rsid w:val="565F5246"/>
    <w:rsid w:val="5667424A"/>
    <w:rsid w:val="56675ED6"/>
    <w:rsid w:val="566B5553"/>
    <w:rsid w:val="566C46F5"/>
    <w:rsid w:val="56764C2E"/>
    <w:rsid w:val="567E2DCA"/>
    <w:rsid w:val="5681083A"/>
    <w:rsid w:val="56831B5C"/>
    <w:rsid w:val="56857E1C"/>
    <w:rsid w:val="568752C7"/>
    <w:rsid w:val="56892ABE"/>
    <w:rsid w:val="56893835"/>
    <w:rsid w:val="568D1E6A"/>
    <w:rsid w:val="569516E6"/>
    <w:rsid w:val="569A561C"/>
    <w:rsid w:val="569B3F8B"/>
    <w:rsid w:val="56A01DC8"/>
    <w:rsid w:val="56A34400"/>
    <w:rsid w:val="56AB404E"/>
    <w:rsid w:val="56B069E7"/>
    <w:rsid w:val="56B17FB5"/>
    <w:rsid w:val="56B912ED"/>
    <w:rsid w:val="56BC6349"/>
    <w:rsid w:val="56C0358B"/>
    <w:rsid w:val="56C0685E"/>
    <w:rsid w:val="56C06C27"/>
    <w:rsid w:val="56CC183F"/>
    <w:rsid w:val="56D41443"/>
    <w:rsid w:val="56D926C4"/>
    <w:rsid w:val="56DC53A8"/>
    <w:rsid w:val="56E504B2"/>
    <w:rsid w:val="56EA07E6"/>
    <w:rsid w:val="56F33533"/>
    <w:rsid w:val="56F50083"/>
    <w:rsid w:val="56F72DC2"/>
    <w:rsid w:val="56FF7421"/>
    <w:rsid w:val="5700633A"/>
    <w:rsid w:val="570944FB"/>
    <w:rsid w:val="57153C7E"/>
    <w:rsid w:val="571A1A9E"/>
    <w:rsid w:val="571A7F08"/>
    <w:rsid w:val="572A0D84"/>
    <w:rsid w:val="5734516D"/>
    <w:rsid w:val="57363505"/>
    <w:rsid w:val="574E7F38"/>
    <w:rsid w:val="57571D1A"/>
    <w:rsid w:val="5759542D"/>
    <w:rsid w:val="575B1094"/>
    <w:rsid w:val="576043A3"/>
    <w:rsid w:val="576440A9"/>
    <w:rsid w:val="576752F7"/>
    <w:rsid w:val="576D74F5"/>
    <w:rsid w:val="57737475"/>
    <w:rsid w:val="57765441"/>
    <w:rsid w:val="578259EB"/>
    <w:rsid w:val="57833DEB"/>
    <w:rsid w:val="5786281B"/>
    <w:rsid w:val="57875C12"/>
    <w:rsid w:val="578849BA"/>
    <w:rsid w:val="57890230"/>
    <w:rsid w:val="578B45BC"/>
    <w:rsid w:val="579332C9"/>
    <w:rsid w:val="57984358"/>
    <w:rsid w:val="579C091F"/>
    <w:rsid w:val="579C553D"/>
    <w:rsid w:val="579E16D2"/>
    <w:rsid w:val="579E4B6F"/>
    <w:rsid w:val="57A8703D"/>
    <w:rsid w:val="57B140FD"/>
    <w:rsid w:val="57BA0794"/>
    <w:rsid w:val="57C23DC7"/>
    <w:rsid w:val="57DB51C2"/>
    <w:rsid w:val="57F00A5B"/>
    <w:rsid w:val="57F6578B"/>
    <w:rsid w:val="580524DD"/>
    <w:rsid w:val="580B47C9"/>
    <w:rsid w:val="581563DE"/>
    <w:rsid w:val="581B418A"/>
    <w:rsid w:val="581C0BCE"/>
    <w:rsid w:val="581C1F42"/>
    <w:rsid w:val="582055EE"/>
    <w:rsid w:val="582334BB"/>
    <w:rsid w:val="582D2236"/>
    <w:rsid w:val="58344BA2"/>
    <w:rsid w:val="58422286"/>
    <w:rsid w:val="58435516"/>
    <w:rsid w:val="58446F11"/>
    <w:rsid w:val="5849643A"/>
    <w:rsid w:val="58496BB7"/>
    <w:rsid w:val="584D50B5"/>
    <w:rsid w:val="5856096A"/>
    <w:rsid w:val="5856761D"/>
    <w:rsid w:val="585749D4"/>
    <w:rsid w:val="585B70CE"/>
    <w:rsid w:val="58612DB0"/>
    <w:rsid w:val="58695CD4"/>
    <w:rsid w:val="586B5E7C"/>
    <w:rsid w:val="58703188"/>
    <w:rsid w:val="58746525"/>
    <w:rsid w:val="58755BEE"/>
    <w:rsid w:val="58793717"/>
    <w:rsid w:val="587F0A2C"/>
    <w:rsid w:val="58806871"/>
    <w:rsid w:val="5880712A"/>
    <w:rsid w:val="58890B0A"/>
    <w:rsid w:val="58893680"/>
    <w:rsid w:val="588B4B63"/>
    <w:rsid w:val="588E12E3"/>
    <w:rsid w:val="588E5385"/>
    <w:rsid w:val="5893055D"/>
    <w:rsid w:val="58AA7A32"/>
    <w:rsid w:val="58AB1DC4"/>
    <w:rsid w:val="58AD6F29"/>
    <w:rsid w:val="58AE51B1"/>
    <w:rsid w:val="58B21363"/>
    <w:rsid w:val="58B9548E"/>
    <w:rsid w:val="58BB136D"/>
    <w:rsid w:val="58C4770B"/>
    <w:rsid w:val="58C8515E"/>
    <w:rsid w:val="58CA6AC5"/>
    <w:rsid w:val="58D565DB"/>
    <w:rsid w:val="58DD37C3"/>
    <w:rsid w:val="58E11327"/>
    <w:rsid w:val="58E13BFE"/>
    <w:rsid w:val="58E13FAA"/>
    <w:rsid w:val="58E61054"/>
    <w:rsid w:val="58EC407D"/>
    <w:rsid w:val="58F10ED2"/>
    <w:rsid w:val="58F2184A"/>
    <w:rsid w:val="58F26816"/>
    <w:rsid w:val="58FB0478"/>
    <w:rsid w:val="58FF7C96"/>
    <w:rsid w:val="5902144A"/>
    <w:rsid w:val="59033664"/>
    <w:rsid w:val="5906606A"/>
    <w:rsid w:val="59095DC0"/>
    <w:rsid w:val="590E7202"/>
    <w:rsid w:val="592C02D2"/>
    <w:rsid w:val="592F3E21"/>
    <w:rsid w:val="59325586"/>
    <w:rsid w:val="59340F65"/>
    <w:rsid w:val="59343F8A"/>
    <w:rsid w:val="5934694B"/>
    <w:rsid w:val="59364D98"/>
    <w:rsid w:val="593C7B95"/>
    <w:rsid w:val="593F3E9F"/>
    <w:rsid w:val="59405D1A"/>
    <w:rsid w:val="59411161"/>
    <w:rsid w:val="59480C80"/>
    <w:rsid w:val="59482535"/>
    <w:rsid w:val="59483207"/>
    <w:rsid w:val="59511ADF"/>
    <w:rsid w:val="59581C7C"/>
    <w:rsid w:val="5958749C"/>
    <w:rsid w:val="595A5D23"/>
    <w:rsid w:val="595E2389"/>
    <w:rsid w:val="59656B86"/>
    <w:rsid w:val="596F046F"/>
    <w:rsid w:val="596F1BFB"/>
    <w:rsid w:val="597228F9"/>
    <w:rsid w:val="59733043"/>
    <w:rsid w:val="59752065"/>
    <w:rsid w:val="597A2EC3"/>
    <w:rsid w:val="59814880"/>
    <w:rsid w:val="59832A7F"/>
    <w:rsid w:val="598A28B7"/>
    <w:rsid w:val="598A3C6D"/>
    <w:rsid w:val="598D647E"/>
    <w:rsid w:val="599215B6"/>
    <w:rsid w:val="599565C4"/>
    <w:rsid w:val="599569AC"/>
    <w:rsid w:val="59975F06"/>
    <w:rsid w:val="599B3347"/>
    <w:rsid w:val="599D1861"/>
    <w:rsid w:val="59A50D93"/>
    <w:rsid w:val="59AD31FE"/>
    <w:rsid w:val="59BF1C6C"/>
    <w:rsid w:val="59D36AA9"/>
    <w:rsid w:val="59D507D0"/>
    <w:rsid w:val="59E87057"/>
    <w:rsid w:val="59E8793A"/>
    <w:rsid w:val="59EA2AD4"/>
    <w:rsid w:val="59EC1016"/>
    <w:rsid w:val="59F172B4"/>
    <w:rsid w:val="59F30AF9"/>
    <w:rsid w:val="59F3413A"/>
    <w:rsid w:val="59F60FA8"/>
    <w:rsid w:val="5A04552A"/>
    <w:rsid w:val="5A0B4BBF"/>
    <w:rsid w:val="5A0D4DA0"/>
    <w:rsid w:val="5A19426B"/>
    <w:rsid w:val="5A1C6F22"/>
    <w:rsid w:val="5A1F5227"/>
    <w:rsid w:val="5A1F7B10"/>
    <w:rsid w:val="5A26078B"/>
    <w:rsid w:val="5A272E2D"/>
    <w:rsid w:val="5A2D3B58"/>
    <w:rsid w:val="5A413182"/>
    <w:rsid w:val="5A4864F4"/>
    <w:rsid w:val="5A4956B2"/>
    <w:rsid w:val="5A4B2D94"/>
    <w:rsid w:val="5A4C0F26"/>
    <w:rsid w:val="5A554AD0"/>
    <w:rsid w:val="5A6617BB"/>
    <w:rsid w:val="5A6C436B"/>
    <w:rsid w:val="5A721D72"/>
    <w:rsid w:val="5A7A3A0D"/>
    <w:rsid w:val="5A864337"/>
    <w:rsid w:val="5A8D5E87"/>
    <w:rsid w:val="5A8F063F"/>
    <w:rsid w:val="5A910A68"/>
    <w:rsid w:val="5A93347D"/>
    <w:rsid w:val="5A942977"/>
    <w:rsid w:val="5AA92788"/>
    <w:rsid w:val="5AA927F1"/>
    <w:rsid w:val="5AAC1AAA"/>
    <w:rsid w:val="5AB50FD9"/>
    <w:rsid w:val="5ABD13D9"/>
    <w:rsid w:val="5ABE6B32"/>
    <w:rsid w:val="5AC2550F"/>
    <w:rsid w:val="5AC46254"/>
    <w:rsid w:val="5ACC124B"/>
    <w:rsid w:val="5ACD59C5"/>
    <w:rsid w:val="5AD22D0E"/>
    <w:rsid w:val="5AD25E29"/>
    <w:rsid w:val="5AD76E29"/>
    <w:rsid w:val="5AD81EAB"/>
    <w:rsid w:val="5ADD6AED"/>
    <w:rsid w:val="5AE76BC1"/>
    <w:rsid w:val="5AEC6AA2"/>
    <w:rsid w:val="5AED6EE6"/>
    <w:rsid w:val="5B054511"/>
    <w:rsid w:val="5B130536"/>
    <w:rsid w:val="5B1527A8"/>
    <w:rsid w:val="5B271DAF"/>
    <w:rsid w:val="5B2B7A81"/>
    <w:rsid w:val="5B3272AC"/>
    <w:rsid w:val="5B3C52B5"/>
    <w:rsid w:val="5B40209A"/>
    <w:rsid w:val="5B473AE9"/>
    <w:rsid w:val="5B4A70EE"/>
    <w:rsid w:val="5B507564"/>
    <w:rsid w:val="5B555E05"/>
    <w:rsid w:val="5B583E2B"/>
    <w:rsid w:val="5B6878FE"/>
    <w:rsid w:val="5B6912EE"/>
    <w:rsid w:val="5B7A2961"/>
    <w:rsid w:val="5B7B40AF"/>
    <w:rsid w:val="5B7B6945"/>
    <w:rsid w:val="5B832294"/>
    <w:rsid w:val="5B87762F"/>
    <w:rsid w:val="5B890BAF"/>
    <w:rsid w:val="5B8F0246"/>
    <w:rsid w:val="5B950F26"/>
    <w:rsid w:val="5B966B0C"/>
    <w:rsid w:val="5B9A38AB"/>
    <w:rsid w:val="5B9B4672"/>
    <w:rsid w:val="5B9D1438"/>
    <w:rsid w:val="5B9E191E"/>
    <w:rsid w:val="5B9F059B"/>
    <w:rsid w:val="5BA36C6C"/>
    <w:rsid w:val="5BB41599"/>
    <w:rsid w:val="5BBF6B1D"/>
    <w:rsid w:val="5BC42CCF"/>
    <w:rsid w:val="5BD16D46"/>
    <w:rsid w:val="5BDA2E82"/>
    <w:rsid w:val="5BDB1202"/>
    <w:rsid w:val="5BDE01DD"/>
    <w:rsid w:val="5BE0398E"/>
    <w:rsid w:val="5BE068CA"/>
    <w:rsid w:val="5BE06CCB"/>
    <w:rsid w:val="5BE15EB4"/>
    <w:rsid w:val="5BE70C9C"/>
    <w:rsid w:val="5BE73891"/>
    <w:rsid w:val="5BF606BC"/>
    <w:rsid w:val="5BFF4C02"/>
    <w:rsid w:val="5C012390"/>
    <w:rsid w:val="5C0477B5"/>
    <w:rsid w:val="5C0549F0"/>
    <w:rsid w:val="5C092D18"/>
    <w:rsid w:val="5C0F381E"/>
    <w:rsid w:val="5C134D0A"/>
    <w:rsid w:val="5C2447C2"/>
    <w:rsid w:val="5C2C2C06"/>
    <w:rsid w:val="5C2E3D4E"/>
    <w:rsid w:val="5C302DB4"/>
    <w:rsid w:val="5C33495D"/>
    <w:rsid w:val="5C3573E8"/>
    <w:rsid w:val="5C38462F"/>
    <w:rsid w:val="5C391C9D"/>
    <w:rsid w:val="5C4A7029"/>
    <w:rsid w:val="5C524B49"/>
    <w:rsid w:val="5C567BAC"/>
    <w:rsid w:val="5C5C2559"/>
    <w:rsid w:val="5C5E06F3"/>
    <w:rsid w:val="5C606A7E"/>
    <w:rsid w:val="5C651375"/>
    <w:rsid w:val="5C651F1D"/>
    <w:rsid w:val="5C6D7D63"/>
    <w:rsid w:val="5C6F346E"/>
    <w:rsid w:val="5C7B58FA"/>
    <w:rsid w:val="5C811086"/>
    <w:rsid w:val="5C832EF9"/>
    <w:rsid w:val="5C847C07"/>
    <w:rsid w:val="5C8925AA"/>
    <w:rsid w:val="5C8C3341"/>
    <w:rsid w:val="5C8C45D7"/>
    <w:rsid w:val="5C8D4696"/>
    <w:rsid w:val="5C941EA6"/>
    <w:rsid w:val="5C96523B"/>
    <w:rsid w:val="5C967669"/>
    <w:rsid w:val="5C9C7C79"/>
    <w:rsid w:val="5C9E6D0E"/>
    <w:rsid w:val="5C9F3B3A"/>
    <w:rsid w:val="5CA15E1B"/>
    <w:rsid w:val="5CA84651"/>
    <w:rsid w:val="5CAB5A2E"/>
    <w:rsid w:val="5CAD69EE"/>
    <w:rsid w:val="5CB43FE9"/>
    <w:rsid w:val="5CB47D0C"/>
    <w:rsid w:val="5CB57F38"/>
    <w:rsid w:val="5CB737EC"/>
    <w:rsid w:val="5CB90DCB"/>
    <w:rsid w:val="5CC709AE"/>
    <w:rsid w:val="5CC77617"/>
    <w:rsid w:val="5CDA5CCB"/>
    <w:rsid w:val="5CDC7AC8"/>
    <w:rsid w:val="5CDE09AD"/>
    <w:rsid w:val="5CDE130D"/>
    <w:rsid w:val="5CDE7133"/>
    <w:rsid w:val="5CEA4F59"/>
    <w:rsid w:val="5CF01FB3"/>
    <w:rsid w:val="5CF446A3"/>
    <w:rsid w:val="5CF50D20"/>
    <w:rsid w:val="5CFA7DDF"/>
    <w:rsid w:val="5D060039"/>
    <w:rsid w:val="5D087C35"/>
    <w:rsid w:val="5D0C0D17"/>
    <w:rsid w:val="5D121A42"/>
    <w:rsid w:val="5D122732"/>
    <w:rsid w:val="5D155EF3"/>
    <w:rsid w:val="5D1872B7"/>
    <w:rsid w:val="5D19017E"/>
    <w:rsid w:val="5D1B609B"/>
    <w:rsid w:val="5D216721"/>
    <w:rsid w:val="5D2503C7"/>
    <w:rsid w:val="5D2A5FDD"/>
    <w:rsid w:val="5D310BBF"/>
    <w:rsid w:val="5D3216E3"/>
    <w:rsid w:val="5D334440"/>
    <w:rsid w:val="5D3540E7"/>
    <w:rsid w:val="5D3579D3"/>
    <w:rsid w:val="5D3F4512"/>
    <w:rsid w:val="5D4B03EC"/>
    <w:rsid w:val="5D4B3B72"/>
    <w:rsid w:val="5D4B7D01"/>
    <w:rsid w:val="5D5D366B"/>
    <w:rsid w:val="5D63417B"/>
    <w:rsid w:val="5D663874"/>
    <w:rsid w:val="5D6759B2"/>
    <w:rsid w:val="5D6B16CC"/>
    <w:rsid w:val="5D726960"/>
    <w:rsid w:val="5D8056CF"/>
    <w:rsid w:val="5D8167C6"/>
    <w:rsid w:val="5D827AE7"/>
    <w:rsid w:val="5D84626D"/>
    <w:rsid w:val="5D850F66"/>
    <w:rsid w:val="5D882498"/>
    <w:rsid w:val="5D88463C"/>
    <w:rsid w:val="5D8C0D5D"/>
    <w:rsid w:val="5D8C36CC"/>
    <w:rsid w:val="5D8D30BD"/>
    <w:rsid w:val="5D8E1670"/>
    <w:rsid w:val="5D8E4F86"/>
    <w:rsid w:val="5D8E5A81"/>
    <w:rsid w:val="5D916240"/>
    <w:rsid w:val="5D9C64D2"/>
    <w:rsid w:val="5DA03F1A"/>
    <w:rsid w:val="5DA34B77"/>
    <w:rsid w:val="5DA60259"/>
    <w:rsid w:val="5DA9695A"/>
    <w:rsid w:val="5DAC24BD"/>
    <w:rsid w:val="5DAD1AB9"/>
    <w:rsid w:val="5DB563E8"/>
    <w:rsid w:val="5DB91AE6"/>
    <w:rsid w:val="5DBC49B1"/>
    <w:rsid w:val="5DBF5D68"/>
    <w:rsid w:val="5DC1061A"/>
    <w:rsid w:val="5DC50736"/>
    <w:rsid w:val="5DCA5E66"/>
    <w:rsid w:val="5DCD7CA3"/>
    <w:rsid w:val="5DCE7CD7"/>
    <w:rsid w:val="5DD62627"/>
    <w:rsid w:val="5DDA3C5A"/>
    <w:rsid w:val="5DDA467A"/>
    <w:rsid w:val="5DDD7149"/>
    <w:rsid w:val="5DE02DF7"/>
    <w:rsid w:val="5DE66DA4"/>
    <w:rsid w:val="5DE75A11"/>
    <w:rsid w:val="5DE900BB"/>
    <w:rsid w:val="5DED3DD9"/>
    <w:rsid w:val="5DEE588B"/>
    <w:rsid w:val="5E0367F3"/>
    <w:rsid w:val="5E044C53"/>
    <w:rsid w:val="5E09310B"/>
    <w:rsid w:val="5E0B33D3"/>
    <w:rsid w:val="5E0E75A4"/>
    <w:rsid w:val="5E1B137E"/>
    <w:rsid w:val="5E1F1CD3"/>
    <w:rsid w:val="5E2210E5"/>
    <w:rsid w:val="5E274E0D"/>
    <w:rsid w:val="5E35139A"/>
    <w:rsid w:val="5E430CFF"/>
    <w:rsid w:val="5E4913EB"/>
    <w:rsid w:val="5E4C21AE"/>
    <w:rsid w:val="5E4E4F7E"/>
    <w:rsid w:val="5E4F778B"/>
    <w:rsid w:val="5E50089B"/>
    <w:rsid w:val="5E587C9C"/>
    <w:rsid w:val="5E5A5900"/>
    <w:rsid w:val="5E5B6BB2"/>
    <w:rsid w:val="5E5B7C2F"/>
    <w:rsid w:val="5E5D4CBB"/>
    <w:rsid w:val="5E624460"/>
    <w:rsid w:val="5E626323"/>
    <w:rsid w:val="5E68147C"/>
    <w:rsid w:val="5E695B2A"/>
    <w:rsid w:val="5E6B6FF1"/>
    <w:rsid w:val="5E86311F"/>
    <w:rsid w:val="5E86548A"/>
    <w:rsid w:val="5E8A4D55"/>
    <w:rsid w:val="5E8B0034"/>
    <w:rsid w:val="5E965490"/>
    <w:rsid w:val="5E9E326F"/>
    <w:rsid w:val="5E9F3129"/>
    <w:rsid w:val="5EA0592B"/>
    <w:rsid w:val="5EB31D18"/>
    <w:rsid w:val="5EB94833"/>
    <w:rsid w:val="5EC36F8C"/>
    <w:rsid w:val="5ED52BEC"/>
    <w:rsid w:val="5EDD0B3C"/>
    <w:rsid w:val="5EE258B2"/>
    <w:rsid w:val="5EE56E7D"/>
    <w:rsid w:val="5EE80245"/>
    <w:rsid w:val="5EEE772F"/>
    <w:rsid w:val="5EF132F8"/>
    <w:rsid w:val="5EFC201A"/>
    <w:rsid w:val="5EFE73BB"/>
    <w:rsid w:val="5F04026D"/>
    <w:rsid w:val="5F0552D8"/>
    <w:rsid w:val="5F070F45"/>
    <w:rsid w:val="5F0868E9"/>
    <w:rsid w:val="5F0E6363"/>
    <w:rsid w:val="5F0F4198"/>
    <w:rsid w:val="5F1122A4"/>
    <w:rsid w:val="5F283DD1"/>
    <w:rsid w:val="5F284571"/>
    <w:rsid w:val="5F35643C"/>
    <w:rsid w:val="5F3A0ECC"/>
    <w:rsid w:val="5F3B0D62"/>
    <w:rsid w:val="5F454447"/>
    <w:rsid w:val="5F496AE3"/>
    <w:rsid w:val="5F4A0140"/>
    <w:rsid w:val="5F4E49A9"/>
    <w:rsid w:val="5F5304E5"/>
    <w:rsid w:val="5F557D24"/>
    <w:rsid w:val="5F61390F"/>
    <w:rsid w:val="5F6507A9"/>
    <w:rsid w:val="5F6A5F20"/>
    <w:rsid w:val="5F847158"/>
    <w:rsid w:val="5F8527A1"/>
    <w:rsid w:val="5F884ED8"/>
    <w:rsid w:val="5F8D262C"/>
    <w:rsid w:val="5F8E330E"/>
    <w:rsid w:val="5F936495"/>
    <w:rsid w:val="5F99713B"/>
    <w:rsid w:val="5F9A0389"/>
    <w:rsid w:val="5F9F5EE3"/>
    <w:rsid w:val="5FA767D8"/>
    <w:rsid w:val="5FAB0D25"/>
    <w:rsid w:val="5FAE368B"/>
    <w:rsid w:val="5FAE4CCA"/>
    <w:rsid w:val="5FB51466"/>
    <w:rsid w:val="5FB6148F"/>
    <w:rsid w:val="5FCB325D"/>
    <w:rsid w:val="5FCC6A31"/>
    <w:rsid w:val="5FDF212E"/>
    <w:rsid w:val="5FDF67B6"/>
    <w:rsid w:val="5FE10C8E"/>
    <w:rsid w:val="5FE34282"/>
    <w:rsid w:val="5FED06A9"/>
    <w:rsid w:val="5FF13CC0"/>
    <w:rsid w:val="5FF44DF9"/>
    <w:rsid w:val="5FFA456C"/>
    <w:rsid w:val="5FFA4853"/>
    <w:rsid w:val="6007576A"/>
    <w:rsid w:val="60143E86"/>
    <w:rsid w:val="60167164"/>
    <w:rsid w:val="601A587C"/>
    <w:rsid w:val="601B4091"/>
    <w:rsid w:val="602238F8"/>
    <w:rsid w:val="60244144"/>
    <w:rsid w:val="602C41B6"/>
    <w:rsid w:val="60311EBC"/>
    <w:rsid w:val="604017AE"/>
    <w:rsid w:val="6043648A"/>
    <w:rsid w:val="604654CE"/>
    <w:rsid w:val="604A57E6"/>
    <w:rsid w:val="604C521E"/>
    <w:rsid w:val="604F5EF6"/>
    <w:rsid w:val="6057558C"/>
    <w:rsid w:val="605E72F8"/>
    <w:rsid w:val="605F5AE3"/>
    <w:rsid w:val="606157F3"/>
    <w:rsid w:val="60627C46"/>
    <w:rsid w:val="606364CC"/>
    <w:rsid w:val="606429BD"/>
    <w:rsid w:val="60687CFB"/>
    <w:rsid w:val="607046CC"/>
    <w:rsid w:val="60720FD1"/>
    <w:rsid w:val="6072154F"/>
    <w:rsid w:val="60797945"/>
    <w:rsid w:val="60797E44"/>
    <w:rsid w:val="607D76B7"/>
    <w:rsid w:val="608061DE"/>
    <w:rsid w:val="60842FD7"/>
    <w:rsid w:val="60893541"/>
    <w:rsid w:val="608A1FF2"/>
    <w:rsid w:val="608C3A96"/>
    <w:rsid w:val="608D37A3"/>
    <w:rsid w:val="608D3B8C"/>
    <w:rsid w:val="608E25EC"/>
    <w:rsid w:val="609274B8"/>
    <w:rsid w:val="60941647"/>
    <w:rsid w:val="609616BE"/>
    <w:rsid w:val="609B70E8"/>
    <w:rsid w:val="60A112BC"/>
    <w:rsid w:val="60A32A95"/>
    <w:rsid w:val="60AC6414"/>
    <w:rsid w:val="60AD1D1B"/>
    <w:rsid w:val="60AF1A29"/>
    <w:rsid w:val="60B8084B"/>
    <w:rsid w:val="60BB1228"/>
    <w:rsid w:val="60C32468"/>
    <w:rsid w:val="60D1379A"/>
    <w:rsid w:val="60D43678"/>
    <w:rsid w:val="60D9211B"/>
    <w:rsid w:val="60DE6B36"/>
    <w:rsid w:val="60DF2705"/>
    <w:rsid w:val="60DF555F"/>
    <w:rsid w:val="60E51627"/>
    <w:rsid w:val="60E5727A"/>
    <w:rsid w:val="60E67AE8"/>
    <w:rsid w:val="60EA3735"/>
    <w:rsid w:val="60ED6A37"/>
    <w:rsid w:val="60F02909"/>
    <w:rsid w:val="60F86CDC"/>
    <w:rsid w:val="610053BE"/>
    <w:rsid w:val="61015C82"/>
    <w:rsid w:val="610406CF"/>
    <w:rsid w:val="61065EB1"/>
    <w:rsid w:val="61092FF7"/>
    <w:rsid w:val="610D2F2B"/>
    <w:rsid w:val="610E3805"/>
    <w:rsid w:val="610F7407"/>
    <w:rsid w:val="612149B4"/>
    <w:rsid w:val="61217505"/>
    <w:rsid w:val="6123437B"/>
    <w:rsid w:val="612439E8"/>
    <w:rsid w:val="61266741"/>
    <w:rsid w:val="612D296F"/>
    <w:rsid w:val="612D68C5"/>
    <w:rsid w:val="612E1494"/>
    <w:rsid w:val="61355E2F"/>
    <w:rsid w:val="614555FE"/>
    <w:rsid w:val="614A3BE6"/>
    <w:rsid w:val="614A563B"/>
    <w:rsid w:val="614B3DCA"/>
    <w:rsid w:val="614C69C2"/>
    <w:rsid w:val="614D19CC"/>
    <w:rsid w:val="61502BE6"/>
    <w:rsid w:val="61512EAC"/>
    <w:rsid w:val="61546D6C"/>
    <w:rsid w:val="615479E2"/>
    <w:rsid w:val="61555D9E"/>
    <w:rsid w:val="615A5B14"/>
    <w:rsid w:val="615D1289"/>
    <w:rsid w:val="615D5699"/>
    <w:rsid w:val="615E5DA0"/>
    <w:rsid w:val="616332B5"/>
    <w:rsid w:val="6168626A"/>
    <w:rsid w:val="61694F5B"/>
    <w:rsid w:val="616A700D"/>
    <w:rsid w:val="616C41B8"/>
    <w:rsid w:val="616D073D"/>
    <w:rsid w:val="61731D22"/>
    <w:rsid w:val="617A3001"/>
    <w:rsid w:val="617D0928"/>
    <w:rsid w:val="61897126"/>
    <w:rsid w:val="61982206"/>
    <w:rsid w:val="619877AE"/>
    <w:rsid w:val="61A44839"/>
    <w:rsid w:val="61A464B4"/>
    <w:rsid w:val="61A524ED"/>
    <w:rsid w:val="61BE3173"/>
    <w:rsid w:val="61C52F7C"/>
    <w:rsid w:val="61C56B2B"/>
    <w:rsid w:val="61C65438"/>
    <w:rsid w:val="61C665BE"/>
    <w:rsid w:val="61CA523D"/>
    <w:rsid w:val="61CE6570"/>
    <w:rsid w:val="61D15BC1"/>
    <w:rsid w:val="61D874CA"/>
    <w:rsid w:val="61DA463A"/>
    <w:rsid w:val="61E145AD"/>
    <w:rsid w:val="61EB3425"/>
    <w:rsid w:val="61F52D89"/>
    <w:rsid w:val="61F76912"/>
    <w:rsid w:val="62025288"/>
    <w:rsid w:val="62067533"/>
    <w:rsid w:val="62067DED"/>
    <w:rsid w:val="62071713"/>
    <w:rsid w:val="620971FF"/>
    <w:rsid w:val="620A7527"/>
    <w:rsid w:val="620B1CD1"/>
    <w:rsid w:val="620E43FD"/>
    <w:rsid w:val="62112067"/>
    <w:rsid w:val="62132F1F"/>
    <w:rsid w:val="62143D21"/>
    <w:rsid w:val="621D44D9"/>
    <w:rsid w:val="62256A19"/>
    <w:rsid w:val="622A55FC"/>
    <w:rsid w:val="622B2701"/>
    <w:rsid w:val="622C5484"/>
    <w:rsid w:val="62303335"/>
    <w:rsid w:val="623E00EC"/>
    <w:rsid w:val="624020DE"/>
    <w:rsid w:val="624548BE"/>
    <w:rsid w:val="625150D0"/>
    <w:rsid w:val="62523C0A"/>
    <w:rsid w:val="62572DC4"/>
    <w:rsid w:val="62584EFE"/>
    <w:rsid w:val="625A5497"/>
    <w:rsid w:val="625E2351"/>
    <w:rsid w:val="62685927"/>
    <w:rsid w:val="626C5300"/>
    <w:rsid w:val="62797EBD"/>
    <w:rsid w:val="62807CCC"/>
    <w:rsid w:val="6282163D"/>
    <w:rsid w:val="62890560"/>
    <w:rsid w:val="629D5986"/>
    <w:rsid w:val="62A22ABD"/>
    <w:rsid w:val="62A66FF8"/>
    <w:rsid w:val="62B77366"/>
    <w:rsid w:val="62BD338B"/>
    <w:rsid w:val="62C27B29"/>
    <w:rsid w:val="62C962FF"/>
    <w:rsid w:val="62CD2DEF"/>
    <w:rsid w:val="62D34ACF"/>
    <w:rsid w:val="62D44221"/>
    <w:rsid w:val="62DA2A79"/>
    <w:rsid w:val="62DE5397"/>
    <w:rsid w:val="62DE7680"/>
    <w:rsid w:val="62E122CB"/>
    <w:rsid w:val="62E43E32"/>
    <w:rsid w:val="62E821FD"/>
    <w:rsid w:val="62E91E86"/>
    <w:rsid w:val="62ED6533"/>
    <w:rsid w:val="62EE4CDB"/>
    <w:rsid w:val="630365A3"/>
    <w:rsid w:val="63036A0B"/>
    <w:rsid w:val="63047B58"/>
    <w:rsid w:val="6310630D"/>
    <w:rsid w:val="63134DEC"/>
    <w:rsid w:val="63170869"/>
    <w:rsid w:val="63193DF9"/>
    <w:rsid w:val="631C7329"/>
    <w:rsid w:val="631D6B7A"/>
    <w:rsid w:val="632018C7"/>
    <w:rsid w:val="632434EB"/>
    <w:rsid w:val="632D285D"/>
    <w:rsid w:val="632D64F7"/>
    <w:rsid w:val="632F28ED"/>
    <w:rsid w:val="63344891"/>
    <w:rsid w:val="633B43EA"/>
    <w:rsid w:val="633E1075"/>
    <w:rsid w:val="634149CA"/>
    <w:rsid w:val="634A5EF4"/>
    <w:rsid w:val="634B18B4"/>
    <w:rsid w:val="6350668D"/>
    <w:rsid w:val="63530A1E"/>
    <w:rsid w:val="636C2F84"/>
    <w:rsid w:val="636D305D"/>
    <w:rsid w:val="63737FD4"/>
    <w:rsid w:val="637403DF"/>
    <w:rsid w:val="63780D57"/>
    <w:rsid w:val="63795892"/>
    <w:rsid w:val="637B6EF5"/>
    <w:rsid w:val="637F2B43"/>
    <w:rsid w:val="6382063C"/>
    <w:rsid w:val="63825FCC"/>
    <w:rsid w:val="63885D41"/>
    <w:rsid w:val="638C6C0F"/>
    <w:rsid w:val="638D09F3"/>
    <w:rsid w:val="63920DFC"/>
    <w:rsid w:val="63935AD5"/>
    <w:rsid w:val="639A01BB"/>
    <w:rsid w:val="639C62A4"/>
    <w:rsid w:val="63A91559"/>
    <w:rsid w:val="63AA4A9F"/>
    <w:rsid w:val="63AC10F5"/>
    <w:rsid w:val="63B0397B"/>
    <w:rsid w:val="63B26775"/>
    <w:rsid w:val="63B65836"/>
    <w:rsid w:val="63B758FA"/>
    <w:rsid w:val="63BB68AB"/>
    <w:rsid w:val="63C13255"/>
    <w:rsid w:val="63C26FAC"/>
    <w:rsid w:val="63C65212"/>
    <w:rsid w:val="63C6642F"/>
    <w:rsid w:val="63D43F1B"/>
    <w:rsid w:val="63E2517C"/>
    <w:rsid w:val="63E37EF7"/>
    <w:rsid w:val="63E5010D"/>
    <w:rsid w:val="63EC0F18"/>
    <w:rsid w:val="63EF50C6"/>
    <w:rsid w:val="63F0548A"/>
    <w:rsid w:val="63FA2552"/>
    <w:rsid w:val="63FA618C"/>
    <w:rsid w:val="63FC5706"/>
    <w:rsid w:val="6402291D"/>
    <w:rsid w:val="64031A93"/>
    <w:rsid w:val="640720C1"/>
    <w:rsid w:val="640B1F8F"/>
    <w:rsid w:val="640D13B9"/>
    <w:rsid w:val="640D6A68"/>
    <w:rsid w:val="641013FB"/>
    <w:rsid w:val="6410427A"/>
    <w:rsid w:val="641066DF"/>
    <w:rsid w:val="64184969"/>
    <w:rsid w:val="641A631D"/>
    <w:rsid w:val="641F21C4"/>
    <w:rsid w:val="64205EF9"/>
    <w:rsid w:val="64237BE2"/>
    <w:rsid w:val="642C69BD"/>
    <w:rsid w:val="642F31B2"/>
    <w:rsid w:val="643469EA"/>
    <w:rsid w:val="6437387C"/>
    <w:rsid w:val="643E61A5"/>
    <w:rsid w:val="64412CB4"/>
    <w:rsid w:val="6441646E"/>
    <w:rsid w:val="64475BCD"/>
    <w:rsid w:val="6451379B"/>
    <w:rsid w:val="64546DA9"/>
    <w:rsid w:val="64630019"/>
    <w:rsid w:val="64644242"/>
    <w:rsid w:val="646A7333"/>
    <w:rsid w:val="646F7BBB"/>
    <w:rsid w:val="647A1DAD"/>
    <w:rsid w:val="647A760C"/>
    <w:rsid w:val="647E32AF"/>
    <w:rsid w:val="64856D00"/>
    <w:rsid w:val="6489675C"/>
    <w:rsid w:val="648F3E34"/>
    <w:rsid w:val="648F5418"/>
    <w:rsid w:val="64947EA7"/>
    <w:rsid w:val="649718EC"/>
    <w:rsid w:val="649F26DA"/>
    <w:rsid w:val="64B45E2A"/>
    <w:rsid w:val="64BF2941"/>
    <w:rsid w:val="64BF2E5F"/>
    <w:rsid w:val="64C80892"/>
    <w:rsid w:val="64C966BE"/>
    <w:rsid w:val="64CF4983"/>
    <w:rsid w:val="64D865AC"/>
    <w:rsid w:val="64DF41ED"/>
    <w:rsid w:val="64E04F1E"/>
    <w:rsid w:val="64E05696"/>
    <w:rsid w:val="64E349A2"/>
    <w:rsid w:val="64EA18FD"/>
    <w:rsid w:val="64EC317B"/>
    <w:rsid w:val="64ED414E"/>
    <w:rsid w:val="64EF0130"/>
    <w:rsid w:val="64EF032E"/>
    <w:rsid w:val="64F102BF"/>
    <w:rsid w:val="64F96F89"/>
    <w:rsid w:val="64FC29FD"/>
    <w:rsid w:val="64FE3B47"/>
    <w:rsid w:val="64FF4955"/>
    <w:rsid w:val="6505779C"/>
    <w:rsid w:val="65140C27"/>
    <w:rsid w:val="65222B6E"/>
    <w:rsid w:val="652A2225"/>
    <w:rsid w:val="652A2C63"/>
    <w:rsid w:val="653B62B2"/>
    <w:rsid w:val="653C00CC"/>
    <w:rsid w:val="653D48C7"/>
    <w:rsid w:val="6544003B"/>
    <w:rsid w:val="65462AB2"/>
    <w:rsid w:val="65465C3A"/>
    <w:rsid w:val="655460FF"/>
    <w:rsid w:val="6559070A"/>
    <w:rsid w:val="655A5855"/>
    <w:rsid w:val="655B3AA1"/>
    <w:rsid w:val="655F653C"/>
    <w:rsid w:val="65613BF2"/>
    <w:rsid w:val="6562146F"/>
    <w:rsid w:val="65621D71"/>
    <w:rsid w:val="65633124"/>
    <w:rsid w:val="65645B01"/>
    <w:rsid w:val="65673667"/>
    <w:rsid w:val="656D104A"/>
    <w:rsid w:val="656F20F3"/>
    <w:rsid w:val="6570190C"/>
    <w:rsid w:val="657643F7"/>
    <w:rsid w:val="6578051F"/>
    <w:rsid w:val="657A3E92"/>
    <w:rsid w:val="65812080"/>
    <w:rsid w:val="65866F62"/>
    <w:rsid w:val="658818B7"/>
    <w:rsid w:val="658854EC"/>
    <w:rsid w:val="65952AAB"/>
    <w:rsid w:val="659B5459"/>
    <w:rsid w:val="65A1330E"/>
    <w:rsid w:val="65A25BC8"/>
    <w:rsid w:val="65A51E1B"/>
    <w:rsid w:val="65A94FFA"/>
    <w:rsid w:val="65AC5DD0"/>
    <w:rsid w:val="65AD6A9C"/>
    <w:rsid w:val="65AF76AE"/>
    <w:rsid w:val="65B145D5"/>
    <w:rsid w:val="65B57D9B"/>
    <w:rsid w:val="65BD561F"/>
    <w:rsid w:val="65BE42B7"/>
    <w:rsid w:val="65C47AF2"/>
    <w:rsid w:val="65C539B4"/>
    <w:rsid w:val="65CC09C4"/>
    <w:rsid w:val="65CC7749"/>
    <w:rsid w:val="65CE47BF"/>
    <w:rsid w:val="65D0085F"/>
    <w:rsid w:val="65D5450D"/>
    <w:rsid w:val="65E315E1"/>
    <w:rsid w:val="65E751E7"/>
    <w:rsid w:val="65EA1953"/>
    <w:rsid w:val="65ED0819"/>
    <w:rsid w:val="65F07FE9"/>
    <w:rsid w:val="65FF4E58"/>
    <w:rsid w:val="66045203"/>
    <w:rsid w:val="661355E7"/>
    <w:rsid w:val="66162BAE"/>
    <w:rsid w:val="661A1D35"/>
    <w:rsid w:val="662B4832"/>
    <w:rsid w:val="662D490F"/>
    <w:rsid w:val="66300965"/>
    <w:rsid w:val="66345167"/>
    <w:rsid w:val="66382F41"/>
    <w:rsid w:val="66386E3C"/>
    <w:rsid w:val="6642153D"/>
    <w:rsid w:val="66426F5B"/>
    <w:rsid w:val="6642732F"/>
    <w:rsid w:val="66427514"/>
    <w:rsid w:val="66484986"/>
    <w:rsid w:val="664E04E3"/>
    <w:rsid w:val="664E1411"/>
    <w:rsid w:val="6654070E"/>
    <w:rsid w:val="66564B4F"/>
    <w:rsid w:val="66596602"/>
    <w:rsid w:val="666129E5"/>
    <w:rsid w:val="666510EF"/>
    <w:rsid w:val="666A6640"/>
    <w:rsid w:val="666B1C8B"/>
    <w:rsid w:val="666D0738"/>
    <w:rsid w:val="666D37EF"/>
    <w:rsid w:val="666E47D6"/>
    <w:rsid w:val="66705303"/>
    <w:rsid w:val="66714E5E"/>
    <w:rsid w:val="6686636A"/>
    <w:rsid w:val="66866CB8"/>
    <w:rsid w:val="6688104A"/>
    <w:rsid w:val="66901922"/>
    <w:rsid w:val="66955DAD"/>
    <w:rsid w:val="66A20992"/>
    <w:rsid w:val="66B23A7E"/>
    <w:rsid w:val="66B51C12"/>
    <w:rsid w:val="66BF49E4"/>
    <w:rsid w:val="66CC02D5"/>
    <w:rsid w:val="66CC53FC"/>
    <w:rsid w:val="66CE08C2"/>
    <w:rsid w:val="66CF2184"/>
    <w:rsid w:val="66D20BFB"/>
    <w:rsid w:val="66D228E4"/>
    <w:rsid w:val="66D34875"/>
    <w:rsid w:val="66D3745F"/>
    <w:rsid w:val="66D94970"/>
    <w:rsid w:val="66DF66B0"/>
    <w:rsid w:val="66E96858"/>
    <w:rsid w:val="66EA2C46"/>
    <w:rsid w:val="66EC5608"/>
    <w:rsid w:val="66F47D69"/>
    <w:rsid w:val="66F91386"/>
    <w:rsid w:val="67033B76"/>
    <w:rsid w:val="6705507A"/>
    <w:rsid w:val="67094900"/>
    <w:rsid w:val="670C61B1"/>
    <w:rsid w:val="670E5661"/>
    <w:rsid w:val="671D7131"/>
    <w:rsid w:val="671F2063"/>
    <w:rsid w:val="67212488"/>
    <w:rsid w:val="67230E17"/>
    <w:rsid w:val="67243AE8"/>
    <w:rsid w:val="67260D82"/>
    <w:rsid w:val="672F7595"/>
    <w:rsid w:val="673510AA"/>
    <w:rsid w:val="673A5DB8"/>
    <w:rsid w:val="673C52CE"/>
    <w:rsid w:val="674835A4"/>
    <w:rsid w:val="674A08D6"/>
    <w:rsid w:val="67506DC9"/>
    <w:rsid w:val="675443C8"/>
    <w:rsid w:val="675664A8"/>
    <w:rsid w:val="67572F0A"/>
    <w:rsid w:val="6760267D"/>
    <w:rsid w:val="67630966"/>
    <w:rsid w:val="676D7C3E"/>
    <w:rsid w:val="676E0C11"/>
    <w:rsid w:val="67771EB3"/>
    <w:rsid w:val="677816BC"/>
    <w:rsid w:val="6779303C"/>
    <w:rsid w:val="67893AC4"/>
    <w:rsid w:val="67897F92"/>
    <w:rsid w:val="67933C30"/>
    <w:rsid w:val="67934970"/>
    <w:rsid w:val="67973342"/>
    <w:rsid w:val="679A15A5"/>
    <w:rsid w:val="67A051CC"/>
    <w:rsid w:val="67A37D65"/>
    <w:rsid w:val="67A723E7"/>
    <w:rsid w:val="67A835DD"/>
    <w:rsid w:val="67AC675A"/>
    <w:rsid w:val="67AD23B2"/>
    <w:rsid w:val="67C0434F"/>
    <w:rsid w:val="67C36F06"/>
    <w:rsid w:val="67C4620E"/>
    <w:rsid w:val="67CF79C3"/>
    <w:rsid w:val="67D56F12"/>
    <w:rsid w:val="67DC12E8"/>
    <w:rsid w:val="67DC5B84"/>
    <w:rsid w:val="67DE05B4"/>
    <w:rsid w:val="67DF2BE3"/>
    <w:rsid w:val="67E0222A"/>
    <w:rsid w:val="67E33DD6"/>
    <w:rsid w:val="67E401B7"/>
    <w:rsid w:val="67E5172D"/>
    <w:rsid w:val="67E555F1"/>
    <w:rsid w:val="67E94652"/>
    <w:rsid w:val="67ED40A4"/>
    <w:rsid w:val="67EE565E"/>
    <w:rsid w:val="67F2090D"/>
    <w:rsid w:val="67F7311E"/>
    <w:rsid w:val="67F805E7"/>
    <w:rsid w:val="68061E6D"/>
    <w:rsid w:val="68132502"/>
    <w:rsid w:val="68184C55"/>
    <w:rsid w:val="681924FE"/>
    <w:rsid w:val="681C0784"/>
    <w:rsid w:val="683A3668"/>
    <w:rsid w:val="683B657B"/>
    <w:rsid w:val="684C2B48"/>
    <w:rsid w:val="68556949"/>
    <w:rsid w:val="685670DB"/>
    <w:rsid w:val="68567F31"/>
    <w:rsid w:val="685776BD"/>
    <w:rsid w:val="685B0970"/>
    <w:rsid w:val="685E3F7E"/>
    <w:rsid w:val="686E5523"/>
    <w:rsid w:val="687143A6"/>
    <w:rsid w:val="68732027"/>
    <w:rsid w:val="687A6873"/>
    <w:rsid w:val="687B7BF4"/>
    <w:rsid w:val="68847289"/>
    <w:rsid w:val="68873F5A"/>
    <w:rsid w:val="68881EFD"/>
    <w:rsid w:val="688F6C8F"/>
    <w:rsid w:val="688F6ECF"/>
    <w:rsid w:val="689141D9"/>
    <w:rsid w:val="68927129"/>
    <w:rsid w:val="68937A44"/>
    <w:rsid w:val="68960041"/>
    <w:rsid w:val="6896626F"/>
    <w:rsid w:val="689902EE"/>
    <w:rsid w:val="689E11ED"/>
    <w:rsid w:val="68A212DE"/>
    <w:rsid w:val="68AD5E16"/>
    <w:rsid w:val="68AE5A35"/>
    <w:rsid w:val="68B00491"/>
    <w:rsid w:val="68BC711D"/>
    <w:rsid w:val="68C276C2"/>
    <w:rsid w:val="68C7344F"/>
    <w:rsid w:val="68CC3AC4"/>
    <w:rsid w:val="68CD37ED"/>
    <w:rsid w:val="68D018E9"/>
    <w:rsid w:val="68D9302B"/>
    <w:rsid w:val="68DC4A0D"/>
    <w:rsid w:val="68DD2FD2"/>
    <w:rsid w:val="68E07E51"/>
    <w:rsid w:val="68ED6741"/>
    <w:rsid w:val="68FD080C"/>
    <w:rsid w:val="6904711D"/>
    <w:rsid w:val="69062180"/>
    <w:rsid w:val="6908307A"/>
    <w:rsid w:val="69093F2E"/>
    <w:rsid w:val="690C7C5F"/>
    <w:rsid w:val="690E0A75"/>
    <w:rsid w:val="690E2220"/>
    <w:rsid w:val="69106407"/>
    <w:rsid w:val="6917167B"/>
    <w:rsid w:val="69183894"/>
    <w:rsid w:val="6918723F"/>
    <w:rsid w:val="691B0627"/>
    <w:rsid w:val="691E6439"/>
    <w:rsid w:val="692371DC"/>
    <w:rsid w:val="692B748B"/>
    <w:rsid w:val="692E1277"/>
    <w:rsid w:val="692F6285"/>
    <w:rsid w:val="6934442A"/>
    <w:rsid w:val="69397C33"/>
    <w:rsid w:val="694753FD"/>
    <w:rsid w:val="69494E41"/>
    <w:rsid w:val="69496E2A"/>
    <w:rsid w:val="694D1FB4"/>
    <w:rsid w:val="694E7F2A"/>
    <w:rsid w:val="69501690"/>
    <w:rsid w:val="696B4AEC"/>
    <w:rsid w:val="696E6E1B"/>
    <w:rsid w:val="69715EEF"/>
    <w:rsid w:val="69752E98"/>
    <w:rsid w:val="697B519D"/>
    <w:rsid w:val="697C5226"/>
    <w:rsid w:val="697E5EB5"/>
    <w:rsid w:val="697F7C58"/>
    <w:rsid w:val="698209C9"/>
    <w:rsid w:val="6986719C"/>
    <w:rsid w:val="698851F4"/>
    <w:rsid w:val="69927C1F"/>
    <w:rsid w:val="69987043"/>
    <w:rsid w:val="699E183B"/>
    <w:rsid w:val="699F60B9"/>
    <w:rsid w:val="69A354E5"/>
    <w:rsid w:val="69A74324"/>
    <w:rsid w:val="69B070C4"/>
    <w:rsid w:val="69B856EB"/>
    <w:rsid w:val="69BC0CC4"/>
    <w:rsid w:val="69C85FED"/>
    <w:rsid w:val="69D32B08"/>
    <w:rsid w:val="69D76858"/>
    <w:rsid w:val="69E00314"/>
    <w:rsid w:val="69E15648"/>
    <w:rsid w:val="69E203DB"/>
    <w:rsid w:val="69E85706"/>
    <w:rsid w:val="69E859A8"/>
    <w:rsid w:val="69EF2F32"/>
    <w:rsid w:val="69F04562"/>
    <w:rsid w:val="69F07E03"/>
    <w:rsid w:val="69FB01E2"/>
    <w:rsid w:val="6A071FA7"/>
    <w:rsid w:val="6A0E7CDD"/>
    <w:rsid w:val="6A120FD0"/>
    <w:rsid w:val="6A12113C"/>
    <w:rsid w:val="6A133EB3"/>
    <w:rsid w:val="6A1F70BB"/>
    <w:rsid w:val="6A255A2B"/>
    <w:rsid w:val="6A26016B"/>
    <w:rsid w:val="6A300070"/>
    <w:rsid w:val="6A304F08"/>
    <w:rsid w:val="6A4107BE"/>
    <w:rsid w:val="6A4A15E8"/>
    <w:rsid w:val="6A4C5A04"/>
    <w:rsid w:val="6A5110C5"/>
    <w:rsid w:val="6A58493C"/>
    <w:rsid w:val="6A5F7765"/>
    <w:rsid w:val="6A6373A0"/>
    <w:rsid w:val="6A683C5A"/>
    <w:rsid w:val="6A687C25"/>
    <w:rsid w:val="6A6A33B7"/>
    <w:rsid w:val="6A6A49EF"/>
    <w:rsid w:val="6A6E7A18"/>
    <w:rsid w:val="6A7D3773"/>
    <w:rsid w:val="6A873080"/>
    <w:rsid w:val="6A883A57"/>
    <w:rsid w:val="6A894123"/>
    <w:rsid w:val="6A8B4A02"/>
    <w:rsid w:val="6A9A5A6C"/>
    <w:rsid w:val="6A9E4755"/>
    <w:rsid w:val="6AA20EE9"/>
    <w:rsid w:val="6AA52E5A"/>
    <w:rsid w:val="6AB640D8"/>
    <w:rsid w:val="6AB77DDD"/>
    <w:rsid w:val="6AB8678A"/>
    <w:rsid w:val="6AC0177F"/>
    <w:rsid w:val="6AC5642B"/>
    <w:rsid w:val="6ACB56C8"/>
    <w:rsid w:val="6AD237D3"/>
    <w:rsid w:val="6AD37D94"/>
    <w:rsid w:val="6ADA5C94"/>
    <w:rsid w:val="6ADF1DBC"/>
    <w:rsid w:val="6AE70AF2"/>
    <w:rsid w:val="6AEB4130"/>
    <w:rsid w:val="6AEF0E71"/>
    <w:rsid w:val="6AF10F79"/>
    <w:rsid w:val="6AF13E00"/>
    <w:rsid w:val="6AFD62C2"/>
    <w:rsid w:val="6B0445E1"/>
    <w:rsid w:val="6B08276F"/>
    <w:rsid w:val="6B0A5D32"/>
    <w:rsid w:val="6B0B6EA7"/>
    <w:rsid w:val="6B163C22"/>
    <w:rsid w:val="6B1870F1"/>
    <w:rsid w:val="6B1908E3"/>
    <w:rsid w:val="6B1E0666"/>
    <w:rsid w:val="6B214C3A"/>
    <w:rsid w:val="6B284EAE"/>
    <w:rsid w:val="6B2D67D1"/>
    <w:rsid w:val="6B2E4BDC"/>
    <w:rsid w:val="6B3230C2"/>
    <w:rsid w:val="6B3A0170"/>
    <w:rsid w:val="6B3B3477"/>
    <w:rsid w:val="6B3E31D3"/>
    <w:rsid w:val="6B444C91"/>
    <w:rsid w:val="6B453759"/>
    <w:rsid w:val="6B45608D"/>
    <w:rsid w:val="6B474C81"/>
    <w:rsid w:val="6B585D0F"/>
    <w:rsid w:val="6B5E2AF5"/>
    <w:rsid w:val="6B674629"/>
    <w:rsid w:val="6B6A1A19"/>
    <w:rsid w:val="6B6C5677"/>
    <w:rsid w:val="6B736098"/>
    <w:rsid w:val="6B736831"/>
    <w:rsid w:val="6B78662D"/>
    <w:rsid w:val="6B81648B"/>
    <w:rsid w:val="6B840CF4"/>
    <w:rsid w:val="6B8C1DDE"/>
    <w:rsid w:val="6B8D3913"/>
    <w:rsid w:val="6B917985"/>
    <w:rsid w:val="6B957B53"/>
    <w:rsid w:val="6BA403FD"/>
    <w:rsid w:val="6BAB267B"/>
    <w:rsid w:val="6BAB7F58"/>
    <w:rsid w:val="6BAD06E4"/>
    <w:rsid w:val="6BAE5892"/>
    <w:rsid w:val="6BB02C9C"/>
    <w:rsid w:val="6BB22A30"/>
    <w:rsid w:val="6BB5618F"/>
    <w:rsid w:val="6BB922DD"/>
    <w:rsid w:val="6BBD31AD"/>
    <w:rsid w:val="6BBF33D8"/>
    <w:rsid w:val="6BCA0D31"/>
    <w:rsid w:val="6BCD1A5F"/>
    <w:rsid w:val="6BD10E4A"/>
    <w:rsid w:val="6BD50F30"/>
    <w:rsid w:val="6BD954FE"/>
    <w:rsid w:val="6BDA3731"/>
    <w:rsid w:val="6BDA5A31"/>
    <w:rsid w:val="6BDD6387"/>
    <w:rsid w:val="6BE0409F"/>
    <w:rsid w:val="6BE11226"/>
    <w:rsid w:val="6BE56596"/>
    <w:rsid w:val="6BE77CB5"/>
    <w:rsid w:val="6BF1529A"/>
    <w:rsid w:val="6BF329C9"/>
    <w:rsid w:val="6BF82039"/>
    <w:rsid w:val="6C067490"/>
    <w:rsid w:val="6C0B5D3D"/>
    <w:rsid w:val="6C0F552A"/>
    <w:rsid w:val="6C132282"/>
    <w:rsid w:val="6C1E57A4"/>
    <w:rsid w:val="6C2052D7"/>
    <w:rsid w:val="6C2474AD"/>
    <w:rsid w:val="6C254DED"/>
    <w:rsid w:val="6C276487"/>
    <w:rsid w:val="6C2A3C97"/>
    <w:rsid w:val="6C300842"/>
    <w:rsid w:val="6C441522"/>
    <w:rsid w:val="6C444E98"/>
    <w:rsid w:val="6C44652A"/>
    <w:rsid w:val="6C450DC2"/>
    <w:rsid w:val="6C4743EF"/>
    <w:rsid w:val="6C49464D"/>
    <w:rsid w:val="6C5630FD"/>
    <w:rsid w:val="6C580C23"/>
    <w:rsid w:val="6C5D2B83"/>
    <w:rsid w:val="6C5E310E"/>
    <w:rsid w:val="6C605001"/>
    <w:rsid w:val="6C693101"/>
    <w:rsid w:val="6C6C65A8"/>
    <w:rsid w:val="6C6E654D"/>
    <w:rsid w:val="6C6F6D68"/>
    <w:rsid w:val="6C713EE6"/>
    <w:rsid w:val="6C7225C0"/>
    <w:rsid w:val="6C724086"/>
    <w:rsid w:val="6C7A0146"/>
    <w:rsid w:val="6C7D1EE1"/>
    <w:rsid w:val="6C83148E"/>
    <w:rsid w:val="6C847309"/>
    <w:rsid w:val="6C87483E"/>
    <w:rsid w:val="6C932F62"/>
    <w:rsid w:val="6C970952"/>
    <w:rsid w:val="6C986CFB"/>
    <w:rsid w:val="6C993EDD"/>
    <w:rsid w:val="6CA16A6E"/>
    <w:rsid w:val="6CA35ACE"/>
    <w:rsid w:val="6CA36F99"/>
    <w:rsid w:val="6CA51F44"/>
    <w:rsid w:val="6CAC41D8"/>
    <w:rsid w:val="6CAD1DA8"/>
    <w:rsid w:val="6CBC7404"/>
    <w:rsid w:val="6CC01FF7"/>
    <w:rsid w:val="6CC100DE"/>
    <w:rsid w:val="6CC172F0"/>
    <w:rsid w:val="6CC37577"/>
    <w:rsid w:val="6CC47E70"/>
    <w:rsid w:val="6CC83449"/>
    <w:rsid w:val="6CD4587A"/>
    <w:rsid w:val="6CD7368A"/>
    <w:rsid w:val="6CDE5384"/>
    <w:rsid w:val="6CE73495"/>
    <w:rsid w:val="6CE8549F"/>
    <w:rsid w:val="6CEC511B"/>
    <w:rsid w:val="6CF4007D"/>
    <w:rsid w:val="6CFC39F3"/>
    <w:rsid w:val="6CFC5A53"/>
    <w:rsid w:val="6CFF6600"/>
    <w:rsid w:val="6D010C12"/>
    <w:rsid w:val="6D0255CE"/>
    <w:rsid w:val="6D063E81"/>
    <w:rsid w:val="6D076851"/>
    <w:rsid w:val="6D127028"/>
    <w:rsid w:val="6D1F46E9"/>
    <w:rsid w:val="6D203CD5"/>
    <w:rsid w:val="6D223A04"/>
    <w:rsid w:val="6D263AE7"/>
    <w:rsid w:val="6D280683"/>
    <w:rsid w:val="6D2945A7"/>
    <w:rsid w:val="6D2A7621"/>
    <w:rsid w:val="6D2D6CE1"/>
    <w:rsid w:val="6D2E1113"/>
    <w:rsid w:val="6D325F0F"/>
    <w:rsid w:val="6D404A0F"/>
    <w:rsid w:val="6D420E52"/>
    <w:rsid w:val="6D4A0E9C"/>
    <w:rsid w:val="6D5418EA"/>
    <w:rsid w:val="6D575E66"/>
    <w:rsid w:val="6D5821FC"/>
    <w:rsid w:val="6D5D1D1B"/>
    <w:rsid w:val="6D6634BF"/>
    <w:rsid w:val="6D674F00"/>
    <w:rsid w:val="6D6F789B"/>
    <w:rsid w:val="6D7A77E4"/>
    <w:rsid w:val="6D7F2DE1"/>
    <w:rsid w:val="6D80339C"/>
    <w:rsid w:val="6D825FB8"/>
    <w:rsid w:val="6D8F01E3"/>
    <w:rsid w:val="6D944001"/>
    <w:rsid w:val="6D9C799E"/>
    <w:rsid w:val="6DA20C00"/>
    <w:rsid w:val="6DA25EF4"/>
    <w:rsid w:val="6DA735E2"/>
    <w:rsid w:val="6DAD74FD"/>
    <w:rsid w:val="6DB26C1E"/>
    <w:rsid w:val="6DB60DFB"/>
    <w:rsid w:val="6DB76E46"/>
    <w:rsid w:val="6DB844B9"/>
    <w:rsid w:val="6DBB0278"/>
    <w:rsid w:val="6DBE57BB"/>
    <w:rsid w:val="6DBE72ED"/>
    <w:rsid w:val="6DC37EC0"/>
    <w:rsid w:val="6DCB20B7"/>
    <w:rsid w:val="6DCF52A4"/>
    <w:rsid w:val="6DCF62AA"/>
    <w:rsid w:val="6DDC10B9"/>
    <w:rsid w:val="6DE2058C"/>
    <w:rsid w:val="6DEA4B63"/>
    <w:rsid w:val="6DEC2574"/>
    <w:rsid w:val="6DEF5566"/>
    <w:rsid w:val="6DF04A10"/>
    <w:rsid w:val="6DFA5521"/>
    <w:rsid w:val="6DFC4AA0"/>
    <w:rsid w:val="6E017998"/>
    <w:rsid w:val="6E06616E"/>
    <w:rsid w:val="6E0857F3"/>
    <w:rsid w:val="6E10735F"/>
    <w:rsid w:val="6E1B4FC1"/>
    <w:rsid w:val="6E1B5E12"/>
    <w:rsid w:val="6E343092"/>
    <w:rsid w:val="6E38181A"/>
    <w:rsid w:val="6E413541"/>
    <w:rsid w:val="6E4231C2"/>
    <w:rsid w:val="6E4B1B06"/>
    <w:rsid w:val="6E4C2E71"/>
    <w:rsid w:val="6E551BCA"/>
    <w:rsid w:val="6E6555FC"/>
    <w:rsid w:val="6E680706"/>
    <w:rsid w:val="6E692C0F"/>
    <w:rsid w:val="6E69339B"/>
    <w:rsid w:val="6E6B5DF0"/>
    <w:rsid w:val="6E712AD2"/>
    <w:rsid w:val="6E744537"/>
    <w:rsid w:val="6E765026"/>
    <w:rsid w:val="6E816B30"/>
    <w:rsid w:val="6E884AE3"/>
    <w:rsid w:val="6E8A3DD4"/>
    <w:rsid w:val="6E8D266C"/>
    <w:rsid w:val="6E8D6F11"/>
    <w:rsid w:val="6E8F434A"/>
    <w:rsid w:val="6E9402CA"/>
    <w:rsid w:val="6E9437CC"/>
    <w:rsid w:val="6E94517C"/>
    <w:rsid w:val="6E9A56D4"/>
    <w:rsid w:val="6E9B100B"/>
    <w:rsid w:val="6E9D4C90"/>
    <w:rsid w:val="6E9E00A9"/>
    <w:rsid w:val="6EA423CE"/>
    <w:rsid w:val="6EA431FC"/>
    <w:rsid w:val="6EA57175"/>
    <w:rsid w:val="6EA659A9"/>
    <w:rsid w:val="6EAB117C"/>
    <w:rsid w:val="6EAB6500"/>
    <w:rsid w:val="6EB03503"/>
    <w:rsid w:val="6EB5091B"/>
    <w:rsid w:val="6EB56CDB"/>
    <w:rsid w:val="6EB57409"/>
    <w:rsid w:val="6EBD113C"/>
    <w:rsid w:val="6EBF37FB"/>
    <w:rsid w:val="6EC219F7"/>
    <w:rsid w:val="6EC2511F"/>
    <w:rsid w:val="6EC40957"/>
    <w:rsid w:val="6EC40EEB"/>
    <w:rsid w:val="6ECA4DDC"/>
    <w:rsid w:val="6ECB0D87"/>
    <w:rsid w:val="6ECF26EB"/>
    <w:rsid w:val="6ED35329"/>
    <w:rsid w:val="6EDB5368"/>
    <w:rsid w:val="6EDF0F78"/>
    <w:rsid w:val="6EE314EC"/>
    <w:rsid w:val="6EE823BE"/>
    <w:rsid w:val="6EF0327D"/>
    <w:rsid w:val="6EF03718"/>
    <w:rsid w:val="6EF05437"/>
    <w:rsid w:val="6EF51CC5"/>
    <w:rsid w:val="6EF709C0"/>
    <w:rsid w:val="6EF95624"/>
    <w:rsid w:val="6EFD3C23"/>
    <w:rsid w:val="6EFF7B3A"/>
    <w:rsid w:val="6F032CF4"/>
    <w:rsid w:val="6F122C84"/>
    <w:rsid w:val="6F137B0B"/>
    <w:rsid w:val="6F170E85"/>
    <w:rsid w:val="6F180EB2"/>
    <w:rsid w:val="6F195B8D"/>
    <w:rsid w:val="6F1D0D11"/>
    <w:rsid w:val="6F2614AD"/>
    <w:rsid w:val="6F265765"/>
    <w:rsid w:val="6F27517A"/>
    <w:rsid w:val="6F283862"/>
    <w:rsid w:val="6F2B3D2A"/>
    <w:rsid w:val="6F2C357C"/>
    <w:rsid w:val="6F2E6A7A"/>
    <w:rsid w:val="6F2E742D"/>
    <w:rsid w:val="6F3A008B"/>
    <w:rsid w:val="6F3A224F"/>
    <w:rsid w:val="6F3F5D0E"/>
    <w:rsid w:val="6F4374A7"/>
    <w:rsid w:val="6F497CF0"/>
    <w:rsid w:val="6F4A1175"/>
    <w:rsid w:val="6F4F2AD0"/>
    <w:rsid w:val="6F5170EF"/>
    <w:rsid w:val="6F573803"/>
    <w:rsid w:val="6F5F076F"/>
    <w:rsid w:val="6F616C26"/>
    <w:rsid w:val="6F62065E"/>
    <w:rsid w:val="6F6278FA"/>
    <w:rsid w:val="6F641FCA"/>
    <w:rsid w:val="6F660B27"/>
    <w:rsid w:val="6F671B40"/>
    <w:rsid w:val="6F6C4EF2"/>
    <w:rsid w:val="6F6F3E18"/>
    <w:rsid w:val="6F702DF7"/>
    <w:rsid w:val="6F70604F"/>
    <w:rsid w:val="6F77413C"/>
    <w:rsid w:val="6F783E6C"/>
    <w:rsid w:val="6F7A2D7A"/>
    <w:rsid w:val="6F7D5DCF"/>
    <w:rsid w:val="6F825AAD"/>
    <w:rsid w:val="6F8A2227"/>
    <w:rsid w:val="6F8E4EE0"/>
    <w:rsid w:val="6F984219"/>
    <w:rsid w:val="6F990219"/>
    <w:rsid w:val="6F9D1A7C"/>
    <w:rsid w:val="6FA973F6"/>
    <w:rsid w:val="6FB07E8C"/>
    <w:rsid w:val="6FB34A5A"/>
    <w:rsid w:val="6FBC45CE"/>
    <w:rsid w:val="6FC1266F"/>
    <w:rsid w:val="6FC66B94"/>
    <w:rsid w:val="6FD51D6F"/>
    <w:rsid w:val="6FD62245"/>
    <w:rsid w:val="6FDC417F"/>
    <w:rsid w:val="6FDD321A"/>
    <w:rsid w:val="6FE63978"/>
    <w:rsid w:val="6FE663C9"/>
    <w:rsid w:val="6FEA7394"/>
    <w:rsid w:val="6FF0428C"/>
    <w:rsid w:val="6FF404B4"/>
    <w:rsid w:val="6FF64DA3"/>
    <w:rsid w:val="6FFB2F37"/>
    <w:rsid w:val="70031100"/>
    <w:rsid w:val="7008242C"/>
    <w:rsid w:val="70121C98"/>
    <w:rsid w:val="701346E6"/>
    <w:rsid w:val="70175C4F"/>
    <w:rsid w:val="701A0903"/>
    <w:rsid w:val="701A4FCA"/>
    <w:rsid w:val="701A6547"/>
    <w:rsid w:val="70236A4E"/>
    <w:rsid w:val="70256C69"/>
    <w:rsid w:val="7028280A"/>
    <w:rsid w:val="702C7775"/>
    <w:rsid w:val="70366AE2"/>
    <w:rsid w:val="70373538"/>
    <w:rsid w:val="7038625A"/>
    <w:rsid w:val="70396EE2"/>
    <w:rsid w:val="703A4175"/>
    <w:rsid w:val="703B41EF"/>
    <w:rsid w:val="70440DA9"/>
    <w:rsid w:val="70451C1A"/>
    <w:rsid w:val="70474830"/>
    <w:rsid w:val="7048188C"/>
    <w:rsid w:val="70487335"/>
    <w:rsid w:val="704F2F39"/>
    <w:rsid w:val="70571372"/>
    <w:rsid w:val="706322DC"/>
    <w:rsid w:val="7063386D"/>
    <w:rsid w:val="7063485A"/>
    <w:rsid w:val="70711B51"/>
    <w:rsid w:val="70770319"/>
    <w:rsid w:val="708446DD"/>
    <w:rsid w:val="708B2BFA"/>
    <w:rsid w:val="708C6267"/>
    <w:rsid w:val="708E48F3"/>
    <w:rsid w:val="70960F83"/>
    <w:rsid w:val="709928BB"/>
    <w:rsid w:val="709B11EE"/>
    <w:rsid w:val="709F3676"/>
    <w:rsid w:val="70A2038F"/>
    <w:rsid w:val="70A43BB3"/>
    <w:rsid w:val="70A46B6C"/>
    <w:rsid w:val="70A671FB"/>
    <w:rsid w:val="70AE15AA"/>
    <w:rsid w:val="70B351DF"/>
    <w:rsid w:val="70B3540A"/>
    <w:rsid w:val="70B924A1"/>
    <w:rsid w:val="70BA57A2"/>
    <w:rsid w:val="70C02226"/>
    <w:rsid w:val="70C21BD5"/>
    <w:rsid w:val="70DB1354"/>
    <w:rsid w:val="70E74387"/>
    <w:rsid w:val="70E95688"/>
    <w:rsid w:val="70F133F4"/>
    <w:rsid w:val="70F44C82"/>
    <w:rsid w:val="70F6416C"/>
    <w:rsid w:val="70F65FDE"/>
    <w:rsid w:val="70F82823"/>
    <w:rsid w:val="70FA4EF2"/>
    <w:rsid w:val="70FD6488"/>
    <w:rsid w:val="71001814"/>
    <w:rsid w:val="71030E7B"/>
    <w:rsid w:val="7104197B"/>
    <w:rsid w:val="71053D85"/>
    <w:rsid w:val="711E34A6"/>
    <w:rsid w:val="71214620"/>
    <w:rsid w:val="71246003"/>
    <w:rsid w:val="712B0D1A"/>
    <w:rsid w:val="71312799"/>
    <w:rsid w:val="71367DEB"/>
    <w:rsid w:val="713C7666"/>
    <w:rsid w:val="714566E7"/>
    <w:rsid w:val="71567288"/>
    <w:rsid w:val="715979B9"/>
    <w:rsid w:val="715C187E"/>
    <w:rsid w:val="715F2F64"/>
    <w:rsid w:val="716A3ECC"/>
    <w:rsid w:val="716D279C"/>
    <w:rsid w:val="717368BB"/>
    <w:rsid w:val="717D2450"/>
    <w:rsid w:val="717D3473"/>
    <w:rsid w:val="71855C60"/>
    <w:rsid w:val="718646AC"/>
    <w:rsid w:val="71893F18"/>
    <w:rsid w:val="718A2BD2"/>
    <w:rsid w:val="719A6A46"/>
    <w:rsid w:val="719E4BD5"/>
    <w:rsid w:val="71A94AE6"/>
    <w:rsid w:val="71AA1FB4"/>
    <w:rsid w:val="71AA5E03"/>
    <w:rsid w:val="71AD2519"/>
    <w:rsid w:val="71AE30CB"/>
    <w:rsid w:val="71B731AC"/>
    <w:rsid w:val="71BC586A"/>
    <w:rsid w:val="71BE020A"/>
    <w:rsid w:val="71C4348E"/>
    <w:rsid w:val="71C4594D"/>
    <w:rsid w:val="71C45F70"/>
    <w:rsid w:val="71C525A0"/>
    <w:rsid w:val="71C77FC3"/>
    <w:rsid w:val="71D67195"/>
    <w:rsid w:val="71D707E2"/>
    <w:rsid w:val="71D72B63"/>
    <w:rsid w:val="71D90995"/>
    <w:rsid w:val="71E0184C"/>
    <w:rsid w:val="71E34117"/>
    <w:rsid w:val="71E34506"/>
    <w:rsid w:val="71E70ECE"/>
    <w:rsid w:val="71E90DAD"/>
    <w:rsid w:val="71EE722C"/>
    <w:rsid w:val="71FA0D3D"/>
    <w:rsid w:val="72012AFB"/>
    <w:rsid w:val="72035696"/>
    <w:rsid w:val="720724DF"/>
    <w:rsid w:val="72086932"/>
    <w:rsid w:val="72120D05"/>
    <w:rsid w:val="72123FFF"/>
    <w:rsid w:val="721367E2"/>
    <w:rsid w:val="72146ED4"/>
    <w:rsid w:val="72172B83"/>
    <w:rsid w:val="7224182C"/>
    <w:rsid w:val="72285E6F"/>
    <w:rsid w:val="722860DC"/>
    <w:rsid w:val="72302B66"/>
    <w:rsid w:val="723137C3"/>
    <w:rsid w:val="72314AEC"/>
    <w:rsid w:val="723268A8"/>
    <w:rsid w:val="723765B7"/>
    <w:rsid w:val="723C4ABB"/>
    <w:rsid w:val="723F3DF5"/>
    <w:rsid w:val="72422F0F"/>
    <w:rsid w:val="72431E66"/>
    <w:rsid w:val="7247614E"/>
    <w:rsid w:val="724C5BB6"/>
    <w:rsid w:val="7259379E"/>
    <w:rsid w:val="725A46E9"/>
    <w:rsid w:val="726027C7"/>
    <w:rsid w:val="72620FB8"/>
    <w:rsid w:val="726B1F90"/>
    <w:rsid w:val="726B58A7"/>
    <w:rsid w:val="726C63B8"/>
    <w:rsid w:val="726E4B89"/>
    <w:rsid w:val="7278329D"/>
    <w:rsid w:val="727E1F3F"/>
    <w:rsid w:val="72816936"/>
    <w:rsid w:val="7287575B"/>
    <w:rsid w:val="728C47EA"/>
    <w:rsid w:val="72906CD8"/>
    <w:rsid w:val="7292783B"/>
    <w:rsid w:val="72931A7D"/>
    <w:rsid w:val="72933884"/>
    <w:rsid w:val="729353D4"/>
    <w:rsid w:val="72973460"/>
    <w:rsid w:val="729967DD"/>
    <w:rsid w:val="729A1FD4"/>
    <w:rsid w:val="729A6670"/>
    <w:rsid w:val="729D63A2"/>
    <w:rsid w:val="72A279FF"/>
    <w:rsid w:val="72A74598"/>
    <w:rsid w:val="72A82B27"/>
    <w:rsid w:val="72A91DE4"/>
    <w:rsid w:val="72AB1F98"/>
    <w:rsid w:val="72BD5D98"/>
    <w:rsid w:val="72BF50A2"/>
    <w:rsid w:val="72C00416"/>
    <w:rsid w:val="72C04D9A"/>
    <w:rsid w:val="72C60970"/>
    <w:rsid w:val="72C62F71"/>
    <w:rsid w:val="72D31546"/>
    <w:rsid w:val="72D40767"/>
    <w:rsid w:val="72D61995"/>
    <w:rsid w:val="72D705AD"/>
    <w:rsid w:val="72DA7FED"/>
    <w:rsid w:val="72DE5139"/>
    <w:rsid w:val="72E56AE8"/>
    <w:rsid w:val="72E81DB2"/>
    <w:rsid w:val="72F027CA"/>
    <w:rsid w:val="72FC1555"/>
    <w:rsid w:val="7301337F"/>
    <w:rsid w:val="7304264C"/>
    <w:rsid w:val="73062B16"/>
    <w:rsid w:val="73070C7F"/>
    <w:rsid w:val="730832A4"/>
    <w:rsid w:val="73126134"/>
    <w:rsid w:val="73186301"/>
    <w:rsid w:val="73201849"/>
    <w:rsid w:val="732114F1"/>
    <w:rsid w:val="73214465"/>
    <w:rsid w:val="73296CA2"/>
    <w:rsid w:val="732B15F3"/>
    <w:rsid w:val="7331676D"/>
    <w:rsid w:val="73355C60"/>
    <w:rsid w:val="73371506"/>
    <w:rsid w:val="733A6FFF"/>
    <w:rsid w:val="734034DC"/>
    <w:rsid w:val="73436693"/>
    <w:rsid w:val="734A66D2"/>
    <w:rsid w:val="73532762"/>
    <w:rsid w:val="73567B16"/>
    <w:rsid w:val="7357153F"/>
    <w:rsid w:val="735724C1"/>
    <w:rsid w:val="735A7717"/>
    <w:rsid w:val="735B536A"/>
    <w:rsid w:val="73690CCC"/>
    <w:rsid w:val="736A5E0C"/>
    <w:rsid w:val="736B751F"/>
    <w:rsid w:val="736E5508"/>
    <w:rsid w:val="7373563A"/>
    <w:rsid w:val="737427E7"/>
    <w:rsid w:val="73780C77"/>
    <w:rsid w:val="737A4BD0"/>
    <w:rsid w:val="737F4BFF"/>
    <w:rsid w:val="737F7D7C"/>
    <w:rsid w:val="738C1FF8"/>
    <w:rsid w:val="739736D3"/>
    <w:rsid w:val="739949BE"/>
    <w:rsid w:val="739D2071"/>
    <w:rsid w:val="73A00791"/>
    <w:rsid w:val="73A40BF2"/>
    <w:rsid w:val="73A57F12"/>
    <w:rsid w:val="73AA0332"/>
    <w:rsid w:val="73AA4DAE"/>
    <w:rsid w:val="73B156EB"/>
    <w:rsid w:val="73B654C1"/>
    <w:rsid w:val="73B672AE"/>
    <w:rsid w:val="73BD1340"/>
    <w:rsid w:val="73BD483F"/>
    <w:rsid w:val="73BF3516"/>
    <w:rsid w:val="73CC19BE"/>
    <w:rsid w:val="73CC466B"/>
    <w:rsid w:val="73D0787F"/>
    <w:rsid w:val="73DD455E"/>
    <w:rsid w:val="73E132B2"/>
    <w:rsid w:val="73E3242B"/>
    <w:rsid w:val="73E33B81"/>
    <w:rsid w:val="73E82590"/>
    <w:rsid w:val="73EA0F24"/>
    <w:rsid w:val="73EA1093"/>
    <w:rsid w:val="74060F68"/>
    <w:rsid w:val="740B08DB"/>
    <w:rsid w:val="740D3A81"/>
    <w:rsid w:val="741607EC"/>
    <w:rsid w:val="741A3D6E"/>
    <w:rsid w:val="741C0CAC"/>
    <w:rsid w:val="74341BE0"/>
    <w:rsid w:val="74343D24"/>
    <w:rsid w:val="743E7BC1"/>
    <w:rsid w:val="744B4084"/>
    <w:rsid w:val="74562B20"/>
    <w:rsid w:val="745720FB"/>
    <w:rsid w:val="7462281D"/>
    <w:rsid w:val="74644330"/>
    <w:rsid w:val="74660C6A"/>
    <w:rsid w:val="746C4611"/>
    <w:rsid w:val="746F686F"/>
    <w:rsid w:val="747A71BB"/>
    <w:rsid w:val="747E6251"/>
    <w:rsid w:val="74855371"/>
    <w:rsid w:val="74860A69"/>
    <w:rsid w:val="74880872"/>
    <w:rsid w:val="748A0DF2"/>
    <w:rsid w:val="748E57CA"/>
    <w:rsid w:val="7490588E"/>
    <w:rsid w:val="74920186"/>
    <w:rsid w:val="749279E2"/>
    <w:rsid w:val="74945B6C"/>
    <w:rsid w:val="74A22FEC"/>
    <w:rsid w:val="74A3016A"/>
    <w:rsid w:val="74A305FA"/>
    <w:rsid w:val="74A961CA"/>
    <w:rsid w:val="74AA74EB"/>
    <w:rsid w:val="74AD708A"/>
    <w:rsid w:val="74AE1FDF"/>
    <w:rsid w:val="74B52129"/>
    <w:rsid w:val="74B56CA0"/>
    <w:rsid w:val="74B75095"/>
    <w:rsid w:val="74BA06CD"/>
    <w:rsid w:val="74C1674C"/>
    <w:rsid w:val="74CD4F0A"/>
    <w:rsid w:val="74DA424F"/>
    <w:rsid w:val="74DB6400"/>
    <w:rsid w:val="74DF0652"/>
    <w:rsid w:val="74E13391"/>
    <w:rsid w:val="74E34A80"/>
    <w:rsid w:val="74F520CC"/>
    <w:rsid w:val="74F61ADC"/>
    <w:rsid w:val="74F70D4C"/>
    <w:rsid w:val="74F92DE1"/>
    <w:rsid w:val="74FB60AC"/>
    <w:rsid w:val="74FC4DAB"/>
    <w:rsid w:val="75040333"/>
    <w:rsid w:val="75054C5D"/>
    <w:rsid w:val="750726BC"/>
    <w:rsid w:val="75081ABD"/>
    <w:rsid w:val="75086E6C"/>
    <w:rsid w:val="750A2EE1"/>
    <w:rsid w:val="750B6466"/>
    <w:rsid w:val="75174F71"/>
    <w:rsid w:val="7519611E"/>
    <w:rsid w:val="751A5108"/>
    <w:rsid w:val="751E2355"/>
    <w:rsid w:val="752740EC"/>
    <w:rsid w:val="75276B3E"/>
    <w:rsid w:val="75301321"/>
    <w:rsid w:val="75306EF5"/>
    <w:rsid w:val="75331920"/>
    <w:rsid w:val="75366031"/>
    <w:rsid w:val="75406A6D"/>
    <w:rsid w:val="75412490"/>
    <w:rsid w:val="75501EAA"/>
    <w:rsid w:val="75541094"/>
    <w:rsid w:val="75543D67"/>
    <w:rsid w:val="75560158"/>
    <w:rsid w:val="75571893"/>
    <w:rsid w:val="755A0E43"/>
    <w:rsid w:val="755C0A7E"/>
    <w:rsid w:val="755F571E"/>
    <w:rsid w:val="756A2405"/>
    <w:rsid w:val="756A32EB"/>
    <w:rsid w:val="756D6C1D"/>
    <w:rsid w:val="75713BE9"/>
    <w:rsid w:val="75734A39"/>
    <w:rsid w:val="7573748D"/>
    <w:rsid w:val="75804C0B"/>
    <w:rsid w:val="758F15EE"/>
    <w:rsid w:val="759117D7"/>
    <w:rsid w:val="75917C95"/>
    <w:rsid w:val="75986631"/>
    <w:rsid w:val="759A69FE"/>
    <w:rsid w:val="759B7F64"/>
    <w:rsid w:val="75A37622"/>
    <w:rsid w:val="75A40B1C"/>
    <w:rsid w:val="75A504C3"/>
    <w:rsid w:val="75AD2A41"/>
    <w:rsid w:val="75B359D4"/>
    <w:rsid w:val="75B4465C"/>
    <w:rsid w:val="75B6506C"/>
    <w:rsid w:val="75B66857"/>
    <w:rsid w:val="75B706B7"/>
    <w:rsid w:val="75BD20EC"/>
    <w:rsid w:val="75BF6733"/>
    <w:rsid w:val="75C051DE"/>
    <w:rsid w:val="75C51FAF"/>
    <w:rsid w:val="75C7194F"/>
    <w:rsid w:val="75CC76D6"/>
    <w:rsid w:val="75CF0DC4"/>
    <w:rsid w:val="75D34DCF"/>
    <w:rsid w:val="75D45B14"/>
    <w:rsid w:val="75D47B2D"/>
    <w:rsid w:val="75DF5510"/>
    <w:rsid w:val="75E06B5A"/>
    <w:rsid w:val="75E104AA"/>
    <w:rsid w:val="75EF084A"/>
    <w:rsid w:val="75EF5AB0"/>
    <w:rsid w:val="75F01AC5"/>
    <w:rsid w:val="75F231B7"/>
    <w:rsid w:val="75F45E20"/>
    <w:rsid w:val="75FC34E5"/>
    <w:rsid w:val="75FE6878"/>
    <w:rsid w:val="75FF15EC"/>
    <w:rsid w:val="76034895"/>
    <w:rsid w:val="760A0510"/>
    <w:rsid w:val="760C027A"/>
    <w:rsid w:val="762070F0"/>
    <w:rsid w:val="76257D4C"/>
    <w:rsid w:val="762D51B0"/>
    <w:rsid w:val="76336E2A"/>
    <w:rsid w:val="763765D5"/>
    <w:rsid w:val="764A57F0"/>
    <w:rsid w:val="764E349C"/>
    <w:rsid w:val="765074D0"/>
    <w:rsid w:val="765130EC"/>
    <w:rsid w:val="76525694"/>
    <w:rsid w:val="76547F3D"/>
    <w:rsid w:val="765C7911"/>
    <w:rsid w:val="765D3DFE"/>
    <w:rsid w:val="76614532"/>
    <w:rsid w:val="76635834"/>
    <w:rsid w:val="76644A16"/>
    <w:rsid w:val="766E3A61"/>
    <w:rsid w:val="766F4763"/>
    <w:rsid w:val="767A51B9"/>
    <w:rsid w:val="76800247"/>
    <w:rsid w:val="76851440"/>
    <w:rsid w:val="76863E50"/>
    <w:rsid w:val="768E20AB"/>
    <w:rsid w:val="768E4D1E"/>
    <w:rsid w:val="768F5B89"/>
    <w:rsid w:val="76941029"/>
    <w:rsid w:val="7696272C"/>
    <w:rsid w:val="769748D8"/>
    <w:rsid w:val="769F6846"/>
    <w:rsid w:val="76A36D6C"/>
    <w:rsid w:val="76A7005D"/>
    <w:rsid w:val="76A77479"/>
    <w:rsid w:val="76AA29C3"/>
    <w:rsid w:val="76B10334"/>
    <w:rsid w:val="76BD10A6"/>
    <w:rsid w:val="76BD4467"/>
    <w:rsid w:val="76C33D66"/>
    <w:rsid w:val="76D14075"/>
    <w:rsid w:val="76D15500"/>
    <w:rsid w:val="76D972E7"/>
    <w:rsid w:val="76E568B0"/>
    <w:rsid w:val="76E9210F"/>
    <w:rsid w:val="76EC183B"/>
    <w:rsid w:val="76EC270D"/>
    <w:rsid w:val="76EC6DC4"/>
    <w:rsid w:val="76F746B4"/>
    <w:rsid w:val="76F97E66"/>
    <w:rsid w:val="7700458F"/>
    <w:rsid w:val="77011F02"/>
    <w:rsid w:val="770258C8"/>
    <w:rsid w:val="7704262D"/>
    <w:rsid w:val="7715533C"/>
    <w:rsid w:val="771620D3"/>
    <w:rsid w:val="771E7311"/>
    <w:rsid w:val="77273FDE"/>
    <w:rsid w:val="772D590E"/>
    <w:rsid w:val="772F60CD"/>
    <w:rsid w:val="7730505A"/>
    <w:rsid w:val="77305E4E"/>
    <w:rsid w:val="77376F0B"/>
    <w:rsid w:val="773908D2"/>
    <w:rsid w:val="773B26D7"/>
    <w:rsid w:val="774329A5"/>
    <w:rsid w:val="7752067D"/>
    <w:rsid w:val="77545B4B"/>
    <w:rsid w:val="77551777"/>
    <w:rsid w:val="77687FDE"/>
    <w:rsid w:val="776A3649"/>
    <w:rsid w:val="776A4169"/>
    <w:rsid w:val="776B3A5E"/>
    <w:rsid w:val="7773561F"/>
    <w:rsid w:val="777764F0"/>
    <w:rsid w:val="7778124A"/>
    <w:rsid w:val="777970CF"/>
    <w:rsid w:val="777B267F"/>
    <w:rsid w:val="777B536C"/>
    <w:rsid w:val="777D379C"/>
    <w:rsid w:val="77827E55"/>
    <w:rsid w:val="77870057"/>
    <w:rsid w:val="77870586"/>
    <w:rsid w:val="778B6518"/>
    <w:rsid w:val="778C13D3"/>
    <w:rsid w:val="778F64CB"/>
    <w:rsid w:val="77970D50"/>
    <w:rsid w:val="779B01EF"/>
    <w:rsid w:val="779C75F3"/>
    <w:rsid w:val="779F6D77"/>
    <w:rsid w:val="779F78DF"/>
    <w:rsid w:val="77A47D42"/>
    <w:rsid w:val="77A77E2E"/>
    <w:rsid w:val="77AA1A00"/>
    <w:rsid w:val="77AE14F6"/>
    <w:rsid w:val="77BC25D5"/>
    <w:rsid w:val="77C601E0"/>
    <w:rsid w:val="77CA03FC"/>
    <w:rsid w:val="77CB2546"/>
    <w:rsid w:val="77CD3F5A"/>
    <w:rsid w:val="77E32606"/>
    <w:rsid w:val="77E36F91"/>
    <w:rsid w:val="77EA1FDC"/>
    <w:rsid w:val="77ED2E8C"/>
    <w:rsid w:val="77F04ABF"/>
    <w:rsid w:val="77F062E5"/>
    <w:rsid w:val="77F87CE0"/>
    <w:rsid w:val="77FD715D"/>
    <w:rsid w:val="78004F73"/>
    <w:rsid w:val="7801379F"/>
    <w:rsid w:val="780716DC"/>
    <w:rsid w:val="78137A78"/>
    <w:rsid w:val="781936FE"/>
    <w:rsid w:val="78194A1D"/>
    <w:rsid w:val="781B51C3"/>
    <w:rsid w:val="78201D6E"/>
    <w:rsid w:val="78203C9F"/>
    <w:rsid w:val="78223817"/>
    <w:rsid w:val="78237AFA"/>
    <w:rsid w:val="782510E8"/>
    <w:rsid w:val="782A0EB8"/>
    <w:rsid w:val="782C03FB"/>
    <w:rsid w:val="783129C2"/>
    <w:rsid w:val="7832450C"/>
    <w:rsid w:val="783E0DD3"/>
    <w:rsid w:val="78405618"/>
    <w:rsid w:val="78406B45"/>
    <w:rsid w:val="784961AB"/>
    <w:rsid w:val="784B03A1"/>
    <w:rsid w:val="784B7F51"/>
    <w:rsid w:val="784C5F2A"/>
    <w:rsid w:val="785737AE"/>
    <w:rsid w:val="78583EFA"/>
    <w:rsid w:val="7867669F"/>
    <w:rsid w:val="787340DA"/>
    <w:rsid w:val="78736CC5"/>
    <w:rsid w:val="7875177A"/>
    <w:rsid w:val="78790AB1"/>
    <w:rsid w:val="787A14AE"/>
    <w:rsid w:val="787C5B15"/>
    <w:rsid w:val="787E319F"/>
    <w:rsid w:val="787F3CE2"/>
    <w:rsid w:val="78833470"/>
    <w:rsid w:val="788343E3"/>
    <w:rsid w:val="788B2D27"/>
    <w:rsid w:val="788D35A6"/>
    <w:rsid w:val="78961215"/>
    <w:rsid w:val="789C2D14"/>
    <w:rsid w:val="78A119F3"/>
    <w:rsid w:val="78A44F99"/>
    <w:rsid w:val="78B31988"/>
    <w:rsid w:val="78BB06E7"/>
    <w:rsid w:val="78C6519C"/>
    <w:rsid w:val="78D6530D"/>
    <w:rsid w:val="78DE36BD"/>
    <w:rsid w:val="78DF40C8"/>
    <w:rsid w:val="78EB2F73"/>
    <w:rsid w:val="78EC134A"/>
    <w:rsid w:val="78EC58E4"/>
    <w:rsid w:val="78ED2297"/>
    <w:rsid w:val="78F1587D"/>
    <w:rsid w:val="78F21EE2"/>
    <w:rsid w:val="78F31602"/>
    <w:rsid w:val="78F75E08"/>
    <w:rsid w:val="790321BA"/>
    <w:rsid w:val="7909537E"/>
    <w:rsid w:val="790B545D"/>
    <w:rsid w:val="790E22D2"/>
    <w:rsid w:val="790E35C2"/>
    <w:rsid w:val="791046EC"/>
    <w:rsid w:val="791F5E05"/>
    <w:rsid w:val="79216E7C"/>
    <w:rsid w:val="79245F6C"/>
    <w:rsid w:val="792B60E4"/>
    <w:rsid w:val="793042AC"/>
    <w:rsid w:val="79344C2C"/>
    <w:rsid w:val="793A7125"/>
    <w:rsid w:val="793D4AEA"/>
    <w:rsid w:val="793D5A81"/>
    <w:rsid w:val="793E680D"/>
    <w:rsid w:val="7941099B"/>
    <w:rsid w:val="7942051C"/>
    <w:rsid w:val="79462B0D"/>
    <w:rsid w:val="79515AAD"/>
    <w:rsid w:val="79585389"/>
    <w:rsid w:val="795B1C90"/>
    <w:rsid w:val="79664B46"/>
    <w:rsid w:val="796940DC"/>
    <w:rsid w:val="7974053E"/>
    <w:rsid w:val="797A07A6"/>
    <w:rsid w:val="797E0345"/>
    <w:rsid w:val="798D6B97"/>
    <w:rsid w:val="79920BD7"/>
    <w:rsid w:val="7996693F"/>
    <w:rsid w:val="799B2770"/>
    <w:rsid w:val="799C6D9C"/>
    <w:rsid w:val="79A171F0"/>
    <w:rsid w:val="79AA05EF"/>
    <w:rsid w:val="79AB58C9"/>
    <w:rsid w:val="79AC4296"/>
    <w:rsid w:val="79B13B01"/>
    <w:rsid w:val="79B85B1A"/>
    <w:rsid w:val="79BA0232"/>
    <w:rsid w:val="79BA2FA3"/>
    <w:rsid w:val="79C518CA"/>
    <w:rsid w:val="79C93EBD"/>
    <w:rsid w:val="79D63AA8"/>
    <w:rsid w:val="79DD2AC5"/>
    <w:rsid w:val="79DF4E27"/>
    <w:rsid w:val="79E23272"/>
    <w:rsid w:val="79E4456A"/>
    <w:rsid w:val="79E475C0"/>
    <w:rsid w:val="79EA0F72"/>
    <w:rsid w:val="79EC4A90"/>
    <w:rsid w:val="79EF6A05"/>
    <w:rsid w:val="79F65171"/>
    <w:rsid w:val="79F74A94"/>
    <w:rsid w:val="7A0021E5"/>
    <w:rsid w:val="7A014F47"/>
    <w:rsid w:val="7A1328A0"/>
    <w:rsid w:val="7A1A27B8"/>
    <w:rsid w:val="7A1C442D"/>
    <w:rsid w:val="7A2148DE"/>
    <w:rsid w:val="7A2269D3"/>
    <w:rsid w:val="7A243005"/>
    <w:rsid w:val="7A2706E0"/>
    <w:rsid w:val="7A2732B4"/>
    <w:rsid w:val="7A2863F7"/>
    <w:rsid w:val="7A2F5C7A"/>
    <w:rsid w:val="7A3062AF"/>
    <w:rsid w:val="7A3D4646"/>
    <w:rsid w:val="7A3D6ABC"/>
    <w:rsid w:val="7A4A6E7F"/>
    <w:rsid w:val="7A524148"/>
    <w:rsid w:val="7A557E70"/>
    <w:rsid w:val="7A655721"/>
    <w:rsid w:val="7A74248A"/>
    <w:rsid w:val="7A770803"/>
    <w:rsid w:val="7A787722"/>
    <w:rsid w:val="7A7A2D40"/>
    <w:rsid w:val="7A7D1D5F"/>
    <w:rsid w:val="7A883393"/>
    <w:rsid w:val="7A916166"/>
    <w:rsid w:val="7A9A50A7"/>
    <w:rsid w:val="7A9A5166"/>
    <w:rsid w:val="7AA02A8B"/>
    <w:rsid w:val="7AA31C03"/>
    <w:rsid w:val="7AA82035"/>
    <w:rsid w:val="7AAA2433"/>
    <w:rsid w:val="7AAC402E"/>
    <w:rsid w:val="7AAE6747"/>
    <w:rsid w:val="7AB127E6"/>
    <w:rsid w:val="7AB23B52"/>
    <w:rsid w:val="7AB2682F"/>
    <w:rsid w:val="7AB8141E"/>
    <w:rsid w:val="7AB842BE"/>
    <w:rsid w:val="7ABD620D"/>
    <w:rsid w:val="7AC223B2"/>
    <w:rsid w:val="7AC27617"/>
    <w:rsid w:val="7AC8445E"/>
    <w:rsid w:val="7ACA1C6E"/>
    <w:rsid w:val="7AD21A6E"/>
    <w:rsid w:val="7AD367CB"/>
    <w:rsid w:val="7AD6584D"/>
    <w:rsid w:val="7AD851E3"/>
    <w:rsid w:val="7ADD69F0"/>
    <w:rsid w:val="7AE22B21"/>
    <w:rsid w:val="7AE814FA"/>
    <w:rsid w:val="7AEA34FE"/>
    <w:rsid w:val="7AEC0909"/>
    <w:rsid w:val="7AEE25C5"/>
    <w:rsid w:val="7AF013AC"/>
    <w:rsid w:val="7AF434A7"/>
    <w:rsid w:val="7AF6050D"/>
    <w:rsid w:val="7AF6119C"/>
    <w:rsid w:val="7AF635D2"/>
    <w:rsid w:val="7AF964E3"/>
    <w:rsid w:val="7B0F2394"/>
    <w:rsid w:val="7B110A0E"/>
    <w:rsid w:val="7B116E8C"/>
    <w:rsid w:val="7B133968"/>
    <w:rsid w:val="7B1A7272"/>
    <w:rsid w:val="7B1B473D"/>
    <w:rsid w:val="7B286A29"/>
    <w:rsid w:val="7B2C39A7"/>
    <w:rsid w:val="7B2D13A8"/>
    <w:rsid w:val="7B3D5BF7"/>
    <w:rsid w:val="7B3F0F56"/>
    <w:rsid w:val="7B436CCB"/>
    <w:rsid w:val="7B5E7CBA"/>
    <w:rsid w:val="7B654B35"/>
    <w:rsid w:val="7B6644F4"/>
    <w:rsid w:val="7B6B53A5"/>
    <w:rsid w:val="7B727E52"/>
    <w:rsid w:val="7B740C94"/>
    <w:rsid w:val="7B7C5EFE"/>
    <w:rsid w:val="7B7C7536"/>
    <w:rsid w:val="7B8245FA"/>
    <w:rsid w:val="7B8855C2"/>
    <w:rsid w:val="7B9211CD"/>
    <w:rsid w:val="7B96015E"/>
    <w:rsid w:val="7B9A00B8"/>
    <w:rsid w:val="7B9C38B5"/>
    <w:rsid w:val="7B9E3B80"/>
    <w:rsid w:val="7B9F421D"/>
    <w:rsid w:val="7BA35B13"/>
    <w:rsid w:val="7BA627B7"/>
    <w:rsid w:val="7BA71A71"/>
    <w:rsid w:val="7BAB07ED"/>
    <w:rsid w:val="7BB10F32"/>
    <w:rsid w:val="7BB26780"/>
    <w:rsid w:val="7BBF5BC4"/>
    <w:rsid w:val="7BC4799D"/>
    <w:rsid w:val="7BC6005E"/>
    <w:rsid w:val="7BC97448"/>
    <w:rsid w:val="7BCD6588"/>
    <w:rsid w:val="7BD15F6F"/>
    <w:rsid w:val="7BD6046B"/>
    <w:rsid w:val="7BDE7337"/>
    <w:rsid w:val="7BDF66C5"/>
    <w:rsid w:val="7BE72953"/>
    <w:rsid w:val="7BE729F6"/>
    <w:rsid w:val="7BE7369B"/>
    <w:rsid w:val="7BE940B9"/>
    <w:rsid w:val="7BEA20C6"/>
    <w:rsid w:val="7BED3F21"/>
    <w:rsid w:val="7BF00D0F"/>
    <w:rsid w:val="7BF511CA"/>
    <w:rsid w:val="7BF62BCA"/>
    <w:rsid w:val="7BF63931"/>
    <w:rsid w:val="7BF64585"/>
    <w:rsid w:val="7BFD3254"/>
    <w:rsid w:val="7C0162EE"/>
    <w:rsid w:val="7C0516B3"/>
    <w:rsid w:val="7C0C5DE6"/>
    <w:rsid w:val="7C0F1A0C"/>
    <w:rsid w:val="7C1324F6"/>
    <w:rsid w:val="7C167714"/>
    <w:rsid w:val="7C196B39"/>
    <w:rsid w:val="7C1D41F3"/>
    <w:rsid w:val="7C1E4188"/>
    <w:rsid w:val="7C1F4CE2"/>
    <w:rsid w:val="7C232457"/>
    <w:rsid w:val="7C2671A6"/>
    <w:rsid w:val="7C2C6092"/>
    <w:rsid w:val="7C351437"/>
    <w:rsid w:val="7C356278"/>
    <w:rsid w:val="7C4059FA"/>
    <w:rsid w:val="7C420B02"/>
    <w:rsid w:val="7C4744B7"/>
    <w:rsid w:val="7C480501"/>
    <w:rsid w:val="7C487A9A"/>
    <w:rsid w:val="7C493955"/>
    <w:rsid w:val="7C4E1C7E"/>
    <w:rsid w:val="7C521AEB"/>
    <w:rsid w:val="7C5334AC"/>
    <w:rsid w:val="7C582EA0"/>
    <w:rsid w:val="7C5E1082"/>
    <w:rsid w:val="7C5E7021"/>
    <w:rsid w:val="7C693925"/>
    <w:rsid w:val="7C71250B"/>
    <w:rsid w:val="7C747922"/>
    <w:rsid w:val="7C7522FB"/>
    <w:rsid w:val="7C8120EB"/>
    <w:rsid w:val="7C8C60B1"/>
    <w:rsid w:val="7C927A47"/>
    <w:rsid w:val="7C931740"/>
    <w:rsid w:val="7C935100"/>
    <w:rsid w:val="7C9457B4"/>
    <w:rsid w:val="7C980749"/>
    <w:rsid w:val="7C982044"/>
    <w:rsid w:val="7C99717B"/>
    <w:rsid w:val="7C9A1FB2"/>
    <w:rsid w:val="7CA4633A"/>
    <w:rsid w:val="7CB50A51"/>
    <w:rsid w:val="7CB62273"/>
    <w:rsid w:val="7CB83599"/>
    <w:rsid w:val="7CBE76BA"/>
    <w:rsid w:val="7CC017D7"/>
    <w:rsid w:val="7CC23715"/>
    <w:rsid w:val="7CC552AF"/>
    <w:rsid w:val="7CC61597"/>
    <w:rsid w:val="7CC93A51"/>
    <w:rsid w:val="7CCC21B1"/>
    <w:rsid w:val="7CCF61C4"/>
    <w:rsid w:val="7CCF713F"/>
    <w:rsid w:val="7CD208B8"/>
    <w:rsid w:val="7CD410F5"/>
    <w:rsid w:val="7CD60893"/>
    <w:rsid w:val="7CD744FF"/>
    <w:rsid w:val="7CDA0DC1"/>
    <w:rsid w:val="7CE11653"/>
    <w:rsid w:val="7CE25575"/>
    <w:rsid w:val="7CE66ABB"/>
    <w:rsid w:val="7CEC1640"/>
    <w:rsid w:val="7CEC7290"/>
    <w:rsid w:val="7CF265C1"/>
    <w:rsid w:val="7CF6498C"/>
    <w:rsid w:val="7CF90FE6"/>
    <w:rsid w:val="7D016DE2"/>
    <w:rsid w:val="7D046E11"/>
    <w:rsid w:val="7D090CD3"/>
    <w:rsid w:val="7D106A8D"/>
    <w:rsid w:val="7D13417C"/>
    <w:rsid w:val="7D1365F8"/>
    <w:rsid w:val="7D137C1B"/>
    <w:rsid w:val="7D1A281A"/>
    <w:rsid w:val="7D1C03C9"/>
    <w:rsid w:val="7D1D79E5"/>
    <w:rsid w:val="7D2177E4"/>
    <w:rsid w:val="7D283B69"/>
    <w:rsid w:val="7D2F4975"/>
    <w:rsid w:val="7D3704A9"/>
    <w:rsid w:val="7D401599"/>
    <w:rsid w:val="7D440FF6"/>
    <w:rsid w:val="7D46384D"/>
    <w:rsid w:val="7D46670B"/>
    <w:rsid w:val="7D4E463F"/>
    <w:rsid w:val="7D4F6AF5"/>
    <w:rsid w:val="7D524187"/>
    <w:rsid w:val="7D59441D"/>
    <w:rsid w:val="7D5A2028"/>
    <w:rsid w:val="7D5F4656"/>
    <w:rsid w:val="7D633843"/>
    <w:rsid w:val="7D6B2593"/>
    <w:rsid w:val="7D725CA6"/>
    <w:rsid w:val="7D801E4C"/>
    <w:rsid w:val="7D83561B"/>
    <w:rsid w:val="7D864981"/>
    <w:rsid w:val="7D890D29"/>
    <w:rsid w:val="7D8C0B06"/>
    <w:rsid w:val="7D942F26"/>
    <w:rsid w:val="7D96554A"/>
    <w:rsid w:val="7D985A45"/>
    <w:rsid w:val="7D99341D"/>
    <w:rsid w:val="7D9E509F"/>
    <w:rsid w:val="7DA73B38"/>
    <w:rsid w:val="7DA91E94"/>
    <w:rsid w:val="7DAC5810"/>
    <w:rsid w:val="7DAF4DEE"/>
    <w:rsid w:val="7DB7580C"/>
    <w:rsid w:val="7DB9180E"/>
    <w:rsid w:val="7DBA70CF"/>
    <w:rsid w:val="7DC11FB7"/>
    <w:rsid w:val="7DC12ACC"/>
    <w:rsid w:val="7DC341F1"/>
    <w:rsid w:val="7DC80A1E"/>
    <w:rsid w:val="7DC81757"/>
    <w:rsid w:val="7DCC240B"/>
    <w:rsid w:val="7DCD49D8"/>
    <w:rsid w:val="7DCF0722"/>
    <w:rsid w:val="7DCF5ADA"/>
    <w:rsid w:val="7DCF5E47"/>
    <w:rsid w:val="7DD00B8A"/>
    <w:rsid w:val="7DD22454"/>
    <w:rsid w:val="7DD41086"/>
    <w:rsid w:val="7DD460C7"/>
    <w:rsid w:val="7DDA30BE"/>
    <w:rsid w:val="7DDF6A31"/>
    <w:rsid w:val="7DE02FD8"/>
    <w:rsid w:val="7DE66481"/>
    <w:rsid w:val="7DE73FCA"/>
    <w:rsid w:val="7DE93766"/>
    <w:rsid w:val="7DEB1BAC"/>
    <w:rsid w:val="7DF04A0A"/>
    <w:rsid w:val="7DF23A1E"/>
    <w:rsid w:val="7DF31BC0"/>
    <w:rsid w:val="7DF34AE4"/>
    <w:rsid w:val="7E037407"/>
    <w:rsid w:val="7E093660"/>
    <w:rsid w:val="7E0A4764"/>
    <w:rsid w:val="7E0B4780"/>
    <w:rsid w:val="7E17418B"/>
    <w:rsid w:val="7E180560"/>
    <w:rsid w:val="7E18269D"/>
    <w:rsid w:val="7E1A6EE4"/>
    <w:rsid w:val="7E247F1B"/>
    <w:rsid w:val="7E344268"/>
    <w:rsid w:val="7E3A4040"/>
    <w:rsid w:val="7E3D7B2B"/>
    <w:rsid w:val="7E420F60"/>
    <w:rsid w:val="7E44743A"/>
    <w:rsid w:val="7E46292D"/>
    <w:rsid w:val="7E4E2C9C"/>
    <w:rsid w:val="7E4E7C73"/>
    <w:rsid w:val="7E5170FD"/>
    <w:rsid w:val="7E552B20"/>
    <w:rsid w:val="7E555601"/>
    <w:rsid w:val="7E582619"/>
    <w:rsid w:val="7E612947"/>
    <w:rsid w:val="7E6277FD"/>
    <w:rsid w:val="7E644253"/>
    <w:rsid w:val="7E662F64"/>
    <w:rsid w:val="7E67623E"/>
    <w:rsid w:val="7E677E4E"/>
    <w:rsid w:val="7E693C24"/>
    <w:rsid w:val="7E725B75"/>
    <w:rsid w:val="7E763BDD"/>
    <w:rsid w:val="7E7751E1"/>
    <w:rsid w:val="7E793FEF"/>
    <w:rsid w:val="7E7B3DD3"/>
    <w:rsid w:val="7E81525E"/>
    <w:rsid w:val="7E8212A7"/>
    <w:rsid w:val="7E823065"/>
    <w:rsid w:val="7E871CD2"/>
    <w:rsid w:val="7E887B66"/>
    <w:rsid w:val="7E8A358E"/>
    <w:rsid w:val="7E8D5F63"/>
    <w:rsid w:val="7E924469"/>
    <w:rsid w:val="7E965DD6"/>
    <w:rsid w:val="7E987540"/>
    <w:rsid w:val="7E9D30C6"/>
    <w:rsid w:val="7EA57696"/>
    <w:rsid w:val="7EA752A9"/>
    <w:rsid w:val="7EA77E26"/>
    <w:rsid w:val="7EAB1BA6"/>
    <w:rsid w:val="7EAD11C4"/>
    <w:rsid w:val="7EB06B57"/>
    <w:rsid w:val="7EB831CA"/>
    <w:rsid w:val="7EBF641D"/>
    <w:rsid w:val="7EC27914"/>
    <w:rsid w:val="7EC51C8E"/>
    <w:rsid w:val="7EC54C8D"/>
    <w:rsid w:val="7ECC6C3E"/>
    <w:rsid w:val="7ED32749"/>
    <w:rsid w:val="7ED503E2"/>
    <w:rsid w:val="7ED61B84"/>
    <w:rsid w:val="7ED7102F"/>
    <w:rsid w:val="7ED87F1F"/>
    <w:rsid w:val="7EDC7D3C"/>
    <w:rsid w:val="7EDF3F47"/>
    <w:rsid w:val="7EE63894"/>
    <w:rsid w:val="7EE91A22"/>
    <w:rsid w:val="7EEA17FC"/>
    <w:rsid w:val="7EEF0511"/>
    <w:rsid w:val="7EFC4DFE"/>
    <w:rsid w:val="7EFC69B8"/>
    <w:rsid w:val="7F0052E1"/>
    <w:rsid w:val="7F0448D7"/>
    <w:rsid w:val="7F056430"/>
    <w:rsid w:val="7F057305"/>
    <w:rsid w:val="7F161884"/>
    <w:rsid w:val="7F175915"/>
    <w:rsid w:val="7F1A015C"/>
    <w:rsid w:val="7F1A63E1"/>
    <w:rsid w:val="7F1D7444"/>
    <w:rsid w:val="7F202B5D"/>
    <w:rsid w:val="7F2B5F6F"/>
    <w:rsid w:val="7F2C5FA9"/>
    <w:rsid w:val="7F2E670A"/>
    <w:rsid w:val="7F326768"/>
    <w:rsid w:val="7F3C1B71"/>
    <w:rsid w:val="7F432A3F"/>
    <w:rsid w:val="7F433BA7"/>
    <w:rsid w:val="7F445321"/>
    <w:rsid w:val="7F47047C"/>
    <w:rsid w:val="7F50041E"/>
    <w:rsid w:val="7F544113"/>
    <w:rsid w:val="7F585408"/>
    <w:rsid w:val="7F5A4CEC"/>
    <w:rsid w:val="7F5B1E5C"/>
    <w:rsid w:val="7F5D3B75"/>
    <w:rsid w:val="7F63023C"/>
    <w:rsid w:val="7F690DA5"/>
    <w:rsid w:val="7F6C76BD"/>
    <w:rsid w:val="7F707F2E"/>
    <w:rsid w:val="7F7C685D"/>
    <w:rsid w:val="7F8457D6"/>
    <w:rsid w:val="7F873BD8"/>
    <w:rsid w:val="7F932B0A"/>
    <w:rsid w:val="7F9406B5"/>
    <w:rsid w:val="7F943F93"/>
    <w:rsid w:val="7F9470D7"/>
    <w:rsid w:val="7F947D6D"/>
    <w:rsid w:val="7F97153D"/>
    <w:rsid w:val="7F98574A"/>
    <w:rsid w:val="7F9C22D7"/>
    <w:rsid w:val="7F9D3C4C"/>
    <w:rsid w:val="7F9F7843"/>
    <w:rsid w:val="7FA5305A"/>
    <w:rsid w:val="7FC03E4B"/>
    <w:rsid w:val="7FC51111"/>
    <w:rsid w:val="7FCC6935"/>
    <w:rsid w:val="7FCF0E21"/>
    <w:rsid w:val="7FD45496"/>
    <w:rsid w:val="7FD51BE1"/>
    <w:rsid w:val="7FD85673"/>
    <w:rsid w:val="7FD90FCF"/>
    <w:rsid w:val="7FD920B0"/>
    <w:rsid w:val="7FDB7285"/>
    <w:rsid w:val="7FDC1263"/>
    <w:rsid w:val="7FDD454A"/>
    <w:rsid w:val="7FDF723A"/>
    <w:rsid w:val="7FE224D1"/>
    <w:rsid w:val="7FE746F0"/>
    <w:rsid w:val="7FE90041"/>
    <w:rsid w:val="7FF61F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84"/>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4">
    <w:name w:val="heading 2"/>
    <w:basedOn w:val="1"/>
    <w:next w:val="1"/>
    <w:link w:val="482"/>
    <w:qFormat/>
    <w:uiPriority w:val="0"/>
    <w:pPr>
      <w:keepNext/>
      <w:keepLines/>
      <w:tabs>
        <w:tab w:val="left" w:pos="358"/>
      </w:tabs>
      <w:spacing w:before="400" w:beforeLines="0" w:beforeAutospacing="0" w:line="360" w:lineRule="auto"/>
      <w:ind w:left="358" w:hanging="420"/>
      <w:outlineLvl w:val="1"/>
    </w:pPr>
    <w:rPr>
      <w:b/>
      <w:sz w:val="32"/>
    </w:rPr>
  </w:style>
  <w:style w:type="paragraph" w:styleId="5">
    <w:name w:val="heading 3"/>
    <w:basedOn w:val="1"/>
    <w:next w:val="1"/>
    <w:link w:val="464"/>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paragraph" w:styleId="6">
    <w:name w:val="heading 4"/>
    <w:basedOn w:val="1"/>
    <w:next w:val="1"/>
    <w:link w:val="530"/>
    <w:qFormat/>
    <w:uiPriority w:val="0"/>
    <w:pPr>
      <w:keepNext/>
      <w:keepLines/>
      <w:tabs>
        <w:tab w:val="left" w:pos="1198"/>
      </w:tabs>
      <w:spacing w:before="120" w:beforeLines="0" w:beforeAutospacing="0" w:line="360" w:lineRule="auto"/>
      <w:ind w:left="1198" w:hanging="420"/>
      <w:outlineLvl w:val="3"/>
    </w:pPr>
    <w:rPr>
      <w:b/>
      <w:sz w:val="28"/>
    </w:rPr>
  </w:style>
  <w:style w:type="paragraph" w:styleId="7">
    <w:name w:val="heading 5"/>
    <w:basedOn w:val="1"/>
    <w:next w:val="8"/>
    <w:link w:val="531"/>
    <w:qFormat/>
    <w:uiPriority w:val="0"/>
    <w:pPr>
      <w:keepNext/>
      <w:keepLines/>
      <w:tabs>
        <w:tab w:val="left" w:pos="1618"/>
      </w:tabs>
      <w:spacing w:before="60" w:beforeLines="0" w:beforeAutospacing="0" w:after="312" w:afterLines="100" w:afterAutospacing="0"/>
      <w:ind w:left="1618" w:hanging="420"/>
      <w:outlineLvl w:val="4"/>
    </w:pPr>
    <w:rPr>
      <w:b/>
    </w:rPr>
  </w:style>
  <w:style w:type="paragraph" w:styleId="9">
    <w:name w:val="heading 6"/>
    <w:basedOn w:val="1"/>
    <w:next w:val="8"/>
    <w:link w:val="525"/>
    <w:qFormat/>
    <w:uiPriority w:val="0"/>
    <w:pPr>
      <w:keepNext/>
      <w:keepLines/>
      <w:tabs>
        <w:tab w:val="left" w:pos="2038"/>
      </w:tabs>
      <w:spacing w:before="240" w:beforeLines="0" w:beforeAutospacing="0" w:after="64" w:afterLines="0" w:afterAutospacing="0" w:line="317" w:lineRule="auto"/>
      <w:ind w:left="2038" w:hanging="420"/>
      <w:outlineLvl w:val="5"/>
    </w:pPr>
    <w:rPr>
      <w:rFonts w:ascii="Arial" w:hAnsi="Arial" w:eastAsia="黑体"/>
    </w:rPr>
  </w:style>
  <w:style w:type="paragraph" w:styleId="10">
    <w:name w:val="heading 7"/>
    <w:basedOn w:val="1"/>
    <w:next w:val="1"/>
    <w:link w:val="520"/>
    <w:qFormat/>
    <w:uiPriority w:val="0"/>
    <w:pPr>
      <w:keepNext/>
      <w:keepLines/>
      <w:spacing w:before="240" w:beforeLines="0" w:beforeAutospacing="0" w:after="64" w:afterLines="0" w:afterAutospacing="0" w:line="317" w:lineRule="auto"/>
      <w:outlineLvl w:val="6"/>
    </w:pPr>
    <w:rPr>
      <w:b/>
    </w:rPr>
  </w:style>
  <w:style w:type="paragraph" w:styleId="11">
    <w:name w:val="heading 8"/>
    <w:basedOn w:val="1"/>
    <w:next w:val="1"/>
    <w:link w:val="524"/>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2">
    <w:name w:val="heading 9"/>
    <w:basedOn w:val="1"/>
    <w:next w:val="1"/>
    <w:link w:val="432"/>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1">
    <w:name w:val="Default Paragraph Font"/>
    <w:qFormat/>
    <w:uiPriority w:val="0"/>
  </w:style>
  <w:style w:type="table" w:default="1" w:styleId="7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463"/>
    <w:qFormat/>
    <w:uiPriority w:val="0"/>
    <w:pPr>
      <w:autoSpaceDE w:val="0"/>
      <w:autoSpaceDN w:val="0"/>
      <w:adjustRightInd w:val="0"/>
      <w:spacing w:line="480" w:lineRule="auto"/>
      <w:jc w:val="left"/>
    </w:pPr>
    <w:rPr>
      <w:rFonts w:ascii="宋体"/>
      <w:color w:val="FF0000"/>
      <w:kern w:val="0"/>
    </w:rPr>
  </w:style>
  <w:style w:type="paragraph" w:customStyle="1" w:styleId="8">
    <w:name w:val="正文缩进2"/>
    <w:basedOn w:val="1"/>
    <w:qFormat/>
    <w:uiPriority w:val="0"/>
    <w:pPr>
      <w:spacing w:before="60" w:beforeLines="0" w:beforeAutospacing="0"/>
      <w:ind w:firstLine="476"/>
    </w:pPr>
  </w:style>
  <w:style w:type="paragraph" w:styleId="13">
    <w:name w:val="List 3"/>
    <w:basedOn w:val="1"/>
    <w:qFormat/>
    <w:uiPriority w:val="0"/>
    <w:pPr>
      <w:ind w:left="100" w:leftChars="400" w:hanging="200" w:hangingChars="200"/>
    </w:pPr>
    <w:rPr>
      <w:sz w:val="21"/>
      <w:szCs w:val="24"/>
    </w:r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numPr>
        <w:ilvl w:val="0"/>
        <w:numId w:val="1"/>
      </w:numPr>
      <w:spacing w:line="360" w:lineRule="auto"/>
      <w:jc w:val="left"/>
    </w:pPr>
    <w:rPr>
      <w:rFonts w:ascii="Arial" w:hAnsi="Arial" w:eastAsia="楷体_GB2312" w:cs="Arial"/>
      <w:sz w:val="28"/>
      <w:szCs w:val="24"/>
    </w:rPr>
  </w:style>
  <w:style w:type="paragraph" w:styleId="16">
    <w:name w:val="Note Heading"/>
    <w:basedOn w:val="1"/>
    <w:next w:val="1"/>
    <w:qFormat/>
    <w:uiPriority w:val="0"/>
    <w:pPr>
      <w:spacing w:line="360" w:lineRule="auto"/>
      <w:ind w:firstLine="200" w:firstLineChars="200"/>
      <w:jc w:val="center"/>
    </w:pPr>
    <w:rPr>
      <w:rFonts w:ascii="Arial" w:hAnsi="Arial" w:eastAsia="楷体_GB2312" w:cs="Arial"/>
      <w:sz w:val="28"/>
      <w:szCs w:val="24"/>
    </w:rPr>
  </w:style>
  <w:style w:type="paragraph" w:styleId="17">
    <w:name w:val="List Bullet 4"/>
    <w:basedOn w:val="1"/>
    <w:qFormat/>
    <w:uiPriority w:val="0"/>
    <w:pPr>
      <w:numPr>
        <w:ilvl w:val="0"/>
        <w:numId w:val="2"/>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18">
    <w:name w:val="E-mail Signature"/>
    <w:basedOn w:val="1"/>
    <w:qFormat/>
    <w:uiPriority w:val="0"/>
    <w:pPr>
      <w:spacing w:line="360" w:lineRule="auto"/>
      <w:ind w:firstLine="200" w:firstLineChars="200"/>
      <w:jc w:val="left"/>
    </w:pPr>
    <w:rPr>
      <w:rFonts w:ascii="Arial" w:hAnsi="Arial" w:eastAsia="楷体_GB2312" w:cs="Arial"/>
      <w:sz w:val="28"/>
      <w:szCs w:val="24"/>
    </w:rPr>
  </w:style>
  <w:style w:type="paragraph" w:styleId="19">
    <w:name w:val="List Number"/>
    <w:basedOn w:val="1"/>
    <w:qFormat/>
    <w:uiPriority w:val="0"/>
    <w:pPr>
      <w:numPr>
        <w:ilvl w:val="0"/>
        <w:numId w:val="3"/>
      </w:numPr>
      <w:spacing w:line="360" w:lineRule="auto"/>
      <w:jc w:val="left"/>
    </w:pPr>
    <w:rPr>
      <w:rFonts w:ascii="Arial" w:hAnsi="Arial" w:eastAsia="楷体_GB2312" w:cs="Arial"/>
      <w:sz w:val="28"/>
      <w:szCs w:val="24"/>
    </w:rPr>
  </w:style>
  <w:style w:type="paragraph" w:styleId="20">
    <w:name w:val="Normal Indent"/>
    <w:basedOn w:val="1"/>
    <w:next w:val="1"/>
    <w:link w:val="497"/>
    <w:qFormat/>
    <w:uiPriority w:val="0"/>
    <w:pPr>
      <w:ind w:firstLine="420"/>
    </w:pPr>
    <w:rPr>
      <w:sz w:val="21"/>
    </w:rPr>
  </w:style>
  <w:style w:type="paragraph" w:styleId="21">
    <w:name w:val="caption"/>
    <w:basedOn w:val="1"/>
    <w:next w:val="1"/>
    <w:link w:val="528"/>
    <w:qFormat/>
    <w:uiPriority w:val="0"/>
    <w:pPr>
      <w:spacing w:before="152" w:beforeLines="0" w:beforeAutospacing="0" w:after="160" w:afterLines="0" w:afterAutospacing="0" w:line="360" w:lineRule="auto"/>
      <w:ind w:firstLine="476"/>
    </w:pPr>
    <w:rPr>
      <w:rFonts w:ascii="Arial" w:hAnsi="Arial" w:eastAsia="黑体"/>
      <w:spacing w:val="10"/>
      <w:sz w:val="20"/>
    </w:rPr>
  </w:style>
  <w:style w:type="paragraph" w:styleId="22">
    <w:name w:val="index 5"/>
    <w:basedOn w:val="1"/>
    <w:next w:val="1"/>
    <w:qFormat/>
    <w:uiPriority w:val="0"/>
    <w:pPr>
      <w:tabs>
        <w:tab w:val="left" w:pos="5760"/>
      </w:tabs>
      <w:ind w:left="1920" w:leftChars="800"/>
      <w:jc w:val="left"/>
    </w:pPr>
  </w:style>
  <w:style w:type="paragraph" w:styleId="23">
    <w:name w:val="List Bullet"/>
    <w:basedOn w:val="1"/>
    <w:qFormat/>
    <w:uiPriority w:val="0"/>
    <w:pPr>
      <w:tabs>
        <w:tab w:val="left" w:pos="748"/>
      </w:tabs>
      <w:spacing w:line="360" w:lineRule="auto"/>
      <w:ind w:left="748" w:hanging="374"/>
    </w:pPr>
    <w:rPr>
      <w:sz w:val="21"/>
    </w:rPr>
  </w:style>
  <w:style w:type="paragraph" w:styleId="24">
    <w:name w:val="envelope address"/>
    <w:basedOn w:val="1"/>
    <w:qFormat/>
    <w:uiPriority w:val="0"/>
    <w:pPr>
      <w:snapToGrid w:val="0"/>
      <w:spacing w:line="360" w:lineRule="auto"/>
      <w:ind w:left="100" w:leftChars="1400" w:firstLine="200" w:firstLineChars="200"/>
      <w:jc w:val="left"/>
    </w:pPr>
    <w:rPr>
      <w:rFonts w:ascii="Arial" w:hAnsi="Arial" w:eastAsia="楷体_GB2312" w:cs="Arial"/>
      <w:szCs w:val="24"/>
    </w:rPr>
  </w:style>
  <w:style w:type="paragraph" w:styleId="25">
    <w:name w:val="Document Map"/>
    <w:basedOn w:val="1"/>
    <w:link w:val="501"/>
    <w:qFormat/>
    <w:uiPriority w:val="0"/>
    <w:pPr>
      <w:shd w:val="clear" w:color="auto" w:fill="000080"/>
    </w:pPr>
    <w:rPr>
      <w:shd w:val="clear" w:color="auto" w:fill="000080"/>
    </w:rPr>
  </w:style>
  <w:style w:type="paragraph" w:styleId="26">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 w:val="21"/>
    </w:rPr>
  </w:style>
  <w:style w:type="paragraph" w:styleId="27">
    <w:name w:val="annotation text"/>
    <w:basedOn w:val="1"/>
    <w:link w:val="532"/>
    <w:qFormat/>
    <w:uiPriority w:val="0"/>
    <w:pPr>
      <w:jc w:val="left"/>
    </w:pPr>
  </w:style>
  <w:style w:type="paragraph" w:styleId="28">
    <w:name w:val="Salutation"/>
    <w:basedOn w:val="1"/>
    <w:next w:val="1"/>
    <w:qFormat/>
    <w:uiPriority w:val="0"/>
    <w:pPr>
      <w:spacing w:line="360" w:lineRule="auto"/>
      <w:ind w:firstLine="200" w:firstLineChars="200"/>
      <w:jc w:val="left"/>
    </w:pPr>
    <w:rPr>
      <w:rFonts w:ascii="Arial" w:hAnsi="Arial" w:eastAsia="楷体_GB2312" w:cs="Arial"/>
      <w:sz w:val="28"/>
      <w:szCs w:val="24"/>
    </w:rPr>
  </w:style>
  <w:style w:type="paragraph" w:styleId="29">
    <w:name w:val="Body Text 3"/>
    <w:basedOn w:val="1"/>
    <w:qFormat/>
    <w:uiPriority w:val="0"/>
    <w:pPr>
      <w:spacing w:after="120" w:afterLines="0"/>
    </w:pPr>
    <w:rPr>
      <w:sz w:val="16"/>
      <w:szCs w:val="16"/>
    </w:rPr>
  </w:style>
  <w:style w:type="paragraph" w:styleId="30">
    <w:name w:val="Closing"/>
    <w:basedOn w:val="1"/>
    <w:qFormat/>
    <w:uiPriority w:val="0"/>
    <w:pPr>
      <w:spacing w:line="360" w:lineRule="auto"/>
      <w:ind w:left="100" w:leftChars="2100" w:firstLine="200" w:firstLineChars="200"/>
      <w:jc w:val="left"/>
    </w:pPr>
    <w:rPr>
      <w:rFonts w:ascii="Arial" w:hAnsi="Arial" w:eastAsia="楷体_GB2312" w:cs="Arial"/>
      <w:sz w:val="28"/>
      <w:szCs w:val="24"/>
    </w:rPr>
  </w:style>
  <w:style w:type="paragraph" w:styleId="31">
    <w:name w:val="List Bullet 3"/>
    <w:basedOn w:val="1"/>
    <w:qFormat/>
    <w:uiPriority w:val="0"/>
    <w:pPr>
      <w:numPr>
        <w:ilvl w:val="0"/>
        <w:numId w:val="4"/>
      </w:numPr>
      <w:tabs>
        <w:tab w:val="left" w:pos="1200"/>
        <w:tab w:val="clear" w:pos="360"/>
      </w:tabs>
      <w:spacing w:line="360" w:lineRule="auto"/>
      <w:ind w:left="1200" w:leftChars="400"/>
      <w:jc w:val="left"/>
    </w:pPr>
    <w:rPr>
      <w:rFonts w:ascii="Arial" w:hAnsi="Arial" w:eastAsia="楷体_GB2312" w:cs="Arial"/>
      <w:sz w:val="28"/>
      <w:szCs w:val="24"/>
    </w:rPr>
  </w:style>
  <w:style w:type="paragraph" w:styleId="32">
    <w:name w:val="Body Text Indent"/>
    <w:basedOn w:val="1"/>
    <w:next w:val="33"/>
    <w:link w:val="429"/>
    <w:qFormat/>
    <w:uiPriority w:val="99"/>
    <w:pPr>
      <w:spacing w:before="120" w:beforeLines="0" w:beforeAutospacing="0" w:after="120" w:afterLines="0" w:afterAutospacing="0" w:line="360" w:lineRule="auto"/>
      <w:ind w:firstLine="525"/>
    </w:pPr>
    <w:rPr>
      <w:rFonts w:ascii="宋体"/>
    </w:rPr>
  </w:style>
  <w:style w:type="paragraph" w:styleId="33">
    <w:name w:val="Body Text First Indent 2"/>
    <w:basedOn w:val="32"/>
    <w:next w:val="1"/>
    <w:qFormat/>
    <w:uiPriority w:val="0"/>
    <w:pPr>
      <w:spacing w:before="0" w:beforeLines="0" w:beforeAutospacing="0" w:line="240" w:lineRule="auto"/>
      <w:ind w:left="420" w:leftChars="200" w:firstLine="420" w:firstLineChars="200"/>
    </w:pPr>
    <w:rPr>
      <w:rFonts w:hint="default" w:ascii="Times New Roman"/>
    </w:rPr>
  </w:style>
  <w:style w:type="paragraph" w:styleId="34">
    <w:name w:val="List Number 3"/>
    <w:basedOn w:val="1"/>
    <w:qFormat/>
    <w:uiPriority w:val="0"/>
    <w:pPr>
      <w:numPr>
        <w:ilvl w:val="0"/>
        <w:numId w:val="5"/>
      </w:numPr>
    </w:pPr>
    <w:rPr>
      <w:sz w:val="21"/>
      <w:szCs w:val="24"/>
    </w:rPr>
  </w:style>
  <w:style w:type="paragraph" w:styleId="35">
    <w:name w:val="List 2"/>
    <w:basedOn w:val="1"/>
    <w:qFormat/>
    <w:uiPriority w:val="0"/>
    <w:pPr>
      <w:ind w:left="100" w:leftChars="200" w:hanging="200" w:hangingChars="200"/>
    </w:pPr>
    <w:rPr>
      <w:sz w:val="21"/>
      <w:szCs w:val="24"/>
    </w:rPr>
  </w:style>
  <w:style w:type="paragraph" w:styleId="36">
    <w:name w:val="List Continue"/>
    <w:basedOn w:val="1"/>
    <w:qFormat/>
    <w:uiPriority w:val="0"/>
    <w:pPr>
      <w:spacing w:after="120" w:afterLines="0"/>
      <w:ind w:left="420" w:leftChars="200"/>
    </w:pPr>
    <w:rPr>
      <w:sz w:val="21"/>
      <w:szCs w:val="24"/>
    </w:rPr>
  </w:style>
  <w:style w:type="paragraph" w:styleId="37">
    <w:name w:val="Block Text"/>
    <w:basedOn w:val="1"/>
    <w:qFormat/>
    <w:uiPriority w:val="0"/>
    <w:pPr>
      <w:ind w:left="718" w:leftChars="342" w:right="373" w:firstLine="560" w:firstLineChars="200"/>
    </w:pPr>
    <w:rPr>
      <w:rFonts w:ascii="新宋体" w:eastAsia="新宋体"/>
      <w:color w:val="000000"/>
      <w:sz w:val="28"/>
      <w:szCs w:val="21"/>
      <w:lang w:val="zh-CN"/>
    </w:rPr>
  </w:style>
  <w:style w:type="paragraph" w:styleId="38">
    <w:name w:val="List Bullet 2"/>
    <w:basedOn w:val="1"/>
    <w:qFormat/>
    <w:uiPriority w:val="0"/>
    <w:pPr>
      <w:tabs>
        <w:tab w:val="left" w:pos="840"/>
      </w:tabs>
      <w:adjustRightInd w:val="0"/>
      <w:spacing w:line="312" w:lineRule="atLeast"/>
      <w:ind w:left="1350" w:hanging="510"/>
      <w:textAlignment w:val="baseline"/>
    </w:pPr>
    <w:rPr>
      <w:kern w:val="0"/>
      <w:sz w:val="21"/>
    </w:rPr>
  </w:style>
  <w:style w:type="paragraph" w:styleId="39">
    <w:name w:val="HTML Address"/>
    <w:basedOn w:val="1"/>
    <w:qFormat/>
    <w:uiPriority w:val="0"/>
    <w:pPr>
      <w:spacing w:line="360" w:lineRule="auto"/>
      <w:ind w:firstLine="200" w:firstLineChars="200"/>
      <w:jc w:val="left"/>
    </w:pPr>
    <w:rPr>
      <w:rFonts w:ascii="Arial" w:hAnsi="Arial" w:eastAsia="楷体_GB2312" w:cs="Arial"/>
      <w:i/>
      <w:iCs/>
      <w:sz w:val="28"/>
      <w:szCs w:val="24"/>
    </w:rPr>
  </w:style>
  <w:style w:type="paragraph" w:styleId="40">
    <w:name w:val="toc 5"/>
    <w:basedOn w:val="1"/>
    <w:next w:val="1"/>
    <w:qFormat/>
    <w:uiPriority w:val="0"/>
    <w:pPr>
      <w:ind w:left="840"/>
      <w:jc w:val="left"/>
    </w:pPr>
    <w:rPr>
      <w:sz w:val="18"/>
    </w:rPr>
  </w:style>
  <w:style w:type="paragraph" w:styleId="41">
    <w:name w:val="toc 3"/>
    <w:basedOn w:val="1"/>
    <w:next w:val="1"/>
    <w:qFormat/>
    <w:uiPriority w:val="39"/>
    <w:pPr>
      <w:tabs>
        <w:tab w:val="left" w:pos="845"/>
        <w:tab w:val="right" w:leader="dot" w:pos="9316"/>
      </w:tabs>
      <w:ind w:left="420"/>
      <w:jc w:val="left"/>
    </w:pPr>
    <w:rPr>
      <w:sz w:val="20"/>
    </w:rPr>
  </w:style>
  <w:style w:type="paragraph" w:styleId="42">
    <w:name w:val="Plain Text"/>
    <w:basedOn w:val="1"/>
    <w:next w:val="1"/>
    <w:link w:val="454"/>
    <w:qFormat/>
    <w:uiPriority w:val="99"/>
    <w:rPr>
      <w:rFonts w:ascii="宋体" w:hAnsi="Courier New"/>
      <w:sz w:val="21"/>
    </w:rPr>
  </w:style>
  <w:style w:type="paragraph" w:styleId="43">
    <w:name w:val="List Bullet 5"/>
    <w:basedOn w:val="1"/>
    <w:qFormat/>
    <w:uiPriority w:val="0"/>
    <w:pPr>
      <w:tabs>
        <w:tab w:val="left" w:pos="840"/>
      </w:tabs>
      <w:adjustRightInd w:val="0"/>
      <w:spacing w:line="312" w:lineRule="atLeast"/>
      <w:ind w:left="1350" w:hanging="510"/>
      <w:textAlignment w:val="baseline"/>
    </w:pPr>
    <w:rPr>
      <w:kern w:val="0"/>
      <w:sz w:val="21"/>
    </w:rPr>
  </w:style>
  <w:style w:type="paragraph" w:styleId="44">
    <w:name w:val="List Number 4"/>
    <w:basedOn w:val="1"/>
    <w:qFormat/>
    <w:uiPriority w:val="0"/>
    <w:pPr>
      <w:numPr>
        <w:ilvl w:val="0"/>
        <w:numId w:val="6"/>
      </w:numPr>
      <w:tabs>
        <w:tab w:val="left" w:pos="1620"/>
        <w:tab w:val="clear" w:pos="780"/>
      </w:tabs>
      <w:spacing w:line="360" w:lineRule="auto"/>
      <w:ind w:left="1620" w:leftChars="600"/>
      <w:jc w:val="left"/>
    </w:pPr>
    <w:rPr>
      <w:rFonts w:ascii="Arial" w:hAnsi="Arial" w:eastAsia="楷体_GB2312" w:cs="Arial"/>
      <w:sz w:val="28"/>
      <w:szCs w:val="24"/>
    </w:rPr>
  </w:style>
  <w:style w:type="paragraph" w:styleId="45">
    <w:name w:val="toc 8"/>
    <w:basedOn w:val="1"/>
    <w:next w:val="1"/>
    <w:qFormat/>
    <w:uiPriority w:val="0"/>
    <w:pPr>
      <w:ind w:left="2940" w:leftChars="1400"/>
    </w:pPr>
    <w:rPr>
      <w:sz w:val="21"/>
    </w:rPr>
  </w:style>
  <w:style w:type="paragraph" w:styleId="46">
    <w:name w:val="Date"/>
    <w:basedOn w:val="1"/>
    <w:next w:val="1"/>
    <w:link w:val="517"/>
    <w:qFormat/>
    <w:uiPriority w:val="99"/>
    <w:pPr>
      <w:widowControl/>
    </w:pPr>
    <w:rPr>
      <w:rFonts w:ascii="楷体_GB2312" w:eastAsia="楷体_GB2312"/>
      <w:kern w:val="0"/>
      <w:sz w:val="32"/>
    </w:rPr>
  </w:style>
  <w:style w:type="paragraph" w:styleId="47">
    <w:name w:val="Body Text Indent 2"/>
    <w:basedOn w:val="1"/>
    <w:link w:val="526"/>
    <w:qFormat/>
    <w:uiPriority w:val="0"/>
    <w:pPr>
      <w:spacing w:line="360" w:lineRule="auto"/>
      <w:ind w:left="718" w:firstLine="480" w:firstLineChars="200"/>
    </w:pPr>
    <w:rPr>
      <w:rFonts w:ascii="Arial" w:hAnsi="Arial" w:eastAsia="LineDraw"/>
    </w:rPr>
  </w:style>
  <w:style w:type="paragraph" w:styleId="48">
    <w:name w:val="List Continue 5"/>
    <w:basedOn w:val="1"/>
    <w:qFormat/>
    <w:uiPriority w:val="0"/>
    <w:pPr>
      <w:spacing w:after="120" w:afterLines="0" w:line="360" w:lineRule="auto"/>
      <w:ind w:left="2100" w:leftChars="1000" w:firstLine="200" w:firstLineChars="200"/>
      <w:jc w:val="left"/>
    </w:pPr>
    <w:rPr>
      <w:rFonts w:ascii="Arial" w:hAnsi="Arial" w:eastAsia="楷体_GB2312" w:cs="Arial"/>
      <w:sz w:val="28"/>
      <w:szCs w:val="24"/>
    </w:rPr>
  </w:style>
  <w:style w:type="paragraph" w:styleId="49">
    <w:name w:val="Balloon Text"/>
    <w:basedOn w:val="1"/>
    <w:link w:val="533"/>
    <w:qFormat/>
    <w:uiPriority w:val="99"/>
    <w:pPr>
      <w:adjustRightInd w:val="0"/>
      <w:spacing w:before="100" w:beforeLines="0" w:beforeAutospacing="1" w:after="100" w:afterLines="0" w:afterAutospacing="1" w:line="400" w:lineRule="atLeast"/>
      <w:ind w:firstLine="454"/>
      <w:textAlignment w:val="baseline"/>
    </w:pPr>
    <w:rPr>
      <w:rFonts w:ascii="宋体"/>
      <w:color w:val="FF0000"/>
    </w:rPr>
  </w:style>
  <w:style w:type="paragraph" w:styleId="50">
    <w:name w:val="footer"/>
    <w:basedOn w:val="1"/>
    <w:link w:val="523"/>
    <w:qFormat/>
    <w:uiPriority w:val="99"/>
    <w:pPr>
      <w:tabs>
        <w:tab w:val="center" w:pos="4153"/>
        <w:tab w:val="right" w:pos="8306"/>
      </w:tabs>
      <w:snapToGrid w:val="0"/>
      <w:jc w:val="left"/>
    </w:pPr>
    <w:rPr>
      <w:sz w:val="18"/>
    </w:rPr>
  </w:style>
  <w:style w:type="paragraph" w:styleId="51">
    <w:name w:val="envelope return"/>
    <w:basedOn w:val="1"/>
    <w:qFormat/>
    <w:uiPriority w:val="0"/>
    <w:pPr>
      <w:snapToGrid w:val="0"/>
      <w:spacing w:line="360" w:lineRule="auto"/>
      <w:ind w:firstLine="200" w:firstLineChars="200"/>
      <w:jc w:val="left"/>
    </w:pPr>
    <w:rPr>
      <w:rFonts w:ascii="Arial" w:hAnsi="Arial" w:eastAsia="楷体_GB2312" w:cs="Arial"/>
      <w:sz w:val="28"/>
      <w:szCs w:val="24"/>
    </w:rPr>
  </w:style>
  <w:style w:type="paragraph" w:styleId="52">
    <w:name w:val="header"/>
    <w:basedOn w:val="1"/>
    <w:link w:val="515"/>
    <w:qFormat/>
    <w:uiPriority w:val="99"/>
    <w:pPr>
      <w:widowControl/>
      <w:pBdr>
        <w:bottom w:val="single" w:color="auto" w:sz="6" w:space="1"/>
      </w:pBdr>
      <w:tabs>
        <w:tab w:val="center" w:pos="4153"/>
        <w:tab w:val="right" w:pos="8306"/>
      </w:tabs>
      <w:snapToGrid w:val="0"/>
      <w:jc w:val="center"/>
    </w:pPr>
    <w:rPr>
      <w:kern w:val="0"/>
      <w:sz w:val="18"/>
    </w:rPr>
  </w:style>
  <w:style w:type="paragraph" w:styleId="53">
    <w:name w:val="Signature"/>
    <w:basedOn w:val="1"/>
    <w:qFormat/>
    <w:uiPriority w:val="0"/>
    <w:pPr>
      <w:ind w:left="100" w:leftChars="2100"/>
    </w:pPr>
    <w:rPr>
      <w:sz w:val="21"/>
      <w:szCs w:val="24"/>
    </w:rPr>
  </w:style>
  <w:style w:type="paragraph" w:styleId="54">
    <w:name w:val="toc 1"/>
    <w:basedOn w:val="1"/>
    <w:next w:val="1"/>
    <w:qFormat/>
    <w:uiPriority w:val="39"/>
    <w:pPr>
      <w:spacing w:before="120" w:beforeLines="0" w:beforeAutospacing="0" w:after="120" w:afterLines="0" w:afterAutospacing="0"/>
      <w:jc w:val="left"/>
    </w:pPr>
    <w:rPr>
      <w:b/>
      <w:caps/>
      <w:sz w:val="20"/>
    </w:rPr>
  </w:style>
  <w:style w:type="paragraph" w:styleId="55">
    <w:name w:val="List Continue 4"/>
    <w:basedOn w:val="1"/>
    <w:qFormat/>
    <w:uiPriority w:val="0"/>
    <w:pPr>
      <w:spacing w:after="120" w:afterLines="0"/>
      <w:ind w:left="1680" w:leftChars="800"/>
    </w:pPr>
    <w:rPr>
      <w:sz w:val="21"/>
      <w:szCs w:val="24"/>
    </w:rPr>
  </w:style>
  <w:style w:type="paragraph" w:styleId="56">
    <w:name w:val="toc 4"/>
    <w:basedOn w:val="1"/>
    <w:next w:val="1"/>
    <w:qFormat/>
    <w:uiPriority w:val="39"/>
    <w:pPr>
      <w:ind w:left="630"/>
      <w:jc w:val="left"/>
    </w:pPr>
    <w:rPr>
      <w:sz w:val="18"/>
    </w:rPr>
  </w:style>
  <w:style w:type="paragraph" w:styleId="57">
    <w:name w:val="index heading"/>
    <w:basedOn w:val="1"/>
    <w:next w:val="58"/>
    <w:qFormat/>
    <w:uiPriority w:val="0"/>
    <w:pPr>
      <w:spacing w:after="120" w:afterLines="0" w:afterAutospacing="0" w:line="360" w:lineRule="exact"/>
    </w:pPr>
    <w:rPr>
      <w:sz w:val="21"/>
    </w:rPr>
  </w:style>
  <w:style w:type="paragraph" w:styleId="58">
    <w:name w:val="index 1"/>
    <w:basedOn w:val="1"/>
    <w:next w:val="1"/>
    <w:qFormat/>
    <w:uiPriority w:val="0"/>
  </w:style>
  <w:style w:type="paragraph" w:styleId="59">
    <w:name w:val="Subtitle"/>
    <w:basedOn w:val="1"/>
    <w:qFormat/>
    <w:uiPriority w:val="0"/>
    <w:pPr>
      <w:adjustRightInd w:val="0"/>
      <w:spacing w:after="60" w:afterLines="0" w:line="360" w:lineRule="atLeast"/>
      <w:jc w:val="center"/>
      <w:textAlignment w:val="baseline"/>
    </w:pPr>
    <w:rPr>
      <w:rFonts w:ascii="Arial" w:hAnsi="Arial" w:eastAsia="黑体"/>
      <w:i/>
      <w:kern w:val="0"/>
    </w:rPr>
  </w:style>
  <w:style w:type="paragraph" w:styleId="60">
    <w:name w:val="List Number 5"/>
    <w:basedOn w:val="1"/>
    <w:qFormat/>
    <w:uiPriority w:val="0"/>
    <w:pPr>
      <w:tabs>
        <w:tab w:val="left" w:pos="2040"/>
      </w:tabs>
      <w:spacing w:line="360" w:lineRule="auto"/>
      <w:ind w:left="2040" w:leftChars="800" w:hanging="360" w:hangingChars="200"/>
      <w:jc w:val="left"/>
    </w:pPr>
    <w:rPr>
      <w:rFonts w:ascii="Arial" w:hAnsi="Arial" w:eastAsia="楷体_GB2312" w:cs="Arial"/>
      <w:sz w:val="28"/>
      <w:szCs w:val="24"/>
    </w:rPr>
  </w:style>
  <w:style w:type="paragraph" w:styleId="61">
    <w:name w:val="List"/>
    <w:basedOn w:val="1"/>
    <w:qFormat/>
    <w:uiPriority w:val="0"/>
    <w:pPr>
      <w:ind w:left="200" w:hanging="200" w:hangingChars="200"/>
    </w:pPr>
    <w:rPr>
      <w:sz w:val="21"/>
      <w:szCs w:val="24"/>
    </w:rPr>
  </w:style>
  <w:style w:type="paragraph" w:styleId="62">
    <w:name w:val="footnote text"/>
    <w:basedOn w:val="1"/>
    <w:semiHidden/>
    <w:qFormat/>
    <w:uiPriority w:val="0"/>
    <w:pPr>
      <w:snapToGrid w:val="0"/>
      <w:jc w:val="left"/>
    </w:pPr>
    <w:rPr>
      <w:rFonts w:eastAsia="仿宋_GB2312"/>
      <w:sz w:val="18"/>
    </w:rPr>
  </w:style>
  <w:style w:type="paragraph" w:styleId="63">
    <w:name w:val="toc 6"/>
    <w:basedOn w:val="1"/>
    <w:next w:val="1"/>
    <w:qFormat/>
    <w:uiPriority w:val="0"/>
    <w:pPr>
      <w:ind w:left="2100" w:leftChars="1000"/>
    </w:pPr>
    <w:rPr>
      <w:sz w:val="21"/>
    </w:rPr>
  </w:style>
  <w:style w:type="paragraph" w:styleId="64">
    <w:name w:val="List 5"/>
    <w:basedOn w:val="1"/>
    <w:qFormat/>
    <w:uiPriority w:val="0"/>
    <w:pPr>
      <w:spacing w:line="360" w:lineRule="auto"/>
      <w:ind w:left="100" w:leftChars="800" w:hanging="200" w:hangingChars="200"/>
      <w:jc w:val="left"/>
    </w:pPr>
    <w:rPr>
      <w:rFonts w:ascii="Arial" w:hAnsi="Arial" w:eastAsia="楷体_GB2312" w:cs="Arial"/>
      <w:sz w:val="28"/>
      <w:szCs w:val="24"/>
    </w:rPr>
  </w:style>
  <w:style w:type="paragraph" w:styleId="65">
    <w:name w:val="Body Text Indent 3"/>
    <w:basedOn w:val="1"/>
    <w:link w:val="470"/>
    <w:qFormat/>
    <w:uiPriority w:val="0"/>
    <w:pPr>
      <w:spacing w:line="360" w:lineRule="auto"/>
      <w:ind w:firstLine="480"/>
    </w:pPr>
    <w:rPr>
      <w:rFonts w:ascii="Arial" w:hAnsi="Arial"/>
      <w:color w:val="FF0000"/>
    </w:rPr>
  </w:style>
  <w:style w:type="paragraph" w:styleId="66">
    <w:name w:val="table of figures"/>
    <w:basedOn w:val="1"/>
    <w:next w:val="1"/>
    <w:qFormat/>
    <w:uiPriority w:val="0"/>
    <w:pPr>
      <w:ind w:left="420" w:hanging="420"/>
      <w:jc w:val="left"/>
    </w:pPr>
    <w:rPr>
      <w:smallCaps/>
      <w:sz w:val="20"/>
    </w:rPr>
  </w:style>
  <w:style w:type="paragraph" w:styleId="67">
    <w:name w:val="toc 2"/>
    <w:basedOn w:val="1"/>
    <w:next w:val="1"/>
    <w:qFormat/>
    <w:uiPriority w:val="39"/>
    <w:pPr>
      <w:tabs>
        <w:tab w:val="left" w:pos="600"/>
        <w:tab w:val="right" w:leader="dot" w:pos="9019"/>
      </w:tabs>
      <w:ind w:left="210"/>
      <w:jc w:val="left"/>
    </w:pPr>
    <w:rPr>
      <w:smallCaps/>
      <w:sz w:val="20"/>
    </w:rPr>
  </w:style>
  <w:style w:type="paragraph" w:styleId="68">
    <w:name w:val="toc 9"/>
    <w:basedOn w:val="2"/>
    <w:next w:val="1"/>
    <w:qFormat/>
    <w:uiPriority w:val="0"/>
    <w:pPr>
      <w:autoSpaceDE/>
      <w:autoSpaceDN/>
      <w:spacing w:before="100" w:beforeLines="0" w:beforeAutospacing="1" w:after="100" w:afterLines="0" w:afterAutospacing="1" w:line="400" w:lineRule="atLeast"/>
      <w:ind w:left="1920" w:firstLine="454"/>
      <w:textAlignment w:val="baseline"/>
    </w:pPr>
    <w:rPr>
      <w:rFonts w:ascii="Times New Roman"/>
      <w:color w:val="auto"/>
      <w:sz w:val="18"/>
    </w:rPr>
  </w:style>
  <w:style w:type="paragraph" w:styleId="69">
    <w:name w:val="Body Text 2"/>
    <w:basedOn w:val="1"/>
    <w:qFormat/>
    <w:uiPriority w:val="0"/>
    <w:pPr>
      <w:spacing w:after="120" w:afterLines="0" w:afterAutospacing="0" w:line="480" w:lineRule="auto"/>
    </w:pPr>
    <w:rPr>
      <w:sz w:val="21"/>
    </w:rPr>
  </w:style>
  <w:style w:type="paragraph" w:styleId="70">
    <w:name w:val="List 4"/>
    <w:basedOn w:val="1"/>
    <w:qFormat/>
    <w:uiPriority w:val="0"/>
    <w:pPr>
      <w:ind w:left="100" w:leftChars="600" w:hanging="200" w:hangingChars="200"/>
    </w:pPr>
    <w:rPr>
      <w:sz w:val="21"/>
      <w:szCs w:val="24"/>
    </w:rPr>
  </w:style>
  <w:style w:type="paragraph" w:styleId="71">
    <w:name w:val="List Continue 2"/>
    <w:basedOn w:val="1"/>
    <w:qFormat/>
    <w:uiPriority w:val="0"/>
    <w:pPr>
      <w:spacing w:after="120" w:afterLines="0"/>
      <w:ind w:left="840" w:leftChars="400"/>
    </w:pPr>
    <w:rPr>
      <w:sz w:val="21"/>
      <w:szCs w:val="24"/>
    </w:rPr>
  </w:style>
  <w:style w:type="paragraph" w:styleId="7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Arial" w:hAnsi="Arial" w:eastAsia="楷体_GB2312" w:cs="Arial"/>
      <w:szCs w:val="24"/>
    </w:rPr>
  </w:style>
  <w:style w:type="paragraph" w:styleId="73">
    <w:name w:val="HTML Preformatted"/>
    <w:basedOn w:val="1"/>
    <w:link w:val="450"/>
    <w:qFormat/>
    <w:uiPriority w:val="99"/>
    <w:pPr>
      <w:spacing w:line="360" w:lineRule="auto"/>
      <w:ind w:firstLine="200" w:firstLineChars="200"/>
      <w:jc w:val="left"/>
    </w:pPr>
    <w:rPr>
      <w:rFonts w:ascii="Courier New" w:hAnsi="Courier New" w:eastAsia="楷体_GB2312"/>
      <w:sz w:val="20"/>
    </w:rPr>
  </w:style>
  <w:style w:type="paragraph" w:styleId="74">
    <w:name w:val="Normal (Web)"/>
    <w:basedOn w:val="1"/>
    <w:link w:val="508"/>
    <w:qFormat/>
    <w:uiPriority w:val="0"/>
    <w:pPr>
      <w:widowControl/>
      <w:spacing w:before="100" w:beforeLines="0" w:beforeAutospacing="1" w:after="100" w:afterLines="0" w:afterAutospacing="1"/>
      <w:jc w:val="left"/>
    </w:pPr>
    <w:rPr>
      <w:rFonts w:ascii="宋体" w:hAnsi="宋体"/>
      <w:kern w:val="0"/>
      <w:sz w:val="22"/>
    </w:rPr>
  </w:style>
  <w:style w:type="paragraph" w:styleId="75">
    <w:name w:val="List Continue 3"/>
    <w:basedOn w:val="1"/>
    <w:qFormat/>
    <w:uiPriority w:val="0"/>
    <w:pPr>
      <w:spacing w:after="120" w:afterLines="0"/>
      <w:ind w:left="1260" w:leftChars="600"/>
    </w:pPr>
    <w:rPr>
      <w:sz w:val="21"/>
      <w:szCs w:val="24"/>
    </w:rPr>
  </w:style>
  <w:style w:type="paragraph" w:styleId="76">
    <w:name w:val="Title"/>
    <w:basedOn w:val="1"/>
    <w:next w:val="1"/>
    <w:link w:val="462"/>
    <w:qFormat/>
    <w:uiPriority w:val="0"/>
    <w:pPr>
      <w:spacing w:before="240" w:beforeLines="0" w:after="60" w:afterLines="0" w:line="360" w:lineRule="auto"/>
      <w:ind w:firstLine="200" w:firstLineChars="200"/>
      <w:jc w:val="center"/>
      <w:outlineLvl w:val="0"/>
    </w:pPr>
    <w:rPr>
      <w:rFonts w:ascii="Arial" w:hAnsi="Arial" w:eastAsia="楷体_GB2312" w:cs="Arial"/>
      <w:b/>
      <w:bCs/>
      <w:sz w:val="32"/>
      <w:szCs w:val="32"/>
    </w:rPr>
  </w:style>
  <w:style w:type="paragraph" w:styleId="77">
    <w:name w:val="annotation subject"/>
    <w:basedOn w:val="27"/>
    <w:next w:val="27"/>
    <w:qFormat/>
    <w:uiPriority w:val="0"/>
    <w:rPr>
      <w:b/>
    </w:rPr>
  </w:style>
  <w:style w:type="paragraph" w:styleId="78">
    <w:name w:val="Body Text First Indent"/>
    <w:basedOn w:val="2"/>
    <w:next w:val="1"/>
    <w:link w:val="529"/>
    <w:qFormat/>
    <w:uiPriority w:val="0"/>
    <w:pPr>
      <w:spacing w:line="300" w:lineRule="auto"/>
      <w:ind w:firstLine="476"/>
    </w:pPr>
  </w:style>
  <w:style w:type="table" w:styleId="80">
    <w:name w:val="Table Grid"/>
    <w:basedOn w:val="7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2">
    <w:name w:val="Strong"/>
    <w:qFormat/>
    <w:uiPriority w:val="0"/>
    <w:rPr>
      <w:b/>
    </w:rPr>
  </w:style>
  <w:style w:type="character" w:styleId="83">
    <w:name w:val="page number"/>
    <w:basedOn w:val="81"/>
    <w:qFormat/>
    <w:uiPriority w:val="0"/>
  </w:style>
  <w:style w:type="character" w:styleId="84">
    <w:name w:val="FollowedHyperlink"/>
    <w:qFormat/>
    <w:uiPriority w:val="0"/>
    <w:rPr>
      <w:color w:val="800080"/>
      <w:u w:val="single"/>
    </w:rPr>
  </w:style>
  <w:style w:type="character" w:styleId="85">
    <w:name w:val="Emphasis"/>
    <w:qFormat/>
    <w:uiPriority w:val="0"/>
    <w:rPr>
      <w:color w:val="CC0033"/>
    </w:rPr>
  </w:style>
  <w:style w:type="character" w:styleId="86">
    <w:name w:val="line number"/>
    <w:basedOn w:val="81"/>
    <w:qFormat/>
    <w:uiPriority w:val="0"/>
  </w:style>
  <w:style w:type="character" w:styleId="87">
    <w:name w:val="Hyperlink"/>
    <w:basedOn w:val="81"/>
    <w:qFormat/>
    <w:uiPriority w:val="99"/>
    <w:rPr>
      <w:color w:val="0000FF"/>
      <w:u w:val="single"/>
    </w:rPr>
  </w:style>
  <w:style w:type="character" w:styleId="88">
    <w:name w:val="annotation reference"/>
    <w:qFormat/>
    <w:uiPriority w:val="0"/>
    <w:rPr>
      <w:sz w:val="21"/>
    </w:rPr>
  </w:style>
  <w:style w:type="paragraph" w:customStyle="1" w:styleId="89">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0">
    <w:name w:val="Default"/>
    <w:next w:val="91"/>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92">
    <w:name w:val="xl102"/>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93">
    <w:name w:val="样式 标题 4 + 小四"/>
    <w:basedOn w:val="6"/>
    <w:link w:val="435"/>
    <w:qFormat/>
    <w:uiPriority w:val="0"/>
    <w:pPr>
      <w:numPr>
        <w:ilvl w:val="0"/>
        <w:numId w:val="0"/>
      </w:numPr>
      <w:tabs>
        <w:tab w:val="left" w:pos="1919"/>
        <w:tab w:val="clear" w:pos="1198"/>
      </w:tabs>
      <w:spacing w:before="280" w:beforeLines="0" w:after="290" w:afterLines="0" w:line="377" w:lineRule="auto"/>
      <w:ind w:left="1547" w:hanging="708"/>
      <w:jc w:val="left"/>
    </w:pPr>
    <w:rPr>
      <w:rFonts w:ascii="Arial" w:hAnsi="Arial" w:eastAsia="楷体_GB2312" w:cs="Arial"/>
      <w:bCs/>
      <w:sz w:val="24"/>
      <w:szCs w:val="28"/>
    </w:rPr>
  </w:style>
  <w:style w:type="paragraph" w:customStyle="1" w:styleId="94">
    <w:name w:val=" Char Char Char1 Char Char Char Char"/>
    <w:basedOn w:val="1"/>
    <w:qFormat/>
    <w:uiPriority w:val="0"/>
    <w:rPr>
      <w:rFonts w:ascii="仿宋_GB2312" w:eastAsia="仿宋_GB2312"/>
      <w:b/>
      <w:sz w:val="32"/>
    </w:rPr>
  </w:style>
  <w:style w:type="paragraph" w:customStyle="1" w:styleId="95">
    <w:name w:val="1.1.1"/>
    <w:basedOn w:val="1"/>
    <w:qFormat/>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rPr>
  </w:style>
  <w:style w:type="paragraph" w:customStyle="1" w:styleId="96">
    <w:name w:val="样式 行距: 1.5 倍行距 首行缩进:  2 字符"/>
    <w:basedOn w:val="1"/>
    <w:qFormat/>
    <w:uiPriority w:val="0"/>
    <w:pPr>
      <w:spacing w:line="360" w:lineRule="auto"/>
      <w:ind w:firstLine="480" w:firstLineChars="200"/>
    </w:pPr>
  </w:style>
  <w:style w:type="paragraph" w:customStyle="1" w:styleId="97">
    <w:name w:val="标题一"/>
    <w:basedOn w:val="1"/>
    <w:qFormat/>
    <w:uiPriority w:val="0"/>
    <w:pPr>
      <w:keepLines/>
      <w:widowControl/>
      <w:topLinePunct/>
      <w:adjustRightInd w:val="0"/>
      <w:snapToGrid w:val="0"/>
      <w:spacing w:before="100" w:beforeAutospacing="1" w:after="100" w:afterAutospacing="1"/>
      <w:jc w:val="center"/>
      <w:outlineLvl w:val="0"/>
    </w:pPr>
    <w:rPr>
      <w:rFonts w:ascii="宋体" w:hAnsi="宋体"/>
      <w:b/>
      <w:kern w:val="0"/>
      <w:sz w:val="28"/>
      <w:szCs w:val="21"/>
    </w:rPr>
  </w:style>
  <w:style w:type="paragraph" w:customStyle="1" w:styleId="98">
    <w:name w:val="reader-word-layer reader-word-s1-8"/>
    <w:basedOn w:val="1"/>
    <w:qFormat/>
    <w:uiPriority w:val="0"/>
    <w:pPr>
      <w:widowControl/>
      <w:spacing w:before="100" w:beforeAutospacing="1" w:after="100" w:afterAutospacing="1"/>
      <w:jc w:val="left"/>
    </w:pPr>
    <w:rPr>
      <w:rFonts w:ascii="宋体" w:hAnsi="宋体" w:cs="宋体"/>
      <w:kern w:val="0"/>
    </w:rPr>
  </w:style>
  <w:style w:type="paragraph" w:customStyle="1" w:styleId="99">
    <w:name w:val="xl44"/>
    <w:basedOn w:val="1"/>
    <w:qFormat/>
    <w:uiPriority w:val="0"/>
    <w:pPr>
      <w:widowControl/>
      <w:spacing w:before="100" w:beforeAutospacing="1" w:after="100" w:afterAutospacing="1"/>
      <w:jc w:val="center"/>
    </w:pPr>
    <w:rPr>
      <w:rFonts w:hint="eastAsia" w:ascii="华文新魏" w:hAnsi="宋体" w:eastAsia="华文新魏"/>
      <w:b/>
      <w:bCs/>
      <w:kern w:val="0"/>
      <w:sz w:val="32"/>
      <w:szCs w:val="32"/>
    </w:rPr>
  </w:style>
  <w:style w:type="paragraph" w:customStyle="1" w:styleId="100">
    <w:name w:val="框内说明"/>
    <w:basedOn w:val="1"/>
    <w:qFormat/>
    <w:uiPriority w:val="0"/>
    <w:pPr>
      <w:adjustRightInd w:val="0"/>
      <w:snapToGrid w:val="0"/>
    </w:pPr>
    <w:rPr>
      <w:kern w:val="0"/>
      <w:sz w:val="21"/>
    </w:rPr>
  </w:style>
  <w:style w:type="paragraph" w:customStyle="1" w:styleId="101">
    <w:name w:val="正文文本 21"/>
    <w:basedOn w:val="1"/>
    <w:qFormat/>
    <w:uiPriority w:val="0"/>
    <w:pPr>
      <w:adjustRightInd w:val="0"/>
      <w:spacing w:after="60" w:afterLines="0" w:line="360" w:lineRule="atLeast"/>
      <w:ind w:left="57" w:right="57"/>
      <w:jc w:val="center"/>
      <w:textAlignment w:val="baseline"/>
    </w:pPr>
    <w:rPr>
      <w:rFonts w:ascii="Arial" w:hAnsi="Arial" w:eastAsia="黑体"/>
      <w:kern w:val="0"/>
      <w:sz w:val="21"/>
    </w:rPr>
  </w:style>
  <w:style w:type="paragraph" w:customStyle="1" w:styleId="102">
    <w:name w:val="正文文字2"/>
    <w:basedOn w:val="2"/>
    <w:qFormat/>
    <w:uiPriority w:val="0"/>
    <w:pPr>
      <w:autoSpaceDE/>
      <w:autoSpaceDN/>
      <w:spacing w:after="60" w:afterLines="0" w:line="360" w:lineRule="atLeast"/>
      <w:ind w:left="72" w:right="72"/>
      <w:jc w:val="center"/>
      <w:textAlignment w:val="baseline"/>
    </w:pPr>
    <w:rPr>
      <w:rFonts w:ascii="Arial" w:eastAsia="黑体"/>
      <w:color w:val="auto"/>
      <w:sz w:val="21"/>
      <w:lang w:val="en-US" w:eastAsia="zh-CN"/>
    </w:rPr>
  </w:style>
  <w:style w:type="paragraph" w:customStyle="1" w:styleId="103">
    <w:name w:val="Char Char Char Char"/>
    <w:basedOn w:val="1"/>
    <w:qFormat/>
    <w:uiPriority w:val="0"/>
    <w:rPr>
      <w:rFonts w:ascii="仿宋_GB2312" w:eastAsia="仿宋_GB2312"/>
      <w:b/>
      <w:sz w:val="32"/>
    </w:rPr>
  </w:style>
  <w:style w:type="paragraph" w:customStyle="1" w:styleId="104">
    <w:name w:val="正文1"/>
    <w:basedOn w:val="1"/>
    <w:qFormat/>
    <w:uiPriority w:val="0"/>
    <w:pPr>
      <w:spacing w:before="60" w:beforeLines="0" w:beforeAutospacing="0" w:after="60" w:afterLines="0" w:afterAutospacing="0" w:line="360" w:lineRule="auto"/>
      <w:ind w:left="1080"/>
      <w:outlineLvl w:val="6"/>
    </w:pPr>
  </w:style>
  <w:style w:type="paragraph" w:customStyle="1" w:styleId="105">
    <w:name w:val="正文段"/>
    <w:basedOn w:val="1"/>
    <w:link w:val="426"/>
    <w:qFormat/>
    <w:uiPriority w:val="0"/>
    <w:pPr>
      <w:widowControl/>
      <w:snapToGrid w:val="0"/>
      <w:spacing w:after="156" w:afterLines="50"/>
      <w:ind w:firstLine="200" w:firstLineChars="200"/>
    </w:pPr>
    <w:rPr>
      <w:kern w:val="0"/>
    </w:rPr>
  </w:style>
  <w:style w:type="paragraph" w:customStyle="1" w:styleId="106">
    <w:name w:val="xl110"/>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07">
    <w:name w:val="Style Heading 3h3Heading 3 - oldLevel 3 HeadH3level_3PIM 3se..."/>
    <w:basedOn w:val="5"/>
    <w:qFormat/>
    <w:uiPriority w:val="0"/>
    <w:pPr>
      <w:tabs>
        <w:tab w:val="left" w:pos="1260"/>
        <w:tab w:val="clear" w:pos="778"/>
      </w:tabs>
      <w:spacing w:before="260" w:beforeLines="0" w:beforeAutospacing="0" w:after="260" w:afterLines="0" w:afterAutospacing="0" w:line="413" w:lineRule="auto"/>
      <w:ind w:left="1260"/>
    </w:pPr>
    <w:rPr>
      <w:rFonts w:ascii="Times New Roman" w:hAnsi="Times New Roman"/>
      <w:sz w:val="32"/>
    </w:rPr>
  </w:style>
  <w:style w:type="paragraph" w:customStyle="1" w:styleId="108">
    <w:name w:val="正文＋小四＋缩进2字符"/>
    <w:basedOn w:val="1"/>
    <w:qFormat/>
    <w:uiPriority w:val="0"/>
    <w:pPr>
      <w:spacing w:line="360" w:lineRule="auto"/>
      <w:ind w:firstLine="200" w:firstLineChars="200"/>
    </w:pPr>
  </w:style>
  <w:style w:type="paragraph" w:customStyle="1" w:styleId="109">
    <w:name w:val="普通(网站)1"/>
    <w:basedOn w:val="1"/>
    <w:next w:val="1"/>
    <w:qFormat/>
    <w:uiPriority w:val="0"/>
    <w:pPr>
      <w:widowControl/>
      <w:spacing w:before="100" w:beforeLines="0" w:beforeAutospacing="0" w:after="100" w:afterLines="0" w:afterAutospacing="0"/>
      <w:jc w:val="left"/>
    </w:pPr>
    <w:rPr>
      <w:rFonts w:ascii="宋体"/>
      <w:color w:val="000000"/>
      <w:kern w:val="0"/>
      <w:sz w:val="22"/>
    </w:rPr>
  </w:style>
  <w:style w:type="paragraph" w:customStyle="1" w:styleId="110">
    <w:name w:val="标题3下的宋体"/>
    <w:qFormat/>
    <w:uiPriority w:val="0"/>
    <w:pPr>
      <w:widowControl w:val="0"/>
      <w:adjustRightInd w:val="0"/>
      <w:snapToGrid w:val="0"/>
      <w:spacing w:before="62" w:beforeLines="20" w:after="62" w:afterLines="20" w:line="300" w:lineRule="auto"/>
      <w:ind w:left="300" w:leftChars="300" w:firstLine="200" w:firstLineChars="200"/>
      <w:jc w:val="both"/>
    </w:pPr>
    <w:rPr>
      <w:rFonts w:ascii="Times New Roman" w:hAnsi="Times New Roman" w:eastAsia="宋体" w:cs="Times New Roman"/>
      <w:kern w:val="2"/>
      <w:sz w:val="28"/>
      <w:szCs w:val="28"/>
      <w:lang w:val="en-US" w:eastAsia="zh-CN" w:bidi="ar-SA"/>
    </w:rPr>
  </w:style>
  <w:style w:type="paragraph" w:customStyle="1" w:styleId="111">
    <w:name w:val="列表编号 21"/>
    <w:basedOn w:val="1"/>
    <w:next w:val="1"/>
    <w:qFormat/>
    <w:uiPriority w:val="0"/>
    <w:pPr>
      <w:widowControl/>
      <w:tabs>
        <w:tab w:val="left" w:pos="420"/>
        <w:tab w:val="left" w:pos="1697"/>
      </w:tabs>
      <w:spacing w:after="50" w:afterLines="0" w:afterAutospacing="0"/>
      <w:ind w:left="1697" w:hanging="420"/>
      <w:jc w:val="left"/>
    </w:pPr>
    <w:rPr>
      <w:color w:val="000000"/>
      <w:kern w:val="0"/>
    </w:rPr>
  </w:style>
  <w:style w:type="paragraph" w:customStyle="1" w:styleId="112">
    <w:name w:val="表格项目符号"/>
    <w:basedOn w:val="1"/>
    <w:next w:val="1"/>
    <w:qFormat/>
    <w:uiPriority w:val="0"/>
    <w:pPr>
      <w:widowControl/>
      <w:tabs>
        <w:tab w:val="left" w:pos="249"/>
      </w:tabs>
      <w:snapToGrid w:val="0"/>
      <w:spacing w:line="300" w:lineRule="auto"/>
      <w:ind w:left="249" w:hanging="249"/>
    </w:pPr>
    <w:rPr>
      <w:color w:val="000000"/>
      <w:sz w:val="21"/>
    </w:rPr>
  </w:style>
  <w:style w:type="paragraph" w:customStyle="1" w:styleId="113">
    <w:name w:val="章节标题2"/>
    <w:basedOn w:val="1"/>
    <w:next w:val="114"/>
    <w:qFormat/>
    <w:uiPriority w:val="0"/>
    <w:pPr>
      <w:keepNext/>
      <w:keepLines/>
      <w:numPr>
        <w:ilvl w:val="1"/>
        <w:numId w:val="3"/>
      </w:numPr>
      <w:spacing w:before="260" w:after="260" w:line="415" w:lineRule="auto"/>
      <w:outlineLvl w:val="1"/>
    </w:pPr>
    <w:rPr>
      <w:b/>
      <w:bCs/>
      <w:sz w:val="32"/>
      <w:szCs w:val="32"/>
    </w:rPr>
  </w:style>
  <w:style w:type="paragraph" w:customStyle="1" w:styleId="114">
    <w:name w:val="章节标题3"/>
    <w:basedOn w:val="1"/>
    <w:qFormat/>
    <w:uiPriority w:val="0"/>
    <w:pPr>
      <w:keepNext/>
      <w:keepLines/>
      <w:numPr>
        <w:ilvl w:val="2"/>
        <w:numId w:val="3"/>
      </w:numPr>
      <w:spacing w:before="260" w:after="260" w:line="415" w:lineRule="auto"/>
      <w:outlineLvl w:val="2"/>
    </w:pPr>
    <w:rPr>
      <w:b/>
      <w:bCs/>
      <w:sz w:val="30"/>
      <w:szCs w:val="32"/>
    </w:rPr>
  </w:style>
  <w:style w:type="paragraph" w:customStyle="1" w:styleId="115">
    <w:name w:val="xl111"/>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16">
    <w:name w:val="样式 列表编号 + 段后: 0.5 行"/>
    <w:basedOn w:val="19"/>
    <w:qFormat/>
    <w:uiPriority w:val="99"/>
    <w:pPr>
      <w:tabs>
        <w:tab w:val="left" w:pos="720"/>
      </w:tabs>
      <w:ind w:left="720"/>
    </w:pPr>
  </w:style>
  <w:style w:type="paragraph" w:customStyle="1" w:styleId="117">
    <w:name w:val="xl8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18">
    <w:name w:val="封面"/>
    <w:basedOn w:val="1"/>
    <w:qFormat/>
    <w:uiPriority w:val="0"/>
    <w:pPr>
      <w:keepLines/>
      <w:widowControl/>
      <w:topLinePunct/>
      <w:adjustRightInd w:val="0"/>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xl106"/>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22">
    <w:name w:val=" Char2"/>
    <w:basedOn w:val="1"/>
    <w:qFormat/>
    <w:uiPriority w:val="0"/>
    <w:rPr>
      <w:rFonts w:ascii="仿宋_GB2312" w:eastAsia="仿宋_GB2312"/>
      <w:b/>
      <w:sz w:val="32"/>
    </w:rPr>
  </w:style>
  <w:style w:type="paragraph" w:customStyle="1" w:styleId="123">
    <w:name w:val="xl100"/>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124">
    <w:name w:val="列出段落1"/>
    <w:basedOn w:val="1"/>
    <w:qFormat/>
    <w:uiPriority w:val="0"/>
    <w:pPr>
      <w:ind w:firstLine="420" w:firstLineChars="200"/>
    </w:pPr>
    <w:rPr>
      <w:rFonts w:ascii="Calibri" w:hAnsi="Calibri"/>
      <w:sz w:val="21"/>
      <w:szCs w:val="22"/>
    </w:rPr>
  </w:style>
  <w:style w:type="paragraph" w:customStyle="1" w:styleId="12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26">
    <w:name w:val="表格"/>
    <w:basedOn w:val="1"/>
    <w:qFormat/>
    <w:uiPriority w:val="0"/>
    <w:pPr>
      <w:jc w:val="left"/>
    </w:pPr>
    <w:rPr>
      <w:sz w:val="18"/>
    </w:rPr>
  </w:style>
  <w:style w:type="paragraph" w:customStyle="1" w:styleId="127">
    <w:name w:val="彩色列表 - 强调文字颜色 11"/>
    <w:basedOn w:val="1"/>
    <w:qFormat/>
    <w:uiPriority w:val="0"/>
    <w:pPr>
      <w:ind w:firstLine="200" w:firstLineChars="200"/>
    </w:pPr>
    <w:rPr>
      <w:sz w:val="21"/>
      <w:szCs w:val="24"/>
    </w:rPr>
  </w:style>
  <w:style w:type="paragraph" w:customStyle="1" w:styleId="128">
    <w:name w:val="Unknown Style"/>
    <w:basedOn w:val="1"/>
    <w:next w:val="1"/>
    <w:qFormat/>
    <w:uiPriority w:val="0"/>
    <w:pPr>
      <w:widowControl/>
    </w:pPr>
    <w:rPr>
      <w:color w:val="000000"/>
      <w:sz w:val="21"/>
    </w:rPr>
  </w:style>
  <w:style w:type="paragraph" w:customStyle="1" w:styleId="12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rFonts w:ascii="宋体" w:hAnsi="宋体"/>
      <w:b/>
      <w:bCs/>
      <w:kern w:val="0"/>
      <w:sz w:val="20"/>
    </w:rPr>
  </w:style>
  <w:style w:type="paragraph" w:customStyle="1" w:styleId="130">
    <w:name w:val="项目2"/>
    <w:basedOn w:val="1"/>
    <w:qFormat/>
    <w:uiPriority w:val="0"/>
    <w:pPr>
      <w:tabs>
        <w:tab w:val="left" w:pos="840"/>
      </w:tabs>
      <w:spacing w:line="360" w:lineRule="auto"/>
      <w:ind w:left="840" w:hanging="420"/>
    </w:pPr>
  </w:style>
  <w:style w:type="paragraph" w:customStyle="1" w:styleId="131">
    <w:name w:val="前言、引言标题"/>
    <w:next w:val="1"/>
    <w:qFormat/>
    <w:uiPriority w:val="0"/>
    <w:pPr>
      <w:numPr>
        <w:ilvl w:val="0"/>
        <w:numId w:val="7"/>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_Style 129"/>
    <w:semiHidden/>
    <w:qFormat/>
    <w:uiPriority w:val="99"/>
    <w:rPr>
      <w:rFonts w:ascii="Times New Roman" w:hAnsi="Times New Roman" w:eastAsia="宋体" w:cs="Times New Roman"/>
      <w:kern w:val="2"/>
      <w:sz w:val="24"/>
      <w:lang w:val="en-US" w:eastAsia="zh-CN" w:bidi="ar-SA"/>
    </w:rPr>
  </w:style>
  <w:style w:type="paragraph" w:customStyle="1" w:styleId="133">
    <w:name w:val="样式 标题 2"/>
    <w:basedOn w:val="4"/>
    <w:next w:val="1"/>
    <w:qFormat/>
    <w:uiPriority w:val="0"/>
    <w:pPr>
      <w:keepLines w:val="0"/>
      <w:tabs>
        <w:tab w:val="clear" w:pos="358"/>
      </w:tabs>
      <w:spacing w:before="0" w:beforeLines="0" w:after="156" w:afterLines="50" w:line="480" w:lineRule="auto"/>
      <w:ind w:left="0" w:firstLine="0"/>
    </w:pPr>
    <w:rPr>
      <w:rFonts w:ascii="仿宋_GB2312" w:hAnsi="仿宋_GB2312" w:eastAsia="仿宋_GB2312" w:cs="Arial"/>
      <w:szCs w:val="24"/>
      <w:lang w:val="en-US" w:eastAsia="zh-CN"/>
    </w:rPr>
  </w:style>
  <w:style w:type="paragraph" w:customStyle="1" w:styleId="134">
    <w:name w:val="xl90"/>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135">
    <w:name w:val="xl83"/>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136">
    <w:name w:val=" Char Char Char Char Char Char Char Char Char Char Char Char Char Char Char Char Char Char"/>
    <w:basedOn w:val="1"/>
    <w:qFormat/>
    <w:uiPriority w:val="0"/>
    <w:pPr>
      <w:spacing w:before="156" w:beforeLines="50" w:after="312" w:afterLines="100" w:line="480" w:lineRule="exact"/>
      <w:jc w:val="center"/>
    </w:pPr>
    <w:rPr>
      <w:color w:val="000000"/>
      <w:sz w:val="28"/>
      <w:szCs w:val="52"/>
    </w:rPr>
  </w:style>
  <w:style w:type="paragraph" w:customStyle="1" w:styleId="137">
    <w:name w:val="列表项目符号 21"/>
    <w:basedOn w:val="1"/>
    <w:next w:val="1"/>
    <w:qFormat/>
    <w:uiPriority w:val="0"/>
    <w:pPr>
      <w:widowControl/>
      <w:tabs>
        <w:tab w:val="left" w:pos="420"/>
      </w:tabs>
      <w:ind w:left="420" w:hanging="420"/>
    </w:pPr>
    <w:rPr>
      <w:color w:val="000000"/>
      <w:sz w:val="21"/>
    </w:rPr>
  </w:style>
  <w:style w:type="paragraph" w:customStyle="1" w:styleId="138">
    <w:name w:val="xl30"/>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b/>
      <w:color w:val="000000"/>
      <w:kern w:val="0"/>
      <w:sz w:val="20"/>
    </w:rPr>
  </w:style>
  <w:style w:type="paragraph" w:customStyle="1" w:styleId="13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40">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41">
    <w:name w:val="标准小四"/>
    <w:basedOn w:val="1"/>
    <w:qFormat/>
    <w:uiPriority w:val="0"/>
    <w:pPr>
      <w:spacing w:line="360" w:lineRule="auto"/>
      <w:ind w:firstLine="480" w:firstLineChars="200"/>
    </w:pPr>
    <w:rPr>
      <w:rFonts w:ascii="Arial" w:hAnsi="Arial"/>
      <w:szCs w:val="21"/>
    </w:rPr>
  </w:style>
  <w:style w:type="paragraph" w:customStyle="1" w:styleId="142">
    <w:name w:val="章节标题4"/>
    <w:basedOn w:val="1"/>
    <w:qFormat/>
    <w:uiPriority w:val="0"/>
    <w:pPr>
      <w:keepNext/>
      <w:keepLines/>
      <w:numPr>
        <w:ilvl w:val="3"/>
        <w:numId w:val="3"/>
      </w:numPr>
      <w:spacing w:before="280" w:after="290" w:line="377" w:lineRule="auto"/>
      <w:outlineLvl w:val="3"/>
    </w:pPr>
    <w:rPr>
      <w:b/>
      <w:bCs/>
      <w:sz w:val="28"/>
      <w:szCs w:val="28"/>
    </w:rPr>
  </w:style>
  <w:style w:type="paragraph" w:customStyle="1" w:styleId="143">
    <w:name w:val="文章标题 2"/>
    <w:basedOn w:val="4"/>
    <w:next w:val="1"/>
    <w:qFormat/>
    <w:uiPriority w:val="0"/>
    <w:pPr>
      <w:numPr>
        <w:ilvl w:val="0"/>
        <w:numId w:val="0"/>
      </w:numPr>
      <w:spacing w:before="260" w:beforeLines="0" w:beforeAutospacing="0" w:after="260" w:afterLines="0" w:afterAutospacing="0" w:line="413" w:lineRule="auto"/>
    </w:pPr>
    <w:rPr>
      <w:rFonts w:ascii="黑体" w:hAnsi="Arial" w:eastAsia="黑体"/>
      <w:b w:val="0"/>
    </w:rPr>
  </w:style>
  <w:style w:type="paragraph" w:customStyle="1" w:styleId="144">
    <w:name w:val="xl7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145">
    <w:name w:val="样式2"/>
    <w:basedOn w:val="3"/>
    <w:link w:val="443"/>
    <w:qFormat/>
    <w:uiPriority w:val="0"/>
    <w:pPr>
      <w:keepNext/>
      <w:keepLines/>
      <w:pageBreakBefore w:val="0"/>
      <w:widowControl w:val="0"/>
      <w:tabs>
        <w:tab w:val="left" w:pos="1130"/>
        <w:tab w:val="clear" w:pos="478"/>
      </w:tabs>
      <w:autoSpaceDE/>
      <w:autoSpaceDN/>
      <w:spacing w:before="340" w:after="330" w:line="578" w:lineRule="auto"/>
      <w:ind w:left="1130" w:hanging="420"/>
      <w:jc w:val="both"/>
    </w:pPr>
    <w:rPr>
      <w:rFonts w:ascii="黑体" w:eastAsia="黑体"/>
      <w:b/>
      <w:bCs/>
      <w:color w:val="auto"/>
      <w:kern w:val="44"/>
      <w:sz w:val="32"/>
      <w:szCs w:val="32"/>
    </w:rPr>
  </w:style>
  <w:style w:type="paragraph" w:customStyle="1" w:styleId="146">
    <w:name w:val="flType"/>
    <w:basedOn w:val="1"/>
    <w:qFormat/>
    <w:uiPriority w:val="0"/>
    <w:pPr>
      <w:adjustRightInd w:val="0"/>
      <w:spacing w:before="560" w:beforeLines="0" w:after="120" w:afterLines="0" w:line="360" w:lineRule="auto"/>
      <w:jc w:val="center"/>
      <w:textAlignment w:val="baseline"/>
    </w:pPr>
    <w:rPr>
      <w:rFonts w:ascii="Arial" w:eastAsia="黑体"/>
      <w:kern w:val="0"/>
      <w:sz w:val="28"/>
    </w:rPr>
  </w:style>
  <w:style w:type="paragraph" w:customStyle="1" w:styleId="147">
    <w:name w:val="正文文本样式"/>
    <w:link w:val="522"/>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48">
    <w:name w:val="xl33"/>
    <w:basedOn w:val="1"/>
    <w:qFormat/>
    <w:uiPriority w:val="0"/>
    <w:pPr>
      <w:widowControl/>
      <w:spacing w:before="100" w:beforeLines="0" w:beforeAutospacing="1" w:after="100" w:afterLines="0" w:afterAutospacing="1"/>
      <w:jc w:val="left"/>
    </w:pPr>
    <w:rPr>
      <w:rFonts w:ascii="宋体" w:hAnsi="宋体"/>
      <w:kern w:val="0"/>
      <w:szCs w:val="24"/>
    </w:rPr>
  </w:style>
  <w:style w:type="paragraph" w:customStyle="1" w:styleId="149">
    <w:name w:val="标题4——4"/>
    <w:basedOn w:val="6"/>
    <w:next w:val="1"/>
    <w:qFormat/>
    <w:uiPriority w:val="0"/>
    <w:pPr>
      <w:tabs>
        <w:tab w:val="clear" w:pos="1198"/>
      </w:tabs>
      <w:spacing w:beforeLines="50"/>
      <w:ind w:left="0" w:right="2" w:firstLine="0"/>
    </w:pPr>
    <w:rPr>
      <w:rFonts w:ascii="Arial" w:hAnsi="Arial" w:eastAsia="楷体_GB2312"/>
      <w:b w:val="0"/>
      <w:szCs w:val="30"/>
      <w:lang w:val="en-US" w:eastAsia="zh-CN"/>
    </w:rPr>
  </w:style>
  <w:style w:type="paragraph" w:customStyle="1" w:styleId="150">
    <w:name w:val="标题6"/>
    <w:basedOn w:val="1"/>
    <w:next w:val="3"/>
    <w:qFormat/>
    <w:uiPriority w:val="0"/>
    <w:pPr>
      <w:widowControl/>
      <w:snapToGrid w:val="0"/>
      <w:spacing w:before="156" w:beforeLines="50" w:beforeAutospacing="0" w:after="156" w:afterLines="50" w:afterAutospacing="0" w:line="520" w:lineRule="atLeast"/>
      <w:ind w:firstLine="200" w:firstLineChars="200"/>
    </w:pPr>
  </w:style>
  <w:style w:type="paragraph" w:customStyle="1" w:styleId="151">
    <w:name w:val="xl24"/>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b/>
      <w:color w:val="000000"/>
      <w:kern w:val="0"/>
      <w:sz w:val="20"/>
    </w:rPr>
  </w:style>
  <w:style w:type="paragraph" w:customStyle="1" w:styleId="152">
    <w:name w:val="此正文"/>
    <w:basedOn w:val="1"/>
    <w:next w:val="1"/>
    <w:qFormat/>
    <w:uiPriority w:val="0"/>
    <w:pPr>
      <w:widowControl/>
      <w:spacing w:line="360" w:lineRule="auto"/>
      <w:ind w:firstLine="480"/>
    </w:pPr>
    <w:rPr>
      <w:color w:val="000000"/>
    </w:rPr>
  </w:style>
  <w:style w:type="paragraph" w:customStyle="1" w:styleId="153">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sz w:val="28"/>
    </w:rPr>
  </w:style>
  <w:style w:type="paragraph" w:customStyle="1" w:styleId="154">
    <w:name w:val="标题 2-2"/>
    <w:basedOn w:val="4"/>
    <w:qFormat/>
    <w:uiPriority w:val="0"/>
    <w:pPr>
      <w:snapToGrid w:val="0"/>
      <w:spacing w:after="156" w:afterLines="50" w:line="360" w:lineRule="auto"/>
    </w:pPr>
    <w:rPr>
      <w:rFonts w:ascii="仿宋_GB2312" w:hAnsi="Times New Roman" w:eastAsia="仿宋_GB2312" w:cs="宋体"/>
      <w:i/>
      <w:lang w:eastAsia="zh-CN"/>
    </w:rPr>
  </w:style>
  <w:style w:type="paragraph" w:customStyle="1" w:styleId="155">
    <w:name w:val="font5"/>
    <w:basedOn w:val="1"/>
    <w:qFormat/>
    <w:uiPriority w:val="0"/>
    <w:pPr>
      <w:widowControl/>
      <w:adjustRightInd w:val="0"/>
      <w:spacing w:before="100" w:beforeLines="0" w:after="100" w:afterLines="0"/>
      <w:jc w:val="left"/>
      <w:textAlignment w:val="baseline"/>
    </w:pPr>
    <w:rPr>
      <w:rFonts w:ascii="宋体" w:hAnsi="宋体"/>
      <w:color w:val="000000"/>
      <w:kern w:val="0"/>
      <w:sz w:val="21"/>
    </w:rPr>
  </w:style>
  <w:style w:type="paragraph" w:customStyle="1" w:styleId="156">
    <w:name w:val="IBM 正文"/>
    <w:basedOn w:val="1"/>
    <w:qFormat/>
    <w:uiPriority w:val="0"/>
    <w:pPr>
      <w:spacing w:line="400" w:lineRule="exact"/>
    </w:pPr>
    <w:rPr>
      <w:spacing w:val="20"/>
    </w:rPr>
  </w:style>
  <w:style w:type="paragraph" w:customStyle="1" w:styleId="157">
    <w:name w:val="xl80"/>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1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59">
    <w:name w:val="xl78"/>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160">
    <w:name w:val="标准正文"/>
    <w:basedOn w:val="1"/>
    <w:next w:val="1"/>
    <w:qFormat/>
    <w:uiPriority w:val="0"/>
    <w:pPr>
      <w:widowControl/>
      <w:spacing w:after="50" w:afterLines="0" w:afterAutospacing="0"/>
      <w:ind w:firstLine="200"/>
    </w:pPr>
    <w:rPr>
      <w:color w:val="000000"/>
    </w:rPr>
  </w:style>
  <w:style w:type="paragraph" w:customStyle="1" w:styleId="161">
    <w:name w:val="超链接1"/>
    <w:basedOn w:val="1"/>
    <w:next w:val="1"/>
    <w:qFormat/>
    <w:uiPriority w:val="0"/>
    <w:pPr>
      <w:widowControl/>
    </w:pPr>
    <w:rPr>
      <w:color w:val="0000FF"/>
      <w:sz w:val="21"/>
      <w:u w:val="single" w:color="000000"/>
    </w:rPr>
  </w:style>
  <w:style w:type="paragraph" w:customStyle="1" w:styleId="16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font23"/>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64">
    <w:name w:val="正文11"/>
    <w:basedOn w:val="1"/>
    <w:qFormat/>
    <w:uiPriority w:val="0"/>
    <w:pPr>
      <w:adjustRightInd w:val="0"/>
      <w:spacing w:before="80" w:after="80" w:line="312" w:lineRule="atLeast"/>
      <w:ind w:firstLine="425"/>
    </w:pPr>
    <w:rPr>
      <w:kern w:val="0"/>
      <w:sz w:val="21"/>
    </w:rPr>
  </w:style>
  <w:style w:type="paragraph" w:customStyle="1" w:styleId="165">
    <w:name w:val="默认段落字体 Para Char Char Char Char Char Char Char Char Char1 Char Char Char Char"/>
    <w:basedOn w:val="1"/>
    <w:qFormat/>
    <w:uiPriority w:val="0"/>
    <w:rPr>
      <w:rFonts w:ascii="Tahoma" w:hAnsi="Tahoma"/>
    </w:rPr>
  </w:style>
  <w:style w:type="paragraph" w:customStyle="1" w:styleId="16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7">
    <w:name w:val="普通表格2"/>
    <w:basedOn w:val="1"/>
    <w:next w:val="1"/>
    <w:qFormat/>
    <w:uiPriority w:val="0"/>
    <w:pPr>
      <w:widowControl/>
      <w:jc w:val="left"/>
    </w:pPr>
    <w:rPr>
      <w:color w:val="000000"/>
      <w:kern w:val="0"/>
    </w:rPr>
  </w:style>
  <w:style w:type="paragraph" w:customStyle="1" w:styleId="168">
    <w:name w:val="章节标题5"/>
    <w:basedOn w:val="1"/>
    <w:qFormat/>
    <w:uiPriority w:val="0"/>
    <w:pPr>
      <w:keepNext/>
      <w:keepLines/>
      <w:numPr>
        <w:ilvl w:val="4"/>
        <w:numId w:val="3"/>
      </w:numPr>
      <w:spacing w:before="50" w:beforeLines="50" w:after="50" w:afterLines="50" w:line="377" w:lineRule="auto"/>
      <w:outlineLvl w:val="4"/>
    </w:pPr>
    <w:rPr>
      <w:b/>
      <w:bCs/>
      <w:szCs w:val="24"/>
    </w:rPr>
  </w:style>
  <w:style w:type="paragraph" w:customStyle="1" w:styleId="169">
    <w:name w:val="WPSOffice手动目录 1"/>
    <w:qFormat/>
    <w:uiPriority w:val="0"/>
    <w:rPr>
      <w:rFonts w:ascii="Times New Roman" w:hAnsi="Times New Roman" w:eastAsia="宋体" w:cs="Times New Roman"/>
      <w:lang w:val="en-US" w:eastAsia="zh-CN" w:bidi="ar-SA"/>
    </w:rPr>
  </w:style>
  <w:style w:type="paragraph" w:customStyle="1" w:styleId="17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17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72">
    <w:name w:val="font18"/>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73">
    <w:name w:val="文字缩进 2"/>
    <w:basedOn w:val="2"/>
    <w:qFormat/>
    <w:uiPriority w:val="0"/>
    <w:pPr>
      <w:autoSpaceDE/>
      <w:autoSpaceDN/>
      <w:spacing w:before="100" w:beforeLines="0" w:beforeAutospacing="1" w:after="100" w:afterLines="0" w:afterAutospacing="1" w:line="400" w:lineRule="atLeast"/>
      <w:ind w:left="851"/>
      <w:jc w:val="both"/>
      <w:textAlignment w:val="baseline"/>
    </w:pPr>
    <w:rPr>
      <w:rFonts w:ascii="Times New Roman"/>
      <w:color w:val="auto"/>
    </w:rPr>
  </w:style>
  <w:style w:type="paragraph" w:customStyle="1" w:styleId="174">
    <w:name w:val="小标题"/>
    <w:basedOn w:val="1"/>
    <w:next w:val="1"/>
    <w:qFormat/>
    <w:uiPriority w:val="0"/>
    <w:pPr>
      <w:spacing w:line="360" w:lineRule="auto"/>
      <w:ind w:firstLine="200" w:firstLineChars="200"/>
      <w:jc w:val="left"/>
    </w:pPr>
    <w:rPr>
      <w:rFonts w:ascii="宋体" w:hAnsi="宋体"/>
      <w:b/>
      <w:bCs/>
      <w:sz w:val="21"/>
      <w:szCs w:val="24"/>
    </w:rPr>
  </w:style>
  <w:style w:type="paragraph" w:customStyle="1" w:styleId="175">
    <w:name w:val="图号"/>
    <w:basedOn w:val="1"/>
    <w:qFormat/>
    <w:uiPriority w:val="0"/>
    <w:pPr>
      <w:widowControl/>
      <w:overflowPunct w:val="0"/>
      <w:autoSpaceDE w:val="0"/>
      <w:autoSpaceDN w:val="0"/>
      <w:adjustRightInd w:val="0"/>
      <w:snapToGrid w:val="0"/>
      <w:jc w:val="right"/>
    </w:pPr>
    <w:rPr>
      <w:rFonts w:hint="eastAsia" w:ascii="宋体"/>
      <w:kern w:val="0"/>
      <w:sz w:val="21"/>
    </w:rPr>
  </w:style>
  <w:style w:type="paragraph" w:customStyle="1" w:styleId="176">
    <w:name w:val="表格1"/>
    <w:basedOn w:val="1"/>
    <w:qFormat/>
    <w:uiPriority w:val="0"/>
    <w:pPr>
      <w:widowControl/>
      <w:topLinePunct/>
      <w:spacing w:line="360" w:lineRule="auto"/>
    </w:pPr>
    <w:rPr>
      <w:rFonts w:ascii="楷体_GB2312" w:eastAsia="楷体_GB2312"/>
      <w:kern w:val="0"/>
      <w:sz w:val="21"/>
      <w:szCs w:val="21"/>
    </w:rPr>
  </w:style>
  <w:style w:type="paragraph" w:customStyle="1" w:styleId="177">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178">
    <w:name w:val="投标文件3"/>
    <w:basedOn w:val="1"/>
    <w:qFormat/>
    <w:uiPriority w:val="0"/>
    <w:pPr>
      <w:widowControl/>
      <w:spacing w:line="360" w:lineRule="auto"/>
    </w:pPr>
    <w:rPr>
      <w:rFonts w:ascii="宋体" w:hAnsi="Courier New" w:eastAsia="黑体"/>
      <w:b/>
      <w:sz w:val="30"/>
    </w:rPr>
  </w:style>
  <w:style w:type="paragraph" w:customStyle="1" w:styleId="179">
    <w:name w:val="Char Char Char Char Char Char Char Char Char Char"/>
    <w:basedOn w:val="25"/>
    <w:qFormat/>
    <w:uiPriority w:val="0"/>
    <w:rPr>
      <w:rFonts w:ascii="Tahoma" w:hAnsi="Tahoma"/>
    </w:rPr>
  </w:style>
  <w:style w:type="paragraph" w:customStyle="1" w:styleId="180">
    <w:name w:val="xl1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181">
    <w:name w:val="xl99"/>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182">
    <w:name w:val="_Style 179"/>
    <w:basedOn w:val="3"/>
    <w:next w:val="1"/>
    <w:qFormat/>
    <w:uiPriority w:val="0"/>
    <w:pPr>
      <w:keepNext/>
      <w:keepLines/>
      <w:pageBreakBefore w:val="0"/>
      <w:tabs>
        <w:tab w:val="clear" w:pos="478"/>
      </w:tabs>
      <w:autoSpaceDE/>
      <w:autoSpaceDN/>
      <w:spacing w:before="480" w:beforeLines="0" w:after="0" w:afterLines="0" w:line="276" w:lineRule="auto"/>
      <w:ind w:left="0" w:firstLine="0"/>
      <w:jc w:val="left"/>
      <w:outlineLvl w:val="9"/>
    </w:pPr>
    <w:rPr>
      <w:rFonts w:ascii="Cambria" w:hAnsi="Cambria"/>
      <w:b/>
      <w:bCs/>
      <w:color w:val="365F91"/>
      <w:sz w:val="28"/>
      <w:szCs w:val="28"/>
      <w:lang w:val="en-US" w:eastAsia="zh-CN"/>
    </w:rPr>
  </w:style>
  <w:style w:type="paragraph" w:customStyle="1" w:styleId="183">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184">
    <w:name w:val="2 Char Char Char Char Char Char Char"/>
    <w:basedOn w:val="1"/>
    <w:qFormat/>
    <w:uiPriority w:val="0"/>
    <w:rPr>
      <w:rFonts w:ascii="Tahoma" w:hAnsi="Tahoma"/>
    </w:rPr>
  </w:style>
  <w:style w:type="paragraph" w:customStyle="1" w:styleId="185">
    <w:name w:val="--规划正文"/>
    <w:basedOn w:val="1"/>
    <w:qFormat/>
    <w:uiPriority w:val="0"/>
    <w:pPr>
      <w:spacing w:line="360" w:lineRule="auto"/>
      <w:ind w:firstLine="200" w:firstLineChars="200"/>
    </w:pPr>
    <w:rPr>
      <w:sz w:val="21"/>
      <w:szCs w:val="20"/>
    </w:rPr>
  </w:style>
  <w:style w:type="paragraph" w:customStyle="1" w:styleId="18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7">
    <w:name w:val="方点"/>
    <w:basedOn w:val="1"/>
    <w:qFormat/>
    <w:uiPriority w:val="0"/>
    <w:pPr>
      <w:spacing w:before="156" w:beforeLines="50"/>
    </w:pPr>
    <w:rPr>
      <w:b/>
      <w:bCs/>
    </w:rPr>
  </w:style>
  <w:style w:type="paragraph" w:customStyle="1" w:styleId="188">
    <w:name w:val="xl91"/>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189">
    <w:name w:val="抬头"/>
    <w:basedOn w:val="1"/>
    <w:qFormat/>
    <w:uiPriority w:val="0"/>
    <w:pPr>
      <w:widowControl/>
      <w:topLinePunct/>
      <w:ind w:firstLine="600" w:firstLineChars="200"/>
      <w:jc w:val="center"/>
    </w:pPr>
    <w:rPr>
      <w:kern w:val="0"/>
      <w:sz w:val="30"/>
      <w:szCs w:val="30"/>
    </w:rPr>
  </w:style>
  <w:style w:type="paragraph" w:customStyle="1" w:styleId="190">
    <w:name w:val="desp"/>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191">
    <w:name w:val="默认段落字体 Para Char Char Char Char"/>
    <w:basedOn w:val="1"/>
    <w:qFormat/>
    <w:uiPriority w:val="0"/>
    <w:pPr>
      <w:spacing w:line="240" w:lineRule="atLeast"/>
      <w:ind w:left="420" w:firstLine="420"/>
    </w:pPr>
    <w:rPr>
      <w:kern w:val="0"/>
      <w:sz w:val="21"/>
      <w:szCs w:val="21"/>
    </w:rPr>
  </w:style>
  <w:style w:type="paragraph" w:customStyle="1" w:styleId="192">
    <w:name w:val="五级条标题"/>
    <w:basedOn w:val="193"/>
    <w:next w:val="119"/>
    <w:qFormat/>
    <w:uiPriority w:val="0"/>
    <w:pPr>
      <w:numPr>
        <w:ilvl w:val="6"/>
        <w:numId w:val="7"/>
      </w:numPr>
      <w:outlineLvl w:val="6"/>
    </w:pPr>
  </w:style>
  <w:style w:type="paragraph" w:customStyle="1" w:styleId="193">
    <w:name w:val="四级条标题"/>
    <w:basedOn w:val="194"/>
    <w:next w:val="119"/>
    <w:qFormat/>
    <w:uiPriority w:val="0"/>
    <w:pPr>
      <w:numPr>
        <w:ilvl w:val="5"/>
        <w:numId w:val="7"/>
      </w:numPr>
      <w:outlineLvl w:val="5"/>
    </w:pPr>
  </w:style>
  <w:style w:type="paragraph" w:customStyle="1" w:styleId="194">
    <w:name w:val="三级条标题"/>
    <w:basedOn w:val="195"/>
    <w:next w:val="119"/>
    <w:qFormat/>
    <w:uiPriority w:val="0"/>
    <w:pPr>
      <w:numPr>
        <w:ilvl w:val="4"/>
        <w:numId w:val="7"/>
      </w:numPr>
      <w:outlineLvl w:val="4"/>
    </w:pPr>
  </w:style>
  <w:style w:type="paragraph" w:customStyle="1" w:styleId="195">
    <w:name w:val="二级条标题"/>
    <w:basedOn w:val="196"/>
    <w:next w:val="119"/>
    <w:qFormat/>
    <w:uiPriority w:val="0"/>
    <w:pPr>
      <w:numPr>
        <w:ilvl w:val="3"/>
        <w:numId w:val="7"/>
      </w:numPr>
      <w:outlineLvl w:val="3"/>
    </w:pPr>
  </w:style>
  <w:style w:type="paragraph" w:customStyle="1" w:styleId="196">
    <w:name w:val="一级条标题"/>
    <w:next w:val="119"/>
    <w:qFormat/>
    <w:uiPriority w:val="0"/>
    <w:pPr>
      <w:numPr>
        <w:ilvl w:val="2"/>
        <w:numId w:val="7"/>
      </w:numPr>
      <w:outlineLvl w:val="2"/>
    </w:pPr>
    <w:rPr>
      <w:rFonts w:ascii="Times New Roman" w:hAnsi="Times New Roman" w:eastAsia="黑体" w:cs="Times New Roman"/>
      <w:sz w:val="21"/>
      <w:lang w:val="en-US" w:eastAsia="zh-CN" w:bidi="ar-SA"/>
    </w:rPr>
  </w:style>
  <w:style w:type="paragraph" w:customStyle="1" w:styleId="19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198">
    <w:name w:val="标题3定义"/>
    <w:basedOn w:val="1"/>
    <w:qFormat/>
    <w:uiPriority w:val="0"/>
    <w:pPr>
      <w:tabs>
        <w:tab w:val="left" w:pos="360"/>
      </w:tabs>
      <w:ind w:left="360" w:hanging="360"/>
    </w:pPr>
    <w:rPr>
      <w:rFonts w:ascii="Calibri" w:hAnsi="Calibri"/>
      <w:sz w:val="21"/>
      <w:szCs w:val="22"/>
    </w:rPr>
  </w:style>
  <w:style w:type="paragraph" w:customStyle="1" w:styleId="199">
    <w:name w:val="xl41"/>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b/>
      <w:bCs/>
      <w:kern w:val="0"/>
      <w:sz w:val="20"/>
    </w:rPr>
  </w:style>
  <w:style w:type="paragraph" w:customStyle="1" w:styleId="200">
    <w:name w:val="样式 标题 2 + 宋体 小四 段前: 5 磅 段后: 5 磅 行距: 单倍行距"/>
    <w:basedOn w:val="4"/>
    <w:qFormat/>
    <w:uiPriority w:val="0"/>
    <w:pPr>
      <w:tabs>
        <w:tab w:val="left" w:pos="720"/>
        <w:tab w:val="clear" w:pos="358"/>
      </w:tabs>
      <w:adjustRightInd w:val="0"/>
      <w:spacing w:before="100" w:beforeLines="0" w:beforeAutospacing="1" w:after="100" w:afterLines="0" w:afterAutospacing="1" w:line="240" w:lineRule="auto"/>
      <w:ind w:left="0" w:firstLine="0"/>
      <w:jc w:val="left"/>
      <w:textAlignment w:val="baseline"/>
    </w:pPr>
    <w:rPr>
      <w:rFonts w:ascii="宋体" w:hAnsi="宋体"/>
      <w:b w:val="0"/>
      <w:kern w:val="0"/>
      <w:sz w:val="28"/>
    </w:rPr>
  </w:style>
  <w:style w:type="paragraph" w:customStyle="1" w:styleId="201">
    <w:name w:val="Body Text 2"/>
    <w:basedOn w:val="1"/>
    <w:qFormat/>
    <w:uiPriority w:val="0"/>
    <w:pPr>
      <w:adjustRightInd w:val="0"/>
      <w:spacing w:line="300" w:lineRule="auto"/>
      <w:jc w:val="center"/>
    </w:pPr>
    <w:rPr>
      <w:rFonts w:hint="eastAsia" w:ascii="宋体" w:hAnsi="宋体"/>
    </w:rPr>
  </w:style>
  <w:style w:type="paragraph" w:customStyle="1" w:styleId="202">
    <w:name w:val="List Paragraph2"/>
    <w:basedOn w:val="1"/>
    <w:qFormat/>
    <w:uiPriority w:val="0"/>
    <w:pPr>
      <w:ind w:firstLine="420" w:firstLineChars="200"/>
    </w:pPr>
    <w:rPr>
      <w:rFonts w:ascii="Calibri" w:hAnsi="Calibri"/>
      <w:sz w:val="21"/>
      <w:szCs w:val="22"/>
    </w:rPr>
  </w:style>
  <w:style w:type="paragraph" w:customStyle="1" w:styleId="203">
    <w:name w:val="xl109"/>
    <w:basedOn w:val="1"/>
    <w:qFormat/>
    <w:uiPriority w:val="0"/>
    <w:pPr>
      <w:widowControl/>
      <w:spacing w:before="100" w:beforeLines="0" w:beforeAutospacing="1" w:after="100" w:afterLines="0" w:afterAutospacing="1"/>
      <w:jc w:val="center"/>
    </w:pPr>
    <w:rPr>
      <w:rFonts w:ascii="幼圆" w:hAnsi="宋体" w:eastAsia="幼圆" w:cs="宋体"/>
      <w:color w:val="000000"/>
      <w:kern w:val="0"/>
      <w:szCs w:val="24"/>
    </w:rPr>
  </w:style>
  <w:style w:type="paragraph" w:customStyle="1" w:styleId="204">
    <w:name w:val="xl79"/>
    <w:basedOn w:val="1"/>
    <w:qFormat/>
    <w:uiPriority w:val="0"/>
    <w:pPr>
      <w:widowControl/>
      <w:shd w:val="clear" w:color="auto" w:fill="CCFFCC"/>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205">
    <w:name w:val="xl108"/>
    <w:basedOn w:val="1"/>
    <w:qFormat/>
    <w:uiPriority w:val="0"/>
    <w:pPr>
      <w:widowControl/>
      <w:spacing w:before="100" w:beforeLines="0" w:beforeAutospacing="1" w:after="100" w:afterLines="0" w:afterAutospacing="1"/>
      <w:jc w:val="center"/>
    </w:pPr>
    <w:rPr>
      <w:rFonts w:ascii="Arial" w:hAnsi="Arial" w:cs="Arial"/>
      <w:kern w:val="0"/>
      <w:szCs w:val="24"/>
    </w:rPr>
  </w:style>
  <w:style w:type="paragraph" w:customStyle="1" w:styleId="206">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207">
    <w:name w:val="章标题"/>
    <w:next w:val="119"/>
    <w:qFormat/>
    <w:uiPriority w:val="0"/>
    <w:pPr>
      <w:numPr>
        <w:ilvl w:val="1"/>
        <w:numId w:val="7"/>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08">
    <w:name w:val="正文文字缩进3"/>
    <w:basedOn w:val="2"/>
    <w:qFormat/>
    <w:uiPriority w:val="0"/>
    <w:pPr>
      <w:autoSpaceDE/>
      <w:autoSpaceDN/>
      <w:spacing w:before="100" w:beforeLines="0" w:beforeAutospacing="1" w:after="100" w:afterLines="0" w:afterAutospacing="1" w:line="400" w:lineRule="atLeast"/>
      <w:ind w:left="600" w:leftChars="600"/>
      <w:jc w:val="both"/>
      <w:textAlignment w:val="baseline"/>
    </w:pPr>
    <w:rPr>
      <w:rFonts w:ascii="Times New Roman"/>
      <w:color w:val="auto"/>
    </w:rPr>
  </w:style>
  <w:style w:type="paragraph" w:customStyle="1" w:styleId="209">
    <w:name w:val="xl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21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211">
    <w:name w:val="样式1"/>
    <w:basedOn w:val="1"/>
    <w:link w:val="506"/>
    <w:qFormat/>
    <w:uiPriority w:val="0"/>
    <w:pPr>
      <w:jc w:val="center"/>
    </w:pPr>
    <w:rPr>
      <w:rFonts w:ascii="宋体" w:hAnsi="宋体"/>
      <w:b/>
      <w:bCs/>
      <w:sz w:val="44"/>
      <w:szCs w:val="24"/>
    </w:rPr>
  </w:style>
  <w:style w:type="paragraph" w:customStyle="1" w:styleId="212">
    <w:name w:val="List2"/>
    <w:basedOn w:val="1"/>
    <w:qFormat/>
    <w:uiPriority w:val="0"/>
    <w:pPr>
      <w:tabs>
        <w:tab w:val="left" w:pos="643"/>
        <w:tab w:val="left" w:pos="840"/>
      </w:tabs>
      <w:spacing w:line="360" w:lineRule="auto"/>
      <w:ind w:left="643" w:hanging="420"/>
    </w:pPr>
  </w:style>
  <w:style w:type="paragraph" w:customStyle="1" w:styleId="2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14">
    <w:name w:val="正文两字缩进"/>
    <w:basedOn w:val="33"/>
    <w:qFormat/>
    <w:uiPriority w:val="0"/>
    <w:pPr>
      <w:tabs>
        <w:tab w:val="right" w:leader="dot" w:pos="8302"/>
      </w:tabs>
      <w:spacing w:before="156" w:beforeLines="50" w:beforeAutospacing="0" w:after="156" w:afterLines="50" w:afterAutospacing="0" w:line="360" w:lineRule="auto"/>
      <w:ind w:left="0" w:leftChars="0" w:firstLine="480"/>
      <w:jc w:val="left"/>
    </w:pPr>
    <w:rPr>
      <w:rFonts w:ascii="宋体" w:hAnsi="宋体"/>
    </w:rPr>
  </w:style>
  <w:style w:type="paragraph" w:customStyle="1" w:styleId="215">
    <w:name w:val="font0"/>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16">
    <w:name w:val="文章标题 1"/>
    <w:basedOn w:val="3"/>
    <w:next w:val="1"/>
    <w:qFormat/>
    <w:uiPriority w:val="0"/>
    <w:pPr>
      <w:keepNext/>
      <w:keepLines/>
      <w:widowControl w:val="0"/>
      <w:numPr>
        <w:ilvl w:val="0"/>
        <w:numId w:val="0"/>
      </w:numPr>
      <w:autoSpaceDE/>
      <w:autoSpaceDN/>
      <w:spacing w:before="120" w:beforeLines="0" w:beforeAutospacing="0" w:after="480" w:afterLines="0" w:afterAutospacing="0" w:line="360" w:lineRule="auto"/>
      <w:textAlignment w:val="top"/>
    </w:pPr>
    <w:rPr>
      <w:rFonts w:hint="default" w:ascii="Times New Roman" w:eastAsia="黑体"/>
      <w:color w:val="auto"/>
      <w:kern w:val="2"/>
      <w:sz w:val="44"/>
    </w:rPr>
  </w:style>
  <w:style w:type="paragraph" w:customStyle="1" w:styleId="217">
    <w:name w:val="xl27"/>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kern w:val="0"/>
      <w:sz w:val="21"/>
    </w:rPr>
  </w:style>
  <w:style w:type="paragraph" w:customStyle="1" w:styleId="218">
    <w:name w:val="Char Char Char Char1"/>
    <w:basedOn w:val="1"/>
    <w:qFormat/>
    <w:uiPriority w:val="0"/>
    <w:rPr>
      <w:rFonts w:ascii="Tahoma" w:hAnsi="Tahoma"/>
    </w:rPr>
  </w:style>
  <w:style w:type="paragraph" w:customStyle="1" w:styleId="21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bottom"/>
    </w:pPr>
    <w:rPr>
      <w:b/>
      <w:bCs/>
      <w:kern w:val="0"/>
      <w:sz w:val="20"/>
    </w:rPr>
  </w:style>
  <w:style w:type="paragraph" w:customStyle="1" w:styleId="220">
    <w:name w:val="xl74"/>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1">
    <w:name w:val="样式29"/>
    <w:basedOn w:val="1"/>
    <w:qFormat/>
    <w:uiPriority w:val="0"/>
    <w:pPr>
      <w:widowControl/>
      <w:spacing w:line="440" w:lineRule="exact"/>
      <w:ind w:firstLine="200" w:firstLineChars="200"/>
      <w:jc w:val="left"/>
    </w:pPr>
    <w:rPr>
      <w:spacing w:val="6"/>
      <w:kern w:val="0"/>
    </w:rPr>
  </w:style>
  <w:style w:type="paragraph" w:customStyle="1" w:styleId="222">
    <w:name w:val="xl85"/>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223">
    <w:name w:val="标书正文:  0.74 厘米"/>
    <w:basedOn w:val="1"/>
    <w:link w:val="480"/>
    <w:qFormat/>
    <w:uiPriority w:val="0"/>
    <w:pPr>
      <w:snapToGrid w:val="0"/>
      <w:spacing w:line="360" w:lineRule="auto"/>
      <w:ind w:firstLine="420"/>
    </w:pPr>
  </w:style>
  <w:style w:type="paragraph" w:customStyle="1" w:styleId="224">
    <w:name w:val="文档正文"/>
    <w:basedOn w:val="1"/>
    <w:qFormat/>
    <w:uiPriority w:val="0"/>
    <w:pPr>
      <w:adjustRightInd w:val="0"/>
      <w:spacing w:line="480" w:lineRule="atLeast"/>
      <w:ind w:firstLine="567" w:firstLineChars="200"/>
    </w:pPr>
    <w:rPr>
      <w:rFonts w:hint="eastAsia" w:ascii="宋体" w:hAnsi="宋体"/>
      <w:kern w:val="0"/>
      <w:sz w:val="28"/>
    </w:rPr>
  </w:style>
  <w:style w:type="paragraph" w:customStyle="1" w:styleId="225">
    <w:name w:val="xl73"/>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226">
    <w:name w:val="TABLE3"/>
    <w:basedOn w:val="1"/>
    <w:next w:val="1"/>
    <w:qFormat/>
    <w:uiPriority w:val="0"/>
    <w:pPr>
      <w:jc w:val="center"/>
    </w:pPr>
    <w:rPr>
      <w:snapToGrid/>
      <w:sz w:val="24"/>
      <w:szCs w:val="24"/>
    </w:rPr>
  </w:style>
  <w:style w:type="paragraph" w:customStyle="1" w:styleId="227">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28">
    <w:name w:val="flName"/>
    <w:basedOn w:val="229"/>
    <w:qFormat/>
    <w:uiPriority w:val="0"/>
    <w:rPr>
      <w:sz w:val="32"/>
    </w:rPr>
  </w:style>
  <w:style w:type="paragraph" w:customStyle="1" w:styleId="229">
    <w:name w:val="flNote"/>
    <w:basedOn w:val="1"/>
    <w:qFormat/>
    <w:uiPriority w:val="0"/>
    <w:pPr>
      <w:adjustRightInd w:val="0"/>
      <w:spacing w:before="320" w:beforeLines="0" w:after="160" w:afterLines="0" w:line="360" w:lineRule="auto"/>
      <w:jc w:val="center"/>
      <w:textAlignment w:val="baseline"/>
    </w:pPr>
    <w:rPr>
      <w:rFonts w:ascii="Arial" w:eastAsia="黑体"/>
      <w:kern w:val="0"/>
      <w:sz w:val="30"/>
    </w:rPr>
  </w:style>
  <w:style w:type="paragraph" w:customStyle="1" w:styleId="230">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31">
    <w:name w:val="font12"/>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23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233">
    <w:name w:val="自定义正文"/>
    <w:basedOn w:val="1"/>
    <w:link w:val="466"/>
    <w:qFormat/>
    <w:uiPriority w:val="0"/>
    <w:pPr>
      <w:spacing w:before="120" w:after="120" w:line="480" w:lineRule="exact"/>
      <w:ind w:firstLine="200" w:firstLineChars="200"/>
      <w:jc w:val="left"/>
    </w:pPr>
    <w:rPr>
      <w:rFonts w:ascii="仿宋_GB2312" w:eastAsia="仿宋_GB2312"/>
      <w:kern w:val="0"/>
    </w:rPr>
  </w:style>
  <w:style w:type="paragraph" w:customStyle="1" w:styleId="2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36">
    <w:name w:val="章节标题6"/>
    <w:basedOn w:val="1"/>
    <w:qFormat/>
    <w:uiPriority w:val="0"/>
    <w:pPr>
      <w:keepNext/>
      <w:keepLines/>
      <w:numPr>
        <w:ilvl w:val="5"/>
        <w:numId w:val="3"/>
      </w:numPr>
      <w:spacing w:before="156" w:after="156" w:line="320" w:lineRule="auto"/>
      <w:outlineLvl w:val="5"/>
    </w:pPr>
    <w:rPr>
      <w:rFonts w:ascii="Arial" w:hAnsi="Arial" w:eastAsia="黑体"/>
      <w:b/>
      <w:bCs/>
      <w:szCs w:val="24"/>
    </w:rPr>
  </w:style>
  <w:style w:type="paragraph" w:customStyle="1" w:styleId="237">
    <w:name w:val="UserStyle_89"/>
    <w:basedOn w:val="1"/>
    <w:qFormat/>
    <w:uiPriority w:val="0"/>
    <w:pPr>
      <w:ind w:firstLine="420"/>
      <w:jc w:val="left"/>
    </w:pPr>
    <w:rPr>
      <w:kern w:val="0"/>
    </w:rPr>
  </w:style>
  <w:style w:type="paragraph" w:customStyle="1" w:styleId="238">
    <w:name w:val="Char3 Char Char Char"/>
    <w:basedOn w:val="1"/>
    <w:qFormat/>
    <w:uiPriority w:val="0"/>
    <w:pPr>
      <w:widowControl/>
      <w:spacing w:after="160" w:line="240" w:lineRule="exact"/>
      <w:ind w:firstLine="200" w:firstLineChars="200"/>
      <w:jc w:val="left"/>
    </w:pPr>
    <w:rPr>
      <w:szCs w:val="24"/>
    </w:rPr>
  </w:style>
  <w:style w:type="paragraph" w:customStyle="1" w:styleId="239">
    <w:name w:val="简单回函地址"/>
    <w:basedOn w:val="1"/>
    <w:qFormat/>
    <w:uiPriority w:val="0"/>
    <w:rPr>
      <w:sz w:val="21"/>
      <w:szCs w:val="24"/>
    </w:rPr>
  </w:style>
  <w:style w:type="paragraph" w:customStyle="1" w:styleId="240">
    <w:name w:val="xl26"/>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kern w:val="0"/>
    </w:rPr>
  </w:style>
  <w:style w:type="paragraph" w:customStyle="1" w:styleId="241">
    <w:name w:val="标准文本"/>
    <w:basedOn w:val="1"/>
    <w:link w:val="448"/>
    <w:qFormat/>
    <w:uiPriority w:val="0"/>
    <w:pPr>
      <w:spacing w:line="360" w:lineRule="auto"/>
      <w:ind w:firstLine="480" w:firstLineChars="200"/>
    </w:pPr>
    <w:rPr>
      <w:kern w:val="0"/>
    </w:rPr>
  </w:style>
  <w:style w:type="paragraph" w:customStyle="1" w:styleId="242">
    <w:name w:val="样式 样式 标题 1 + 黑体 三号 + 段前: 1 行 段后: 1 行"/>
    <w:basedOn w:val="1"/>
    <w:qFormat/>
    <w:uiPriority w:val="0"/>
    <w:pPr>
      <w:keepNext/>
      <w:keepLines/>
      <w:tabs>
        <w:tab w:val="left" w:pos="1021"/>
      </w:tabs>
      <w:spacing w:before="312" w:beforeLines="100" w:beforeAutospacing="0" w:after="312" w:afterLines="100" w:afterAutospacing="0" w:line="360" w:lineRule="auto"/>
      <w:ind w:firstLine="482"/>
      <w:outlineLvl w:val="0"/>
    </w:pPr>
    <w:rPr>
      <w:rFonts w:ascii="Arial" w:hAnsi="Arial" w:eastAsia="黑体"/>
      <w:b/>
      <w:spacing w:val="10"/>
      <w:kern w:val="44"/>
      <w:sz w:val="32"/>
    </w:rPr>
  </w:style>
  <w:style w:type="paragraph" w:customStyle="1" w:styleId="243">
    <w:name w:val="标题3级"/>
    <w:qFormat/>
    <w:uiPriority w:val="0"/>
    <w:pPr>
      <w:tabs>
        <w:tab w:val="left" w:pos="1260"/>
      </w:tabs>
      <w:spacing w:line="360" w:lineRule="auto"/>
      <w:ind w:left="1260" w:hanging="420"/>
      <w:jc w:val="both"/>
      <w:outlineLvl w:val="2"/>
    </w:pPr>
    <w:rPr>
      <w:rFonts w:ascii="Arial" w:hAnsi="Arial" w:eastAsia="黑体" w:cs="Times New Roman"/>
      <w:b/>
      <w:sz w:val="30"/>
      <w:lang w:val="en-US" w:eastAsia="zh-CN" w:bidi="ar-SA"/>
    </w:rPr>
  </w:style>
  <w:style w:type="paragraph" w:customStyle="1" w:styleId="244">
    <w:name w:val="样式5"/>
    <w:basedOn w:val="1"/>
    <w:link w:val="492"/>
    <w:qFormat/>
    <w:uiPriority w:val="0"/>
    <w:pPr>
      <w:spacing w:before="50" w:beforeLines="0" w:beforeAutospacing="0" w:after="75" w:afterLines="0" w:afterAutospacing="0"/>
      <w:outlineLvl w:val="2"/>
    </w:pPr>
    <w:rPr>
      <w:rFonts w:ascii="宋体" w:hAnsi="宋体"/>
      <w:b/>
      <w:bCs/>
      <w:color w:val="000000"/>
      <w:kern w:val="44"/>
      <w:sz w:val="28"/>
      <w:szCs w:val="32"/>
    </w:rPr>
  </w:style>
  <w:style w:type="paragraph" w:customStyle="1" w:styleId="245">
    <w:name w:val="样式 首行缩进:  2 字符"/>
    <w:basedOn w:val="1"/>
    <w:qFormat/>
    <w:uiPriority w:val="0"/>
    <w:pPr>
      <w:spacing w:after="120" w:afterLines="0" w:afterAutospacing="0" w:line="360" w:lineRule="auto"/>
      <w:ind w:firstLine="480" w:firstLineChars="200"/>
    </w:pPr>
  </w:style>
  <w:style w:type="paragraph" w:customStyle="1" w:styleId="246">
    <w:name w:val="首行缩进:  2 字符"/>
    <w:basedOn w:val="1"/>
    <w:next w:val="1"/>
    <w:link w:val="516"/>
    <w:qFormat/>
    <w:uiPriority w:val="0"/>
    <w:pPr>
      <w:widowControl/>
      <w:spacing w:line="440" w:lineRule="exact"/>
      <w:ind w:firstLine="480" w:firstLineChars="200"/>
      <w:jc w:val="left"/>
    </w:pPr>
    <w:rPr>
      <w:rFonts w:eastAsia="仿宋_GB2312" w:cs="宋体"/>
      <w:kern w:val="0"/>
    </w:rPr>
  </w:style>
  <w:style w:type="paragraph" w:customStyle="1" w:styleId="247">
    <w:name w:val="文章标题 3 Char"/>
    <w:basedOn w:val="5"/>
    <w:next w:val="1"/>
    <w:link w:val="472"/>
    <w:qFormat/>
    <w:uiPriority w:val="0"/>
    <w:pPr>
      <w:numPr>
        <w:ilvl w:val="0"/>
        <w:numId w:val="0"/>
      </w:numPr>
      <w:spacing w:before="260" w:beforeLines="0" w:beforeAutospacing="0" w:after="260" w:afterLines="0" w:afterAutospacing="0" w:line="413" w:lineRule="auto"/>
      <w:ind w:left="-7" w:firstLine="567"/>
    </w:pPr>
    <w:rPr>
      <w:rFonts w:hAnsi="Arial" w:eastAsia="黑体"/>
      <w:b w:val="0"/>
    </w:rPr>
  </w:style>
  <w:style w:type="paragraph" w:customStyle="1" w:styleId="248">
    <w:name w:val="样式 标题 3h33rd levelH3Level 3 Headsect1.2.3BOD 0l3CTHeadi..."/>
    <w:basedOn w:val="5"/>
    <w:qFormat/>
    <w:uiPriority w:val="0"/>
    <w:pPr>
      <w:numPr>
        <w:ilvl w:val="0"/>
        <w:numId w:val="0"/>
      </w:numPr>
      <w:tabs>
        <w:tab w:val="left" w:pos="420"/>
        <w:tab w:val="clear" w:pos="778"/>
      </w:tabs>
      <w:spacing w:before="200" w:beforeLines="0" w:beforeAutospacing="0" w:after="0" w:afterLines="0" w:afterAutospacing="0"/>
      <w:ind w:left="420" w:hanging="420"/>
    </w:pPr>
    <w:rPr>
      <w:rFonts w:ascii="宋体" w:eastAsia="楷体_GB2312"/>
      <w:sz w:val="24"/>
    </w:rPr>
  </w:style>
  <w:style w:type="paragraph" w:customStyle="1" w:styleId="249">
    <w:name w:val="表格项目符号 2"/>
    <w:basedOn w:val="1"/>
    <w:next w:val="1"/>
    <w:qFormat/>
    <w:uiPriority w:val="0"/>
    <w:pPr>
      <w:widowControl/>
      <w:tabs>
        <w:tab w:val="left" w:pos="624"/>
      </w:tabs>
      <w:snapToGrid w:val="0"/>
      <w:spacing w:line="300" w:lineRule="auto"/>
      <w:ind w:left="623" w:hanging="374"/>
    </w:pPr>
    <w:rPr>
      <w:color w:val="000000"/>
      <w:sz w:val="21"/>
    </w:rPr>
  </w:style>
  <w:style w:type="paragraph" w:customStyle="1" w:styleId="250">
    <w:name w:val="p15"/>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51">
    <w:name w:val=" Char"/>
    <w:basedOn w:val="25"/>
    <w:link w:val="535"/>
    <w:qFormat/>
    <w:uiPriority w:val="0"/>
    <w:rPr>
      <w:rFonts w:ascii="宋体"/>
      <w:color w:val="FF0000"/>
      <w:kern w:val="0"/>
      <w:lang w:val="en-US" w:eastAsia="zh-CN"/>
    </w:rPr>
  </w:style>
  <w:style w:type="paragraph" w:customStyle="1" w:styleId="252">
    <w:name w:val="p0"/>
    <w:basedOn w:val="1"/>
    <w:qFormat/>
    <w:uiPriority w:val="99"/>
    <w:pPr>
      <w:widowControl/>
      <w:spacing w:before="100" w:beforeLines="0" w:beforeAutospacing="1" w:after="100" w:afterLines="0" w:afterAutospacing="1"/>
      <w:jc w:val="left"/>
    </w:pPr>
    <w:rPr>
      <w:rFonts w:ascii="宋体" w:hAnsi="宋体"/>
      <w:kern w:val="0"/>
    </w:rPr>
  </w:style>
  <w:style w:type="paragraph" w:customStyle="1" w:styleId="253">
    <w:name w:val="xl97"/>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54">
    <w:name w:val="xl72"/>
    <w:basedOn w:val="1"/>
    <w:qFormat/>
    <w:uiPriority w:val="0"/>
    <w:pPr>
      <w:widowControl/>
      <w:spacing w:before="100" w:beforeLines="0" w:beforeAutospacing="1" w:after="100" w:afterLines="0" w:afterAutospacing="1"/>
      <w:jc w:val="center"/>
    </w:pPr>
    <w:rPr>
      <w:rFonts w:ascii="Arial" w:hAnsi="Arial" w:cs="Arial"/>
      <w:color w:val="000000"/>
      <w:kern w:val="0"/>
      <w:szCs w:val="24"/>
    </w:rPr>
  </w:style>
  <w:style w:type="paragraph" w:customStyle="1" w:styleId="255">
    <w:name w:val="indent"/>
    <w:basedOn w:val="1"/>
    <w:qFormat/>
    <w:uiPriority w:val="0"/>
    <w:pPr>
      <w:widowControl/>
      <w:spacing w:before="100" w:beforeLines="0" w:beforeAutospacing="1" w:after="100" w:afterLines="0" w:afterAutospacing="1" w:line="360" w:lineRule="auto"/>
      <w:ind w:firstLine="200" w:firstLineChars="200"/>
      <w:jc w:val="left"/>
    </w:pPr>
    <w:rPr>
      <w:rFonts w:ascii="Arial Unicode MS" w:hAnsi="Arial Unicode MS" w:eastAsia="楷体_GB2312" w:cs="Arial"/>
      <w:color w:val="3E4A59"/>
      <w:kern w:val="0"/>
      <w:szCs w:val="24"/>
    </w:rPr>
  </w:style>
  <w:style w:type="paragraph" w:customStyle="1" w:styleId="256">
    <w:name w:val="文档结构图1"/>
    <w:basedOn w:val="1"/>
    <w:next w:val="1"/>
    <w:qFormat/>
    <w:uiPriority w:val="0"/>
    <w:pPr>
      <w:widowControl/>
      <w:shd w:val="clear" w:color="auto" w:fill="000080"/>
    </w:pPr>
    <w:rPr>
      <w:color w:val="000000"/>
      <w:sz w:val="21"/>
    </w:rPr>
  </w:style>
  <w:style w:type="paragraph" w:customStyle="1" w:styleId="257">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4"/>
    </w:rPr>
  </w:style>
  <w:style w:type="paragraph" w:customStyle="1" w:styleId="258">
    <w:name w:val="纯文本2"/>
    <w:basedOn w:val="1"/>
    <w:next w:val="1"/>
    <w:qFormat/>
    <w:uiPriority w:val="0"/>
    <w:rPr>
      <w:rFonts w:ascii="宋体"/>
      <w:color w:val="000000"/>
      <w:sz w:val="21"/>
    </w:rPr>
  </w:style>
  <w:style w:type="paragraph" w:customStyle="1" w:styleId="25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60">
    <w:name w:val="font11"/>
    <w:basedOn w:val="1"/>
    <w:qFormat/>
    <w:uiPriority w:val="0"/>
    <w:pPr>
      <w:widowControl/>
      <w:spacing w:before="100" w:beforeLines="0" w:beforeAutospacing="1" w:after="100" w:afterLines="0" w:afterAutospacing="1"/>
      <w:jc w:val="left"/>
    </w:pPr>
    <w:rPr>
      <w:kern w:val="0"/>
      <w:sz w:val="20"/>
    </w:rPr>
  </w:style>
  <w:style w:type="paragraph" w:customStyle="1" w:styleId="261">
    <w:name w:val="font1"/>
    <w:basedOn w:val="1"/>
    <w:qFormat/>
    <w:uiPriority w:val="0"/>
    <w:pPr>
      <w:widowControl/>
      <w:spacing w:before="100" w:beforeAutospacing="1" w:after="100" w:afterAutospacing="1"/>
      <w:jc w:val="left"/>
    </w:pPr>
    <w:rPr>
      <w:rFonts w:hint="eastAsia" w:ascii="宋体" w:hAnsi="宋体"/>
      <w:kern w:val="0"/>
      <w:szCs w:val="24"/>
    </w:rPr>
  </w:style>
  <w:style w:type="paragraph" w:customStyle="1" w:styleId="2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3">
    <w:name w:val="正文 + 12 磅"/>
    <w:basedOn w:val="20"/>
    <w:qFormat/>
    <w:uiPriority w:val="0"/>
    <w:pPr>
      <w:spacing w:line="360" w:lineRule="auto"/>
      <w:ind w:firstLine="560"/>
    </w:pPr>
    <w:rPr>
      <w:rFonts w:ascii="宋体" w:hAnsi="宋体"/>
      <w:sz w:val="24"/>
    </w:rPr>
  </w:style>
  <w:style w:type="paragraph" w:customStyle="1" w:styleId="264">
    <w:name w:val="缺省文本"/>
    <w:basedOn w:val="1"/>
    <w:qFormat/>
    <w:uiPriority w:val="0"/>
    <w:pPr>
      <w:autoSpaceDE w:val="0"/>
      <w:autoSpaceDN w:val="0"/>
      <w:adjustRightInd w:val="0"/>
      <w:jc w:val="left"/>
    </w:pPr>
    <w:rPr>
      <w:kern w:val="0"/>
    </w:rPr>
  </w:style>
  <w:style w:type="paragraph" w:customStyle="1" w:styleId="265">
    <w:name w:val="font2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266">
    <w:name w:val="样式10"/>
    <w:basedOn w:val="1"/>
    <w:qFormat/>
    <w:uiPriority w:val="0"/>
    <w:pPr>
      <w:tabs>
        <w:tab w:val="left" w:pos="987"/>
      </w:tabs>
      <w:ind w:left="987" w:firstLine="199"/>
    </w:pPr>
    <w:rPr>
      <w:b/>
      <w:sz w:val="21"/>
    </w:rPr>
  </w:style>
  <w:style w:type="paragraph" w:customStyle="1" w:styleId="267">
    <w:name w:val="Char Char Char"/>
    <w:basedOn w:val="1"/>
    <w:qFormat/>
    <w:uiPriority w:val="0"/>
    <w:rPr>
      <w:rFonts w:ascii="Tahoma" w:hAnsi="Tahoma"/>
    </w:rPr>
  </w:style>
  <w:style w:type="paragraph" w:customStyle="1" w:styleId="268">
    <w:name w:val="xl94"/>
    <w:basedOn w:val="1"/>
    <w:qFormat/>
    <w:uiPriority w:val="0"/>
    <w:pPr>
      <w:widowControl/>
      <w:spacing w:before="100" w:beforeLines="0" w:beforeAutospacing="1" w:after="100" w:afterLines="0" w:afterAutospacing="1"/>
      <w:jc w:val="left"/>
    </w:pPr>
    <w:rPr>
      <w:rFonts w:ascii="幼圆" w:hAnsi="宋体" w:eastAsia="幼圆" w:cs="宋体"/>
      <w:kern w:val="0"/>
      <w:szCs w:val="24"/>
    </w:rPr>
  </w:style>
  <w:style w:type="paragraph" w:customStyle="1" w:styleId="269">
    <w:name w:val="xl98"/>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270">
    <w:name w:val="My正文"/>
    <w:basedOn w:val="1"/>
    <w:qFormat/>
    <w:uiPriority w:val="0"/>
    <w:pPr>
      <w:adjustRightInd w:val="0"/>
      <w:spacing w:before="120" w:beforeLines="0" w:beforeAutospacing="0" w:line="360" w:lineRule="auto"/>
      <w:ind w:firstLine="567"/>
    </w:pPr>
    <w:rPr>
      <w:rFonts w:ascii="Arial" w:hAnsi="Arial"/>
      <w:kern w:val="0"/>
    </w:rPr>
  </w:style>
  <w:style w:type="paragraph" w:customStyle="1" w:styleId="271">
    <w:name w:val="样式 标题 2 + 段前: 1 行 段后: 1 行"/>
    <w:basedOn w:val="4"/>
    <w:qFormat/>
    <w:uiPriority w:val="0"/>
    <w:pPr>
      <w:tabs>
        <w:tab w:val="left" w:pos="840"/>
        <w:tab w:val="clear" w:pos="358"/>
      </w:tabs>
      <w:spacing w:before="312" w:beforeLines="100" w:beforeAutospacing="0" w:after="312" w:afterLines="100" w:afterAutospacing="0"/>
      <w:ind w:left="840"/>
    </w:pPr>
    <w:rPr>
      <w:rFonts w:ascii="Arial" w:hAnsi="Arial" w:eastAsia="黑体"/>
      <w:spacing w:val="10"/>
      <w:sz w:val="30"/>
    </w:rPr>
  </w:style>
  <w:style w:type="paragraph" w:customStyle="1" w:styleId="272">
    <w:name w:val="表格文字"/>
    <w:basedOn w:val="1"/>
    <w:next w:val="2"/>
    <w:qFormat/>
    <w:uiPriority w:val="0"/>
    <w:rPr>
      <w:rFonts w:ascii="Arial" w:hAnsi="Arial"/>
      <w:snapToGrid/>
      <w:kern w:val="2"/>
      <w:szCs w:val="21"/>
    </w:rPr>
  </w:style>
  <w:style w:type="paragraph" w:customStyle="1" w:styleId="273">
    <w:name w:val="font8"/>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274">
    <w:name w:val="正文文字4"/>
    <w:basedOn w:val="1"/>
    <w:qFormat/>
    <w:uiPriority w:val="0"/>
    <w:pPr>
      <w:spacing w:before="60" w:beforeLines="0" w:after="60" w:afterLines="0" w:line="500" w:lineRule="exact"/>
      <w:ind w:left="1436" w:firstLine="592"/>
    </w:pPr>
    <w:rPr>
      <w:sz w:val="28"/>
    </w:rPr>
  </w:style>
  <w:style w:type="paragraph" w:customStyle="1" w:styleId="275">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76">
    <w:name w:val="Char1"/>
    <w:basedOn w:val="1"/>
    <w:qFormat/>
    <w:uiPriority w:val="0"/>
    <w:rPr>
      <w:rFonts w:ascii="仿宋_GB2312" w:eastAsia="仿宋_GB2312"/>
      <w:b/>
      <w:sz w:val="32"/>
      <w:szCs w:val="32"/>
    </w:rPr>
  </w:style>
  <w:style w:type="paragraph" w:customStyle="1" w:styleId="277">
    <w:name w:val="font1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78">
    <w:name w:val="默认段落字体 Para Char Char Char Char Char Char Char"/>
    <w:basedOn w:val="1"/>
    <w:qFormat/>
    <w:uiPriority w:val="0"/>
    <w:rPr>
      <w:rFonts w:ascii="Tahoma" w:hAnsi="Tahoma"/>
      <w:b/>
    </w:rPr>
  </w:style>
  <w:style w:type="paragraph" w:customStyle="1" w:styleId="279">
    <w:name w:val="序号正文"/>
    <w:basedOn w:val="1"/>
    <w:qFormat/>
    <w:uiPriority w:val="0"/>
    <w:pPr>
      <w:numPr>
        <w:ilvl w:val="0"/>
        <w:numId w:val="8"/>
      </w:numPr>
      <w:spacing w:line="300" w:lineRule="auto"/>
    </w:pPr>
    <w:rPr>
      <w:rFonts w:ascii="宋体" w:hAnsi="宋体"/>
    </w:rPr>
  </w:style>
  <w:style w:type="paragraph" w:customStyle="1" w:styleId="280">
    <w:name w:val="My标题4"/>
    <w:basedOn w:val="5"/>
    <w:next w:val="1"/>
    <w:qFormat/>
    <w:uiPriority w:val="0"/>
    <w:pPr>
      <w:numPr>
        <w:ilvl w:val="0"/>
        <w:numId w:val="0"/>
      </w:numPr>
      <w:tabs>
        <w:tab w:val="left" w:pos="425"/>
        <w:tab w:val="clear" w:pos="778"/>
      </w:tabs>
      <w:spacing w:before="260" w:beforeLines="0" w:beforeAutospacing="0" w:after="260" w:afterLines="0" w:afterAutospacing="0" w:line="413" w:lineRule="auto"/>
      <w:ind w:left="425" w:hanging="425"/>
    </w:pPr>
    <w:rPr>
      <w:rFonts w:ascii="Times New Roman" w:hAnsi="Times New Roman" w:eastAsia="宋体"/>
      <w:b w:val="0"/>
      <w:sz w:val="24"/>
    </w:rPr>
  </w:style>
  <w:style w:type="paragraph" w:customStyle="1" w:styleId="281">
    <w:name w:val="MSO_Para"/>
    <w:qFormat/>
    <w:uiPriority w:val="0"/>
    <w:pPr>
      <w:spacing w:before="99" w:line="250" w:lineRule="atLeast"/>
    </w:pPr>
    <w:rPr>
      <w:rFonts w:ascii="Palatino Linotype" w:hAnsi="Palatino Linotype" w:eastAsia="宋体" w:cs="Times New Roman"/>
      <w:sz w:val="21"/>
      <w:lang w:val="en-US" w:eastAsia="en-US" w:bidi="ar-SA"/>
    </w:rPr>
  </w:style>
  <w:style w:type="paragraph" w:customStyle="1" w:styleId="282">
    <w:name w:val="_Style 3"/>
    <w:basedOn w:val="1"/>
    <w:qFormat/>
    <w:uiPriority w:val="0"/>
    <w:pPr>
      <w:spacing w:line="360" w:lineRule="auto"/>
      <w:ind w:firstLine="420" w:firstLineChars="200"/>
    </w:pPr>
    <w:rPr>
      <w:szCs w:val="24"/>
    </w:rPr>
  </w:style>
  <w:style w:type="paragraph" w:customStyle="1" w:styleId="283">
    <w:name w:val=" Char Char Char Char Char"/>
    <w:basedOn w:val="1"/>
    <w:qFormat/>
    <w:uiPriority w:val="0"/>
    <w:pPr>
      <w:tabs>
        <w:tab w:val="left" w:pos="980"/>
      </w:tabs>
      <w:ind w:left="980" w:hanging="420"/>
    </w:pPr>
    <w:rPr>
      <w:rFonts w:ascii="Tahoma" w:hAnsi="Tahoma"/>
    </w:rPr>
  </w:style>
  <w:style w:type="paragraph" w:customStyle="1" w:styleId="284">
    <w:name w:val="PP 行"/>
    <w:basedOn w:val="53"/>
    <w:qFormat/>
    <w:uiPriority w:val="0"/>
  </w:style>
  <w:style w:type="paragraph" w:customStyle="1" w:styleId="28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86">
    <w:name w:val="My标题3"/>
    <w:basedOn w:val="5"/>
    <w:next w:val="1"/>
    <w:qFormat/>
    <w:uiPriority w:val="0"/>
    <w:pPr>
      <w:numPr>
        <w:ilvl w:val="0"/>
        <w:numId w:val="0"/>
      </w:numPr>
      <w:tabs>
        <w:tab w:val="left" w:pos="1080"/>
        <w:tab w:val="clear" w:pos="778"/>
      </w:tabs>
      <w:spacing w:before="260" w:beforeLines="0" w:beforeAutospacing="0" w:after="260" w:afterLines="0" w:afterAutospacing="0" w:line="413" w:lineRule="auto"/>
      <w:ind w:left="709" w:hanging="709"/>
    </w:pPr>
    <w:rPr>
      <w:rFonts w:ascii="Arial" w:hAnsi="Arial" w:eastAsia="宋体"/>
      <w:b w:val="0"/>
      <w:sz w:val="24"/>
    </w:rPr>
  </w:style>
  <w:style w:type="paragraph" w:customStyle="1" w:styleId="287">
    <w:name w:val="正文2"/>
    <w:basedOn w:val="1"/>
    <w:link w:val="453"/>
    <w:qFormat/>
    <w:uiPriority w:val="99"/>
    <w:pPr>
      <w:spacing w:before="60" w:beforeLines="0" w:beforeAutospacing="0" w:after="60" w:afterLines="0" w:afterAutospacing="0" w:line="360" w:lineRule="auto"/>
      <w:outlineLvl w:val="7"/>
    </w:pPr>
  </w:style>
  <w:style w:type="paragraph" w:customStyle="1" w:styleId="288">
    <w:name w:val="正文缩进 2"/>
    <w:basedOn w:val="1"/>
    <w:qFormat/>
    <w:uiPriority w:val="0"/>
    <w:pPr>
      <w:adjustRightInd w:val="0"/>
      <w:spacing w:line="400" w:lineRule="atLeast"/>
      <w:ind w:left="400" w:leftChars="400" w:firstLine="454"/>
      <w:textAlignment w:val="baseline"/>
    </w:pPr>
    <w:rPr>
      <w:kern w:val="0"/>
    </w:rPr>
  </w:style>
  <w:style w:type="paragraph" w:customStyle="1" w:styleId="289">
    <w:name w:val="xl45"/>
    <w:basedOn w:val="1"/>
    <w:qFormat/>
    <w:uiPriority w:val="0"/>
    <w:pPr>
      <w:widowControl/>
      <w:pBdr>
        <w:bottom w:val="single" w:color="auto" w:sz="4" w:space="0"/>
      </w:pBdr>
      <w:spacing w:before="100" w:beforeAutospacing="1" w:after="100" w:afterAutospacing="1"/>
      <w:jc w:val="right"/>
    </w:pPr>
    <w:rPr>
      <w:rFonts w:hint="eastAsia" w:ascii="华文宋体" w:hAnsi="宋体" w:eastAsia="华文宋体"/>
      <w:b/>
      <w:bCs/>
      <w:kern w:val="0"/>
      <w:sz w:val="20"/>
    </w:rPr>
  </w:style>
  <w:style w:type="paragraph" w:customStyle="1" w:styleId="290">
    <w:name w:val="character"/>
    <w:basedOn w:val="1"/>
    <w:qFormat/>
    <w:uiPriority w:val="0"/>
    <w:pPr>
      <w:ind w:firstLine="480" w:firstLineChars="200"/>
    </w:pPr>
    <w:rPr>
      <w:rFonts w:ascii="Arial" w:hAnsi="Arial"/>
      <w:szCs w:val="21"/>
    </w:rPr>
  </w:style>
  <w:style w:type="paragraph" w:customStyle="1" w:styleId="291">
    <w:name w:val="font26"/>
    <w:basedOn w:val="1"/>
    <w:qFormat/>
    <w:uiPriority w:val="0"/>
    <w:pPr>
      <w:widowControl/>
      <w:spacing w:before="100" w:beforeLines="0" w:beforeAutospacing="1" w:after="100" w:afterLines="0" w:afterAutospacing="1"/>
      <w:jc w:val="left"/>
    </w:pPr>
    <w:rPr>
      <w:rFonts w:ascii="Courier New" w:hAnsi="Courier New" w:cs="Courier New"/>
      <w:kern w:val="0"/>
      <w:szCs w:val="24"/>
    </w:rPr>
  </w:style>
  <w:style w:type="paragraph" w:customStyle="1" w:styleId="292">
    <w:name w:val="样式 宋体"/>
    <w:basedOn w:val="1"/>
    <w:next w:val="1"/>
    <w:qFormat/>
    <w:uiPriority w:val="0"/>
    <w:pPr>
      <w:widowControl/>
    </w:pPr>
    <w:rPr>
      <w:rFonts w:ascii="宋体"/>
      <w:color w:val="000000"/>
    </w:rPr>
  </w:style>
  <w:style w:type="paragraph" w:customStyle="1" w:styleId="29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18"/>
    </w:rPr>
  </w:style>
  <w:style w:type="paragraph" w:customStyle="1" w:styleId="29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29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97">
    <w:name w:val="Char"/>
    <w:basedOn w:val="25"/>
    <w:qFormat/>
    <w:uiPriority w:val="0"/>
    <w:rPr>
      <w:rFonts w:ascii="Tahoma" w:hAnsi="Tahoma"/>
    </w:rPr>
  </w:style>
  <w:style w:type="paragraph" w:customStyle="1" w:styleId="298">
    <w:name w:val="系统标题"/>
    <w:basedOn w:val="1"/>
    <w:qFormat/>
    <w:uiPriority w:val="0"/>
    <w:pPr>
      <w:tabs>
        <w:tab w:val="left" w:pos="780"/>
      </w:tabs>
      <w:ind w:left="780" w:hanging="360"/>
    </w:pPr>
    <w:rPr>
      <w:sz w:val="21"/>
      <w:szCs w:val="24"/>
    </w:rPr>
  </w:style>
  <w:style w:type="paragraph" w:customStyle="1" w:styleId="299">
    <w:name w:val="注"/>
    <w:basedOn w:val="1"/>
    <w:qFormat/>
    <w:uiPriority w:val="0"/>
    <w:pPr>
      <w:adjustRightInd w:val="0"/>
      <w:spacing w:line="360" w:lineRule="atLeast"/>
      <w:ind w:left="840" w:hanging="420"/>
      <w:textAlignment w:val="baseline"/>
    </w:pPr>
    <w:rPr>
      <w:kern w:val="0"/>
      <w:sz w:val="21"/>
    </w:rPr>
  </w:style>
  <w:style w:type="paragraph" w:customStyle="1" w:styleId="300">
    <w:name w:val="wtext"/>
    <w:basedOn w:val="1"/>
    <w:qFormat/>
    <w:uiPriority w:val="0"/>
    <w:pPr>
      <w:widowControl/>
      <w:spacing w:before="100" w:beforeLines="0" w:beforeAutospacing="1" w:after="100" w:afterLines="0" w:afterAutospacing="1"/>
      <w:jc w:val="left"/>
    </w:pPr>
    <w:rPr>
      <w:rFonts w:ascii="宋体" w:hAnsi="宋体"/>
      <w:kern w:val="0"/>
    </w:rPr>
  </w:style>
  <w:style w:type="paragraph" w:customStyle="1" w:styleId="301">
    <w:name w:val="font13"/>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02">
    <w:name w:val="heading"/>
    <w:basedOn w:val="1"/>
    <w:next w:val="1"/>
    <w:qFormat/>
    <w:uiPriority w:val="0"/>
    <w:pPr>
      <w:keepNext/>
      <w:keepLines/>
      <w:spacing w:before="260" w:beforeLines="0" w:beforeAutospacing="0" w:after="260" w:afterLines="0" w:afterAutospacing="0" w:line="413" w:lineRule="auto"/>
    </w:pPr>
    <w:rPr>
      <w:rFonts w:ascii="Arial" w:hAnsi="Arial" w:eastAsia="黑体"/>
      <w:b/>
      <w:sz w:val="32"/>
    </w:rPr>
  </w:style>
  <w:style w:type="paragraph" w:customStyle="1" w:styleId="303">
    <w:name w:val="正文文本缩进 31"/>
    <w:basedOn w:val="1"/>
    <w:next w:val="1"/>
    <w:qFormat/>
    <w:uiPriority w:val="0"/>
    <w:pPr>
      <w:widowControl/>
      <w:spacing w:line="360" w:lineRule="auto"/>
      <w:ind w:firstLine="420"/>
    </w:pPr>
    <w:rPr>
      <w:rFonts w:ascii="宋体"/>
      <w:color w:val="000000"/>
    </w:rPr>
  </w:style>
  <w:style w:type="paragraph" w:customStyle="1" w:styleId="304">
    <w:name w:val="样式 左 首行缩进:  0.74 厘米 段前: 5 磅 段后: 5 磅 行距: 1.5 倍行距"/>
    <w:basedOn w:val="1"/>
    <w:qFormat/>
    <w:uiPriority w:val="0"/>
    <w:pPr>
      <w:spacing w:before="100" w:beforeLines="0" w:beforeAutospacing="0" w:after="100" w:afterLines="0" w:afterAutospacing="0" w:line="360" w:lineRule="auto"/>
      <w:ind w:firstLine="420"/>
      <w:jc w:val="left"/>
    </w:pPr>
  </w:style>
  <w:style w:type="paragraph" w:customStyle="1" w:styleId="305">
    <w:name w:val="Char Char1 Char Char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306">
    <w:name w:val="排列"/>
    <w:basedOn w:val="1"/>
    <w:qFormat/>
    <w:uiPriority w:val="0"/>
    <w:pPr>
      <w:jc w:val="center"/>
    </w:pPr>
    <w:rPr>
      <w:rFonts w:ascii="楷体_GB2312" w:hAnsi="Courier New" w:eastAsia="楷体_GB2312"/>
      <w:sz w:val="21"/>
    </w:rPr>
  </w:style>
  <w:style w:type="paragraph" w:customStyle="1" w:styleId="307">
    <w:name w:val="样式 标题 1H1 + 三号"/>
    <w:basedOn w:val="3"/>
    <w:qFormat/>
    <w:uiPriority w:val="0"/>
    <w:pPr>
      <w:keepNext/>
      <w:keepLines/>
      <w:widowControl w:val="0"/>
      <w:numPr>
        <w:ilvl w:val="0"/>
        <w:numId w:val="0"/>
      </w:numPr>
      <w:tabs>
        <w:tab w:val="left" w:pos="425"/>
        <w:tab w:val="clear" w:pos="478"/>
      </w:tabs>
      <w:autoSpaceDE/>
      <w:autoSpaceDN/>
      <w:spacing w:before="340" w:beforeLines="0" w:beforeAutospacing="0" w:after="330" w:afterLines="0" w:afterAutospacing="0" w:line="576" w:lineRule="auto"/>
      <w:ind w:left="425" w:hanging="425"/>
      <w:jc w:val="both"/>
    </w:pPr>
    <w:rPr>
      <w:rFonts w:hint="default" w:ascii="Times New Roman"/>
      <w:b/>
      <w:color w:val="auto"/>
      <w:kern w:val="44"/>
      <w:sz w:val="32"/>
    </w:rPr>
  </w:style>
  <w:style w:type="paragraph" w:customStyle="1" w:styleId="308">
    <w:name w:val="默认段落字体1 Char Char"/>
    <w:basedOn w:val="1"/>
    <w:qFormat/>
    <w:uiPriority w:val="0"/>
    <w:rPr>
      <w:rFonts w:ascii="仿宋_GB2312" w:eastAsia="仿宋_GB2312"/>
      <w:b/>
      <w:sz w:val="32"/>
      <w:szCs w:val="32"/>
    </w:rPr>
  </w:style>
  <w:style w:type="paragraph" w:customStyle="1" w:styleId="309">
    <w:name w:val="font25"/>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10">
    <w:name w:val=" Char1"/>
    <w:basedOn w:val="1"/>
    <w:qFormat/>
    <w:uiPriority w:val="0"/>
    <w:rPr>
      <w:rFonts w:ascii="仿宋_GB2312" w:eastAsia="仿宋_GB2312"/>
      <w:b/>
      <w:sz w:val="32"/>
    </w:rPr>
  </w:style>
  <w:style w:type="paragraph" w:customStyle="1" w:styleId="311">
    <w:name w:val="font24"/>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12">
    <w:name w:val="font10"/>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1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rPr>
  </w:style>
  <w:style w:type="paragraph" w:customStyle="1" w:styleId="314">
    <w:name w:val="font9"/>
    <w:basedOn w:val="1"/>
    <w:qFormat/>
    <w:uiPriority w:val="0"/>
    <w:pPr>
      <w:widowControl/>
      <w:adjustRightInd w:val="0"/>
      <w:spacing w:before="100" w:beforeLines="0" w:after="100" w:afterLines="0"/>
      <w:jc w:val="left"/>
      <w:textAlignment w:val="baseline"/>
    </w:pPr>
    <w:rPr>
      <w:rFonts w:ascii="宋体" w:hAnsi="宋体"/>
      <w:kern w:val="0"/>
      <w:sz w:val="18"/>
    </w:rPr>
  </w:style>
  <w:style w:type="paragraph" w:customStyle="1" w:styleId="315">
    <w:name w:val="xl6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16">
    <w:name w:val="正文编号4"/>
    <w:basedOn w:val="1"/>
    <w:qFormat/>
    <w:uiPriority w:val="0"/>
    <w:pPr>
      <w:spacing w:before="60" w:beforeLines="0" w:after="60" w:afterLines="0" w:line="500" w:lineRule="exact"/>
      <w:ind w:left="1404" w:hanging="432"/>
    </w:pPr>
    <w:rPr>
      <w:sz w:val="28"/>
    </w:rPr>
  </w:style>
  <w:style w:type="paragraph" w:customStyle="1" w:styleId="317">
    <w:name w:val="xl28"/>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color w:val="000000"/>
      <w:kern w:val="0"/>
      <w:sz w:val="21"/>
    </w:rPr>
  </w:style>
  <w:style w:type="paragraph" w:customStyle="1" w:styleId="318">
    <w:name w:val="正文样式"/>
    <w:basedOn w:val="1"/>
    <w:link w:val="540"/>
    <w:qFormat/>
    <w:uiPriority w:val="0"/>
    <w:pPr>
      <w:spacing w:line="360" w:lineRule="auto"/>
      <w:ind w:firstLine="200" w:firstLineChars="200"/>
    </w:pPr>
    <w:rPr>
      <w:rFonts w:cs="宋体"/>
      <w:sz w:val="21"/>
    </w:rPr>
  </w:style>
  <w:style w:type="paragraph" w:customStyle="1" w:styleId="319">
    <w:name w:val="正文文字1"/>
    <w:basedOn w:val="2"/>
    <w:qFormat/>
    <w:uiPriority w:val="0"/>
    <w:pPr>
      <w:autoSpaceDE/>
      <w:autoSpaceDN/>
      <w:spacing w:line="360" w:lineRule="atLeast"/>
      <w:ind w:left="72" w:right="72"/>
      <w:jc w:val="both"/>
      <w:textAlignment w:val="baseline"/>
    </w:pPr>
    <w:rPr>
      <w:rFonts w:ascii="Times New Roman"/>
      <w:color w:val="auto"/>
      <w:sz w:val="21"/>
      <w:lang w:val="en-US" w:eastAsia="zh-CN"/>
    </w:rPr>
  </w:style>
  <w:style w:type="paragraph" w:customStyle="1" w:styleId="320">
    <w:name w:val="功能列表"/>
    <w:basedOn w:val="1"/>
    <w:qFormat/>
    <w:uiPriority w:val="0"/>
    <w:pPr>
      <w:tabs>
        <w:tab w:val="left" w:pos="720"/>
        <w:tab w:val="left" w:pos="900"/>
      </w:tabs>
      <w:spacing w:line="360" w:lineRule="auto"/>
      <w:ind w:left="900" w:hanging="420"/>
    </w:pPr>
  </w:style>
  <w:style w:type="paragraph" w:customStyle="1" w:styleId="321">
    <w:name w:val="xl107"/>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2">
    <w:name w:val="标题 8 +"/>
    <w:basedOn w:val="10"/>
    <w:qFormat/>
    <w:uiPriority w:val="0"/>
    <w:rPr>
      <w:kern w:val="0"/>
    </w:rPr>
  </w:style>
  <w:style w:type="paragraph" w:customStyle="1" w:styleId="323">
    <w:name w:val="xl96"/>
    <w:basedOn w:val="1"/>
    <w:qFormat/>
    <w:uiPriority w:val="0"/>
    <w:pPr>
      <w:widowControl/>
      <w:spacing w:before="100" w:beforeLines="0" w:beforeAutospacing="1" w:after="100" w:afterLines="0" w:afterAutospacing="1"/>
      <w:jc w:val="center"/>
      <w:textAlignment w:val="bottom"/>
    </w:pPr>
    <w:rPr>
      <w:rFonts w:ascii="幼圆" w:hAnsi="宋体" w:eastAsia="幼圆" w:cs="宋体"/>
      <w:kern w:val="0"/>
      <w:szCs w:val="24"/>
    </w:rPr>
  </w:style>
  <w:style w:type="paragraph" w:customStyle="1" w:styleId="324">
    <w:name w:val="样式4"/>
    <w:basedOn w:val="32"/>
    <w:qFormat/>
    <w:uiPriority w:val="0"/>
    <w:pPr>
      <w:snapToGrid w:val="0"/>
      <w:spacing w:before="0" w:after="0"/>
      <w:ind w:firstLine="539"/>
    </w:pPr>
    <w:rPr>
      <w:rFonts w:ascii="Times New Roman"/>
      <w:lang w:val="en-US" w:eastAsia="zh-CN"/>
    </w:rPr>
  </w:style>
  <w:style w:type="paragraph" w:customStyle="1" w:styleId="325">
    <w:name w:val="xl46"/>
    <w:basedOn w:val="1"/>
    <w:qFormat/>
    <w:uiPriority w:val="0"/>
    <w:pPr>
      <w:widowControl/>
      <w:spacing w:before="100" w:beforeLines="0" w:beforeAutospacing="1" w:after="100" w:afterLines="0" w:afterAutospacing="1"/>
      <w:jc w:val="center"/>
    </w:pPr>
    <w:rPr>
      <w:rFonts w:hint="eastAsia" w:ascii="黑体" w:hAnsi="宋体" w:eastAsia="黑体"/>
      <w:kern w:val="0"/>
      <w:sz w:val="36"/>
      <w:szCs w:val="36"/>
    </w:rPr>
  </w:style>
  <w:style w:type="paragraph" w:customStyle="1" w:styleId="326">
    <w:name w:val="font15"/>
    <w:basedOn w:val="1"/>
    <w:qFormat/>
    <w:uiPriority w:val="0"/>
    <w:pPr>
      <w:widowControl/>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2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rPr>
  </w:style>
  <w:style w:type="paragraph" w:customStyle="1" w:styleId="328">
    <w:name w:val="xl89"/>
    <w:basedOn w:val="1"/>
    <w:qFormat/>
    <w:uiPriority w:val="0"/>
    <w:pPr>
      <w:widowControl/>
      <w:spacing w:before="100" w:beforeLines="0" w:beforeAutospacing="1" w:after="100" w:afterLines="0" w:afterAutospacing="1"/>
      <w:jc w:val="left"/>
    </w:pPr>
    <w:rPr>
      <w:rFonts w:ascii="幼圆" w:hAnsi="宋体" w:eastAsia="幼圆" w:cs="宋体"/>
      <w:color w:val="000000"/>
      <w:kern w:val="0"/>
      <w:szCs w:val="24"/>
    </w:rPr>
  </w:style>
  <w:style w:type="paragraph" w:customStyle="1" w:styleId="329">
    <w:name w:val="style1"/>
    <w:basedOn w:val="1"/>
    <w:qFormat/>
    <w:uiPriority w:val="0"/>
    <w:pPr>
      <w:widowControl/>
      <w:spacing w:before="100" w:beforeLines="0" w:beforeAutospacing="1" w:after="100" w:afterLines="0" w:afterAutospacing="1" w:line="360" w:lineRule="auto"/>
      <w:ind w:firstLine="200" w:firstLineChars="200"/>
      <w:jc w:val="left"/>
    </w:pPr>
    <w:rPr>
      <w:rFonts w:ascii="宋体" w:hAnsi="宋体" w:cs="宋体"/>
      <w:color w:val="FFFFFF"/>
      <w:kern w:val="0"/>
      <w:sz w:val="28"/>
      <w:szCs w:val="24"/>
    </w:rPr>
  </w:style>
  <w:style w:type="paragraph" w:customStyle="1" w:styleId="330">
    <w:name w:val="样式 标题 2 + 段前: 自动 段后: 自动 行距: 1.5 倍行距"/>
    <w:basedOn w:val="4"/>
    <w:qFormat/>
    <w:uiPriority w:val="0"/>
    <w:pPr>
      <w:numPr>
        <w:ilvl w:val="0"/>
        <w:numId w:val="0"/>
      </w:numPr>
      <w:tabs>
        <w:tab w:val="left" w:pos="567"/>
        <w:tab w:val="clear" w:pos="358"/>
      </w:tabs>
      <w:adjustRightInd w:val="0"/>
      <w:spacing w:before="100" w:beforeLines="0" w:beforeAutospacing="1" w:after="100" w:afterLines="0" w:afterAutospacing="1"/>
      <w:ind w:left="567" w:hanging="567"/>
      <w:jc w:val="left"/>
      <w:textAlignment w:val="baseline"/>
    </w:pPr>
    <w:rPr>
      <w:rFonts w:ascii="Arial" w:hAnsi="Arial"/>
      <w:b w:val="0"/>
      <w:kern w:val="0"/>
      <w:sz w:val="30"/>
    </w:rPr>
  </w:style>
  <w:style w:type="paragraph" w:customStyle="1" w:styleId="331">
    <w:name w:val="无列表1"/>
    <w:basedOn w:val="1"/>
    <w:next w:val="1"/>
    <w:qFormat/>
    <w:uiPriority w:val="0"/>
    <w:pPr>
      <w:widowControl/>
      <w:jc w:val="left"/>
    </w:pPr>
    <w:rPr>
      <w:color w:val="000000"/>
      <w:kern w:val="0"/>
    </w:rPr>
  </w:style>
  <w:style w:type="paragraph" w:customStyle="1" w:styleId="332">
    <w:name w:val="xl82"/>
    <w:basedOn w:val="1"/>
    <w:qFormat/>
    <w:uiPriority w:val="0"/>
    <w:pPr>
      <w:widowControl/>
      <w:shd w:val="clear" w:color="auto" w:fill="CCFFCC"/>
      <w:spacing w:before="100" w:beforeLines="0" w:beforeAutospacing="1" w:after="100" w:afterLines="0" w:afterAutospacing="1"/>
      <w:jc w:val="center"/>
    </w:pPr>
    <w:rPr>
      <w:rFonts w:ascii="Arial" w:hAnsi="Arial" w:cs="Arial"/>
      <w:color w:val="000000"/>
      <w:kern w:val="0"/>
      <w:szCs w:val="24"/>
    </w:rPr>
  </w:style>
  <w:style w:type="paragraph" w:customStyle="1" w:styleId="333">
    <w:name w:val=" Char Char1 Char Char Char Char Char Char Char Char"/>
    <w:basedOn w:val="1"/>
    <w:qFormat/>
    <w:uiPriority w:val="0"/>
    <w:pPr>
      <w:widowControl/>
      <w:spacing w:after="160" w:line="240" w:lineRule="exact"/>
      <w:jc w:val="left"/>
    </w:pPr>
    <w:rPr>
      <w:sz w:val="21"/>
      <w:szCs w:val="24"/>
    </w:rPr>
  </w:style>
  <w:style w:type="paragraph" w:customStyle="1" w:styleId="334">
    <w:name w:val="标题5"/>
    <w:basedOn w:val="6"/>
    <w:next w:val="1"/>
    <w:qFormat/>
    <w:uiPriority w:val="0"/>
    <w:pPr>
      <w:keepLines w:val="0"/>
      <w:tabs>
        <w:tab w:val="clear" w:pos="1198"/>
      </w:tabs>
      <w:spacing w:before="312" w:beforeLines="100"/>
      <w:ind w:left="0" w:firstLine="0"/>
    </w:pPr>
    <w:rPr>
      <w:rFonts w:ascii="宋体" w:hAnsi="宋体"/>
      <w:bCs/>
      <w:sz w:val="24"/>
      <w:szCs w:val="24"/>
      <w:lang w:val="en-US" w:eastAsia="zh-CN"/>
    </w:rPr>
  </w:style>
  <w:style w:type="paragraph" w:customStyle="1" w:styleId="33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6">
    <w:name w:val="PlainText"/>
    <w:basedOn w:val="1"/>
    <w:next w:val="1"/>
    <w:qFormat/>
    <w:uiPriority w:val="0"/>
    <w:rPr>
      <w:rFonts w:ascii="宋体" w:hAnsi="Courier New"/>
      <w:sz w:val="21"/>
    </w:rPr>
  </w:style>
  <w:style w:type="paragraph" w:customStyle="1" w:styleId="337">
    <w:name w:val="My标题1"/>
    <w:basedOn w:val="3"/>
    <w:next w:val="1"/>
    <w:qFormat/>
    <w:uiPriority w:val="0"/>
    <w:pPr>
      <w:keepNext/>
      <w:keepLines/>
      <w:pageBreakBefore w:val="0"/>
      <w:widowControl w:val="0"/>
      <w:numPr>
        <w:ilvl w:val="0"/>
        <w:numId w:val="0"/>
      </w:numPr>
      <w:tabs>
        <w:tab w:val="left" w:pos="425"/>
        <w:tab w:val="clear" w:pos="478"/>
      </w:tabs>
      <w:autoSpaceDE/>
      <w:autoSpaceDN/>
      <w:adjustRightInd w:val="0"/>
      <w:spacing w:before="120" w:beforeLines="0" w:beforeAutospacing="0" w:after="360" w:afterLines="0" w:afterAutospacing="0" w:line="360" w:lineRule="auto"/>
      <w:ind w:left="425" w:hanging="425"/>
      <w:jc w:val="left"/>
      <w:textAlignment w:val="baseline"/>
    </w:pPr>
    <w:rPr>
      <w:rFonts w:hint="default" w:ascii="Arial" w:hAnsi="Arial"/>
      <w:b/>
      <w:color w:val="auto"/>
      <w:kern w:val="44"/>
      <w:sz w:val="32"/>
    </w:rPr>
  </w:style>
  <w:style w:type="paragraph" w:customStyle="1" w:styleId="338">
    <w:name w:val="Plain Text"/>
    <w:basedOn w:val="139"/>
    <w:qFormat/>
    <w:uiPriority w:val="0"/>
    <w:pPr>
      <w:numPr>
        <w:ilvl w:val="0"/>
        <w:numId w:val="9"/>
      </w:numPr>
      <w:autoSpaceDE w:val="0"/>
      <w:autoSpaceDN w:val="0"/>
      <w:adjustRightInd w:val="0"/>
      <w:ind w:left="0" w:firstLine="0"/>
      <w:textAlignment w:val="baseline"/>
    </w:pPr>
    <w:rPr>
      <w:rFonts w:ascii="宋体" w:hAnsi="Tms Rmn"/>
      <w:kern w:val="0"/>
      <w:sz w:val="21"/>
    </w:rPr>
  </w:style>
  <w:style w:type="paragraph" w:customStyle="1" w:styleId="339">
    <w:name w:val="xl29"/>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left"/>
      <w:textAlignment w:val="center"/>
    </w:pPr>
    <w:rPr>
      <w:rFonts w:ascii="Arial Unicode MS" w:hAnsi="Arial Unicode MS"/>
      <w:color w:val="000000"/>
      <w:kern w:val="0"/>
      <w:sz w:val="21"/>
    </w:rPr>
  </w:style>
  <w:style w:type="paragraph" w:customStyle="1" w:styleId="340">
    <w:name w:val="正文文本缩进1"/>
    <w:basedOn w:val="1"/>
    <w:next w:val="1"/>
    <w:qFormat/>
    <w:uiPriority w:val="0"/>
    <w:pPr>
      <w:widowControl/>
      <w:spacing w:after="120" w:afterLines="0" w:afterAutospacing="0"/>
      <w:ind w:left="420"/>
    </w:pPr>
    <w:rPr>
      <w:color w:val="000000"/>
      <w:sz w:val="21"/>
    </w:rPr>
  </w:style>
  <w:style w:type="paragraph" w:customStyle="1" w:styleId="341">
    <w:name w:val="my标题5"/>
    <w:basedOn w:val="1"/>
    <w:qFormat/>
    <w:uiPriority w:val="0"/>
    <w:pPr>
      <w:tabs>
        <w:tab w:val="left" w:pos="992"/>
      </w:tabs>
      <w:ind w:left="992" w:hanging="992"/>
    </w:pPr>
  </w:style>
  <w:style w:type="paragraph" w:customStyle="1" w:styleId="342">
    <w:name w:val="无缩进正文"/>
    <w:basedOn w:val="1"/>
    <w:qFormat/>
    <w:uiPriority w:val="0"/>
    <w:pPr>
      <w:adjustRightInd w:val="0"/>
      <w:textAlignment w:val="baseline"/>
    </w:pPr>
    <w:rPr>
      <w:kern w:val="0"/>
      <w:sz w:val="21"/>
    </w:rPr>
  </w:style>
  <w:style w:type="paragraph" w:customStyle="1" w:styleId="343">
    <w:name w:val="xl84"/>
    <w:basedOn w:val="1"/>
    <w:qFormat/>
    <w:uiPriority w:val="0"/>
    <w:pPr>
      <w:widowControl/>
      <w:shd w:val="clear" w:color="auto" w:fill="C0C0C0"/>
      <w:spacing w:before="100" w:beforeLines="0" w:beforeAutospacing="1" w:after="100" w:afterLines="0" w:afterAutospacing="1"/>
      <w:jc w:val="left"/>
    </w:pPr>
    <w:rPr>
      <w:rFonts w:ascii="华文细黑" w:hAnsi="华文细黑" w:eastAsia="华文细黑" w:cs="宋体"/>
      <w:b/>
      <w:bCs/>
      <w:color w:val="000000"/>
      <w:kern w:val="0"/>
      <w:szCs w:val="24"/>
    </w:rPr>
  </w:style>
  <w:style w:type="paragraph" w:customStyle="1" w:styleId="3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Cs w:val="24"/>
    </w:rPr>
  </w:style>
  <w:style w:type="paragraph" w:customStyle="1" w:styleId="34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346">
    <w:name w:val="正文文字3"/>
    <w:basedOn w:val="1"/>
    <w:qFormat/>
    <w:uiPriority w:val="0"/>
    <w:pPr>
      <w:spacing w:before="60" w:beforeLines="0" w:after="60" w:afterLines="0" w:line="500" w:lineRule="exact"/>
      <w:ind w:left="1020" w:firstLine="592"/>
    </w:pPr>
    <w:rPr>
      <w:sz w:val="28"/>
    </w:rPr>
  </w:style>
  <w:style w:type="paragraph" w:customStyle="1" w:styleId="347">
    <w:name w:val="List Paragraph1"/>
    <w:basedOn w:val="1"/>
    <w:qFormat/>
    <w:uiPriority w:val="99"/>
    <w:pPr>
      <w:ind w:firstLine="420" w:firstLineChars="200"/>
    </w:pPr>
    <w:rPr>
      <w:szCs w:val="21"/>
    </w:rPr>
  </w:style>
  <w:style w:type="paragraph" w:customStyle="1" w:styleId="348">
    <w:name w:val="正文3"/>
    <w:basedOn w:val="1"/>
    <w:qFormat/>
    <w:uiPriority w:val="0"/>
    <w:pPr>
      <w:spacing w:before="60" w:beforeLines="0" w:beforeAutospacing="0" w:after="60" w:afterLines="0" w:afterAutospacing="0" w:line="360" w:lineRule="auto"/>
      <w:outlineLvl w:val="8"/>
    </w:pPr>
  </w:style>
  <w:style w:type="paragraph" w:customStyle="1" w:styleId="3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无列表2"/>
    <w:basedOn w:val="1"/>
    <w:next w:val="1"/>
    <w:qFormat/>
    <w:uiPriority w:val="0"/>
    <w:pPr>
      <w:jc w:val="left"/>
    </w:pPr>
    <w:rPr>
      <w:color w:val="000000"/>
      <w:kern w:val="0"/>
    </w:rPr>
  </w:style>
  <w:style w:type="paragraph" w:customStyle="1" w:styleId="351">
    <w:name w:val="正文文字缩进2"/>
    <w:basedOn w:val="2"/>
    <w:qFormat/>
    <w:uiPriority w:val="0"/>
    <w:pPr>
      <w:autoSpaceDE/>
      <w:autoSpaceDN/>
      <w:spacing w:before="100" w:beforeLines="0" w:beforeAutospacing="1" w:after="100" w:afterLines="0" w:afterAutospacing="1" w:line="400" w:lineRule="atLeast"/>
      <w:ind w:left="400" w:leftChars="400"/>
      <w:jc w:val="both"/>
      <w:textAlignment w:val="baseline"/>
    </w:pPr>
    <w:rPr>
      <w:rFonts w:ascii="Times New Roman"/>
      <w:color w:val="auto"/>
    </w:rPr>
  </w:style>
  <w:style w:type="paragraph" w:customStyle="1" w:styleId="3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rPr>
  </w:style>
  <w:style w:type="paragraph" w:customStyle="1" w:styleId="353">
    <w:name w:val="xl6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b/>
      <w:bCs/>
      <w:kern w:val="0"/>
      <w:sz w:val="20"/>
    </w:rPr>
  </w:style>
  <w:style w:type="paragraph" w:customStyle="1" w:styleId="354">
    <w:name w:val="xl39"/>
    <w:basedOn w:val="1"/>
    <w:qFormat/>
    <w:uiPriority w:val="0"/>
    <w:pPr>
      <w:widowControl/>
      <w:spacing w:before="100" w:beforeLines="0" w:beforeAutospacing="1" w:after="100" w:afterLines="0" w:afterAutospacing="1"/>
      <w:jc w:val="center"/>
    </w:pPr>
    <w:rPr>
      <w:rFonts w:hint="eastAsia" w:ascii="宋体" w:hAnsi="宋体"/>
      <w:kern w:val="0"/>
    </w:rPr>
  </w:style>
  <w:style w:type="paragraph" w:customStyle="1" w:styleId="355">
    <w:name w:val="xl93"/>
    <w:basedOn w:val="1"/>
    <w:qFormat/>
    <w:uiPriority w:val="0"/>
    <w:pPr>
      <w:widowControl/>
      <w:shd w:val="clear" w:color="auto" w:fill="99CCFF"/>
      <w:spacing w:before="100" w:beforeLines="0" w:beforeAutospacing="1" w:after="100" w:afterLines="0" w:afterAutospacing="1"/>
      <w:jc w:val="left"/>
    </w:pPr>
    <w:rPr>
      <w:rFonts w:ascii="宋体" w:hAnsi="宋体" w:cs="宋体"/>
      <w:b/>
      <w:bCs/>
      <w:color w:val="000000"/>
      <w:kern w:val="0"/>
      <w:szCs w:val="24"/>
    </w:rPr>
  </w:style>
  <w:style w:type="paragraph" w:customStyle="1" w:styleId="356">
    <w:name w:val="Char Char Char Char Char Char Char"/>
    <w:basedOn w:val="1"/>
    <w:qFormat/>
    <w:uiPriority w:val="0"/>
    <w:pPr>
      <w:widowControl/>
      <w:spacing w:after="160" w:afterLines="0" w:afterAutospacing="0" w:line="240" w:lineRule="exact"/>
      <w:jc w:val="left"/>
    </w:pPr>
    <w:rPr>
      <w:rFonts w:ascii="Arial" w:hAnsi="Arial" w:eastAsia="Times New Roman"/>
      <w:b/>
      <w:kern w:val="0"/>
      <w:lang w:eastAsia="en-US"/>
    </w:rPr>
  </w:style>
  <w:style w:type="paragraph" w:customStyle="1" w:styleId="3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Cs w:val="24"/>
    </w:rPr>
  </w:style>
  <w:style w:type="paragraph" w:customStyle="1" w:styleId="358">
    <w:name w:val="样式 仿宋_GB2312 行距: 1.5 倍行距"/>
    <w:basedOn w:val="1"/>
    <w:qFormat/>
    <w:uiPriority w:val="0"/>
    <w:pPr>
      <w:spacing w:line="360" w:lineRule="auto"/>
      <w:ind w:firstLine="480" w:firstLineChars="200"/>
    </w:pPr>
    <w:rPr>
      <w:rFonts w:ascii="宋体" w:hAnsi="宋体"/>
    </w:rPr>
  </w:style>
  <w:style w:type="paragraph" w:customStyle="1" w:styleId="359">
    <w:name w:val="正文缩进 3"/>
    <w:basedOn w:val="1"/>
    <w:qFormat/>
    <w:uiPriority w:val="0"/>
    <w:pPr>
      <w:adjustRightInd w:val="0"/>
      <w:spacing w:line="400" w:lineRule="atLeast"/>
      <w:ind w:left="600" w:leftChars="600" w:firstLine="454"/>
      <w:textAlignment w:val="baseline"/>
    </w:pPr>
    <w:rPr>
      <w:kern w:val="0"/>
    </w:rPr>
  </w:style>
  <w:style w:type="paragraph" w:customStyle="1" w:styleId="360">
    <w:name w:val="font17"/>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361">
    <w:name w:val="页码1"/>
    <w:basedOn w:val="1"/>
    <w:next w:val="1"/>
    <w:qFormat/>
    <w:uiPriority w:val="0"/>
    <w:pPr>
      <w:widowControl/>
    </w:pPr>
    <w:rPr>
      <w:color w:val="000000"/>
      <w:sz w:val="21"/>
    </w:rPr>
  </w:style>
  <w:style w:type="paragraph" w:customStyle="1" w:styleId="362">
    <w:name w:val="xl75"/>
    <w:basedOn w:val="1"/>
    <w:qFormat/>
    <w:uiPriority w:val="0"/>
    <w:pPr>
      <w:widowControl/>
      <w:spacing w:before="100" w:beforeLines="0" w:beforeAutospacing="1" w:after="100" w:afterLines="0" w:afterAutospacing="1"/>
      <w:jc w:val="center"/>
    </w:pPr>
    <w:rPr>
      <w:rFonts w:ascii="幼圆" w:hAnsi="宋体" w:eastAsia="幼圆" w:cs="宋体"/>
      <w:b/>
      <w:bCs/>
      <w:color w:val="000000"/>
      <w:kern w:val="0"/>
      <w:szCs w:val="24"/>
    </w:rPr>
  </w:style>
  <w:style w:type="paragraph" w:customStyle="1" w:styleId="363">
    <w:name w:val="My标题2"/>
    <w:basedOn w:val="4"/>
    <w:next w:val="1"/>
    <w:qFormat/>
    <w:uiPriority w:val="0"/>
    <w:pPr>
      <w:numPr>
        <w:ilvl w:val="0"/>
        <w:numId w:val="0"/>
      </w:numPr>
      <w:tabs>
        <w:tab w:val="left" w:pos="720"/>
        <w:tab w:val="clear" w:pos="358"/>
      </w:tabs>
      <w:adjustRightInd w:val="0"/>
      <w:spacing w:before="360" w:beforeLines="0" w:beforeAutospacing="0" w:after="120" w:afterLines="0" w:afterAutospacing="0"/>
      <w:ind w:left="567" w:hanging="567"/>
      <w:jc w:val="left"/>
      <w:textAlignment w:val="baseline"/>
    </w:pPr>
    <w:rPr>
      <w:rFonts w:ascii="Arial" w:hAnsi="Arial"/>
      <w:kern w:val="0"/>
      <w:sz w:val="24"/>
    </w:rPr>
  </w:style>
  <w:style w:type="paragraph" w:customStyle="1" w:styleId="364">
    <w:name w:val="xl76"/>
    <w:basedOn w:val="1"/>
    <w:qFormat/>
    <w:uiPriority w:val="0"/>
    <w:pPr>
      <w:widowControl/>
      <w:shd w:val="clear" w:color="auto" w:fill="99CCFF"/>
      <w:spacing w:before="100" w:beforeLines="0" w:beforeAutospacing="1" w:after="100" w:afterLines="0" w:afterAutospacing="1"/>
      <w:jc w:val="left"/>
    </w:pPr>
    <w:rPr>
      <w:rFonts w:ascii="Arial" w:hAnsi="Arial" w:cs="Arial"/>
      <w:b/>
      <w:bCs/>
      <w:color w:val="000000"/>
      <w:kern w:val="0"/>
      <w:szCs w:val="24"/>
    </w:rPr>
  </w:style>
  <w:style w:type="paragraph" w:customStyle="1" w:styleId="365">
    <w:name w:val="standdate"/>
    <w:basedOn w:val="50"/>
    <w:qFormat/>
    <w:uiPriority w:val="0"/>
    <w:rPr>
      <w:szCs w:val="18"/>
      <w:lang w:val="en-US" w:eastAsia="zh-CN"/>
    </w:rPr>
  </w:style>
  <w:style w:type="paragraph" w:customStyle="1" w:styleId="366">
    <w:name w:val="xl10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367">
    <w:name w:val="xl38"/>
    <w:basedOn w:val="1"/>
    <w:qFormat/>
    <w:uiPriority w:val="0"/>
    <w:pPr>
      <w:widowControl/>
      <w:pBdr>
        <w:top w:val="single" w:color="auto" w:sz="4" w:space="0"/>
        <w:left w:val="single" w:color="auto" w:sz="4" w:space="0"/>
        <w:bottom w:val="single" w:color="auto" w:sz="4" w:space="0"/>
      </w:pBdr>
      <w:shd w:val="clear" w:color="auto" w:fill="000080"/>
      <w:spacing w:before="100" w:beforeAutospacing="1" w:after="100" w:afterAutospacing="1"/>
      <w:jc w:val="left"/>
    </w:pPr>
    <w:rPr>
      <w:rFonts w:ascii="宋体" w:hAnsi="宋体"/>
      <w:b/>
      <w:bCs/>
      <w:color w:val="FFFFFF"/>
      <w:kern w:val="0"/>
      <w:sz w:val="20"/>
    </w:rPr>
  </w:style>
  <w:style w:type="paragraph" w:customStyle="1" w:styleId="368">
    <w:name w:val="font20"/>
    <w:basedOn w:val="1"/>
    <w:qFormat/>
    <w:uiPriority w:val="0"/>
    <w:pPr>
      <w:widowControl/>
      <w:spacing w:before="100" w:beforeLines="0" w:beforeAutospacing="1" w:after="100" w:afterLines="0" w:afterAutospacing="1"/>
      <w:jc w:val="left"/>
    </w:pPr>
    <w:rPr>
      <w:rFonts w:ascii="宋体" w:hAnsi="宋体" w:cs="宋体"/>
      <w:kern w:val="0"/>
      <w:sz w:val="40"/>
      <w:szCs w:val="40"/>
    </w:rPr>
  </w:style>
  <w:style w:type="paragraph" w:customStyle="1" w:styleId="369">
    <w:name w:val="font6"/>
    <w:basedOn w:val="1"/>
    <w:qFormat/>
    <w:uiPriority w:val="0"/>
    <w:pPr>
      <w:widowControl/>
      <w:adjustRightInd w:val="0"/>
      <w:spacing w:before="100" w:beforeLines="0" w:after="100" w:afterLines="0"/>
      <w:jc w:val="left"/>
      <w:textAlignment w:val="baseline"/>
    </w:pPr>
    <w:rPr>
      <w:color w:val="000000"/>
      <w:kern w:val="0"/>
      <w:sz w:val="21"/>
    </w:rPr>
  </w:style>
  <w:style w:type="paragraph" w:customStyle="1" w:styleId="370">
    <w:name w:val=" Char Char Char Char Char Char Char Char Char Char"/>
    <w:basedOn w:val="1"/>
    <w:qFormat/>
    <w:uiPriority w:val="0"/>
    <w:rPr>
      <w:sz w:val="21"/>
    </w:rPr>
  </w:style>
  <w:style w:type="paragraph" w:customStyle="1" w:styleId="371">
    <w:name w:val="图脚"/>
    <w:basedOn w:val="1"/>
    <w:qFormat/>
    <w:uiPriority w:val="0"/>
    <w:pPr>
      <w:tabs>
        <w:tab w:val="left" w:pos="900"/>
      </w:tabs>
      <w:ind w:left="900" w:hanging="420"/>
      <w:jc w:val="center"/>
    </w:pPr>
    <w:rPr>
      <w:rFonts w:eastAsia="黑体"/>
    </w:rPr>
  </w:style>
  <w:style w:type="paragraph" w:customStyle="1" w:styleId="372">
    <w:name w:val="Headings Font"/>
    <w:basedOn w:val="1"/>
    <w:next w:val="2"/>
    <w:qFormat/>
    <w:uiPriority w:val="0"/>
    <w:pPr>
      <w:keepNext/>
      <w:spacing w:line="280" w:lineRule="atLeast"/>
      <w:jc w:val="left"/>
    </w:pPr>
    <w:rPr>
      <w:rFonts w:ascii="Arial" w:hAnsi="Arial"/>
      <w:kern w:val="0"/>
      <w:sz w:val="22"/>
      <w:szCs w:val="24"/>
      <w:lang w:val="en-GB"/>
    </w:rPr>
  </w:style>
  <w:style w:type="paragraph" w:customStyle="1" w:styleId="37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74">
    <w:name w:val="3 Char"/>
    <w:basedOn w:val="1"/>
    <w:qFormat/>
    <w:uiPriority w:val="0"/>
    <w:pPr>
      <w:widowControl/>
      <w:spacing w:line="400" w:lineRule="exact"/>
      <w:jc w:val="center"/>
    </w:pPr>
    <w:rPr>
      <w:rFonts w:ascii="Verdana" w:hAnsi="Verdana"/>
      <w:kern w:val="0"/>
      <w:sz w:val="21"/>
      <w:lang w:eastAsia="en-US"/>
    </w:rPr>
  </w:style>
  <w:style w:type="paragraph" w:customStyle="1" w:styleId="375">
    <w:name w:val="xl71"/>
    <w:basedOn w:val="1"/>
    <w:qFormat/>
    <w:uiPriority w:val="0"/>
    <w:pPr>
      <w:widowControl/>
      <w:spacing w:before="100" w:beforeLines="0" w:beforeAutospacing="1" w:after="100" w:afterLines="0" w:afterAutospacing="1"/>
      <w:jc w:val="left"/>
    </w:pPr>
    <w:rPr>
      <w:rFonts w:ascii="Arial" w:hAnsi="Arial" w:cs="Arial"/>
      <w:color w:val="000000"/>
      <w:kern w:val="0"/>
      <w:szCs w:val="24"/>
    </w:rPr>
  </w:style>
  <w:style w:type="paragraph" w:customStyle="1" w:styleId="376">
    <w:name w:val="正文文本1"/>
    <w:basedOn w:val="1"/>
    <w:qFormat/>
    <w:uiPriority w:val="0"/>
    <w:pPr>
      <w:spacing w:after="120" w:afterLines="0" w:afterAutospacing="0"/>
    </w:pPr>
    <w:rPr>
      <w:sz w:val="21"/>
    </w:rPr>
  </w:style>
  <w:style w:type="paragraph" w:customStyle="1" w:styleId="377">
    <w:name w:val="xl25"/>
    <w:basedOn w:val="1"/>
    <w:qFormat/>
    <w:uiPriority w:val="0"/>
    <w:pPr>
      <w:widowControl/>
      <w:pBdr>
        <w:top w:val="single" w:color="auto" w:sz="6" w:space="0"/>
        <w:left w:val="single" w:color="auto" w:sz="6" w:space="0"/>
        <w:bottom w:val="single" w:color="auto" w:sz="6" w:space="0"/>
        <w:right w:val="single" w:color="auto" w:sz="6" w:space="0"/>
      </w:pBdr>
      <w:adjustRightInd w:val="0"/>
      <w:spacing w:before="100" w:beforeLines="0" w:after="100" w:afterLines="0"/>
      <w:jc w:val="center"/>
      <w:textAlignment w:val="center"/>
    </w:pPr>
    <w:rPr>
      <w:rFonts w:ascii="Arial Unicode MS" w:hAnsi="Arial Unicode MS"/>
      <w:color w:val="000000"/>
      <w:kern w:val="0"/>
      <w:sz w:val="21"/>
    </w:rPr>
  </w:style>
  <w:style w:type="paragraph" w:customStyle="1" w:styleId="378">
    <w:name w:val="样式编号"/>
    <w:basedOn w:val="2"/>
    <w:qFormat/>
    <w:uiPriority w:val="0"/>
    <w:pPr>
      <w:widowControl/>
      <w:autoSpaceDE/>
      <w:autoSpaceDN/>
      <w:adjustRightInd/>
      <w:spacing w:after="156" w:afterLines="50" w:line="300" w:lineRule="auto"/>
      <w:jc w:val="both"/>
    </w:pPr>
    <w:rPr>
      <w:rFonts w:ascii="Times New Roman" w:eastAsia="仿宋_GB2312"/>
      <w:color w:val="auto"/>
      <w:spacing w:val="-10"/>
      <w:szCs w:val="24"/>
      <w:lang w:val="en-US" w:eastAsia="zh-CN"/>
    </w:rPr>
  </w:style>
  <w:style w:type="paragraph" w:customStyle="1" w:styleId="379">
    <w:name w:val="xl101"/>
    <w:basedOn w:val="1"/>
    <w:qFormat/>
    <w:uiPriority w:val="0"/>
    <w:pPr>
      <w:widowControl/>
      <w:shd w:val="clear" w:color="auto" w:fill="CCFFCC"/>
      <w:spacing w:before="100" w:beforeLines="0" w:beforeAutospacing="1" w:after="100" w:afterLines="0" w:afterAutospacing="1"/>
      <w:jc w:val="left"/>
    </w:pPr>
    <w:rPr>
      <w:rFonts w:ascii="Arial" w:hAnsi="Arial" w:cs="Arial"/>
      <w:color w:val="000000"/>
      <w:kern w:val="0"/>
      <w:szCs w:val="24"/>
    </w:rPr>
  </w:style>
  <w:style w:type="paragraph" w:customStyle="1" w:styleId="380">
    <w:name w:val="目录"/>
    <w:basedOn w:val="1"/>
    <w:qFormat/>
    <w:uiPriority w:val="0"/>
    <w:pPr>
      <w:widowControl/>
      <w:spacing w:line="480" w:lineRule="auto"/>
      <w:jc w:val="center"/>
    </w:pPr>
    <w:rPr>
      <w:rFonts w:ascii="宋体"/>
      <w:b/>
      <w:kern w:val="0"/>
    </w:rPr>
  </w:style>
  <w:style w:type="paragraph" w:customStyle="1" w:styleId="381">
    <w:name w:val="已访问的超链接1"/>
    <w:basedOn w:val="1"/>
    <w:next w:val="1"/>
    <w:qFormat/>
    <w:uiPriority w:val="0"/>
    <w:pPr>
      <w:widowControl/>
    </w:pPr>
    <w:rPr>
      <w:color w:val="800080"/>
      <w:sz w:val="21"/>
      <w:u w:val="single" w:color="000000"/>
    </w:rPr>
  </w:style>
  <w:style w:type="paragraph" w:customStyle="1" w:styleId="382">
    <w:name w:val="xl86"/>
    <w:basedOn w:val="1"/>
    <w:qFormat/>
    <w:uiPriority w:val="0"/>
    <w:pPr>
      <w:widowControl/>
      <w:shd w:val="clear" w:color="auto" w:fill="C0C0C0"/>
      <w:spacing w:before="100" w:beforeLines="0" w:beforeAutospacing="1" w:after="100" w:afterLines="0" w:afterAutospacing="1"/>
      <w:jc w:val="left"/>
    </w:pPr>
    <w:rPr>
      <w:rFonts w:ascii="Arial" w:hAnsi="Arial" w:cs="Arial"/>
      <w:color w:val="000000"/>
      <w:kern w:val="0"/>
      <w:szCs w:val="24"/>
    </w:rPr>
  </w:style>
  <w:style w:type="paragraph" w:customStyle="1" w:styleId="383">
    <w:name w:val="font7"/>
    <w:basedOn w:val="1"/>
    <w:qFormat/>
    <w:uiPriority w:val="0"/>
    <w:pPr>
      <w:widowControl/>
      <w:adjustRightInd w:val="0"/>
      <w:spacing w:before="100" w:beforeLines="0" w:after="100" w:afterLines="0"/>
      <w:jc w:val="left"/>
      <w:textAlignment w:val="baseline"/>
    </w:pPr>
    <w:rPr>
      <w:rFonts w:ascii="宋体" w:hAnsi="宋体"/>
      <w:b/>
      <w:color w:val="000000"/>
      <w:kern w:val="0"/>
      <w:sz w:val="20"/>
    </w:rPr>
  </w:style>
  <w:style w:type="paragraph" w:customStyle="1" w:styleId="384">
    <w:name w:val="文档正文（外部）"/>
    <w:basedOn w:val="1"/>
    <w:qFormat/>
    <w:uiPriority w:val="0"/>
    <w:pPr>
      <w:spacing w:line="360" w:lineRule="auto"/>
    </w:pPr>
    <w:rPr>
      <w:sz w:val="28"/>
    </w:rPr>
  </w:style>
  <w:style w:type="paragraph" w:customStyle="1" w:styleId="385">
    <w:name w:val="xl95"/>
    <w:basedOn w:val="1"/>
    <w:qFormat/>
    <w:uiPriority w:val="0"/>
    <w:pPr>
      <w:widowControl/>
      <w:spacing w:before="100" w:beforeLines="0" w:beforeAutospacing="1" w:after="100" w:afterLines="0" w:afterAutospacing="1"/>
      <w:jc w:val="center"/>
    </w:pPr>
    <w:rPr>
      <w:rFonts w:ascii="幼圆" w:hAnsi="宋体" w:eastAsia="幼圆" w:cs="宋体"/>
      <w:kern w:val="0"/>
      <w:szCs w:val="24"/>
    </w:rPr>
  </w:style>
  <w:style w:type="paragraph" w:customStyle="1" w:styleId="386">
    <w:name w:val="样式 样式 正文首行缩进 2 + 首行缩进:  2 字符 + 首行缩进:  2 字符"/>
    <w:basedOn w:val="1"/>
    <w:qFormat/>
    <w:uiPriority w:val="0"/>
    <w:pPr>
      <w:spacing w:line="360" w:lineRule="auto"/>
      <w:ind w:firstLine="480" w:firstLineChars="200"/>
    </w:pPr>
  </w:style>
  <w:style w:type="paragraph" w:customStyle="1" w:styleId="387">
    <w:name w:val="xl105"/>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388">
    <w:name w:val="产品正文 Char1 Char"/>
    <w:basedOn w:val="1"/>
    <w:qFormat/>
    <w:uiPriority w:val="0"/>
    <w:pPr>
      <w:numPr>
        <w:ilvl w:val="0"/>
        <w:numId w:val="10"/>
      </w:numPr>
      <w:spacing w:line="360" w:lineRule="auto"/>
      <w:ind w:left="0" w:firstLine="200" w:firstLineChars="200"/>
    </w:pPr>
    <w:rPr>
      <w:bCs/>
      <w:sz w:val="18"/>
      <w:szCs w:val="18"/>
    </w:rPr>
  </w:style>
  <w:style w:type="paragraph" w:customStyle="1" w:styleId="389">
    <w:name w:val="章节标题1"/>
    <w:basedOn w:val="1"/>
    <w:next w:val="113"/>
    <w:qFormat/>
    <w:uiPriority w:val="0"/>
    <w:pPr>
      <w:keepNext/>
      <w:keepLines/>
      <w:tabs>
        <w:tab w:val="left" w:pos="900"/>
      </w:tabs>
      <w:spacing w:before="340" w:after="330" w:line="578" w:lineRule="auto"/>
      <w:ind w:left="900" w:hanging="420"/>
      <w:outlineLvl w:val="0"/>
    </w:pPr>
    <w:rPr>
      <w:b/>
      <w:bCs/>
      <w:kern w:val="44"/>
      <w:sz w:val="36"/>
      <w:szCs w:val="44"/>
    </w:rPr>
  </w:style>
  <w:style w:type="paragraph" w:customStyle="1" w:styleId="390">
    <w:name w:val="文本正文"/>
    <w:basedOn w:val="1"/>
    <w:qFormat/>
    <w:uiPriority w:val="0"/>
    <w:pPr>
      <w:spacing w:before="156" w:beforeLines="0" w:beforeAutospacing="0" w:after="156" w:afterLines="0" w:afterAutospacing="0" w:line="360" w:lineRule="auto"/>
      <w:ind w:firstLine="480"/>
    </w:pPr>
    <w:rPr>
      <w:color w:val="000000"/>
      <w:sz w:val="21"/>
    </w:rPr>
  </w:style>
  <w:style w:type="paragraph" w:customStyle="1" w:styleId="391">
    <w:name w:val=" Char Char Char"/>
    <w:basedOn w:val="1"/>
    <w:qFormat/>
    <w:uiPriority w:val="0"/>
    <w:rPr>
      <w:rFonts w:ascii="Tahoma" w:hAnsi="Tahoma"/>
    </w:rPr>
  </w:style>
  <w:style w:type="paragraph" w:customStyle="1" w:styleId="392">
    <w:name w:val="样式3"/>
    <w:basedOn w:val="1"/>
    <w:qFormat/>
    <w:uiPriority w:val="0"/>
    <w:pPr>
      <w:ind w:left="1980"/>
    </w:pPr>
    <w:rPr>
      <w:sz w:val="21"/>
    </w:rPr>
  </w:style>
  <w:style w:type="paragraph" w:customStyle="1" w:styleId="393">
    <w:name w:val="样式 首行缩进:  0.74 厘米"/>
    <w:basedOn w:val="1"/>
    <w:qFormat/>
    <w:uiPriority w:val="0"/>
    <w:pPr>
      <w:spacing w:line="360" w:lineRule="auto"/>
      <w:ind w:firstLine="420"/>
    </w:pPr>
    <w:rPr>
      <w:sz w:val="21"/>
    </w:rPr>
  </w:style>
  <w:style w:type="paragraph" w:customStyle="1" w:styleId="394">
    <w:name w:val="myp1111"/>
    <w:basedOn w:val="1"/>
    <w:next w:val="1"/>
    <w:qFormat/>
    <w:uiPriority w:val="0"/>
    <w:pPr>
      <w:widowControl/>
    </w:pPr>
    <w:rPr>
      <w:rFonts w:ascii="ˎ̥" w:hAnsi="ˎ̥"/>
      <w:color w:val="000000"/>
      <w:sz w:val="20"/>
    </w:rPr>
  </w:style>
  <w:style w:type="paragraph" w:customStyle="1" w:styleId="395">
    <w:name w:val="正文字缩2字"/>
    <w:basedOn w:val="1"/>
    <w:qFormat/>
    <w:uiPriority w:val="0"/>
    <w:pPr>
      <w:spacing w:before="60" w:beforeLines="0" w:beforeAutospacing="0" w:after="60" w:afterLines="0" w:afterAutospacing="0" w:line="360" w:lineRule="auto"/>
      <w:ind w:left="200" w:leftChars="200" w:firstLine="200" w:firstLineChars="200"/>
    </w:pPr>
  </w:style>
  <w:style w:type="paragraph" w:customStyle="1" w:styleId="396">
    <w:name w:val="文字缩进 3"/>
    <w:basedOn w:val="2"/>
    <w:qFormat/>
    <w:uiPriority w:val="0"/>
    <w:pPr>
      <w:autoSpaceDE/>
      <w:autoSpaceDN/>
      <w:spacing w:before="100" w:beforeLines="0" w:beforeAutospacing="1" w:after="100" w:afterLines="0" w:afterAutospacing="1" w:line="400" w:lineRule="atLeast"/>
      <w:ind w:left="1276"/>
      <w:jc w:val="both"/>
      <w:textAlignment w:val="baseline"/>
    </w:pPr>
    <w:rPr>
      <w:rFonts w:ascii="Times New Roman"/>
      <w:color w:val="auto"/>
    </w:rPr>
  </w:style>
  <w:style w:type="paragraph" w:customStyle="1" w:styleId="397">
    <w:name w:val="xl92"/>
    <w:basedOn w:val="1"/>
    <w:qFormat/>
    <w:uiPriority w:val="0"/>
    <w:pPr>
      <w:widowControl/>
      <w:spacing w:before="100" w:beforeLines="0" w:beforeAutospacing="1" w:after="100" w:afterLines="0" w:afterAutospacing="1"/>
      <w:jc w:val="center"/>
    </w:pPr>
    <w:rPr>
      <w:rFonts w:ascii="宋体" w:hAnsi="宋体" w:cs="宋体"/>
      <w:kern w:val="0"/>
      <w:szCs w:val="24"/>
    </w:rPr>
  </w:style>
  <w:style w:type="paragraph" w:customStyle="1" w:styleId="398">
    <w:name w:val="样式 首行缩进:  0.85 厘米"/>
    <w:basedOn w:val="1"/>
    <w:qFormat/>
    <w:uiPriority w:val="0"/>
    <w:pPr>
      <w:tabs>
        <w:tab w:val="left" w:pos="1080"/>
        <w:tab w:val="left" w:pos="1200"/>
      </w:tabs>
      <w:spacing w:before="156" w:beforeLines="50" w:beforeAutospacing="0" w:after="156" w:afterLines="50" w:afterAutospacing="0" w:line="360" w:lineRule="auto"/>
      <w:ind w:left="420" w:firstLine="120"/>
      <w:jc w:val="left"/>
    </w:pPr>
    <w:rPr>
      <w:rFonts w:ascii="Arial"/>
    </w:rPr>
  </w:style>
  <w:style w:type="paragraph" w:customStyle="1" w:styleId="39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0"/>
    </w:rPr>
  </w:style>
  <w:style w:type="paragraph" w:customStyle="1" w:styleId="400">
    <w:name w:val=" Char Char Char Char Char Char Char"/>
    <w:basedOn w:val="1"/>
    <w:qFormat/>
    <w:uiPriority w:val="0"/>
    <w:rPr>
      <w:rFonts w:ascii="仿宋_GB2312" w:eastAsia="仿宋_GB2312"/>
      <w:b/>
      <w:sz w:val="32"/>
    </w:rPr>
  </w:style>
  <w:style w:type="paragraph" w:customStyle="1" w:styleId="401">
    <w:name w:val="xl88"/>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02">
    <w:name w:val="列表编号 31"/>
    <w:basedOn w:val="1"/>
    <w:next w:val="1"/>
    <w:qFormat/>
    <w:uiPriority w:val="0"/>
    <w:pPr>
      <w:widowControl/>
      <w:tabs>
        <w:tab w:val="left" w:pos="482"/>
        <w:tab w:val="left" w:pos="840"/>
      </w:tabs>
      <w:spacing w:after="50" w:afterLines="0" w:afterAutospacing="0"/>
      <w:ind w:left="482" w:hanging="340"/>
      <w:jc w:val="left"/>
    </w:pPr>
    <w:rPr>
      <w:color w:val="000000"/>
      <w:kern w:val="0"/>
    </w:rPr>
  </w:style>
  <w:style w:type="paragraph" w:customStyle="1" w:styleId="403">
    <w:name w:val="font14"/>
    <w:basedOn w:val="1"/>
    <w:qFormat/>
    <w:uiPriority w:val="0"/>
    <w:pPr>
      <w:widowControl/>
      <w:spacing w:before="100" w:beforeLines="0" w:beforeAutospacing="1" w:after="100" w:afterLines="0" w:afterAutospacing="1"/>
      <w:jc w:val="left"/>
    </w:pPr>
    <w:rPr>
      <w:rFonts w:ascii="宋体" w:hAnsi="宋体" w:cs="宋体"/>
      <w:color w:val="000000"/>
      <w:kern w:val="0"/>
      <w:szCs w:val="24"/>
    </w:rPr>
  </w:style>
  <w:style w:type="paragraph" w:customStyle="1" w:styleId="404">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0"/>
    </w:rPr>
  </w:style>
  <w:style w:type="paragraph" w:customStyle="1" w:styleId="405">
    <w:name w:val="表正文"/>
    <w:basedOn w:val="1"/>
    <w:next w:val="42"/>
    <w:qFormat/>
    <w:uiPriority w:val="0"/>
    <w:rPr>
      <w:rFonts w:ascii="宋体" w:hAnsi="Courier New"/>
      <w:sz w:val="21"/>
    </w:rPr>
  </w:style>
  <w:style w:type="paragraph" w:customStyle="1" w:styleId="406">
    <w:name w:val="文字缩进"/>
    <w:basedOn w:val="2"/>
    <w:qFormat/>
    <w:uiPriority w:val="0"/>
    <w:pPr>
      <w:autoSpaceDE/>
      <w:autoSpaceDN/>
      <w:spacing w:before="100" w:beforeLines="0" w:beforeAutospacing="1" w:after="100" w:afterLines="0" w:afterAutospacing="1" w:line="400" w:lineRule="atLeast"/>
      <w:ind w:left="425"/>
      <w:jc w:val="both"/>
      <w:textAlignment w:val="baseline"/>
    </w:pPr>
    <w:rPr>
      <w:rFonts w:ascii="Times New Roman"/>
      <w:color w:val="auto"/>
    </w:rPr>
  </w:style>
  <w:style w:type="paragraph" w:customStyle="1" w:styleId="407">
    <w:name w:val="Char Char Char Char Char Char Char Char Char Char Char Char Char Char Char"/>
    <w:basedOn w:val="1"/>
    <w:qFormat/>
    <w:uiPriority w:val="0"/>
    <w:pPr>
      <w:widowControl/>
      <w:spacing w:line="400" w:lineRule="exact"/>
      <w:jc w:val="center"/>
    </w:pPr>
    <w:rPr>
      <w:rFonts w:ascii="Verdana" w:hAnsi="Verdana"/>
      <w:kern w:val="0"/>
      <w:sz w:val="21"/>
      <w:lang w:eastAsia="en-US"/>
    </w:rPr>
  </w:style>
  <w:style w:type="paragraph" w:customStyle="1" w:styleId="408">
    <w:name w:val="文本正文2"/>
    <w:basedOn w:val="1"/>
    <w:qFormat/>
    <w:uiPriority w:val="0"/>
    <w:pPr>
      <w:spacing w:before="156" w:beforeLines="0" w:beforeAutospacing="0" w:after="156" w:afterLines="0" w:afterAutospacing="0" w:line="360" w:lineRule="auto"/>
    </w:pPr>
    <w:rPr>
      <w:color w:val="000000"/>
      <w:sz w:val="21"/>
    </w:rPr>
  </w:style>
  <w:style w:type="paragraph" w:customStyle="1" w:styleId="409">
    <w:name w:val="My编号1"/>
    <w:basedOn w:val="1"/>
    <w:qFormat/>
    <w:uiPriority w:val="0"/>
    <w:pPr>
      <w:adjustRightInd w:val="0"/>
      <w:spacing w:before="120" w:beforeLines="0" w:beforeAutospacing="0" w:line="360" w:lineRule="auto"/>
      <w:textAlignment w:val="baseline"/>
    </w:pPr>
    <w:rPr>
      <w:rFonts w:ascii="Arial" w:hAnsi="Arial"/>
      <w:kern w:val="0"/>
    </w:rPr>
  </w:style>
  <w:style w:type="paragraph" w:customStyle="1" w:styleId="410">
    <w:name w:val="页头专用"/>
    <w:basedOn w:val="1"/>
    <w:next w:val="1"/>
    <w:qFormat/>
    <w:uiPriority w:val="0"/>
    <w:pPr>
      <w:spacing w:line="360" w:lineRule="auto"/>
      <w:ind w:firstLine="200" w:firstLineChars="200"/>
      <w:jc w:val="left"/>
    </w:pPr>
    <w:rPr>
      <w:rFonts w:ascii="宋体" w:hAnsi="宋体"/>
      <w:b/>
      <w:sz w:val="28"/>
      <w:szCs w:val="24"/>
      <w:u w:val="single"/>
    </w:rPr>
  </w:style>
  <w:style w:type="paragraph" w:customStyle="1" w:styleId="411">
    <w:name w:val="正文首行缩进 21"/>
    <w:basedOn w:val="1"/>
    <w:next w:val="1"/>
    <w:qFormat/>
    <w:uiPriority w:val="0"/>
    <w:pPr>
      <w:widowControl/>
      <w:spacing w:after="120" w:afterLines="0" w:afterAutospacing="0"/>
      <w:ind w:firstLine="210"/>
    </w:pPr>
    <w:rPr>
      <w:color w:val="000000"/>
      <w:sz w:val="21"/>
    </w:rPr>
  </w:style>
  <w:style w:type="paragraph" w:customStyle="1" w:styleId="412">
    <w:name w:val="xl87"/>
    <w:basedOn w:val="1"/>
    <w:qFormat/>
    <w:uiPriority w:val="0"/>
    <w:pPr>
      <w:widowControl/>
      <w:shd w:val="clear" w:color="auto" w:fill="C0C0C0"/>
      <w:spacing w:before="100" w:beforeLines="0" w:beforeAutospacing="1" w:after="100" w:afterLines="0" w:afterAutospacing="1"/>
      <w:jc w:val="center"/>
    </w:pPr>
    <w:rPr>
      <w:rFonts w:ascii="Arial" w:hAnsi="Arial" w:cs="Arial"/>
      <w:color w:val="000000"/>
      <w:kern w:val="0"/>
      <w:szCs w:val="24"/>
    </w:rPr>
  </w:style>
  <w:style w:type="paragraph" w:customStyle="1" w:styleId="413">
    <w:name w:val="正文图标题"/>
    <w:next w:val="119"/>
    <w:qFormat/>
    <w:uiPriority w:val="0"/>
    <w:pPr>
      <w:jc w:val="center"/>
    </w:pPr>
    <w:rPr>
      <w:rFonts w:ascii="黑体" w:hAnsi="Times New Roman" w:eastAsia="黑体" w:cs="Times New Roman"/>
      <w:sz w:val="21"/>
      <w:lang w:val="en-US" w:eastAsia="zh-CN" w:bidi="ar-SA"/>
    </w:rPr>
  </w:style>
  <w:style w:type="paragraph" w:customStyle="1" w:styleId="414">
    <w:name w:val="普通表格1"/>
    <w:basedOn w:val="1"/>
    <w:next w:val="1"/>
    <w:qFormat/>
    <w:uiPriority w:val="0"/>
    <w:pPr>
      <w:widowControl/>
      <w:jc w:val="left"/>
    </w:pPr>
    <w:rPr>
      <w:color w:val="000000"/>
      <w:kern w:val="0"/>
    </w:rPr>
  </w:style>
  <w:style w:type="paragraph" w:customStyle="1" w:styleId="415">
    <w:name w:val=" Char Char Char Char Char Char Char Char Char Char Char Char Char Char Char Char"/>
    <w:basedOn w:val="1"/>
    <w:qFormat/>
    <w:uiPriority w:val="0"/>
    <w:rPr>
      <w:rFonts w:ascii="Tahoma" w:hAnsi="Tahoma"/>
    </w:rPr>
  </w:style>
  <w:style w:type="paragraph" w:customStyle="1" w:styleId="416">
    <w:name w:val="表格2"/>
    <w:basedOn w:val="1"/>
    <w:qFormat/>
    <w:uiPriority w:val="0"/>
    <w:pPr>
      <w:keepLines/>
      <w:widowControl/>
      <w:topLinePunct/>
      <w:adjustRightInd w:val="0"/>
      <w:snapToGrid w:val="0"/>
      <w:spacing w:before="100" w:beforeAutospacing="1" w:after="100" w:afterAutospacing="1"/>
    </w:pPr>
    <w:rPr>
      <w:rFonts w:ascii="宋体" w:hAnsi="宋体"/>
      <w:kern w:val="0"/>
      <w:szCs w:val="21"/>
    </w:rPr>
  </w:style>
  <w:style w:type="paragraph" w:styleId="417">
    <w:name w:val="List Paragraph"/>
    <w:basedOn w:val="1"/>
    <w:qFormat/>
    <w:uiPriority w:val="34"/>
    <w:pPr>
      <w:ind w:firstLine="420" w:firstLineChars="200"/>
    </w:pPr>
    <w:rPr>
      <w:rFonts w:ascii="Verdana" w:hAnsi="Verdana" w:eastAsia="微软雅黑"/>
      <w:sz w:val="21"/>
    </w:rPr>
  </w:style>
  <w:style w:type="paragraph" w:customStyle="1" w:styleId="418">
    <w:name w:val="样式 标题 22nd levelh22Header 2H2 + 四号 段前: 6 磅 段后: 6 磅 行距: 1..."/>
    <w:basedOn w:val="4"/>
    <w:qFormat/>
    <w:uiPriority w:val="0"/>
    <w:pPr>
      <w:numPr>
        <w:ilvl w:val="0"/>
        <w:numId w:val="0"/>
      </w:numPr>
      <w:tabs>
        <w:tab w:val="left" w:pos="425"/>
        <w:tab w:val="clear" w:pos="358"/>
      </w:tabs>
      <w:spacing w:before="120" w:beforeLines="0" w:beforeAutospacing="0" w:after="120" w:afterLines="0" w:afterAutospacing="0"/>
      <w:ind w:left="425" w:hanging="425"/>
    </w:pPr>
    <w:rPr>
      <w:rFonts w:ascii="Arial" w:hAnsi="Arial"/>
      <w:sz w:val="28"/>
    </w:rPr>
  </w:style>
  <w:style w:type="paragraph" w:customStyle="1" w:styleId="419">
    <w:name w:val="样式 标题 1H1章节1l0Section HeadHeader1h1Level 1 HeadPIM 1He..."/>
    <w:basedOn w:val="3"/>
    <w:qFormat/>
    <w:uiPriority w:val="0"/>
    <w:pPr>
      <w:keepNext/>
      <w:keepLines/>
      <w:pageBreakBefore w:val="0"/>
      <w:widowControl w:val="0"/>
      <w:numPr>
        <w:ilvl w:val="0"/>
        <w:numId w:val="0"/>
      </w:numPr>
      <w:autoSpaceDE/>
      <w:autoSpaceDN/>
      <w:spacing w:before="340" w:beforeLines="0" w:beforeAutospacing="0" w:after="330" w:afterLines="0" w:afterAutospacing="0" w:line="576" w:lineRule="auto"/>
      <w:jc w:val="both"/>
    </w:pPr>
    <w:rPr>
      <w:rFonts w:hint="default" w:ascii="Times New Roman"/>
      <w:b/>
      <w:color w:val="auto"/>
      <w:kern w:val="44"/>
      <w:sz w:val="44"/>
    </w:rPr>
  </w:style>
  <w:style w:type="paragraph" w:customStyle="1" w:styleId="420">
    <w:name w:val="xl103"/>
    <w:basedOn w:val="1"/>
    <w:qFormat/>
    <w:uiPriority w:val="0"/>
    <w:pPr>
      <w:widowControl/>
      <w:spacing w:before="100" w:beforeLines="0" w:beforeAutospacing="1" w:after="100" w:afterLines="0" w:afterAutospacing="1"/>
      <w:jc w:val="left"/>
    </w:pPr>
    <w:rPr>
      <w:rFonts w:ascii="Arial" w:hAnsi="Arial" w:cs="Arial"/>
      <w:kern w:val="0"/>
      <w:szCs w:val="24"/>
    </w:rPr>
  </w:style>
  <w:style w:type="paragraph" w:customStyle="1" w:styleId="421">
    <w:name w:val="纯文本1"/>
    <w:basedOn w:val="1"/>
    <w:qFormat/>
    <w:uiPriority w:val="0"/>
    <w:pPr>
      <w:widowControl/>
      <w:tabs>
        <w:tab w:val="left" w:pos="840"/>
      </w:tabs>
      <w:spacing w:line="360" w:lineRule="auto"/>
      <w:ind w:left="840" w:hanging="420"/>
    </w:pPr>
    <w:rPr>
      <w:rFonts w:ascii="宋体"/>
      <w:color w:val="000000"/>
    </w:rPr>
  </w:style>
  <w:style w:type="paragraph" w:customStyle="1" w:styleId="422">
    <w:name w:val="xl77"/>
    <w:basedOn w:val="1"/>
    <w:qFormat/>
    <w:uiPriority w:val="0"/>
    <w:pPr>
      <w:widowControl/>
      <w:shd w:val="clear" w:color="auto" w:fill="99CCFF"/>
      <w:spacing w:before="100" w:beforeLines="0" w:beforeAutospacing="1" w:after="100" w:afterLines="0" w:afterAutospacing="1"/>
      <w:jc w:val="center"/>
    </w:pPr>
    <w:rPr>
      <w:rFonts w:ascii="Arial" w:hAnsi="Arial" w:cs="Arial"/>
      <w:color w:val="000000"/>
      <w:kern w:val="0"/>
      <w:szCs w:val="24"/>
    </w:rPr>
  </w:style>
  <w:style w:type="paragraph" w:customStyle="1" w:styleId="423">
    <w:name w:val="gb231212"/>
    <w:basedOn w:val="1"/>
    <w:qFormat/>
    <w:uiPriority w:val="0"/>
    <w:pPr>
      <w:widowControl/>
      <w:spacing w:before="100" w:beforeLines="0" w:beforeAutospacing="1" w:after="100" w:afterLines="0" w:afterAutospacing="1"/>
      <w:jc w:val="left"/>
    </w:pPr>
    <w:rPr>
      <w:rFonts w:ascii="宋体" w:hAnsi="宋体" w:cs="宋体"/>
      <w:kern w:val="0"/>
      <w:szCs w:val="24"/>
    </w:rPr>
  </w:style>
  <w:style w:type="paragraph" w:customStyle="1" w:styleId="424">
    <w:name w:val="华宇段落1"/>
    <w:basedOn w:val="1"/>
    <w:qFormat/>
    <w:uiPriority w:val="0"/>
    <w:pPr>
      <w:spacing w:before="156" w:beforeLines="50" w:after="156" w:afterLines="50" w:line="360" w:lineRule="auto"/>
      <w:ind w:firstLine="480" w:firstLineChars="200"/>
    </w:pPr>
    <w:rPr>
      <w:rFonts w:eastAsia="仿宋_GB2312"/>
      <w:bCs/>
      <w:sz w:val="28"/>
      <w:szCs w:val="24"/>
    </w:rPr>
  </w:style>
  <w:style w:type="paragraph" w:customStyle="1" w:styleId="425">
    <w:name w:val="标段"/>
    <w:basedOn w:val="1"/>
    <w:qFormat/>
    <w:uiPriority w:val="0"/>
    <w:pPr>
      <w:widowControl/>
      <w:topLinePunct/>
      <w:ind w:firstLine="200" w:firstLineChars="200"/>
      <w:outlineLvl w:val="1"/>
    </w:pPr>
    <w:rPr>
      <w:rFonts w:ascii="宋体" w:hAnsi="宋体"/>
      <w:kern w:val="0"/>
      <w:szCs w:val="21"/>
      <w:u w:val="thick"/>
    </w:rPr>
  </w:style>
  <w:style w:type="character" w:customStyle="1" w:styleId="426">
    <w:name w:val="正文段 Char"/>
    <w:link w:val="105"/>
    <w:qFormat/>
    <w:uiPriority w:val="0"/>
    <w:rPr>
      <w:sz w:val="24"/>
    </w:rPr>
  </w:style>
  <w:style w:type="character" w:customStyle="1" w:styleId="427">
    <w:name w:val="p121"/>
    <w:qFormat/>
    <w:uiPriority w:val="0"/>
    <w:rPr>
      <w:rFonts w:hint="default" w:ascii="_x000B__x000C_" w:hAnsi="_x000B__x000C_"/>
      <w:sz w:val="24"/>
      <w:szCs w:val="24"/>
    </w:rPr>
  </w:style>
  <w:style w:type="character" w:customStyle="1" w:styleId="428">
    <w:name w:val="highlight"/>
    <w:basedOn w:val="81"/>
    <w:qFormat/>
    <w:uiPriority w:val="0"/>
  </w:style>
  <w:style w:type="character" w:customStyle="1" w:styleId="429">
    <w:name w:val="正文文本缩进 Char"/>
    <w:link w:val="32"/>
    <w:qFormat/>
    <w:uiPriority w:val="99"/>
    <w:rPr>
      <w:rFonts w:ascii="宋体"/>
      <w:kern w:val="2"/>
      <w:sz w:val="24"/>
    </w:rPr>
  </w:style>
  <w:style w:type="character" w:customStyle="1" w:styleId="430">
    <w:name w:val="b1"/>
    <w:qFormat/>
    <w:uiPriority w:val="0"/>
    <w:rPr>
      <w:rFonts w:hint="default" w:ascii="Courier New" w:hAnsi="Courier New"/>
      <w:b/>
      <w:color w:val="FF0000"/>
      <w:u w:val="none"/>
    </w:rPr>
  </w:style>
  <w:style w:type="character" w:customStyle="1" w:styleId="431">
    <w:name w:val="正文首行缩进 Char Char Char Char Char Char Char Char Char Char Char Char Char Char Char Char Char Char Char Char Char1"/>
    <w:qFormat/>
    <w:uiPriority w:val="0"/>
    <w:rPr>
      <w:rFonts w:eastAsia="宋体"/>
      <w:kern w:val="2"/>
      <w:sz w:val="24"/>
      <w:lang w:val="en-US" w:eastAsia="zh-CN"/>
    </w:rPr>
  </w:style>
  <w:style w:type="character" w:customStyle="1" w:styleId="432">
    <w:name w:val="标题 9 Char"/>
    <w:link w:val="12"/>
    <w:qFormat/>
    <w:uiPriority w:val="0"/>
    <w:rPr>
      <w:rFonts w:ascii="Arial" w:hAnsi="Arial" w:eastAsia="黑体"/>
      <w:kern w:val="2"/>
      <w:sz w:val="21"/>
      <w:lang w:val="en-US" w:eastAsia="zh-CN" w:bidi="ar-SA"/>
    </w:rPr>
  </w:style>
  <w:style w:type="character" w:customStyle="1" w:styleId="433">
    <w:name w:val="Footer Char"/>
    <w:qFormat/>
    <w:locked/>
    <w:uiPriority w:val="0"/>
    <w:rPr>
      <w:rFonts w:cs="Times New Roman"/>
      <w:sz w:val="18"/>
      <w:szCs w:val="18"/>
    </w:rPr>
  </w:style>
  <w:style w:type="character" w:customStyle="1" w:styleId="434">
    <w:name w:val="mc2"/>
    <w:qFormat/>
    <w:uiPriority w:val="0"/>
    <w:rPr>
      <w:color w:val="0E2DCD"/>
      <w:sz w:val="21"/>
      <w:szCs w:val="21"/>
    </w:rPr>
  </w:style>
  <w:style w:type="character" w:customStyle="1" w:styleId="435">
    <w:name w:val="样式 标题 4 + 小四 Char Char"/>
    <w:link w:val="93"/>
    <w:qFormat/>
    <w:uiPriority w:val="0"/>
    <w:rPr>
      <w:rFonts w:ascii="Arial" w:hAnsi="Arial" w:eastAsia="楷体_GB2312" w:cs="Arial"/>
      <w:b/>
      <w:bCs/>
      <w:kern w:val="2"/>
      <w:sz w:val="24"/>
      <w:szCs w:val="28"/>
      <w:lang w:val="en-US" w:eastAsia="zh-CN" w:bidi="ar-SA"/>
    </w:rPr>
  </w:style>
  <w:style w:type="character" w:customStyle="1" w:styleId="436">
    <w:name w:val="Char Char3"/>
    <w:qFormat/>
    <w:uiPriority w:val="0"/>
    <w:rPr>
      <w:rFonts w:eastAsia="宋体"/>
      <w:kern w:val="2"/>
      <w:sz w:val="21"/>
      <w:szCs w:val="24"/>
      <w:lang w:val="en-US" w:eastAsia="zh-CN" w:bidi="ar-SA"/>
    </w:rPr>
  </w:style>
  <w:style w:type="character" w:customStyle="1" w:styleId="437">
    <w:name w:val="普通文字 Char Char"/>
    <w:qFormat/>
    <w:uiPriority w:val="0"/>
    <w:rPr>
      <w:rFonts w:ascii="宋体" w:hAnsi="Courier New" w:eastAsia="宋体"/>
      <w:kern w:val="2"/>
      <w:sz w:val="21"/>
      <w:lang w:val="en-US" w:eastAsia="zh-CN"/>
    </w:rPr>
  </w:style>
  <w:style w:type="character" w:customStyle="1" w:styleId="438">
    <w:name w:val="节 Char"/>
    <w:qFormat/>
    <w:uiPriority w:val="0"/>
    <w:rPr>
      <w:rFonts w:ascii="Arial" w:hAnsi="Arial" w:eastAsia="宋体"/>
      <w:b/>
      <w:spacing w:val="14"/>
      <w:kern w:val="24"/>
      <w:sz w:val="32"/>
      <w:lang w:val="en-US" w:eastAsia="zh-CN" w:bidi="ar-SA"/>
    </w:rPr>
  </w:style>
  <w:style w:type="character" w:customStyle="1" w:styleId="439">
    <w:name w:val="第三层条 Char"/>
    <w:qFormat/>
    <w:uiPriority w:val="0"/>
    <w:rPr>
      <w:rFonts w:ascii="Arial" w:hAnsi="Arial" w:eastAsia="黑体"/>
      <w:b/>
      <w:kern w:val="2"/>
      <w:sz w:val="28"/>
      <w:lang w:val="en-US" w:eastAsia="zh-CN" w:bidi="ar-SA"/>
    </w:rPr>
  </w:style>
  <w:style w:type="character" w:customStyle="1" w:styleId="440">
    <w:name w:val="font131"/>
    <w:basedOn w:val="81"/>
    <w:qFormat/>
    <w:uiPriority w:val="0"/>
    <w:rPr>
      <w:rFonts w:ascii="Calibri" w:hAnsi="Calibri" w:cs="Calibri"/>
      <w:color w:val="000000"/>
      <w:sz w:val="22"/>
      <w:szCs w:val="22"/>
      <w:u w:val="none"/>
    </w:rPr>
  </w:style>
  <w:style w:type="character" w:customStyle="1" w:styleId="441">
    <w:name w:val="point_normal1"/>
    <w:qFormat/>
    <w:uiPriority w:val="0"/>
    <w:rPr>
      <w:rFonts w:hint="default" w:ascii="Arial" w:hAnsi="Arial"/>
      <w:sz w:val="22"/>
    </w:rPr>
  </w:style>
  <w:style w:type="character" w:customStyle="1" w:styleId="442">
    <w:name w:val="styletemp1"/>
    <w:qFormat/>
    <w:uiPriority w:val="0"/>
    <w:rPr>
      <w:color w:val="282828"/>
      <w:spacing w:val="15"/>
      <w:sz w:val="18"/>
    </w:rPr>
  </w:style>
  <w:style w:type="character" w:customStyle="1" w:styleId="443">
    <w:name w:val="样式2 Char"/>
    <w:link w:val="145"/>
    <w:qFormat/>
    <w:uiPriority w:val="0"/>
    <w:rPr>
      <w:rFonts w:ascii="黑体" w:hAnsi="Calibri" w:eastAsia="黑体"/>
      <w:b/>
      <w:bCs/>
      <w:kern w:val="44"/>
      <w:sz w:val="32"/>
      <w:szCs w:val="32"/>
    </w:rPr>
  </w:style>
  <w:style w:type="character" w:customStyle="1" w:styleId="444">
    <w:name w:val="Body Text Indent Char"/>
    <w:qFormat/>
    <w:locked/>
    <w:uiPriority w:val="0"/>
    <w:rPr>
      <w:rFonts w:ascii="Times New Roman" w:hAnsi="Times New Roman"/>
      <w:sz w:val="24"/>
    </w:rPr>
  </w:style>
  <w:style w:type="character" w:customStyle="1" w:styleId="445">
    <w:name w:val="title-blue"/>
    <w:basedOn w:val="81"/>
    <w:qFormat/>
    <w:uiPriority w:val="0"/>
  </w:style>
  <w:style w:type="character" w:customStyle="1" w:styleId="446">
    <w:name w:val="标题 1 Char"/>
    <w:qFormat/>
    <w:uiPriority w:val="0"/>
    <w:rPr>
      <w:rFonts w:ascii="宋体" w:hAnsi="宋体"/>
      <w:b/>
      <w:bCs/>
      <w:kern w:val="44"/>
      <w:sz w:val="28"/>
      <w:szCs w:val="28"/>
    </w:rPr>
  </w:style>
  <w:style w:type="character" w:customStyle="1" w:styleId="447">
    <w:name w:val="font21"/>
    <w:basedOn w:val="81"/>
    <w:qFormat/>
    <w:uiPriority w:val="0"/>
    <w:rPr>
      <w:rFonts w:hint="default" w:ascii="Times New Roman" w:hAnsi="Times New Roman" w:cs="Times New Roman"/>
      <w:color w:val="000000"/>
      <w:sz w:val="22"/>
      <w:szCs w:val="22"/>
      <w:u w:val="none"/>
    </w:rPr>
  </w:style>
  <w:style w:type="character" w:customStyle="1" w:styleId="448">
    <w:name w:val="标准文本 Char Char"/>
    <w:link w:val="241"/>
    <w:qFormat/>
    <w:locked/>
    <w:uiPriority w:val="0"/>
    <w:rPr>
      <w:sz w:val="24"/>
      <w:lang w:bidi="ar-SA"/>
    </w:rPr>
  </w:style>
  <w:style w:type="character" w:customStyle="1" w:styleId="449">
    <w:name w:val="style91"/>
    <w:qFormat/>
    <w:uiPriority w:val="0"/>
    <w:rPr>
      <w:sz w:val="21"/>
      <w:szCs w:val="21"/>
    </w:rPr>
  </w:style>
  <w:style w:type="character" w:customStyle="1" w:styleId="450">
    <w:name w:val="HTML 预设格式 Char"/>
    <w:link w:val="73"/>
    <w:qFormat/>
    <w:uiPriority w:val="99"/>
    <w:rPr>
      <w:rFonts w:ascii="Courier New" w:hAnsi="Courier New" w:eastAsia="楷体_GB2312" w:cs="Courier New"/>
      <w:kern w:val="2"/>
    </w:rPr>
  </w:style>
  <w:style w:type="character" w:customStyle="1" w:styleId="451">
    <w:name w:val="HTML 预设格式 Char1"/>
    <w:semiHidden/>
    <w:qFormat/>
    <w:uiPriority w:val="99"/>
    <w:rPr>
      <w:rFonts w:ascii="Courier New" w:hAnsi="Courier New" w:cs="Courier New"/>
      <w:kern w:val="2"/>
    </w:rPr>
  </w:style>
  <w:style w:type="character" w:customStyle="1" w:styleId="452">
    <w:name w:val="标题 2字符"/>
    <w:qFormat/>
    <w:uiPriority w:val="0"/>
    <w:rPr>
      <w:b/>
      <w:kern w:val="2"/>
      <w:sz w:val="32"/>
    </w:rPr>
  </w:style>
  <w:style w:type="character" w:customStyle="1" w:styleId="453">
    <w:name w:val="正文2 Char"/>
    <w:link w:val="287"/>
    <w:qFormat/>
    <w:locked/>
    <w:uiPriority w:val="99"/>
    <w:rPr>
      <w:kern w:val="2"/>
      <w:sz w:val="24"/>
    </w:rPr>
  </w:style>
  <w:style w:type="character" w:customStyle="1" w:styleId="454">
    <w:name w:val="纯文本 Char"/>
    <w:link w:val="42"/>
    <w:qFormat/>
    <w:uiPriority w:val="99"/>
    <w:rPr>
      <w:rFonts w:ascii="宋体" w:hAnsi="Courier New"/>
      <w:kern w:val="2"/>
      <w:sz w:val="21"/>
    </w:rPr>
  </w:style>
  <w:style w:type="character" w:customStyle="1" w:styleId="455">
    <w:name w:val="main1"/>
    <w:qFormat/>
    <w:uiPriority w:val="0"/>
    <w:rPr>
      <w:rFonts w:hint="default" w:ascii="ˎ̥" w:hAnsi="ˎ̥"/>
      <w:sz w:val="21"/>
    </w:rPr>
  </w:style>
  <w:style w:type="character" w:customStyle="1" w:styleId="456">
    <w:name w:val="title14"/>
    <w:qFormat/>
    <w:uiPriority w:val="0"/>
  </w:style>
  <w:style w:type="character" w:customStyle="1" w:styleId="457">
    <w:name w:val="Heading 2 Char"/>
    <w:qFormat/>
    <w:locked/>
    <w:uiPriority w:val="0"/>
    <w:rPr>
      <w:rFonts w:ascii="Cambria" w:hAnsi="Cambria" w:eastAsia="黑体" w:cs="Times New Roman"/>
      <w:b/>
      <w:bCs/>
      <w:sz w:val="32"/>
      <w:szCs w:val="32"/>
    </w:rPr>
  </w:style>
  <w:style w:type="character" w:customStyle="1" w:styleId="458">
    <w:name w:val="title_sub_blue1"/>
    <w:qFormat/>
    <w:uiPriority w:val="0"/>
    <w:rPr>
      <w:rFonts w:hint="default" w:ascii="Arial" w:hAnsi="Arial" w:cs="Arial"/>
      <w:b/>
      <w:bCs/>
      <w:color w:val="16344F"/>
      <w:spacing w:val="0"/>
      <w:sz w:val="20"/>
      <w:szCs w:val="20"/>
      <w:u w:val="none"/>
    </w:rPr>
  </w:style>
  <w:style w:type="character" w:customStyle="1" w:styleId="459">
    <w:name w:val="ptb181"/>
    <w:qFormat/>
    <w:uiPriority w:val="0"/>
    <w:rPr>
      <w:rFonts w:ascii="Verdana" w:hAnsi="Verdana"/>
      <w:b/>
      <w:color w:val="000000"/>
      <w:sz w:val="27"/>
    </w:rPr>
  </w:style>
  <w:style w:type="character" w:customStyle="1" w:styleId="460">
    <w:name w:val="txt_cn_121"/>
    <w:qFormat/>
    <w:uiPriority w:val="0"/>
    <w:rPr>
      <w:rFonts w:hint="default" w:ascii="Arial" w:hAnsi="Arial" w:cs="Arial"/>
      <w:color w:val="666666"/>
      <w:sz w:val="18"/>
      <w:szCs w:val="18"/>
      <w:u w:val="none"/>
    </w:rPr>
  </w:style>
  <w:style w:type="character" w:customStyle="1" w:styleId="461">
    <w:name w:val="font31"/>
    <w:basedOn w:val="81"/>
    <w:qFormat/>
    <w:uiPriority w:val="0"/>
    <w:rPr>
      <w:rFonts w:hint="eastAsia" w:ascii="仿宋_GB2312" w:eastAsia="仿宋_GB2312"/>
      <w:color w:val="000000"/>
      <w:sz w:val="22"/>
      <w:szCs w:val="22"/>
      <w:u w:val="none"/>
    </w:rPr>
  </w:style>
  <w:style w:type="character" w:customStyle="1" w:styleId="462">
    <w:name w:val="标题 Char"/>
    <w:link w:val="76"/>
    <w:qFormat/>
    <w:uiPriority w:val="0"/>
    <w:rPr>
      <w:rFonts w:ascii="Arial" w:hAnsi="Arial" w:eastAsia="楷体_GB2312" w:cs="Arial"/>
      <w:b/>
      <w:bCs/>
      <w:kern w:val="2"/>
      <w:sz w:val="32"/>
      <w:szCs w:val="32"/>
      <w:lang w:val="en-US" w:eastAsia="zh-CN" w:bidi="ar-SA"/>
    </w:rPr>
  </w:style>
  <w:style w:type="character" w:customStyle="1" w:styleId="463">
    <w:name w:val="正文文本 Char"/>
    <w:link w:val="2"/>
    <w:qFormat/>
    <w:uiPriority w:val="0"/>
    <w:rPr>
      <w:rFonts w:ascii="宋体"/>
      <w:color w:val="FF0000"/>
      <w:sz w:val="24"/>
    </w:rPr>
  </w:style>
  <w:style w:type="character" w:customStyle="1" w:styleId="464">
    <w:name w:val="标题 3 Char1"/>
    <w:link w:val="5"/>
    <w:qFormat/>
    <w:uiPriority w:val="0"/>
    <w:rPr>
      <w:rFonts w:ascii="Arial" w:hAnsi="宋体"/>
      <w:b/>
      <w:kern w:val="2"/>
      <w:sz w:val="28"/>
    </w:rPr>
  </w:style>
  <w:style w:type="character" w:customStyle="1" w:styleId="465">
    <w:name w:val="标题 4 Char Char Char"/>
    <w:qFormat/>
    <w:uiPriority w:val="0"/>
    <w:rPr>
      <w:rFonts w:ascii="Arial" w:hAnsi="Arial" w:eastAsia="黑体"/>
      <w:b/>
      <w:bCs/>
      <w:kern w:val="2"/>
      <w:sz w:val="28"/>
      <w:szCs w:val="28"/>
      <w:lang w:val="en-US" w:eastAsia="zh-CN" w:bidi="ar-SA"/>
    </w:rPr>
  </w:style>
  <w:style w:type="character" w:customStyle="1" w:styleId="466">
    <w:name w:val="自定义正文 Char"/>
    <w:link w:val="233"/>
    <w:qFormat/>
    <w:locked/>
    <w:uiPriority w:val="0"/>
    <w:rPr>
      <w:rFonts w:ascii="仿宋_GB2312" w:eastAsia="仿宋_GB2312"/>
      <w:sz w:val="24"/>
      <w:lang w:bidi="ar-SA"/>
    </w:rPr>
  </w:style>
  <w:style w:type="character" w:customStyle="1" w:styleId="467">
    <w:name w:val=" Char Char7"/>
    <w:qFormat/>
    <w:uiPriority w:val="0"/>
    <w:rPr>
      <w:rFonts w:ascii="Times New Roman" w:hAnsi="Times New Roman"/>
      <w:kern w:val="2"/>
      <w:sz w:val="24"/>
      <w:szCs w:val="24"/>
    </w:rPr>
  </w:style>
  <w:style w:type="character" w:customStyle="1" w:styleId="468">
    <w:name w:val="正文缩进1 Char"/>
    <w:qFormat/>
    <w:uiPriority w:val="0"/>
    <w:rPr>
      <w:rFonts w:eastAsia="宋体"/>
      <w:kern w:val="2"/>
      <w:sz w:val="21"/>
      <w:lang w:val="en-US" w:eastAsia="zh-CN"/>
    </w:rPr>
  </w:style>
  <w:style w:type="character" w:customStyle="1" w:styleId="469">
    <w:name w:val=" Char Char13"/>
    <w:qFormat/>
    <w:uiPriority w:val="0"/>
    <w:rPr>
      <w:rFonts w:ascii="Arial" w:hAnsi="Arial" w:eastAsia="仿宋_GB2312"/>
      <w:b/>
      <w:bCs/>
      <w:kern w:val="2"/>
      <w:sz w:val="28"/>
      <w:szCs w:val="32"/>
    </w:rPr>
  </w:style>
  <w:style w:type="character" w:customStyle="1" w:styleId="470">
    <w:name w:val="正文文本缩进 3 Char"/>
    <w:link w:val="65"/>
    <w:qFormat/>
    <w:uiPriority w:val="0"/>
    <w:rPr>
      <w:rFonts w:ascii="Arial" w:hAnsi="Arial"/>
      <w:color w:val="FF0000"/>
      <w:kern w:val="2"/>
      <w:sz w:val="24"/>
    </w:rPr>
  </w:style>
  <w:style w:type="character" w:customStyle="1" w:styleId="471">
    <w:name w:val=" Char Char24"/>
    <w:qFormat/>
    <w:uiPriority w:val="0"/>
    <w:rPr>
      <w:rFonts w:ascii="Arial" w:hAnsi="宋体"/>
      <w:b/>
      <w:kern w:val="2"/>
      <w:sz w:val="28"/>
    </w:rPr>
  </w:style>
  <w:style w:type="character" w:customStyle="1" w:styleId="472">
    <w:name w:val="文章标题 3 Char Char Char"/>
    <w:link w:val="247"/>
    <w:qFormat/>
    <w:uiPriority w:val="0"/>
    <w:rPr>
      <w:rFonts w:ascii="Arial" w:hAnsi="Arial" w:eastAsia="黑体"/>
      <w:kern w:val="2"/>
      <w:sz w:val="28"/>
      <w:lang w:val="en-US" w:eastAsia="zh-CN"/>
    </w:rPr>
  </w:style>
  <w:style w:type="character" w:customStyle="1" w:styleId="473">
    <w:name w:val="font01"/>
    <w:basedOn w:val="81"/>
    <w:qFormat/>
    <w:uiPriority w:val="0"/>
    <w:rPr>
      <w:rFonts w:hint="default" w:ascii="Times New Roman" w:hAnsi="Times New Roman" w:cs="Times New Roman"/>
      <w:color w:val="000000"/>
      <w:sz w:val="21"/>
      <w:szCs w:val="21"/>
      <w:u w:val="none"/>
    </w:rPr>
  </w:style>
  <w:style w:type="character" w:customStyle="1" w:styleId="474">
    <w:name w:val="H5 Char"/>
    <w:qFormat/>
    <w:uiPriority w:val="0"/>
    <w:rPr>
      <w:rFonts w:ascii="宋体" w:eastAsia="宋体"/>
      <w:b/>
      <w:color w:val="FF0000"/>
      <w:kern w:val="2"/>
      <w:sz w:val="24"/>
      <w:lang w:val="en-US" w:eastAsia="zh-CN"/>
    </w:rPr>
  </w:style>
  <w:style w:type="character" w:customStyle="1" w:styleId="475">
    <w:name w:val="TITRE1 Char"/>
    <w:qFormat/>
    <w:uiPriority w:val="0"/>
    <w:rPr>
      <w:rFonts w:eastAsia="宋体"/>
      <w:b/>
      <w:bCs/>
      <w:kern w:val="44"/>
      <w:sz w:val="44"/>
      <w:szCs w:val="44"/>
      <w:lang w:val="en-US" w:eastAsia="zh-CN" w:bidi="ar-SA"/>
    </w:rPr>
  </w:style>
  <w:style w:type="character" w:customStyle="1" w:styleId="476">
    <w:name w:val="正文首行缩进 Char Char Char Char Char Char Char Char Char Char Char Char Char Char Char Char Char Char Char Char Char Char1"/>
    <w:qFormat/>
    <w:uiPriority w:val="0"/>
    <w:rPr>
      <w:rFonts w:eastAsia="宋体"/>
      <w:kern w:val="2"/>
      <w:sz w:val="24"/>
      <w:lang w:val="en-US" w:eastAsia="zh-CN"/>
    </w:rPr>
  </w:style>
  <w:style w:type="character" w:customStyle="1" w:styleId="477">
    <w:name w:val="font3"/>
    <w:basedOn w:val="81"/>
    <w:qFormat/>
    <w:uiPriority w:val="0"/>
  </w:style>
  <w:style w:type="character" w:customStyle="1" w:styleId="478">
    <w:name w:val="Heading 4 Char"/>
    <w:qFormat/>
    <w:locked/>
    <w:uiPriority w:val="0"/>
    <w:rPr>
      <w:rFonts w:ascii="Cambria" w:hAnsi="Cambria" w:eastAsia="黑体" w:cs="Times New Roman"/>
      <w:b/>
      <w:bCs/>
      <w:sz w:val="28"/>
      <w:szCs w:val="28"/>
    </w:rPr>
  </w:style>
  <w:style w:type="character" w:customStyle="1" w:styleId="479">
    <w:name w:val="tx1"/>
    <w:qFormat/>
    <w:uiPriority w:val="0"/>
    <w:rPr>
      <w:b/>
    </w:rPr>
  </w:style>
  <w:style w:type="character" w:customStyle="1" w:styleId="480">
    <w:name w:val="标书正文:  0.74 厘米 Char"/>
    <w:link w:val="223"/>
    <w:qFormat/>
    <w:uiPriority w:val="0"/>
    <w:rPr>
      <w:rFonts w:eastAsia="宋体"/>
      <w:kern w:val="2"/>
      <w:sz w:val="24"/>
      <w:lang w:val="en-US" w:eastAsia="zh-CN" w:bidi="ar-SA"/>
    </w:rPr>
  </w:style>
  <w:style w:type="character" w:customStyle="1" w:styleId="481">
    <w:name w:val="标题 1 Char Char"/>
    <w:qFormat/>
    <w:uiPriority w:val="0"/>
    <w:rPr>
      <w:rFonts w:eastAsia="宋体"/>
      <w:b/>
      <w:spacing w:val="-2"/>
      <w:sz w:val="24"/>
      <w:lang w:val="en-US" w:eastAsia="zh-CN" w:bidi="ar-SA"/>
    </w:rPr>
  </w:style>
  <w:style w:type="character" w:customStyle="1" w:styleId="482">
    <w:name w:val="标题 2 Char"/>
    <w:link w:val="4"/>
    <w:qFormat/>
    <w:uiPriority w:val="0"/>
    <w:rPr>
      <w:b/>
      <w:kern w:val="2"/>
      <w:sz w:val="32"/>
    </w:rPr>
  </w:style>
  <w:style w:type="character" w:customStyle="1" w:styleId="483">
    <w:name w:val="title_emph1"/>
    <w:qFormat/>
    <w:uiPriority w:val="0"/>
    <w:rPr>
      <w:rFonts w:hint="default" w:ascii="Arial" w:hAnsi="Arial"/>
      <w:b/>
      <w:sz w:val="18"/>
    </w:rPr>
  </w:style>
  <w:style w:type="character" w:customStyle="1" w:styleId="484">
    <w:name w:val="标题 1 Char1"/>
    <w:link w:val="3"/>
    <w:qFormat/>
    <w:uiPriority w:val="0"/>
    <w:rPr>
      <w:rFonts w:ascii="宋体"/>
      <w:color w:val="000000"/>
      <w:sz w:val="36"/>
    </w:rPr>
  </w:style>
  <w:style w:type="character" w:customStyle="1" w:styleId="485">
    <w:name w:val="Heading 1 Char"/>
    <w:qFormat/>
    <w:locked/>
    <w:uiPriority w:val="0"/>
    <w:rPr>
      <w:rFonts w:ascii="Times New Roman" w:hAnsi="Times New Roman" w:eastAsia="宋体" w:cs="Times New Roman"/>
      <w:b/>
      <w:bCs/>
      <w:kern w:val="44"/>
      <w:sz w:val="44"/>
      <w:szCs w:val="44"/>
    </w:rPr>
  </w:style>
  <w:style w:type="character" w:customStyle="1" w:styleId="486">
    <w:name w:val="textfont1"/>
    <w:qFormat/>
    <w:uiPriority w:val="0"/>
    <w:rPr>
      <w:spacing w:val="31680"/>
      <w:sz w:val="26"/>
    </w:rPr>
  </w:style>
  <w:style w:type="character" w:customStyle="1" w:styleId="487">
    <w:name w:val="font101"/>
    <w:basedOn w:val="81"/>
    <w:qFormat/>
    <w:uiPriority w:val="0"/>
    <w:rPr>
      <w:rFonts w:hint="default" w:ascii="Arial" w:hAnsi="Arial" w:cs="Arial"/>
      <w:color w:val="000000"/>
      <w:sz w:val="22"/>
      <w:szCs w:val="22"/>
      <w:u w:val="none"/>
    </w:rPr>
  </w:style>
  <w:style w:type="character" w:customStyle="1" w:styleId="488">
    <w:name w:val="Normal Indent Char"/>
    <w:qFormat/>
    <w:locked/>
    <w:uiPriority w:val="0"/>
    <w:rPr>
      <w:rFonts w:ascii="Times New Roman" w:hAnsi="Times New Roman"/>
    </w:rPr>
  </w:style>
  <w:style w:type="character" w:customStyle="1" w:styleId="489">
    <w:name w:val="pi1"/>
    <w:qFormat/>
    <w:uiPriority w:val="0"/>
    <w:rPr>
      <w:color w:val="0000FF"/>
    </w:rPr>
  </w:style>
  <w:style w:type="character" w:customStyle="1" w:styleId="490">
    <w:name w:val="b titlename wangputoptitle"/>
    <w:qFormat/>
    <w:uiPriority w:val="0"/>
  </w:style>
  <w:style w:type="character" w:customStyle="1" w:styleId="491">
    <w:name w:val="正文缩进4"/>
    <w:qFormat/>
    <w:uiPriority w:val="0"/>
    <w:rPr>
      <w:rFonts w:eastAsia="宋体"/>
      <w:sz w:val="24"/>
      <w:lang w:val="en-US" w:eastAsia="zh-CN"/>
    </w:rPr>
  </w:style>
  <w:style w:type="character" w:customStyle="1" w:styleId="492">
    <w:name w:val="样式5 Char"/>
    <w:link w:val="244"/>
    <w:qFormat/>
    <w:uiPriority w:val="0"/>
    <w:rPr>
      <w:rFonts w:ascii="宋体" w:hAnsi="宋体" w:eastAsia="宋体"/>
      <w:b/>
      <w:bCs/>
      <w:color w:val="000000"/>
      <w:kern w:val="44"/>
      <w:sz w:val="28"/>
      <w:szCs w:val="32"/>
      <w:lang w:val="en-US" w:eastAsia="zh-CN" w:bidi="ar-SA"/>
    </w:rPr>
  </w:style>
  <w:style w:type="character" w:customStyle="1" w:styleId="493">
    <w:name w:val="Date Char"/>
    <w:qFormat/>
    <w:locked/>
    <w:uiPriority w:val="0"/>
    <w:rPr>
      <w:rFonts w:ascii="楷体_GB2312" w:eastAsia="楷体_GB2312" w:cs="Times New Roman"/>
      <w:sz w:val="32"/>
    </w:rPr>
  </w:style>
  <w:style w:type="character" w:customStyle="1" w:styleId="494">
    <w:name w:val="Header Char"/>
    <w:qFormat/>
    <w:locked/>
    <w:uiPriority w:val="0"/>
    <w:rPr>
      <w:rFonts w:cs="Times New Roman"/>
      <w:sz w:val="18"/>
      <w:szCs w:val="18"/>
    </w:rPr>
  </w:style>
  <w:style w:type="character" w:customStyle="1" w:styleId="495">
    <w:name w:val="unnamed51"/>
    <w:qFormat/>
    <w:uiPriority w:val="0"/>
    <w:rPr>
      <w:sz w:val="22"/>
      <w:szCs w:val="22"/>
    </w:rPr>
  </w:style>
  <w:style w:type="character" w:customStyle="1" w:styleId="496">
    <w:name w:val="H6 Char"/>
    <w:qFormat/>
    <w:uiPriority w:val="0"/>
    <w:rPr>
      <w:rFonts w:ascii="Arial" w:hAnsi="Arial" w:eastAsia="黑体"/>
      <w:b/>
      <w:kern w:val="2"/>
      <w:sz w:val="24"/>
      <w:lang w:val="en-US" w:eastAsia="zh-CN" w:bidi="ar-SA"/>
    </w:rPr>
  </w:style>
  <w:style w:type="character" w:customStyle="1" w:styleId="497">
    <w:name w:val="正文缩进 Char"/>
    <w:link w:val="20"/>
    <w:qFormat/>
    <w:uiPriority w:val="0"/>
    <w:rPr>
      <w:rFonts w:eastAsia="宋体"/>
      <w:kern w:val="2"/>
      <w:sz w:val="21"/>
      <w:lang w:val="en-US" w:eastAsia="zh-CN"/>
    </w:rPr>
  </w:style>
  <w:style w:type="character" w:customStyle="1" w:styleId="498">
    <w:name w:val="font122"/>
    <w:basedOn w:val="81"/>
    <w:qFormat/>
    <w:uiPriority w:val="0"/>
    <w:rPr>
      <w:rFonts w:hint="eastAsia" w:ascii="宋体" w:hAnsi="宋体" w:eastAsia="宋体" w:cs="宋体"/>
      <w:color w:val="000000"/>
      <w:sz w:val="22"/>
      <w:szCs w:val="22"/>
      <w:u w:val="none"/>
    </w:rPr>
  </w:style>
  <w:style w:type="character" w:customStyle="1" w:styleId="499">
    <w:name w:val="sony121"/>
    <w:qFormat/>
    <w:uiPriority w:val="0"/>
    <w:rPr>
      <w:rFonts w:hint="eastAsia" w:ascii="宋体" w:hAnsi="宋体" w:eastAsia="宋体"/>
      <w:sz w:val="18"/>
      <w:szCs w:val="18"/>
    </w:rPr>
  </w:style>
  <w:style w:type="character" w:customStyle="1" w:styleId="500">
    <w:name w:val="t1"/>
    <w:qFormat/>
    <w:uiPriority w:val="0"/>
    <w:rPr>
      <w:color w:val="990000"/>
    </w:rPr>
  </w:style>
  <w:style w:type="character" w:customStyle="1" w:styleId="501">
    <w:name w:val="文档结构图 Char"/>
    <w:link w:val="25"/>
    <w:qFormat/>
    <w:uiPriority w:val="0"/>
    <w:rPr>
      <w:kern w:val="2"/>
      <w:sz w:val="24"/>
      <w:shd w:val="clear" w:color="auto" w:fill="000080"/>
    </w:rPr>
  </w:style>
  <w:style w:type="character" w:customStyle="1" w:styleId="502">
    <w:name w:val=" Char Char11"/>
    <w:qFormat/>
    <w:uiPriority w:val="0"/>
    <w:rPr>
      <w:sz w:val="18"/>
      <w:szCs w:val="18"/>
    </w:rPr>
  </w:style>
  <w:style w:type="character" w:customStyle="1" w:styleId="503">
    <w:name w:val="NormalCharacter"/>
    <w:semiHidden/>
    <w:qFormat/>
    <w:uiPriority w:val="0"/>
  </w:style>
  <w:style w:type="character" w:customStyle="1" w:styleId="504">
    <w:name w:val="highlight1"/>
    <w:qFormat/>
    <w:uiPriority w:val="0"/>
    <w:rPr>
      <w:sz w:val="21"/>
    </w:rPr>
  </w:style>
  <w:style w:type="character" w:customStyle="1" w:styleId="505">
    <w:name w:val="抬头 Char"/>
    <w:qFormat/>
    <w:uiPriority w:val="0"/>
    <w:rPr>
      <w:rFonts w:eastAsia="宋体"/>
      <w:sz w:val="30"/>
      <w:szCs w:val="30"/>
      <w:lang w:val="en-US" w:eastAsia="zh-CN" w:bidi="ar-SA"/>
    </w:rPr>
  </w:style>
  <w:style w:type="character" w:customStyle="1" w:styleId="506">
    <w:name w:val="样式1 Char"/>
    <w:link w:val="211"/>
    <w:qFormat/>
    <w:uiPriority w:val="0"/>
    <w:rPr>
      <w:rFonts w:ascii="宋体" w:hAnsi="宋体" w:eastAsia="宋体"/>
      <w:b/>
      <w:bCs/>
      <w:kern w:val="2"/>
      <w:sz w:val="44"/>
      <w:szCs w:val="24"/>
      <w:lang w:val="en-US" w:eastAsia="zh-CN" w:bidi="ar-SA"/>
    </w:rPr>
  </w:style>
  <w:style w:type="character" w:customStyle="1" w:styleId="507">
    <w:name w:val="标段 Char"/>
    <w:qFormat/>
    <w:uiPriority w:val="0"/>
    <w:rPr>
      <w:rFonts w:ascii="宋体" w:hAnsi="宋体" w:eastAsia="宋体"/>
      <w:sz w:val="24"/>
      <w:szCs w:val="21"/>
      <w:u w:val="thick"/>
      <w:lang w:val="en-US" w:eastAsia="zh-CN" w:bidi="ar-SA"/>
    </w:rPr>
  </w:style>
  <w:style w:type="character" w:customStyle="1" w:styleId="508">
    <w:name w:val="普通(网站) Char"/>
    <w:link w:val="74"/>
    <w:qFormat/>
    <w:uiPriority w:val="0"/>
    <w:rPr>
      <w:rFonts w:ascii="宋体" w:hAnsi="宋体"/>
      <w:sz w:val="22"/>
    </w:rPr>
  </w:style>
  <w:style w:type="character" w:customStyle="1" w:styleId="509">
    <w:name w:val="正文文本缩进字符"/>
    <w:qFormat/>
    <w:uiPriority w:val="0"/>
    <w:rPr>
      <w:rFonts w:ascii="宋体"/>
      <w:kern w:val="2"/>
      <w:sz w:val="24"/>
    </w:rPr>
  </w:style>
  <w:style w:type="character" w:customStyle="1" w:styleId="510">
    <w:name w:val="标题 4 Char Char"/>
    <w:qFormat/>
    <w:uiPriority w:val="0"/>
    <w:rPr>
      <w:rFonts w:ascii="Arial" w:hAnsi="Arial" w:eastAsia="黑体"/>
      <w:b/>
      <w:kern w:val="2"/>
      <w:sz w:val="28"/>
      <w:lang w:val="en-US" w:eastAsia="zh-CN"/>
    </w:rPr>
  </w:style>
  <w:style w:type="character" w:customStyle="1" w:styleId="511">
    <w:name w:val=" Char Char14"/>
    <w:qFormat/>
    <w:uiPriority w:val="0"/>
    <w:rPr>
      <w:rFonts w:ascii="Times New Roman" w:hAnsi="Times New Roman" w:eastAsia="仿宋_GB2312"/>
      <w:b/>
      <w:bCs/>
      <w:kern w:val="44"/>
      <w:sz w:val="30"/>
      <w:szCs w:val="44"/>
    </w:rPr>
  </w:style>
  <w:style w:type="character" w:customStyle="1" w:styleId="512">
    <w:name w:val="Char Char1"/>
    <w:qFormat/>
    <w:uiPriority w:val="0"/>
    <w:rPr>
      <w:kern w:val="2"/>
      <w:sz w:val="21"/>
      <w:szCs w:val="24"/>
    </w:rPr>
  </w:style>
  <w:style w:type="character" w:customStyle="1" w:styleId="513">
    <w:name w:val="font51"/>
    <w:basedOn w:val="81"/>
    <w:qFormat/>
    <w:uiPriority w:val="0"/>
    <w:rPr>
      <w:rFonts w:hint="eastAsia" w:ascii="宋体" w:hAnsi="宋体" w:eastAsia="宋体" w:cs="宋体"/>
      <w:b/>
      <w:color w:val="000000"/>
      <w:sz w:val="24"/>
      <w:szCs w:val="24"/>
      <w:u w:val="none"/>
    </w:rPr>
  </w:style>
  <w:style w:type="character" w:customStyle="1" w:styleId="514">
    <w:name w:val="ask-title2"/>
    <w:basedOn w:val="81"/>
    <w:qFormat/>
    <w:uiPriority w:val="0"/>
  </w:style>
  <w:style w:type="character" w:customStyle="1" w:styleId="515">
    <w:name w:val="页眉 Char"/>
    <w:link w:val="52"/>
    <w:qFormat/>
    <w:uiPriority w:val="99"/>
    <w:rPr>
      <w:sz w:val="18"/>
    </w:rPr>
  </w:style>
  <w:style w:type="character" w:customStyle="1" w:styleId="516">
    <w:name w:val="首行缩进:  2 字符 Char Char"/>
    <w:link w:val="246"/>
    <w:qFormat/>
    <w:uiPriority w:val="0"/>
    <w:rPr>
      <w:rFonts w:eastAsia="仿宋_GB2312" w:cs="宋体"/>
      <w:sz w:val="24"/>
      <w:lang w:val="en-US" w:eastAsia="zh-CN" w:bidi="ar-SA"/>
    </w:rPr>
  </w:style>
  <w:style w:type="character" w:customStyle="1" w:styleId="517">
    <w:name w:val="日期 Char"/>
    <w:link w:val="46"/>
    <w:qFormat/>
    <w:uiPriority w:val="99"/>
    <w:rPr>
      <w:rFonts w:ascii="楷体_GB2312" w:eastAsia="楷体_GB2312"/>
      <w:sz w:val="32"/>
    </w:rPr>
  </w:style>
  <w:style w:type="character" w:customStyle="1" w:styleId="518">
    <w:name w:val="ns1"/>
    <w:qFormat/>
    <w:uiPriority w:val="0"/>
    <w:rPr>
      <w:color w:val="FF0000"/>
    </w:rPr>
  </w:style>
  <w:style w:type="character" w:customStyle="1" w:styleId="519">
    <w:name w:val="m1"/>
    <w:qFormat/>
    <w:uiPriority w:val="0"/>
    <w:rPr>
      <w:color w:val="0000FF"/>
    </w:rPr>
  </w:style>
  <w:style w:type="character" w:customStyle="1" w:styleId="520">
    <w:name w:val="标题 7 Char"/>
    <w:link w:val="10"/>
    <w:qFormat/>
    <w:uiPriority w:val="0"/>
    <w:rPr>
      <w:rFonts w:eastAsia="宋体"/>
      <w:b/>
      <w:kern w:val="2"/>
      <w:sz w:val="24"/>
      <w:lang w:val="en-US" w:eastAsia="zh-CN" w:bidi="ar-SA"/>
    </w:rPr>
  </w:style>
  <w:style w:type="character" w:customStyle="1" w:styleId="521">
    <w:name w:val=" Char Char8"/>
    <w:qFormat/>
    <w:uiPriority w:val="0"/>
    <w:rPr>
      <w:rFonts w:ascii="Times New Roman" w:hAnsi="Times New Roman"/>
      <w:kern w:val="2"/>
      <w:sz w:val="24"/>
      <w:szCs w:val="21"/>
    </w:rPr>
  </w:style>
  <w:style w:type="character" w:customStyle="1" w:styleId="522">
    <w:name w:val="正文文本样式 Char"/>
    <w:link w:val="147"/>
    <w:qFormat/>
    <w:uiPriority w:val="0"/>
    <w:rPr>
      <w:rFonts w:ascii="Arial" w:hAnsi="Arial"/>
      <w:kern w:val="2"/>
      <w:sz w:val="24"/>
      <w:szCs w:val="22"/>
      <w:lang w:val="en-US" w:eastAsia="zh-CN" w:bidi="ar-SA"/>
    </w:rPr>
  </w:style>
  <w:style w:type="character" w:customStyle="1" w:styleId="523">
    <w:name w:val="页脚 Char"/>
    <w:link w:val="50"/>
    <w:qFormat/>
    <w:uiPriority w:val="99"/>
    <w:rPr>
      <w:kern w:val="2"/>
      <w:sz w:val="18"/>
    </w:rPr>
  </w:style>
  <w:style w:type="character" w:customStyle="1" w:styleId="524">
    <w:name w:val="标题 8 Char"/>
    <w:link w:val="11"/>
    <w:qFormat/>
    <w:uiPriority w:val="0"/>
    <w:rPr>
      <w:rFonts w:ascii="Arial" w:hAnsi="Arial" w:eastAsia="黑体"/>
      <w:kern w:val="2"/>
      <w:sz w:val="24"/>
      <w:lang w:val="en-US" w:eastAsia="zh-CN" w:bidi="ar-SA"/>
    </w:rPr>
  </w:style>
  <w:style w:type="character" w:customStyle="1" w:styleId="525">
    <w:name w:val="标题 6 Char"/>
    <w:link w:val="9"/>
    <w:qFormat/>
    <w:uiPriority w:val="0"/>
    <w:rPr>
      <w:rFonts w:ascii="Arial" w:hAnsi="Arial" w:eastAsia="黑体"/>
      <w:kern w:val="2"/>
      <w:sz w:val="24"/>
    </w:rPr>
  </w:style>
  <w:style w:type="character" w:customStyle="1" w:styleId="526">
    <w:name w:val="正文文本缩进 2 Char"/>
    <w:link w:val="47"/>
    <w:qFormat/>
    <w:uiPriority w:val="0"/>
    <w:rPr>
      <w:rFonts w:ascii="Arial" w:hAnsi="Arial" w:eastAsia="LineDraw"/>
      <w:kern w:val="2"/>
      <w:sz w:val="24"/>
    </w:rPr>
  </w:style>
  <w:style w:type="character" w:customStyle="1" w:styleId="527">
    <w:name w:val="标题一 Char"/>
    <w:qFormat/>
    <w:uiPriority w:val="0"/>
    <w:rPr>
      <w:rFonts w:ascii="宋体" w:hAnsi="宋体" w:eastAsia="宋体"/>
      <w:b/>
      <w:sz w:val="28"/>
      <w:szCs w:val="21"/>
      <w:lang w:val="en-US" w:eastAsia="zh-CN" w:bidi="ar-SA"/>
    </w:rPr>
  </w:style>
  <w:style w:type="character" w:customStyle="1" w:styleId="528">
    <w:name w:val="题注 Char"/>
    <w:link w:val="21"/>
    <w:qFormat/>
    <w:uiPriority w:val="0"/>
    <w:rPr>
      <w:rFonts w:ascii="Arial" w:hAnsi="Arial" w:eastAsia="黑体"/>
      <w:spacing w:val="10"/>
      <w:kern w:val="2"/>
    </w:rPr>
  </w:style>
  <w:style w:type="character" w:customStyle="1" w:styleId="529">
    <w:name w:val="正文首行缩进 Char"/>
    <w:link w:val="78"/>
    <w:qFormat/>
    <w:uiPriority w:val="0"/>
    <w:rPr>
      <w:kern w:val="2"/>
      <w:sz w:val="24"/>
    </w:rPr>
  </w:style>
  <w:style w:type="character" w:customStyle="1" w:styleId="530">
    <w:name w:val="标题 4 Char"/>
    <w:link w:val="6"/>
    <w:qFormat/>
    <w:uiPriority w:val="0"/>
    <w:rPr>
      <w:b/>
      <w:kern w:val="2"/>
      <w:sz w:val="28"/>
    </w:rPr>
  </w:style>
  <w:style w:type="character" w:customStyle="1" w:styleId="531">
    <w:name w:val="标题 5 Char"/>
    <w:link w:val="7"/>
    <w:qFormat/>
    <w:uiPriority w:val="0"/>
    <w:rPr>
      <w:b/>
      <w:kern w:val="2"/>
      <w:sz w:val="24"/>
    </w:rPr>
  </w:style>
  <w:style w:type="character" w:customStyle="1" w:styleId="532">
    <w:name w:val="批注文字 Char"/>
    <w:link w:val="27"/>
    <w:qFormat/>
    <w:uiPriority w:val="0"/>
    <w:rPr>
      <w:kern w:val="2"/>
      <w:sz w:val="24"/>
    </w:rPr>
  </w:style>
  <w:style w:type="character" w:customStyle="1" w:styleId="533">
    <w:name w:val="批注框文本 Char"/>
    <w:link w:val="49"/>
    <w:semiHidden/>
    <w:qFormat/>
    <w:uiPriority w:val="99"/>
    <w:rPr>
      <w:rFonts w:ascii="宋体" w:eastAsia="宋体"/>
      <w:color w:val="FF0000"/>
      <w:kern w:val="2"/>
      <w:sz w:val="24"/>
      <w:lang w:val="en-US" w:eastAsia="zh-CN" w:bidi="ar-SA"/>
    </w:rPr>
  </w:style>
  <w:style w:type="character" w:customStyle="1" w:styleId="534">
    <w:name w:val="特点标题 Char"/>
    <w:qFormat/>
    <w:uiPriority w:val="0"/>
    <w:rPr>
      <w:rFonts w:ascii="宋体"/>
      <w:kern w:val="2"/>
      <w:sz w:val="24"/>
    </w:rPr>
  </w:style>
  <w:style w:type="character" w:customStyle="1" w:styleId="535">
    <w:name w:val=" Char Char Char Char Char Char Char Char Char"/>
    <w:link w:val="251"/>
    <w:qFormat/>
    <w:uiPriority w:val="0"/>
    <w:rPr>
      <w:rFonts w:ascii="宋体" w:eastAsia="宋体"/>
      <w:color w:val="FF0000"/>
      <w:sz w:val="24"/>
      <w:lang w:val="en-US" w:eastAsia="zh-CN"/>
    </w:rPr>
  </w:style>
  <w:style w:type="character" w:customStyle="1" w:styleId="536">
    <w:name w:val="标题 3 Char"/>
    <w:qFormat/>
    <w:uiPriority w:val="0"/>
    <w:rPr>
      <w:rFonts w:hint="eastAsia" w:ascii="宋体" w:hAnsi="宋体" w:eastAsia="宋体"/>
      <w:b/>
      <w:bCs/>
      <w:kern w:val="2"/>
      <w:sz w:val="21"/>
      <w:szCs w:val="32"/>
      <w:lang w:val="en-US" w:eastAsia="zh-CN" w:bidi="ar-SA"/>
    </w:rPr>
  </w:style>
  <w:style w:type="character" w:customStyle="1" w:styleId="537">
    <w:name w:val="p12"/>
    <w:basedOn w:val="81"/>
    <w:qFormat/>
    <w:uiPriority w:val="0"/>
  </w:style>
  <w:style w:type="character" w:customStyle="1" w:styleId="538">
    <w:name w:val="Heading 3 Char"/>
    <w:qFormat/>
    <w:locked/>
    <w:uiPriority w:val="0"/>
    <w:rPr>
      <w:rFonts w:ascii="Times New Roman" w:hAnsi="Times New Roman" w:eastAsia="黑体" w:cs="Times New Roman"/>
      <w:b/>
      <w:bCs/>
      <w:sz w:val="32"/>
      <w:szCs w:val="32"/>
    </w:rPr>
  </w:style>
  <w:style w:type="character" w:customStyle="1" w:styleId="539">
    <w:name w:val="text_121"/>
    <w:qFormat/>
    <w:uiPriority w:val="0"/>
    <w:rPr>
      <w:rFonts w:hint="default" w:ascii="sө_x0002_" w:hAnsi="sө_x0002_"/>
      <w:color w:val="000000"/>
      <w:sz w:val="15"/>
      <w:szCs w:val="15"/>
    </w:rPr>
  </w:style>
  <w:style w:type="character" w:customStyle="1" w:styleId="540">
    <w:name w:val="正文样式 Char"/>
    <w:link w:val="318"/>
    <w:qFormat/>
    <w:uiPriority w:val="0"/>
    <w:rPr>
      <w:rFonts w:eastAsia="宋体" w:cs="宋体"/>
      <w:kern w:val="2"/>
      <w:sz w:val="21"/>
      <w:lang w:val="en-US" w:eastAsia="zh-CN" w:bidi="ar-SA"/>
    </w:rPr>
  </w:style>
  <w:style w:type="character" w:customStyle="1" w:styleId="541">
    <w:name w:val=" Char Char12"/>
    <w:qFormat/>
    <w:uiPriority w:val="0"/>
    <w:rPr>
      <w:sz w:val="18"/>
      <w:szCs w:val="18"/>
    </w:rPr>
  </w:style>
  <w:style w:type="character" w:customStyle="1" w:styleId="542">
    <w:name w:val="font111"/>
    <w:basedOn w:val="81"/>
    <w:qFormat/>
    <w:uiPriority w:val="0"/>
    <w:rPr>
      <w:rFonts w:hint="eastAsia" w:ascii="黑体" w:hAnsi="宋体" w:eastAsia="黑体" w:cs="黑体"/>
      <w:color w:val="000000"/>
      <w:sz w:val="22"/>
      <w:szCs w:val="22"/>
      <w:u w:val="none"/>
    </w:rPr>
  </w:style>
  <w:style w:type="character" w:customStyle="1" w:styleId="543">
    <w:name w:val="font151"/>
    <w:basedOn w:val="81"/>
    <w:qFormat/>
    <w:uiPriority w:val="0"/>
    <w:rPr>
      <w:rFonts w:hint="default" w:ascii="Calibri" w:hAnsi="Calibri" w:cs="Calibri"/>
      <w:color w:val="000000"/>
      <w:sz w:val="22"/>
      <w:szCs w:val="22"/>
      <w:u w:val="none"/>
    </w:rPr>
  </w:style>
  <w:style w:type="character" w:customStyle="1" w:styleId="544">
    <w:name w:val="font141"/>
    <w:basedOn w:val="81"/>
    <w:qFormat/>
    <w:uiPriority w:val="0"/>
    <w:rPr>
      <w:rFonts w:hint="eastAsia" w:ascii="黑体" w:hAnsi="宋体" w:eastAsia="黑体" w:cs="黑体"/>
      <w:color w:val="000000"/>
      <w:sz w:val="22"/>
      <w:szCs w:val="22"/>
      <w:u w:val="none"/>
    </w:rPr>
  </w:style>
  <w:style w:type="character" w:customStyle="1" w:styleId="545">
    <w:name w:val="font91"/>
    <w:basedOn w:val="81"/>
    <w:qFormat/>
    <w:uiPriority w:val="0"/>
    <w:rPr>
      <w:rFonts w:ascii="Segoe UI Symbol" w:hAnsi="Segoe UI Symbol" w:eastAsia="Segoe UI Symbol" w:cs="Segoe UI Symbol"/>
      <w:color w:val="000000"/>
      <w:sz w:val="22"/>
      <w:szCs w:val="22"/>
      <w:u w:val="none"/>
    </w:rPr>
  </w:style>
  <w:style w:type="paragraph" w:customStyle="1" w:styleId="546">
    <w:name w:val="list number ＋left spaceing"/>
    <w:basedOn w:val="19"/>
    <w:qFormat/>
    <w:uiPriority w:val="0"/>
    <w:pPr>
      <w:widowControl/>
      <w:tabs>
        <w:tab w:val="left" w:pos="360"/>
      </w:tabs>
      <w:spacing w:line="360" w:lineRule="auto"/>
      <w:ind w:left="0"/>
      <w:jc w:val="left"/>
    </w:pPr>
    <w:rPr>
      <w:rFonts w:ascii="Times New Roman" w:hAnsi="Times New Roman" w:eastAsia="宋体" w:cs="Times New Roman"/>
      <w:kern w:val="0"/>
    </w:rPr>
  </w:style>
  <w:style w:type="character" w:customStyle="1" w:styleId="547">
    <w:name w:val="font61"/>
    <w:basedOn w:val="81"/>
    <w:qFormat/>
    <w:uiPriority w:val="0"/>
    <w:rPr>
      <w:rFonts w:hint="eastAsia" w:ascii="宋体" w:hAnsi="宋体" w:eastAsia="宋体" w:cs="宋体"/>
      <w:color w:val="000000"/>
      <w:sz w:val="21"/>
      <w:szCs w:val="21"/>
      <w:u w:val="none"/>
    </w:rPr>
  </w:style>
  <w:style w:type="character" w:customStyle="1" w:styleId="548">
    <w:name w:val="font41"/>
    <w:basedOn w:val="81"/>
    <w:qFormat/>
    <w:uiPriority w:val="0"/>
    <w:rPr>
      <w:rFonts w:hint="eastAsia" w:ascii="宋体" w:hAnsi="宋体" w:eastAsia="宋体" w:cs="宋体"/>
      <w:bCs/>
      <w:color w:val="000000"/>
      <w:sz w:val="18"/>
      <w:szCs w:val="18"/>
      <w:u w:val="none"/>
    </w:rPr>
  </w:style>
  <w:style w:type="paragraph" w:customStyle="1" w:styleId="549">
    <w:name w:val="Body Text First Indent 2"/>
    <w:basedOn w:val="55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50">
    <w:name w:val="Body Text Indent1"/>
    <w:basedOn w:val="1"/>
    <w:next w:val="1"/>
    <w:qFormat/>
    <w:uiPriority w:val="0"/>
    <w:pPr>
      <w:spacing w:after="120" w:afterLines="0"/>
      <w:ind w:left="420" w:leftChars="200"/>
    </w:pPr>
    <w:rPr>
      <w:color w:val="000000"/>
      <w:sz w:val="21"/>
      <w:szCs w:val="21"/>
    </w:rPr>
  </w:style>
  <w:style w:type="paragraph" w:customStyle="1" w:styleId="551">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2">
    <w:name w:val="索引 11"/>
    <w:basedOn w:val="1"/>
    <w:next w:val="1"/>
    <w:qFormat/>
    <w:uiPriority w:val="99"/>
    <w:pPr>
      <w:adjustRightInd/>
      <w:spacing w:line="360" w:lineRule="auto"/>
    </w:pPr>
    <w:rPr>
      <w:rFonts w:ascii="仿宋_GB2312" w:eastAsia="仿宋_GB2312"/>
      <w:sz w:val="24"/>
      <w:szCs w:val="20"/>
    </w:rPr>
  </w:style>
  <w:style w:type="paragraph" w:customStyle="1" w:styleId="55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554">
    <w:name w:val="font81"/>
    <w:basedOn w:val="81"/>
    <w:qFormat/>
    <w:uiPriority w:val="0"/>
    <w:rPr>
      <w:rFonts w:ascii="Symbol" w:hAnsi="Symbol" w:cs="Symbol"/>
      <w:color w:val="000000"/>
      <w:sz w:val="22"/>
      <w:szCs w:val="22"/>
      <w:u w:val="none"/>
    </w:rPr>
  </w:style>
  <w:style w:type="paragraph" w:customStyle="1" w:styleId="555">
    <w:name w:val="表格内容"/>
    <w:basedOn w:val="1"/>
    <w:qFormat/>
    <w:uiPriority w:val="99"/>
    <w:pPr>
      <w:widowControl/>
      <w:jc w:val="center"/>
    </w:pPr>
    <w:rPr>
      <w:kern w:val="0"/>
      <w:sz w:val="24"/>
      <w:szCs w:val="28"/>
    </w:rPr>
  </w:style>
  <w:style w:type="paragraph" w:customStyle="1" w:styleId="556">
    <w:name w:val="章正文"/>
    <w:basedOn w:val="1"/>
    <w:qFormat/>
    <w:locked/>
    <w:uiPriority w:val="0"/>
    <w:pPr>
      <w:spacing w:beforeLines="50" w:after="120" w:line="300" w:lineRule="auto"/>
      <w:ind w:firstLine="480"/>
    </w:pPr>
    <w:rPr>
      <w:rFonts w:ascii="Helvetica" w:hAnsi="Helvetica"/>
      <w:kern w:val="0"/>
    </w:rPr>
  </w:style>
  <w:style w:type="character" w:customStyle="1" w:styleId="557">
    <w:name w:val="zbggmain style9"/>
    <w:qFormat/>
    <w:uiPriority w:val="0"/>
    <w:rPr>
      <w:rFonts w:ascii="Tahoma" w:hAnsi="Tahoma"/>
      <w:sz w:val="24"/>
      <w:szCs w:val="20"/>
    </w:rPr>
  </w:style>
  <w:style w:type="paragraph" w:customStyle="1" w:styleId="558">
    <w:name w:val="纯文本_0_0"/>
    <w:basedOn w:val="1"/>
    <w:qFormat/>
    <w:uiPriority w:val="0"/>
    <w:pPr>
      <w:adjustRightInd/>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2496</Words>
  <Characters>2923</Characters>
  <Lines>228</Lines>
  <Paragraphs>64</Paragraphs>
  <TotalTime>6</TotalTime>
  <ScaleCrop>false</ScaleCrop>
  <LinksUpToDate>false</LinksUpToDate>
  <CharactersWithSpaces>3034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2021-03-22T03:02:00Z</dcterms:created>
  <dc:creator>zlj</dc:creator>
  <cp:lastModifiedBy>学学</cp:lastModifiedBy>
  <cp:lastPrinted>2024-06-13T00:42:00Z</cp:lastPrinted>
  <dcterms:modified xsi:type="dcterms:W3CDTF">2025-01-08T03:49:58Z</dcterms:modified>
  <dc:title>sxwh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B513C61704A74001906E0F8530872F5A_13</vt:lpwstr>
  </property>
  <property fmtid="{D5CDD505-2E9C-101B-9397-08002B2CF9AE}" pid="4" name="KSOTemplateDocerSaveRecord">
    <vt:lpwstr>eyJoZGlkIjoiNGQzOTAxNTJhNjQ1ZjY5ZTQ1NTIwZmY5NjYyZjVmYjEiLCJ1c2VySWQiOiI4NjU5NTIxNjEifQ==</vt:lpwstr>
  </property>
</Properties>
</file>